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61544" w14:textId="53CB5F6E" w:rsidR="004C2EE3" w:rsidRDefault="004C2EE3" w:rsidP="00EC592C">
      <w:pPr>
        <w:widowControl/>
        <w:suppressAutoHyphens/>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F5AD188" w14:textId="77777777" w:rsidR="00921803" w:rsidRDefault="00921803" w:rsidP="00556FFB">
      <w:pPr>
        <w:pStyle w:val="StyleBoldCentered"/>
        <w:widowControl/>
        <w:suppressAutoHyphens/>
      </w:pPr>
      <w:r>
        <w:t>F</w:t>
      </w:r>
      <w:r>
        <w:rPr>
          <w:caps w:val="0"/>
        </w:rPr>
        <w:t>ederal Communications Commission</w:t>
      </w:r>
    </w:p>
    <w:p w14:paraId="6A252399" w14:textId="77777777" w:rsidR="004C2EE3" w:rsidRDefault="00810B6F" w:rsidP="00556FFB">
      <w:pPr>
        <w:pStyle w:val="StyleBoldCentered"/>
        <w:widowControl/>
        <w:suppressAutoHyphens/>
      </w:pPr>
      <w:r>
        <w:rPr>
          <w:caps w:val="0"/>
        </w:rPr>
        <w:t>Washington, D.C. 20554</w:t>
      </w:r>
    </w:p>
    <w:p w14:paraId="2DD39294" w14:textId="77777777" w:rsidR="004C2EE3" w:rsidRDefault="004C2EE3" w:rsidP="00556FFB">
      <w:pPr>
        <w:widowControl/>
        <w:suppressAutoHyphens/>
      </w:pPr>
    </w:p>
    <w:p w14:paraId="28AB041F" w14:textId="77777777" w:rsidR="004C2EE3" w:rsidRDefault="004C2EE3" w:rsidP="00556FFB">
      <w:pPr>
        <w:widowControl/>
        <w:suppressAutoHyphens/>
      </w:pPr>
    </w:p>
    <w:tbl>
      <w:tblPr>
        <w:tblW w:w="9576" w:type="dxa"/>
        <w:tblLayout w:type="fixed"/>
        <w:tblLook w:val="0000" w:firstRow="0" w:lastRow="0" w:firstColumn="0" w:lastColumn="0" w:noHBand="0" w:noVBand="0"/>
      </w:tblPr>
      <w:tblGrid>
        <w:gridCol w:w="4698"/>
        <w:gridCol w:w="630"/>
        <w:gridCol w:w="4248"/>
      </w:tblGrid>
      <w:tr w:rsidR="00321936" w14:paraId="68B0C039" w14:textId="77777777" w:rsidTr="00097074">
        <w:trPr>
          <w:trHeight w:val="1170"/>
        </w:trPr>
        <w:tc>
          <w:tcPr>
            <w:tcW w:w="4698" w:type="dxa"/>
          </w:tcPr>
          <w:p w14:paraId="43C9D042" w14:textId="77777777" w:rsidR="00321936" w:rsidRPr="005842F0" w:rsidRDefault="00321936" w:rsidP="00556FFB">
            <w:pPr>
              <w:widowControl/>
              <w:tabs>
                <w:tab w:val="center" w:pos="4680"/>
              </w:tabs>
              <w:suppressAutoHyphens/>
              <w:rPr>
                <w:color w:val="000000"/>
                <w:spacing w:val="-2"/>
                <w:szCs w:val="22"/>
              </w:rPr>
            </w:pPr>
            <w:r w:rsidRPr="005842F0">
              <w:rPr>
                <w:color w:val="000000"/>
                <w:spacing w:val="-2"/>
                <w:szCs w:val="22"/>
              </w:rPr>
              <w:t>In the Matter of</w:t>
            </w:r>
          </w:p>
          <w:p w14:paraId="30475A41" w14:textId="77777777" w:rsidR="00321936" w:rsidRPr="005842F0" w:rsidRDefault="00321936" w:rsidP="00556FFB">
            <w:pPr>
              <w:widowControl/>
              <w:tabs>
                <w:tab w:val="center" w:pos="4680"/>
              </w:tabs>
              <w:suppressAutoHyphens/>
              <w:rPr>
                <w:color w:val="000000"/>
                <w:spacing w:val="-2"/>
                <w:szCs w:val="22"/>
              </w:rPr>
            </w:pPr>
          </w:p>
          <w:p w14:paraId="3C5E4721" w14:textId="77777777" w:rsidR="00321936" w:rsidRPr="005842F0" w:rsidRDefault="00321936" w:rsidP="00556FFB">
            <w:pPr>
              <w:widowControl/>
              <w:suppressAutoHyphens/>
              <w:rPr>
                <w:szCs w:val="22"/>
              </w:rPr>
            </w:pPr>
            <w:r w:rsidRPr="005842F0">
              <w:rPr>
                <w:szCs w:val="22"/>
              </w:rPr>
              <w:t>Expanding the Economic and Innovation Opportunities of Spectrum Through Incentive Auctions</w:t>
            </w:r>
          </w:p>
        </w:tc>
        <w:tc>
          <w:tcPr>
            <w:tcW w:w="630" w:type="dxa"/>
          </w:tcPr>
          <w:p w14:paraId="07DB9CD3" w14:textId="77777777" w:rsidR="00321936" w:rsidRPr="005842F0" w:rsidRDefault="00321936" w:rsidP="00556FFB">
            <w:pPr>
              <w:widowControl/>
              <w:tabs>
                <w:tab w:val="center" w:pos="4680"/>
              </w:tabs>
              <w:suppressAutoHyphens/>
              <w:rPr>
                <w:b/>
                <w:spacing w:val="-2"/>
                <w:szCs w:val="22"/>
              </w:rPr>
            </w:pPr>
            <w:r w:rsidRPr="005842F0">
              <w:rPr>
                <w:b/>
                <w:spacing w:val="-2"/>
                <w:szCs w:val="22"/>
              </w:rPr>
              <w:t>)</w:t>
            </w:r>
          </w:p>
          <w:p w14:paraId="0F1C0A58" w14:textId="77777777" w:rsidR="00321936" w:rsidRPr="005842F0" w:rsidRDefault="00321936" w:rsidP="00556FFB">
            <w:pPr>
              <w:widowControl/>
              <w:tabs>
                <w:tab w:val="center" w:pos="4680"/>
              </w:tabs>
              <w:suppressAutoHyphens/>
              <w:rPr>
                <w:b/>
                <w:spacing w:val="-2"/>
                <w:szCs w:val="22"/>
              </w:rPr>
            </w:pPr>
            <w:r w:rsidRPr="005842F0">
              <w:rPr>
                <w:b/>
                <w:spacing w:val="-2"/>
                <w:szCs w:val="22"/>
              </w:rPr>
              <w:t>)</w:t>
            </w:r>
          </w:p>
          <w:p w14:paraId="41C59495" w14:textId="77777777" w:rsidR="00321936" w:rsidRPr="005842F0" w:rsidRDefault="00321936" w:rsidP="00556FFB">
            <w:pPr>
              <w:widowControl/>
              <w:tabs>
                <w:tab w:val="center" w:pos="4680"/>
              </w:tabs>
              <w:suppressAutoHyphens/>
              <w:rPr>
                <w:b/>
                <w:spacing w:val="-2"/>
                <w:szCs w:val="22"/>
              </w:rPr>
            </w:pPr>
            <w:r w:rsidRPr="005842F0">
              <w:rPr>
                <w:b/>
                <w:spacing w:val="-2"/>
                <w:szCs w:val="22"/>
              </w:rPr>
              <w:t>)</w:t>
            </w:r>
          </w:p>
          <w:p w14:paraId="53E1DDF6" w14:textId="77777777" w:rsidR="00321936" w:rsidRPr="005842F0" w:rsidRDefault="00321936" w:rsidP="00556FFB">
            <w:pPr>
              <w:widowControl/>
              <w:tabs>
                <w:tab w:val="center" w:pos="4680"/>
              </w:tabs>
              <w:suppressAutoHyphens/>
              <w:rPr>
                <w:b/>
                <w:spacing w:val="-2"/>
                <w:szCs w:val="22"/>
              </w:rPr>
            </w:pPr>
            <w:r w:rsidRPr="005842F0">
              <w:rPr>
                <w:b/>
                <w:spacing w:val="-2"/>
                <w:szCs w:val="22"/>
              </w:rPr>
              <w:t>)</w:t>
            </w:r>
            <w:r w:rsidRPr="005842F0">
              <w:rPr>
                <w:b/>
                <w:spacing w:val="-2"/>
                <w:szCs w:val="22"/>
              </w:rPr>
              <w:br/>
              <w:t>)</w:t>
            </w:r>
          </w:p>
        </w:tc>
        <w:tc>
          <w:tcPr>
            <w:tcW w:w="4248" w:type="dxa"/>
          </w:tcPr>
          <w:p w14:paraId="1B0D0B4C" w14:textId="77777777" w:rsidR="00321936" w:rsidRPr="005842F0" w:rsidRDefault="00321936" w:rsidP="00556FFB">
            <w:pPr>
              <w:widowControl/>
              <w:tabs>
                <w:tab w:val="center" w:pos="4680"/>
              </w:tabs>
              <w:suppressAutoHyphens/>
              <w:rPr>
                <w:spacing w:val="-2"/>
                <w:szCs w:val="22"/>
              </w:rPr>
            </w:pPr>
          </w:p>
          <w:p w14:paraId="5E772FC9" w14:textId="77777777" w:rsidR="00321936" w:rsidRPr="005842F0" w:rsidRDefault="00321936">
            <w:pPr>
              <w:pStyle w:val="TOAHeading"/>
              <w:widowControl/>
              <w:tabs>
                <w:tab w:val="clear" w:pos="9360"/>
                <w:tab w:val="center" w:pos="4680"/>
              </w:tabs>
              <w:rPr>
                <w:spacing w:val="-2"/>
                <w:szCs w:val="22"/>
              </w:rPr>
            </w:pPr>
          </w:p>
          <w:p w14:paraId="1D710F4F" w14:textId="77777777" w:rsidR="00A7315E" w:rsidRDefault="00A7315E" w:rsidP="00556FFB">
            <w:pPr>
              <w:widowControl/>
              <w:tabs>
                <w:tab w:val="center" w:pos="4680"/>
              </w:tabs>
              <w:suppressAutoHyphens/>
              <w:rPr>
                <w:color w:val="000000"/>
                <w:spacing w:val="-2"/>
                <w:szCs w:val="22"/>
              </w:rPr>
            </w:pPr>
          </w:p>
          <w:p w14:paraId="156502A6" w14:textId="77777777" w:rsidR="00321936" w:rsidRDefault="00321936" w:rsidP="00556FFB">
            <w:pPr>
              <w:widowControl/>
              <w:tabs>
                <w:tab w:val="center" w:pos="4680"/>
              </w:tabs>
              <w:suppressAutoHyphens/>
              <w:rPr>
                <w:color w:val="000000"/>
                <w:spacing w:val="-2"/>
                <w:szCs w:val="22"/>
              </w:rPr>
            </w:pPr>
            <w:r>
              <w:rPr>
                <w:color w:val="000000"/>
                <w:spacing w:val="-2"/>
                <w:szCs w:val="22"/>
              </w:rPr>
              <w:t xml:space="preserve">GN </w:t>
            </w:r>
            <w:r w:rsidRPr="005842F0">
              <w:rPr>
                <w:color w:val="000000"/>
                <w:spacing w:val="-2"/>
                <w:szCs w:val="22"/>
              </w:rPr>
              <w:t>Docket No. 12-268</w:t>
            </w:r>
          </w:p>
          <w:p w14:paraId="5F234F94" w14:textId="77777777" w:rsidR="00321936" w:rsidRPr="005842F0" w:rsidRDefault="00321936" w:rsidP="00556FFB">
            <w:pPr>
              <w:widowControl/>
              <w:tabs>
                <w:tab w:val="center" w:pos="4680"/>
              </w:tabs>
              <w:suppressAutoHyphens/>
              <w:rPr>
                <w:spacing w:val="-2"/>
                <w:szCs w:val="22"/>
              </w:rPr>
            </w:pPr>
          </w:p>
        </w:tc>
      </w:tr>
    </w:tbl>
    <w:p w14:paraId="5FCB3448" w14:textId="77777777" w:rsidR="004C2EE3" w:rsidRDefault="004C2EE3" w:rsidP="00556FFB">
      <w:pPr>
        <w:widowControl/>
        <w:suppressAutoHyphens/>
      </w:pPr>
    </w:p>
    <w:p w14:paraId="11A18560" w14:textId="77777777" w:rsidR="00841AB1" w:rsidRDefault="001A5BBC" w:rsidP="00556FFB">
      <w:pPr>
        <w:pStyle w:val="StyleBoldCentered"/>
        <w:widowControl/>
        <w:suppressAutoHyphens/>
      </w:pPr>
      <w:r>
        <w:t>Order</w:t>
      </w:r>
    </w:p>
    <w:p w14:paraId="7C8677D5" w14:textId="77777777" w:rsidR="004C2EE3" w:rsidRDefault="004C2EE3" w:rsidP="00556FFB">
      <w:pPr>
        <w:widowControl/>
        <w:tabs>
          <w:tab w:val="left" w:pos="-720"/>
        </w:tabs>
        <w:suppressAutoHyphens/>
        <w:spacing w:line="227" w:lineRule="auto"/>
        <w:rPr>
          <w:spacing w:val="-2"/>
        </w:rPr>
      </w:pPr>
    </w:p>
    <w:p w14:paraId="4DB01CEA" w14:textId="5F07C26F" w:rsidR="004C2EE3" w:rsidRDefault="004C2EE3" w:rsidP="00556FFB">
      <w:pPr>
        <w:widowControl/>
        <w:tabs>
          <w:tab w:val="left" w:pos="720"/>
          <w:tab w:val="right" w:pos="9360"/>
        </w:tabs>
        <w:suppressAutoHyphens/>
        <w:spacing w:line="227" w:lineRule="auto"/>
        <w:rPr>
          <w:spacing w:val="-2"/>
        </w:rPr>
      </w:pPr>
      <w:r>
        <w:rPr>
          <w:b/>
          <w:spacing w:val="-2"/>
        </w:rPr>
        <w:t xml:space="preserve">Adopted:  </w:t>
      </w:r>
      <w:r w:rsidR="00A268A6">
        <w:rPr>
          <w:b/>
          <w:spacing w:val="-2"/>
        </w:rPr>
        <w:t>September 11</w:t>
      </w:r>
      <w:r w:rsidR="00360CD9">
        <w:rPr>
          <w:b/>
          <w:spacing w:val="-2"/>
        </w:rPr>
        <w:t>, 2017</w:t>
      </w:r>
      <w:r w:rsidR="00171F7E">
        <w:rPr>
          <w:b/>
          <w:spacing w:val="-2"/>
        </w:rPr>
        <w:t xml:space="preserve">        </w:t>
      </w:r>
      <w:r w:rsidR="009C3882">
        <w:rPr>
          <w:b/>
          <w:spacing w:val="-2"/>
        </w:rPr>
        <w:t xml:space="preserve">                        </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268A6">
        <w:rPr>
          <w:b/>
          <w:spacing w:val="-2"/>
        </w:rPr>
        <w:t>September 13</w:t>
      </w:r>
      <w:r w:rsidR="00360CD9">
        <w:rPr>
          <w:b/>
          <w:spacing w:val="-2"/>
        </w:rPr>
        <w:t>, 2017</w:t>
      </w:r>
    </w:p>
    <w:p w14:paraId="785224A1" w14:textId="77777777" w:rsidR="00822CE0" w:rsidRDefault="00822CE0" w:rsidP="00556FFB">
      <w:pPr>
        <w:widowControl/>
        <w:suppressAutoHyphens/>
      </w:pPr>
    </w:p>
    <w:p w14:paraId="02543CB6" w14:textId="77777777" w:rsidR="004C2EE3" w:rsidRPr="001B6F1F" w:rsidRDefault="004C2EE3" w:rsidP="00556FFB">
      <w:pPr>
        <w:widowControl/>
        <w:suppressAutoHyphens/>
      </w:pPr>
      <w:r>
        <w:t xml:space="preserve">By </w:t>
      </w:r>
      <w:r w:rsidR="004E4A22">
        <w:t>the</w:t>
      </w:r>
      <w:r w:rsidR="002A2D2E">
        <w:t xml:space="preserve"> </w:t>
      </w:r>
      <w:r w:rsidR="001A5BBC">
        <w:t>Chief, Office of Engineering and Technology</w:t>
      </w:r>
      <w:r w:rsidR="00097074">
        <w:t xml:space="preserve"> and the Chief, Wireless Telecommunications Bureau</w:t>
      </w:r>
      <w:r>
        <w:rPr>
          <w:spacing w:val="-2"/>
        </w:rPr>
        <w:t>:</w:t>
      </w:r>
    </w:p>
    <w:p w14:paraId="74A9CE48" w14:textId="77777777" w:rsidR="00412FC5" w:rsidRDefault="002F592E" w:rsidP="00556FFB">
      <w:pPr>
        <w:widowControl/>
        <w:tabs>
          <w:tab w:val="left" w:pos="6975"/>
        </w:tabs>
        <w:suppressAutoHyphens/>
      </w:pPr>
      <w:r>
        <w:tab/>
      </w:r>
    </w:p>
    <w:p w14:paraId="315B9AE4" w14:textId="555BEE81" w:rsidR="00405598" w:rsidRDefault="00405598" w:rsidP="00556FFB">
      <w:pPr>
        <w:pStyle w:val="ParaNum"/>
        <w:widowControl/>
        <w:tabs>
          <w:tab w:val="clear" w:pos="1080"/>
          <w:tab w:val="left" w:pos="1170"/>
        </w:tabs>
        <w:suppressAutoHyphens/>
      </w:pPr>
      <w:r>
        <w:t>By this Order</w:t>
      </w:r>
      <w:r w:rsidR="00D75402">
        <w:t xml:space="preserve">, we </w:t>
      </w:r>
      <w:r w:rsidR="004A31BB">
        <w:t xml:space="preserve">modify </w:t>
      </w:r>
      <w:r w:rsidR="00D75402">
        <w:t xml:space="preserve">the Table of Frequency Allocations (Allocations Table) </w:t>
      </w:r>
      <w:r w:rsidR="004A31BB">
        <w:t>in Part 2 of the Commission’s rules</w:t>
      </w:r>
      <w:r w:rsidR="001A3DBA">
        <w:t>,</w:t>
      </w:r>
      <w:r w:rsidR="004A31BB">
        <w:t xml:space="preserve"> </w:t>
      </w:r>
      <w:r>
        <w:t xml:space="preserve">as well as </w:t>
      </w:r>
      <w:r w:rsidR="00253DD4">
        <w:t>four</w:t>
      </w:r>
      <w:r w:rsidR="00744FD1">
        <w:t xml:space="preserve"> Part 27</w:t>
      </w:r>
      <w:r w:rsidR="00057B24">
        <w:t xml:space="preserve"> </w:t>
      </w:r>
      <w:r w:rsidR="00D75402">
        <w:t>rules</w:t>
      </w:r>
      <w:r w:rsidR="003B4129">
        <w:t>,</w:t>
      </w:r>
      <w:r w:rsidR="00D75402">
        <w:t xml:space="preserve"> </w:t>
      </w:r>
      <w:r>
        <w:t xml:space="preserve">to </w:t>
      </w:r>
      <w:r w:rsidR="00B450AE">
        <w:t xml:space="preserve">make them </w:t>
      </w:r>
      <w:r>
        <w:t xml:space="preserve">correspond to the </w:t>
      </w:r>
      <w:r w:rsidR="003900B3">
        <w:t>results</w:t>
      </w:r>
      <w:r>
        <w:t xml:space="preserve"> of the </w:t>
      </w:r>
      <w:r w:rsidR="00BE707D">
        <w:t>b</w:t>
      </w:r>
      <w:r>
        <w:t xml:space="preserve">roadcast </w:t>
      </w:r>
      <w:r w:rsidR="00BE707D">
        <w:t>t</w:t>
      </w:r>
      <w:r>
        <w:t xml:space="preserve">elevision </w:t>
      </w:r>
      <w:r w:rsidR="00BE707D">
        <w:t>i</w:t>
      </w:r>
      <w:r>
        <w:t xml:space="preserve">ncentive </w:t>
      </w:r>
      <w:r w:rsidR="00BE707D">
        <w:t>a</w:t>
      </w:r>
      <w:r>
        <w:t>uction (</w:t>
      </w:r>
      <w:r w:rsidR="00BA4458">
        <w:t>i</w:t>
      </w:r>
      <w:r>
        <w:t xml:space="preserve">ncentive </w:t>
      </w:r>
      <w:r w:rsidR="00BA4458">
        <w:t>a</w:t>
      </w:r>
      <w:r>
        <w:t>uction</w:t>
      </w:r>
      <w:r w:rsidR="00EB556B">
        <w:t>)</w:t>
      </w:r>
      <w:r>
        <w:t>.</w:t>
      </w:r>
      <w:r>
        <w:rPr>
          <w:rStyle w:val="FootnoteReference"/>
        </w:rPr>
        <w:footnoteReference w:id="2"/>
      </w:r>
    </w:p>
    <w:p w14:paraId="2251FB9D" w14:textId="593607E9" w:rsidR="00182E1A" w:rsidRDefault="00BE707D" w:rsidP="00556FFB">
      <w:pPr>
        <w:pStyle w:val="ParaNum"/>
        <w:widowControl/>
        <w:tabs>
          <w:tab w:val="clear" w:pos="1080"/>
          <w:tab w:val="left" w:pos="1170"/>
        </w:tabs>
        <w:suppressAutoHyphens/>
      </w:pPr>
      <w:r>
        <w:t xml:space="preserve">In the 2014 </w:t>
      </w:r>
      <w:r>
        <w:rPr>
          <w:i/>
        </w:rPr>
        <w:t>Incentive Auction R&amp;O</w:t>
      </w:r>
      <w:r>
        <w:t xml:space="preserve">, the Commission adopted rules to implement the incentive auction to </w:t>
      </w:r>
      <w:r w:rsidR="00405598">
        <w:t xml:space="preserve">allow spectrum that is used for broadcast television under a </w:t>
      </w:r>
      <w:r w:rsidR="006C0585">
        <w:t>b</w:t>
      </w:r>
      <w:r w:rsidR="00405598">
        <w:t xml:space="preserve">roadcasting </w:t>
      </w:r>
      <w:r w:rsidR="001E348E">
        <w:t xml:space="preserve">service </w:t>
      </w:r>
      <w:r w:rsidR="00405598">
        <w:t xml:space="preserve">allocation to be repurposed for new services and applications </w:t>
      </w:r>
      <w:r w:rsidR="000B2644">
        <w:t xml:space="preserve">under </w:t>
      </w:r>
      <w:r w:rsidR="006C0585">
        <w:t>f</w:t>
      </w:r>
      <w:r w:rsidR="000B2644">
        <w:t xml:space="preserve">ixed and </w:t>
      </w:r>
      <w:r w:rsidR="006C0585">
        <w:t>m</w:t>
      </w:r>
      <w:r w:rsidR="000B2644">
        <w:t xml:space="preserve">obile </w:t>
      </w:r>
      <w:r w:rsidR="001E348E">
        <w:t xml:space="preserve">services </w:t>
      </w:r>
      <w:r w:rsidR="000B2644">
        <w:t>allocation</w:t>
      </w:r>
      <w:r w:rsidR="001E348E">
        <w:t>s</w:t>
      </w:r>
      <w:r w:rsidR="000B2644">
        <w:t>.</w:t>
      </w:r>
      <w:r w:rsidR="00184438">
        <w:rPr>
          <w:rStyle w:val="FootnoteReference"/>
        </w:rPr>
        <w:footnoteReference w:id="3"/>
      </w:r>
      <w:r w:rsidR="000B2644">
        <w:t xml:space="preserve">  Under the auction design, </w:t>
      </w:r>
      <w:r>
        <w:t xml:space="preserve">the Commission provided that </w:t>
      </w:r>
      <w:r w:rsidR="000B2644">
        <w:t>varying amounts of spectrum within the 512-698 MHz range could potentially be repurposed for such use</w:t>
      </w:r>
      <w:r>
        <w:t xml:space="preserve"> as a result of the incentive auction</w:t>
      </w:r>
      <w:r w:rsidR="000B2644">
        <w:t xml:space="preserve">.  </w:t>
      </w:r>
      <w:r>
        <w:t>A</w:t>
      </w:r>
      <w:r w:rsidR="003900B3">
        <w:t xml:space="preserve">s part of the </w:t>
      </w:r>
      <w:r w:rsidR="00321936" w:rsidRPr="00182E1A">
        <w:rPr>
          <w:i/>
        </w:rPr>
        <w:t>Incentive Auction R&amp;O</w:t>
      </w:r>
      <w:r w:rsidR="003900B3" w:rsidRPr="00182E1A">
        <w:rPr>
          <w:i/>
        </w:rPr>
        <w:t>,</w:t>
      </w:r>
      <w:r w:rsidR="001559E5">
        <w:t xml:space="preserve"> </w:t>
      </w:r>
      <w:r w:rsidR="003900B3">
        <w:t xml:space="preserve">the Commission amended the </w:t>
      </w:r>
      <w:r w:rsidR="001111FC">
        <w:t>Allocations Table</w:t>
      </w:r>
      <w:r w:rsidR="003900B3">
        <w:t xml:space="preserve"> to</w:t>
      </w:r>
      <w:r w:rsidR="001559E5">
        <w:t xml:space="preserve"> </w:t>
      </w:r>
      <w:r w:rsidR="001D6E4B">
        <w:t xml:space="preserve">add entries for primary </w:t>
      </w:r>
      <w:r w:rsidR="006C0585">
        <w:t xml:space="preserve">non-Federal </w:t>
      </w:r>
      <w:r w:rsidR="001D6E4B">
        <w:t>fixed and mobile service</w:t>
      </w:r>
      <w:r w:rsidR="00E816D1">
        <w:t>s</w:t>
      </w:r>
      <w:r w:rsidR="001D6E4B">
        <w:t xml:space="preserve"> in the </w:t>
      </w:r>
      <w:r w:rsidR="00E816D1">
        <w:t>512-608 MHz (UHF TV channels 21</w:t>
      </w:r>
      <w:r w:rsidR="00E816D1">
        <w:noBreakHyphen/>
      </w:r>
      <w:r w:rsidR="00FD1C34">
        <w:t>36) and 614</w:t>
      </w:r>
      <w:r w:rsidR="00FD1C34">
        <w:noBreakHyphen/>
      </w:r>
      <w:r w:rsidR="001D6E4B">
        <w:t>698 MHz (UHF TV channels 38-51) bands</w:t>
      </w:r>
      <w:r w:rsidR="001A3DBA">
        <w:t>,</w:t>
      </w:r>
      <w:r w:rsidR="006C0585">
        <w:t xml:space="preserve"> as well as corresponding </w:t>
      </w:r>
      <w:r w:rsidR="006C0585" w:rsidRPr="002A1C7A">
        <w:t>cross</w:t>
      </w:r>
      <w:r w:rsidR="006C0585">
        <w:t>-</w:t>
      </w:r>
      <w:r w:rsidR="006C0585" w:rsidRPr="002A1C7A">
        <w:t>references to</w:t>
      </w:r>
      <w:r w:rsidR="006C0585">
        <w:t xml:space="preserve"> the Miscellaneous Wireless Communications Services, Part 27</w:t>
      </w:r>
      <w:r w:rsidR="00253DD4">
        <w:t>, in</w:t>
      </w:r>
      <w:r w:rsidR="006C0585">
        <w:t xml:space="preserve"> the “FCC Rule Part(s)” column of the Allocations Table</w:t>
      </w:r>
      <w:r w:rsidR="001D6E4B">
        <w:t>.</w:t>
      </w:r>
      <w:r w:rsidR="006C0585">
        <w:rPr>
          <w:rStyle w:val="FootnoteReference"/>
        </w:rPr>
        <w:footnoteReference w:id="4"/>
      </w:r>
      <w:r w:rsidR="006C0585">
        <w:t xml:space="preserve">  Recognizing that </w:t>
      </w:r>
      <w:r>
        <w:t xml:space="preserve">the particular amount </w:t>
      </w:r>
      <w:r w:rsidR="006C0585">
        <w:t xml:space="preserve">of </w:t>
      </w:r>
      <w:r w:rsidR="00184438">
        <w:t xml:space="preserve">television broadcast </w:t>
      </w:r>
      <w:r w:rsidR="006C0585">
        <w:t xml:space="preserve">spectrum </w:t>
      </w:r>
      <w:r>
        <w:t xml:space="preserve">that </w:t>
      </w:r>
      <w:r w:rsidR="006C0585">
        <w:t>would ultimately be repurposed</w:t>
      </w:r>
      <w:r>
        <w:t xml:space="preserve"> would not be known until the incentive auction</w:t>
      </w:r>
      <w:r w:rsidR="002D5AA2">
        <w:t xml:space="preserve"> </w:t>
      </w:r>
      <w:r w:rsidR="00991C49">
        <w:t>concluded</w:t>
      </w:r>
      <w:r w:rsidR="006C0585">
        <w:t xml:space="preserve">, the Commission adopted </w:t>
      </w:r>
      <w:r>
        <w:t xml:space="preserve">specific 600 MHz </w:t>
      </w:r>
      <w:r w:rsidR="006C6CB8">
        <w:t>b</w:t>
      </w:r>
      <w:r>
        <w:t xml:space="preserve">and </w:t>
      </w:r>
      <w:r w:rsidR="006C6CB8">
        <w:t>p</w:t>
      </w:r>
      <w:r>
        <w:t xml:space="preserve">lan scenarios </w:t>
      </w:r>
      <w:r w:rsidR="00184438">
        <w:t>that</w:t>
      </w:r>
      <w:r w:rsidR="006C0585">
        <w:t xml:space="preserve"> </w:t>
      </w:r>
      <w:r w:rsidR="00A951F9">
        <w:t xml:space="preserve">would </w:t>
      </w:r>
      <w:r w:rsidR="006C0585">
        <w:t xml:space="preserve">correspond to </w:t>
      </w:r>
      <w:r w:rsidR="00E2152D">
        <w:t xml:space="preserve">a range of </w:t>
      </w:r>
      <w:r w:rsidR="006C0585">
        <w:t>different auction results.</w:t>
      </w:r>
      <w:r w:rsidR="0011217F">
        <w:rPr>
          <w:rStyle w:val="FootnoteReference"/>
        </w:rPr>
        <w:footnoteReference w:id="5"/>
      </w:r>
      <w:r w:rsidR="006C0585">
        <w:t xml:space="preserve">  It further </w:t>
      </w:r>
      <w:r w:rsidR="008A1FE1">
        <w:t>delegated authority to the Chief of the Office of Engineering and Technology</w:t>
      </w:r>
      <w:r w:rsidR="001559E5">
        <w:t xml:space="preserve"> </w:t>
      </w:r>
      <w:r w:rsidR="008A1FE1">
        <w:t xml:space="preserve">to take such actions as are necessary to </w:t>
      </w:r>
      <w:r w:rsidR="001559E5">
        <w:t xml:space="preserve">modify </w:t>
      </w:r>
      <w:r w:rsidR="006C0585">
        <w:t xml:space="preserve">the </w:t>
      </w:r>
      <w:r w:rsidR="001559E5">
        <w:t xml:space="preserve">Allocations Table to reflect the outcome of the </w:t>
      </w:r>
      <w:r w:rsidR="008F2FAB">
        <w:t>i</w:t>
      </w:r>
      <w:r w:rsidR="001559E5">
        <w:t xml:space="preserve">ncentive </w:t>
      </w:r>
      <w:r w:rsidR="008F2FAB">
        <w:t>a</w:t>
      </w:r>
      <w:r w:rsidR="001559E5">
        <w:t>uction.</w:t>
      </w:r>
      <w:r w:rsidR="006C0585">
        <w:rPr>
          <w:rStyle w:val="FootnoteReference"/>
        </w:rPr>
        <w:footnoteReference w:id="6"/>
      </w:r>
      <w:r w:rsidR="001559E5">
        <w:t xml:space="preserve">  </w:t>
      </w:r>
      <w:r w:rsidR="00282857">
        <w:t xml:space="preserve">As part of this </w:t>
      </w:r>
      <w:r w:rsidR="00C076C8">
        <w:t>pre-</w:t>
      </w:r>
      <w:r w:rsidR="00566C38">
        <w:t xml:space="preserve">auction </w:t>
      </w:r>
      <w:r w:rsidR="00282857">
        <w:t xml:space="preserve">process, the Commission also modified certain of </w:t>
      </w:r>
      <w:r w:rsidR="00253DD4">
        <w:t>the</w:t>
      </w:r>
      <w:r w:rsidR="00282857">
        <w:t xml:space="preserve"> Part 27 rules</w:t>
      </w:r>
      <w:r w:rsidR="00416BEC">
        <w:t xml:space="preserve"> to include generic references to the frequencies that could be assigned to new wireless services depending on the outcome of the incentive auction</w:t>
      </w:r>
      <w:r w:rsidR="00282857">
        <w:t>.</w:t>
      </w:r>
      <w:r w:rsidR="00F51CA5">
        <w:rPr>
          <w:rStyle w:val="FootnoteReference"/>
        </w:rPr>
        <w:footnoteReference w:id="7"/>
      </w:r>
    </w:p>
    <w:p w14:paraId="3C18E623" w14:textId="77777777" w:rsidR="00EC592C" w:rsidRDefault="00EC592C" w:rsidP="006B6D84">
      <w:pPr>
        <w:pStyle w:val="ParaNum"/>
        <w:widowControl/>
        <w:numPr>
          <w:ilvl w:val="0"/>
          <w:numId w:val="0"/>
        </w:numPr>
        <w:tabs>
          <w:tab w:val="left" w:pos="1170"/>
        </w:tabs>
        <w:suppressAutoHyphens/>
        <w:ind w:firstLine="720"/>
      </w:pPr>
    </w:p>
    <w:p w14:paraId="3E2E8742" w14:textId="72736CA7" w:rsidR="0028417C" w:rsidRPr="009631D5" w:rsidRDefault="006B0D99" w:rsidP="00556FFB">
      <w:pPr>
        <w:pStyle w:val="ParaNum"/>
        <w:widowControl/>
        <w:tabs>
          <w:tab w:val="clear" w:pos="1080"/>
          <w:tab w:val="left" w:pos="1170"/>
        </w:tabs>
        <w:suppressAutoHyphens/>
      </w:pPr>
      <w:r>
        <w:lastRenderedPageBreak/>
        <w:t xml:space="preserve">The </w:t>
      </w:r>
      <w:r w:rsidR="001B6F1F">
        <w:t xml:space="preserve">April 13, 2017 </w:t>
      </w:r>
      <w:r w:rsidR="00184438">
        <w:rPr>
          <w:i/>
        </w:rPr>
        <w:t>Closing and Channel Reassignment Public Notice</w:t>
      </w:r>
      <w:r w:rsidR="006C6CB8">
        <w:rPr>
          <w:i/>
        </w:rPr>
        <w:t xml:space="preserve"> </w:t>
      </w:r>
      <w:r w:rsidR="00B32438">
        <w:t xml:space="preserve">announced </w:t>
      </w:r>
      <w:r w:rsidR="00184438">
        <w:t>the</w:t>
      </w:r>
      <w:r>
        <w:t xml:space="preserve"> </w:t>
      </w:r>
      <w:r w:rsidR="00115683">
        <w:t>completion</w:t>
      </w:r>
      <w:r w:rsidR="00182E1A">
        <w:t xml:space="preserve"> of the </w:t>
      </w:r>
      <w:r w:rsidR="00115683">
        <w:t xml:space="preserve">reverse and forward </w:t>
      </w:r>
      <w:r w:rsidR="00182E1A">
        <w:t>auction</w:t>
      </w:r>
      <w:r w:rsidR="00115683">
        <w:t>s and the channel reassignments and reallocations made in the repacking process</w:t>
      </w:r>
      <w:r w:rsidR="00A951F9">
        <w:t xml:space="preserve">, including the specific 600 MHz </w:t>
      </w:r>
      <w:r w:rsidR="006C6CB8">
        <w:t>b</w:t>
      </w:r>
      <w:r w:rsidR="00A951F9">
        <w:t xml:space="preserve">and </w:t>
      </w:r>
      <w:r w:rsidR="006C6CB8">
        <w:t>p</w:t>
      </w:r>
      <w:r w:rsidR="00A951F9">
        <w:t>lan effectuated</w:t>
      </w:r>
      <w:r w:rsidR="00115683">
        <w:t xml:space="preserve"> by the auction and repacking process</w:t>
      </w:r>
      <w:r w:rsidR="00A951F9">
        <w:t>.</w:t>
      </w:r>
      <w:r w:rsidR="00A951F9">
        <w:rPr>
          <w:rStyle w:val="FootnoteReference"/>
        </w:rPr>
        <w:footnoteReference w:id="8"/>
      </w:r>
      <w:r w:rsidR="00A951F9">
        <w:t xml:space="preserve">  Under th</w:t>
      </w:r>
      <w:r w:rsidR="006C6CB8">
        <w:t xml:space="preserve">is band plan (the </w:t>
      </w:r>
      <w:r w:rsidR="00A951F9">
        <w:t>600 MHz Band Plan</w:t>
      </w:r>
      <w:r w:rsidR="006C6CB8">
        <w:t>),</w:t>
      </w:r>
      <w:r w:rsidRPr="009D29A1">
        <w:t xml:space="preserve"> TV broadcasting </w:t>
      </w:r>
      <w:r w:rsidR="00A951F9">
        <w:t xml:space="preserve">spectrum </w:t>
      </w:r>
      <w:r w:rsidR="00562743">
        <w:t xml:space="preserve">associated with Channels 38-51 (614-698 MHz) </w:t>
      </w:r>
      <w:r w:rsidR="00C65329">
        <w:t xml:space="preserve">was </w:t>
      </w:r>
      <w:r w:rsidR="00A951F9">
        <w:t xml:space="preserve">repurposed </w:t>
      </w:r>
      <w:r w:rsidR="002D5AA2">
        <w:t>to</w:t>
      </w:r>
      <w:r w:rsidR="008B2F7A">
        <w:t xml:space="preserve"> include 70 megahertz of licensed spectrum</w:t>
      </w:r>
      <w:r w:rsidR="00C531F4">
        <w:t xml:space="preserve"> (seven paired five megahertz </w:t>
      </w:r>
      <w:r w:rsidR="0025488E">
        <w:t xml:space="preserve">channel </w:t>
      </w:r>
      <w:r w:rsidR="00C531F4">
        <w:t>blocks)</w:t>
      </w:r>
      <w:r w:rsidR="008B2F7A">
        <w:t xml:space="preserve"> for </w:t>
      </w:r>
      <w:r w:rsidR="00F51A1E">
        <w:t xml:space="preserve">600 MHz service </w:t>
      </w:r>
      <w:r>
        <w:t xml:space="preserve">wireless </w:t>
      </w:r>
      <w:r w:rsidR="00964E1F">
        <w:t>licensees</w:t>
      </w:r>
      <w:r w:rsidR="006C6CB8">
        <w:t xml:space="preserve"> that will operate under Part 27 of the rules</w:t>
      </w:r>
      <w:r w:rsidR="008B2F7A">
        <w:t>.</w:t>
      </w:r>
      <w:r w:rsidR="001C3678">
        <w:rPr>
          <w:rStyle w:val="FootnoteReference"/>
        </w:rPr>
        <w:footnoteReference w:id="9"/>
      </w:r>
      <w:r w:rsidR="008B2F7A">
        <w:t xml:space="preserve">  </w:t>
      </w:r>
      <w:r w:rsidR="009105C4">
        <w:t>T</w:t>
      </w:r>
      <w:r w:rsidR="008B2F7A">
        <w:t>he 600</w:t>
      </w:r>
      <w:r w:rsidR="00A7315E">
        <w:t> </w:t>
      </w:r>
      <w:r w:rsidR="008B2F7A">
        <w:t>MHz Band Plan is comprised of</w:t>
      </w:r>
      <w:r w:rsidR="007306EE">
        <w:t>: (1)</w:t>
      </w:r>
      <w:r w:rsidR="008B2F7A">
        <w:t xml:space="preserve"> </w:t>
      </w:r>
      <w:r w:rsidR="00C076C8">
        <w:t xml:space="preserve">the </w:t>
      </w:r>
      <w:r w:rsidR="00701CAD">
        <w:t xml:space="preserve">600 MHz </w:t>
      </w:r>
      <w:r w:rsidR="002071B7">
        <w:t xml:space="preserve">band </w:t>
      </w:r>
      <w:r w:rsidR="002071B7">
        <w:rPr>
          <w:szCs w:val="22"/>
        </w:rPr>
        <w:t xml:space="preserve">licensed for the 600 MHz service </w:t>
      </w:r>
      <w:r w:rsidR="00964E1F">
        <w:t xml:space="preserve">wireless </w:t>
      </w:r>
      <w:r w:rsidR="002071B7">
        <w:rPr>
          <w:szCs w:val="22"/>
        </w:rPr>
        <w:t>licensees (w</w:t>
      </w:r>
      <w:r w:rsidR="00701CAD">
        <w:t xml:space="preserve">hich includes </w:t>
      </w:r>
      <w:r w:rsidR="002071B7">
        <w:t xml:space="preserve">a </w:t>
      </w:r>
      <w:r w:rsidR="001C3678">
        <w:t xml:space="preserve">downlink </w:t>
      </w:r>
      <w:r w:rsidR="00701CAD">
        <w:t>(</w:t>
      </w:r>
      <w:r w:rsidR="001C3678">
        <w:rPr>
          <w:szCs w:val="22"/>
        </w:rPr>
        <w:t xml:space="preserve">617-652 MHz) </w:t>
      </w:r>
      <w:r w:rsidR="002071B7">
        <w:rPr>
          <w:szCs w:val="22"/>
        </w:rPr>
        <w:t xml:space="preserve">band </w:t>
      </w:r>
      <w:r w:rsidR="001C3678">
        <w:rPr>
          <w:szCs w:val="22"/>
        </w:rPr>
        <w:t xml:space="preserve">and </w:t>
      </w:r>
      <w:r w:rsidR="002071B7">
        <w:rPr>
          <w:szCs w:val="22"/>
        </w:rPr>
        <w:t xml:space="preserve">an </w:t>
      </w:r>
      <w:r w:rsidR="008B2F7A">
        <w:rPr>
          <w:szCs w:val="22"/>
        </w:rPr>
        <w:t xml:space="preserve">uplink (663-698 MHz) </w:t>
      </w:r>
      <w:r w:rsidR="00701CAD">
        <w:rPr>
          <w:szCs w:val="22"/>
        </w:rPr>
        <w:t>band)</w:t>
      </w:r>
      <w:r w:rsidR="007306EE">
        <w:rPr>
          <w:szCs w:val="22"/>
        </w:rPr>
        <w:t xml:space="preserve">; (2) </w:t>
      </w:r>
      <w:r w:rsidR="00C076C8">
        <w:rPr>
          <w:szCs w:val="22"/>
        </w:rPr>
        <w:t xml:space="preserve">the </w:t>
      </w:r>
      <w:r w:rsidR="00C531F4">
        <w:rPr>
          <w:szCs w:val="22"/>
        </w:rPr>
        <w:t xml:space="preserve">600 MHz </w:t>
      </w:r>
      <w:r w:rsidR="008B2F7A">
        <w:rPr>
          <w:szCs w:val="22"/>
        </w:rPr>
        <w:t>duplex gap (652-663 MHz) between these bands</w:t>
      </w:r>
      <w:r w:rsidR="007306EE">
        <w:rPr>
          <w:szCs w:val="22"/>
        </w:rPr>
        <w:t>; and (3)</w:t>
      </w:r>
      <w:r w:rsidR="008B2F7A">
        <w:rPr>
          <w:szCs w:val="22"/>
        </w:rPr>
        <w:t xml:space="preserve"> </w:t>
      </w:r>
      <w:r w:rsidR="00C076C8">
        <w:rPr>
          <w:szCs w:val="22"/>
        </w:rPr>
        <w:t xml:space="preserve">the </w:t>
      </w:r>
      <w:r w:rsidR="00C531F4">
        <w:rPr>
          <w:szCs w:val="22"/>
        </w:rPr>
        <w:t xml:space="preserve">600 MHz </w:t>
      </w:r>
      <w:r w:rsidR="008B2F7A">
        <w:rPr>
          <w:szCs w:val="22"/>
        </w:rPr>
        <w:t>guard band (614-617 MHz) between Channel 3</w:t>
      </w:r>
      <w:r w:rsidR="00AC7AAA">
        <w:rPr>
          <w:szCs w:val="22"/>
        </w:rPr>
        <w:t>7</w:t>
      </w:r>
      <w:r w:rsidR="002D5AA2">
        <w:rPr>
          <w:szCs w:val="22"/>
        </w:rPr>
        <w:t xml:space="preserve"> </w:t>
      </w:r>
      <w:r w:rsidR="00AC7AAA">
        <w:rPr>
          <w:szCs w:val="22"/>
        </w:rPr>
        <w:t>(</w:t>
      </w:r>
      <w:r w:rsidR="003649F1" w:rsidRPr="00182E1A">
        <w:rPr>
          <w:szCs w:val="22"/>
        </w:rPr>
        <w:t>608-614 MHz</w:t>
      </w:r>
      <w:r w:rsidR="00AC7AAA">
        <w:rPr>
          <w:szCs w:val="22"/>
        </w:rPr>
        <w:t>)</w:t>
      </w:r>
      <w:r w:rsidR="00562743">
        <w:rPr>
          <w:szCs w:val="22"/>
        </w:rPr>
        <w:t xml:space="preserve">, </w:t>
      </w:r>
      <w:r w:rsidR="00D61FBB" w:rsidRPr="00182E1A">
        <w:rPr>
          <w:szCs w:val="22"/>
        </w:rPr>
        <w:t>which is</w:t>
      </w:r>
      <w:r w:rsidR="003649F1" w:rsidRPr="00182E1A">
        <w:rPr>
          <w:szCs w:val="22"/>
        </w:rPr>
        <w:t xml:space="preserve"> </w:t>
      </w:r>
      <w:r w:rsidR="00964E1F">
        <w:rPr>
          <w:szCs w:val="22"/>
        </w:rPr>
        <w:t xml:space="preserve">presently being </w:t>
      </w:r>
      <w:r w:rsidR="003649F1" w:rsidRPr="00182E1A">
        <w:rPr>
          <w:szCs w:val="22"/>
        </w:rPr>
        <w:t>use</w:t>
      </w:r>
      <w:r w:rsidR="00964E1F">
        <w:rPr>
          <w:szCs w:val="22"/>
        </w:rPr>
        <w:t>d</w:t>
      </w:r>
      <w:r w:rsidR="003649F1" w:rsidRPr="00182E1A">
        <w:rPr>
          <w:szCs w:val="22"/>
        </w:rPr>
        <w:t xml:space="preserve"> by the Wireless Medical Telemetry Service</w:t>
      </w:r>
      <w:r w:rsidR="00D61FBB" w:rsidRPr="00182E1A">
        <w:rPr>
          <w:szCs w:val="22"/>
        </w:rPr>
        <w:t xml:space="preserve"> and </w:t>
      </w:r>
      <w:r w:rsidR="00964E1F">
        <w:rPr>
          <w:szCs w:val="22"/>
        </w:rPr>
        <w:t xml:space="preserve">the </w:t>
      </w:r>
      <w:r w:rsidR="00562743">
        <w:rPr>
          <w:szCs w:val="22"/>
        </w:rPr>
        <w:t>Radio Astronomy Service</w:t>
      </w:r>
      <w:r w:rsidR="00991C49">
        <w:rPr>
          <w:szCs w:val="22"/>
        </w:rPr>
        <w:t>, and the 600 MHz band downlink band</w:t>
      </w:r>
      <w:bookmarkStart w:id="1" w:name="_Ref484965115"/>
      <w:r w:rsidR="00F51CA5">
        <w:rPr>
          <w:szCs w:val="22"/>
        </w:rPr>
        <w:t xml:space="preserve"> (617-652 MHz)</w:t>
      </w:r>
      <w:r w:rsidR="00DE11DF">
        <w:rPr>
          <w:szCs w:val="22"/>
        </w:rPr>
        <w:t>.</w:t>
      </w:r>
      <w:r w:rsidR="00B51912">
        <w:rPr>
          <w:rStyle w:val="FootnoteReference"/>
          <w:szCs w:val="22"/>
        </w:rPr>
        <w:footnoteReference w:id="10"/>
      </w:r>
      <w:bookmarkEnd w:id="1"/>
      <w:r w:rsidR="00B51912" w:rsidRPr="00182E1A">
        <w:rPr>
          <w:szCs w:val="22"/>
        </w:rPr>
        <w:t xml:space="preserve">  </w:t>
      </w:r>
      <w:r w:rsidR="0006506F">
        <w:t xml:space="preserve">The </w:t>
      </w:r>
      <w:r w:rsidR="008A1FE1">
        <w:t xml:space="preserve">April 13, 2017 release date of the </w:t>
      </w:r>
      <w:r w:rsidR="0006506F">
        <w:rPr>
          <w:i/>
        </w:rPr>
        <w:t xml:space="preserve">Closing and Channel Reassignment Public Notice </w:t>
      </w:r>
      <w:r w:rsidR="0006506F">
        <w:t xml:space="preserve">also </w:t>
      </w:r>
      <w:r w:rsidR="008A1FE1">
        <w:t xml:space="preserve">triggered the start of </w:t>
      </w:r>
      <w:r w:rsidR="0006506F">
        <w:t>the 39-month post-auction transition period</w:t>
      </w:r>
      <w:r w:rsidR="008A1FE1">
        <w:t xml:space="preserve">, which </w:t>
      </w:r>
      <w:r w:rsidR="0006506F">
        <w:t>will end on July 13, 2020.</w:t>
      </w:r>
      <w:r w:rsidR="0006506F">
        <w:rPr>
          <w:rStyle w:val="FootnoteReference"/>
        </w:rPr>
        <w:footnoteReference w:id="11"/>
      </w:r>
      <w:r w:rsidR="0006506F">
        <w:t xml:space="preserve">  </w:t>
      </w:r>
      <w:r w:rsidR="009631D5">
        <w:rPr>
          <w:szCs w:val="22"/>
        </w:rPr>
        <w:t>Figure 1 shows the 600</w:t>
      </w:r>
      <w:r w:rsidR="00A7315E">
        <w:rPr>
          <w:szCs w:val="22"/>
        </w:rPr>
        <w:t> </w:t>
      </w:r>
      <w:r w:rsidR="009631D5">
        <w:rPr>
          <w:szCs w:val="22"/>
        </w:rPr>
        <w:t>MHz Band Plan.</w:t>
      </w:r>
    </w:p>
    <w:p w14:paraId="1A07C4EC" w14:textId="77777777" w:rsidR="009631D5" w:rsidRPr="00402482" w:rsidRDefault="009631D5" w:rsidP="00556FFB">
      <w:pPr>
        <w:widowControl/>
        <w:suppressAutoHyphens/>
        <w:spacing w:after="120"/>
        <w:jc w:val="center"/>
        <w:rPr>
          <w:snapToGrid/>
          <w:kern w:val="0"/>
          <w:sz w:val="24"/>
          <w:szCs w:val="24"/>
        </w:rPr>
      </w:pPr>
      <w:r w:rsidRPr="009631D5">
        <w:t xml:space="preserve">Figure 1: </w:t>
      </w:r>
      <w:r w:rsidR="00D47672">
        <w:t xml:space="preserve"> </w:t>
      </w:r>
      <w:r w:rsidRPr="009631D5">
        <w:t>600 MHz Band Plan</w:t>
      </w:r>
      <w:r w:rsidRPr="009631D5">
        <w:rPr>
          <w:sz w:val="20"/>
          <w:vertAlign w:val="superscript"/>
        </w:rPr>
        <w:t xml:space="preserve"> </w:t>
      </w:r>
      <w:r w:rsidRPr="009631D5">
        <w:rPr>
          <w:sz w:val="20"/>
          <w:vertAlign w:val="superscript"/>
        </w:rPr>
        <w:footnoteReference w:id="12"/>
      </w:r>
    </w:p>
    <w:p w14:paraId="371A5253" w14:textId="77777777" w:rsidR="009631D5" w:rsidRPr="004556B8" w:rsidRDefault="004556B8" w:rsidP="00556FFB">
      <w:pPr>
        <w:pStyle w:val="ParaNum"/>
        <w:widowControl/>
        <w:numPr>
          <w:ilvl w:val="0"/>
          <w:numId w:val="0"/>
        </w:numPr>
        <w:suppressAutoHyphens/>
        <w:rPr>
          <w:szCs w:val="22"/>
        </w:rPr>
      </w:pPr>
      <w:r>
        <w:rPr>
          <w:noProof/>
          <w:szCs w:val="22"/>
        </w:rPr>
        <w:drawing>
          <wp:inline distT="0" distB="0" distL="0" distR="0" wp14:anchorId="70ACB182" wp14:editId="2C22BC11">
            <wp:extent cx="594360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07D503A9" w14:textId="3A92718D" w:rsidR="00253DD4" w:rsidRDefault="006B0D99" w:rsidP="00556FFB">
      <w:pPr>
        <w:pStyle w:val="ParaNum"/>
        <w:widowControl/>
        <w:tabs>
          <w:tab w:val="clear" w:pos="1080"/>
          <w:tab w:val="left" w:pos="1170"/>
        </w:tabs>
        <w:suppressAutoHyphens/>
      </w:pPr>
      <w:r>
        <w:t xml:space="preserve">Based on the </w:t>
      </w:r>
      <w:r w:rsidR="006C0BB8">
        <w:t>results of the i</w:t>
      </w:r>
      <w:r w:rsidR="002D48D4" w:rsidRPr="009D29A1">
        <w:t xml:space="preserve">ncentive </w:t>
      </w:r>
      <w:r w:rsidR="006C0BB8">
        <w:t>a</w:t>
      </w:r>
      <w:r w:rsidR="002D48D4" w:rsidRPr="009D29A1">
        <w:t>uction</w:t>
      </w:r>
      <w:r>
        <w:t>,</w:t>
      </w:r>
      <w:r w:rsidR="002D48D4">
        <w:t xml:space="preserve"> we </w:t>
      </w:r>
      <w:r w:rsidR="00DE11DF">
        <w:t xml:space="preserve">hereby </w:t>
      </w:r>
      <w:r w:rsidR="003C3301">
        <w:t>modify</w:t>
      </w:r>
      <w:r w:rsidR="00E1370A">
        <w:t xml:space="preserve"> </w:t>
      </w:r>
      <w:r w:rsidR="002D48D4">
        <w:t>the Allocations Table</w:t>
      </w:r>
      <w:r w:rsidR="007306EE">
        <w:t>.  Specifically, w</w:t>
      </w:r>
      <w:r w:rsidR="00E1370A">
        <w:t xml:space="preserve">e </w:t>
      </w:r>
      <w:r w:rsidR="00927D99">
        <w:t>delet</w:t>
      </w:r>
      <w:r w:rsidR="00BD3DE2">
        <w:t>e</w:t>
      </w:r>
      <w:r w:rsidR="0092182F">
        <w:t xml:space="preserve"> </w:t>
      </w:r>
      <w:r w:rsidR="002D48D4" w:rsidRPr="00E1370A">
        <w:t xml:space="preserve">the primary fixed and mobile service allocations and </w:t>
      </w:r>
      <w:r w:rsidR="00D668DF">
        <w:t xml:space="preserve">Part 27 </w:t>
      </w:r>
      <w:r w:rsidR="002D48D4" w:rsidRPr="00E1370A">
        <w:t>cross reference from the 512</w:t>
      </w:r>
      <w:r w:rsidR="003C506C">
        <w:noBreakHyphen/>
      </w:r>
      <w:r w:rsidR="002D48D4" w:rsidRPr="00E1370A">
        <w:t>608</w:t>
      </w:r>
      <w:r w:rsidR="003C506C">
        <w:t> </w:t>
      </w:r>
      <w:r w:rsidR="002D48D4" w:rsidRPr="00E1370A">
        <w:t>MHz band</w:t>
      </w:r>
      <w:r w:rsidR="002408E3">
        <w:t xml:space="preserve"> and</w:t>
      </w:r>
      <w:r w:rsidR="00253DD4">
        <w:t xml:space="preserve"> r</w:t>
      </w:r>
      <w:r w:rsidR="00E1370A">
        <w:t>eturn th</w:t>
      </w:r>
      <w:r w:rsidR="00253DD4">
        <w:t>e</w:t>
      </w:r>
      <w:r w:rsidR="00E1370A">
        <w:t xml:space="preserve"> band to </w:t>
      </w:r>
      <w:r w:rsidR="00610E49">
        <w:t xml:space="preserve">its </w:t>
      </w:r>
      <w:r w:rsidR="00E1370A">
        <w:t>pre</w:t>
      </w:r>
      <w:r w:rsidR="00253DD4">
        <w:t>-auction</w:t>
      </w:r>
      <w:r w:rsidR="00E1370A">
        <w:t xml:space="preserve"> </w:t>
      </w:r>
      <w:r w:rsidR="00562743">
        <w:t xml:space="preserve">allocation </w:t>
      </w:r>
      <w:r w:rsidR="00E1370A">
        <w:t xml:space="preserve">status. </w:t>
      </w:r>
      <w:r w:rsidR="00820293">
        <w:t xml:space="preserve"> </w:t>
      </w:r>
      <w:r w:rsidR="00BC6FE0">
        <w:t>W</w:t>
      </w:r>
      <w:r w:rsidR="00E1370A">
        <w:t xml:space="preserve">e </w:t>
      </w:r>
      <w:r w:rsidR="007306EE">
        <w:t xml:space="preserve">also </w:t>
      </w:r>
      <w:r w:rsidR="00E1370A">
        <w:t>revise the entries for the 614</w:t>
      </w:r>
      <w:r w:rsidR="00DE115F">
        <w:noBreakHyphen/>
      </w:r>
      <w:r w:rsidR="00E1370A">
        <w:t xml:space="preserve">698 MHz band </w:t>
      </w:r>
      <w:r w:rsidR="00D668DF">
        <w:t xml:space="preserve">by deleting </w:t>
      </w:r>
      <w:r w:rsidR="00D668DF" w:rsidRPr="00E1370A">
        <w:t xml:space="preserve">the primary broadcasting service allocation </w:t>
      </w:r>
      <w:r w:rsidR="00D668DF">
        <w:t xml:space="preserve">and removing </w:t>
      </w:r>
      <w:r w:rsidR="00422B14">
        <w:t xml:space="preserve">the </w:t>
      </w:r>
      <w:r w:rsidR="00D668DF" w:rsidRPr="00E1370A">
        <w:t xml:space="preserve">Part 73 </w:t>
      </w:r>
      <w:r w:rsidR="00D668DF">
        <w:t>c</w:t>
      </w:r>
      <w:r w:rsidR="00D668DF" w:rsidRPr="00E1370A">
        <w:t>ross</w:t>
      </w:r>
      <w:r w:rsidR="00D668DF">
        <w:t xml:space="preserve"> </w:t>
      </w:r>
      <w:r w:rsidR="00D668DF" w:rsidRPr="00E1370A">
        <w:t>reference</w:t>
      </w:r>
      <w:r w:rsidR="00D668DF">
        <w:t xml:space="preserve"> </w:t>
      </w:r>
      <w:r w:rsidR="00E1370A">
        <w:t xml:space="preserve">to </w:t>
      </w:r>
      <w:r w:rsidR="00253DD4">
        <w:t xml:space="preserve">account </w:t>
      </w:r>
      <w:r w:rsidR="00E1370A">
        <w:t xml:space="preserve">for </w:t>
      </w:r>
      <w:r w:rsidR="008330B2">
        <w:t xml:space="preserve">post-auction </w:t>
      </w:r>
      <w:r w:rsidR="0092182F">
        <w:t xml:space="preserve">fixed and </w:t>
      </w:r>
      <w:r w:rsidR="00E1370A">
        <w:t>mobile</w:t>
      </w:r>
      <w:r w:rsidR="0092182F">
        <w:t xml:space="preserve"> use</w:t>
      </w:r>
      <w:r w:rsidR="00253DD4">
        <w:t xml:space="preserve"> </w:t>
      </w:r>
      <w:r w:rsidR="00D668DF">
        <w:t>by 600 MHz service wireless licensees that will operate under Part 27 of the rules</w:t>
      </w:r>
      <w:r w:rsidR="00F51CA5">
        <w:t xml:space="preserve"> and </w:t>
      </w:r>
      <w:r w:rsidR="003901E4">
        <w:t xml:space="preserve">new </w:t>
      </w:r>
      <w:r w:rsidR="006B7C35">
        <w:t xml:space="preserve">footnote </w:t>
      </w:r>
      <w:r w:rsidR="003901E4">
        <w:t>NG33</w:t>
      </w:r>
      <w:r w:rsidR="007E2097">
        <w:t xml:space="preserve">.  This change reflects </w:t>
      </w:r>
      <w:r w:rsidR="003901E4">
        <w:t xml:space="preserve">use of </w:t>
      </w:r>
      <w:r w:rsidR="0002769C">
        <w:t xml:space="preserve">these frequencies </w:t>
      </w:r>
      <w:r w:rsidR="006B7C35">
        <w:t>for</w:t>
      </w:r>
      <w:r w:rsidR="001757C3">
        <w:t xml:space="preserve"> broadcasting </w:t>
      </w:r>
      <w:r w:rsidR="006B7C35">
        <w:t xml:space="preserve">during and after the </w:t>
      </w:r>
      <w:r w:rsidR="00A95890">
        <w:t>39-month post-auction transition period</w:t>
      </w:r>
      <w:r w:rsidR="006B7C35">
        <w:t xml:space="preserve"> as discussed below</w:t>
      </w:r>
      <w:r w:rsidR="00BC6FE0">
        <w:t>.</w:t>
      </w:r>
      <w:r w:rsidR="00A95890">
        <w:rPr>
          <w:rStyle w:val="FootnoteReference"/>
        </w:rPr>
        <w:footnoteReference w:id="13"/>
      </w:r>
      <w:r w:rsidR="00BC6FE0">
        <w:t xml:space="preserve">  </w:t>
      </w:r>
      <w:r w:rsidR="007306EE">
        <w:t>In addition, w</w:t>
      </w:r>
      <w:r w:rsidR="00BC6FE0">
        <w:t xml:space="preserve">e </w:t>
      </w:r>
      <w:r w:rsidR="00342181">
        <w:t>revis</w:t>
      </w:r>
      <w:r w:rsidR="00BC6FE0">
        <w:t>e</w:t>
      </w:r>
      <w:r w:rsidR="00342181">
        <w:t xml:space="preserve"> the text of </w:t>
      </w:r>
      <w:r w:rsidR="0092182F" w:rsidRPr="00EA149F">
        <w:t xml:space="preserve">three </w:t>
      </w:r>
      <w:r w:rsidR="0092182F">
        <w:t>non-</w:t>
      </w:r>
      <w:r w:rsidR="0092182F" w:rsidRPr="00BE4753">
        <w:rPr>
          <w:szCs w:val="22"/>
        </w:rPr>
        <w:t>Federal Government footnotes</w:t>
      </w:r>
      <w:r w:rsidR="00BE4753" w:rsidRPr="00BE4753">
        <w:rPr>
          <w:szCs w:val="22"/>
        </w:rPr>
        <w:t xml:space="preserve"> </w:t>
      </w:r>
      <w:r w:rsidR="00967349" w:rsidRPr="00BE4753">
        <w:rPr>
          <w:szCs w:val="22"/>
        </w:rPr>
        <w:t xml:space="preserve">(NG5, </w:t>
      </w:r>
      <w:r w:rsidR="00967349" w:rsidRPr="00BE4753">
        <w:rPr>
          <w:szCs w:val="22"/>
        </w:rPr>
        <w:lastRenderedPageBreak/>
        <w:t>NG14, and NG149)</w:t>
      </w:r>
      <w:r w:rsidR="00967349">
        <w:rPr>
          <w:szCs w:val="22"/>
        </w:rPr>
        <w:t xml:space="preserve"> </w:t>
      </w:r>
      <w:r w:rsidR="00BE4753" w:rsidRPr="00BE4753">
        <w:rPr>
          <w:szCs w:val="22"/>
        </w:rPr>
        <w:t xml:space="preserve">that provide for limited flexible use of </w:t>
      </w:r>
      <w:r w:rsidR="00AA006F">
        <w:rPr>
          <w:szCs w:val="22"/>
        </w:rPr>
        <w:t>the</w:t>
      </w:r>
      <w:r w:rsidR="005524EB">
        <w:rPr>
          <w:szCs w:val="22"/>
        </w:rPr>
        <w:t xml:space="preserve"> television broadcast bands</w:t>
      </w:r>
      <w:r w:rsidR="000E709A">
        <w:rPr>
          <w:szCs w:val="22"/>
        </w:rPr>
        <w:t>,</w:t>
      </w:r>
      <w:r w:rsidR="005524EB">
        <w:rPr>
          <w:szCs w:val="22"/>
        </w:rPr>
        <w:t xml:space="preserve"> including the 614</w:t>
      </w:r>
      <w:r w:rsidR="003C506C">
        <w:rPr>
          <w:szCs w:val="22"/>
        </w:rPr>
        <w:noBreakHyphen/>
      </w:r>
      <w:r w:rsidR="005524EB">
        <w:rPr>
          <w:szCs w:val="22"/>
        </w:rPr>
        <w:t>698</w:t>
      </w:r>
      <w:r w:rsidR="003C506C">
        <w:rPr>
          <w:szCs w:val="22"/>
        </w:rPr>
        <w:t> </w:t>
      </w:r>
      <w:r w:rsidR="005524EB">
        <w:rPr>
          <w:szCs w:val="22"/>
        </w:rPr>
        <w:t>MHz band</w:t>
      </w:r>
      <w:r w:rsidR="000E709A">
        <w:rPr>
          <w:szCs w:val="22"/>
        </w:rPr>
        <w:t>,</w:t>
      </w:r>
      <w:r w:rsidR="0092182F" w:rsidRPr="00BE4753">
        <w:rPr>
          <w:szCs w:val="22"/>
        </w:rPr>
        <w:t xml:space="preserve"> </w:t>
      </w:r>
      <w:r w:rsidR="0010525F">
        <w:rPr>
          <w:szCs w:val="22"/>
        </w:rPr>
        <w:t>by</w:t>
      </w:r>
      <w:r w:rsidR="00253DD4" w:rsidRPr="00BE4753">
        <w:rPr>
          <w:szCs w:val="22"/>
        </w:rPr>
        <w:t xml:space="preserve"> </w:t>
      </w:r>
      <w:r w:rsidR="0010525F">
        <w:rPr>
          <w:szCs w:val="22"/>
        </w:rPr>
        <w:t>providing a cross reference to new footnote NG33</w:t>
      </w:r>
      <w:r w:rsidR="00253DD4">
        <w:t>.</w:t>
      </w:r>
      <w:r w:rsidR="00E0407F">
        <w:rPr>
          <w:rStyle w:val="FootnoteReference"/>
        </w:rPr>
        <w:footnoteReference w:id="14"/>
      </w:r>
    </w:p>
    <w:p w14:paraId="11FA2524" w14:textId="77777777" w:rsidR="003C3301" w:rsidRDefault="00151B70" w:rsidP="00556FFB">
      <w:pPr>
        <w:pStyle w:val="ParaNum"/>
        <w:widowControl/>
        <w:tabs>
          <w:tab w:val="clear" w:pos="1080"/>
          <w:tab w:val="left" w:pos="1170"/>
        </w:tabs>
        <w:suppressAutoHyphens/>
      </w:pPr>
      <w:r w:rsidRPr="008617D9">
        <w:t xml:space="preserve">To </w:t>
      </w:r>
      <w:r w:rsidR="00CB4CCE" w:rsidRPr="008617D9">
        <w:t xml:space="preserve">fully </w:t>
      </w:r>
      <w:r w:rsidRPr="008617D9">
        <w:t xml:space="preserve">account for </w:t>
      </w:r>
      <w:r w:rsidR="00CB4CCE" w:rsidRPr="008617D9">
        <w:t xml:space="preserve">the various </w:t>
      </w:r>
      <w:r w:rsidR="002D5AA2">
        <w:t xml:space="preserve">licensed </w:t>
      </w:r>
      <w:r w:rsidR="00CB4CCE" w:rsidRPr="008617D9">
        <w:t>services</w:t>
      </w:r>
      <w:r w:rsidR="002D5AA2">
        <w:t xml:space="preserve"> and unlicensed devices</w:t>
      </w:r>
      <w:r w:rsidR="00CB4CCE" w:rsidRPr="008617D9">
        <w:t xml:space="preserve"> that will operate in</w:t>
      </w:r>
      <w:r w:rsidR="00592AA8" w:rsidRPr="008617D9">
        <w:t xml:space="preserve"> the 614-698 MHz band</w:t>
      </w:r>
      <w:r w:rsidR="00CB4CCE" w:rsidRPr="008617D9">
        <w:t xml:space="preserve"> during and after the transition</w:t>
      </w:r>
      <w:r w:rsidRPr="008617D9">
        <w:t>, we add new footnote NG33</w:t>
      </w:r>
      <w:r w:rsidR="002D5AA2">
        <w:t xml:space="preserve"> to the Allocations Table</w:t>
      </w:r>
      <w:r w:rsidR="000422BD" w:rsidRPr="008617D9">
        <w:t>.</w:t>
      </w:r>
      <w:r w:rsidR="00310668" w:rsidRPr="008617D9">
        <w:rPr>
          <w:rStyle w:val="FootnoteReference"/>
        </w:rPr>
        <w:footnoteReference w:id="15"/>
      </w:r>
      <w:r w:rsidR="00310668">
        <w:t xml:space="preserve">  </w:t>
      </w:r>
      <w:r w:rsidR="00A84DA4">
        <w:t>Pursuant to the Commission’s direction, t</w:t>
      </w:r>
      <w:r w:rsidR="00630D9D">
        <w:t>he</w:t>
      </w:r>
      <w:r w:rsidR="00310668">
        <w:t xml:space="preserve"> </w:t>
      </w:r>
      <w:r w:rsidR="000F2D56">
        <w:t xml:space="preserve">footnote </w:t>
      </w:r>
      <w:r w:rsidR="002D48D4" w:rsidRPr="006D27AC">
        <w:t xml:space="preserve">authorizes </w:t>
      </w:r>
      <w:r w:rsidR="00630D9D">
        <w:t xml:space="preserve">operations of: (1) </w:t>
      </w:r>
      <w:r w:rsidR="002D48D4" w:rsidRPr="00263CEF">
        <w:t xml:space="preserve">full power and Class A television stations on a primary basis </w:t>
      </w:r>
      <w:r w:rsidR="003646ED">
        <w:t xml:space="preserve">in the 614-698 MHz band </w:t>
      </w:r>
      <w:r w:rsidR="00482E39">
        <w:t xml:space="preserve">(i.e., TV channels 38-51) </w:t>
      </w:r>
      <w:r w:rsidR="002D48D4" w:rsidRPr="00263CEF">
        <w:t xml:space="preserve">until </w:t>
      </w:r>
      <w:r w:rsidR="007761EF" w:rsidRPr="00DA6598">
        <w:t xml:space="preserve">such </w:t>
      </w:r>
      <w:r w:rsidR="002D48D4" w:rsidRPr="00DA6598">
        <w:t>stations terminate operations on their pre</w:t>
      </w:r>
      <w:r w:rsidR="00E106C1">
        <w:noBreakHyphen/>
      </w:r>
      <w:r w:rsidR="002D48D4" w:rsidRPr="006D27AC">
        <w:t>auction channels</w:t>
      </w:r>
      <w:r w:rsidR="00630D9D">
        <w:t>,</w:t>
      </w:r>
      <w:r w:rsidR="002D48D4">
        <w:rPr>
          <w:rStyle w:val="FootnoteReference"/>
        </w:rPr>
        <w:footnoteReference w:id="16"/>
      </w:r>
      <w:r w:rsidR="00310668">
        <w:t xml:space="preserve">  </w:t>
      </w:r>
      <w:r w:rsidR="002D48D4" w:rsidRPr="006D27AC">
        <w:t>(</w:t>
      </w:r>
      <w:r w:rsidR="00630D9D">
        <w:t>2</w:t>
      </w:r>
      <w:r w:rsidR="002D48D4" w:rsidRPr="006D27AC">
        <w:t xml:space="preserve">) </w:t>
      </w:r>
      <w:r w:rsidR="009631D5">
        <w:t xml:space="preserve">licensed </w:t>
      </w:r>
      <w:r w:rsidR="0024671F" w:rsidRPr="006D27AC">
        <w:t>l</w:t>
      </w:r>
      <w:r w:rsidR="0024671F" w:rsidRPr="00263CEF">
        <w:t>ow power television (LPTV)</w:t>
      </w:r>
      <w:r w:rsidR="00CE2973">
        <w:t xml:space="preserve"> and </w:t>
      </w:r>
      <w:r w:rsidR="0024671F" w:rsidRPr="00263CEF">
        <w:t>TV translator</w:t>
      </w:r>
      <w:r w:rsidR="00CE2973">
        <w:t xml:space="preserve"> station operations </w:t>
      </w:r>
      <w:r w:rsidR="00585CE7">
        <w:t>on a secondary basis</w:t>
      </w:r>
      <w:r w:rsidR="007B3375">
        <w:rPr>
          <w:rStyle w:val="FootnoteReference"/>
        </w:rPr>
        <w:footnoteReference w:id="17"/>
      </w:r>
      <w:r w:rsidR="00585CE7">
        <w:t xml:space="preserve"> </w:t>
      </w:r>
      <w:r w:rsidR="00CE2973">
        <w:t>in the 614-698 MHz band</w:t>
      </w:r>
      <w:r w:rsidR="00FF6598" w:rsidRPr="00FF6598">
        <w:t xml:space="preserve"> </w:t>
      </w:r>
      <w:r w:rsidR="00FF6598">
        <w:t>under Part</w:t>
      </w:r>
      <w:r w:rsidR="003C506C">
        <w:t> </w:t>
      </w:r>
      <w:r w:rsidR="00FF6598">
        <w:t>74 Subpart G</w:t>
      </w:r>
      <w:r w:rsidR="00630D9D">
        <w:t>,</w:t>
      </w:r>
      <w:r w:rsidR="00CE2973">
        <w:rPr>
          <w:rStyle w:val="FootnoteReference"/>
        </w:rPr>
        <w:footnoteReference w:id="18"/>
      </w:r>
      <w:r w:rsidR="00CE2973">
        <w:t xml:space="preserve"> </w:t>
      </w:r>
      <w:r w:rsidR="00DC29F9">
        <w:t>(</w:t>
      </w:r>
      <w:r w:rsidR="00630D9D">
        <w:t>3</w:t>
      </w:r>
      <w:r w:rsidR="00DC29F9">
        <w:t xml:space="preserve">) </w:t>
      </w:r>
      <w:r w:rsidR="00491301">
        <w:t xml:space="preserve">licensed </w:t>
      </w:r>
      <w:r w:rsidR="00E50172">
        <w:t>f</w:t>
      </w:r>
      <w:r w:rsidR="00587F89">
        <w:t xml:space="preserve">ixed </w:t>
      </w:r>
      <w:r w:rsidR="00E50172">
        <w:t>b</w:t>
      </w:r>
      <w:r w:rsidR="00587F89">
        <w:t xml:space="preserve">roadcast </w:t>
      </w:r>
      <w:r w:rsidR="00E50172">
        <w:t>a</w:t>
      </w:r>
      <w:r w:rsidR="00587F89">
        <w:t xml:space="preserve">uxiliary </w:t>
      </w:r>
      <w:r w:rsidR="00E50172">
        <w:t>se</w:t>
      </w:r>
      <w:r w:rsidR="00587F89">
        <w:t>rvice</w:t>
      </w:r>
      <w:r w:rsidR="00E50172">
        <w:t xml:space="preserve"> (BAS) </w:t>
      </w:r>
      <w:r w:rsidR="002071B7">
        <w:t xml:space="preserve">operations (which include </w:t>
      </w:r>
      <w:r w:rsidR="0024671F" w:rsidRPr="006D27AC">
        <w:t xml:space="preserve">TV studio-transmitter link (STL), TV relay, and TV translator relay station </w:t>
      </w:r>
      <w:r w:rsidR="00310668">
        <w:t>o</w:t>
      </w:r>
      <w:r w:rsidR="0024671F" w:rsidRPr="006D27AC">
        <w:t>perat</w:t>
      </w:r>
      <w:r w:rsidR="00310668">
        <w:t>ion</w:t>
      </w:r>
      <w:r w:rsidR="00250722">
        <w:t>s</w:t>
      </w:r>
      <w:r w:rsidR="002071B7">
        <w:t>)</w:t>
      </w:r>
      <w:r w:rsidR="0024671F" w:rsidRPr="006D27AC">
        <w:t xml:space="preserve"> </w:t>
      </w:r>
      <w:r w:rsidR="0024671F" w:rsidRPr="00DA6598">
        <w:t>on a secondary basis</w:t>
      </w:r>
      <w:r w:rsidR="00620E97">
        <w:t xml:space="preserve"> </w:t>
      </w:r>
      <w:r w:rsidR="00FF6598">
        <w:t xml:space="preserve">in the </w:t>
      </w:r>
      <w:r w:rsidR="00491301">
        <w:t xml:space="preserve">614-698 MHz </w:t>
      </w:r>
      <w:r w:rsidR="00FF6598">
        <w:t xml:space="preserve">band </w:t>
      </w:r>
      <w:r w:rsidR="00585CE7">
        <w:t xml:space="preserve">under Part 74 </w:t>
      </w:r>
      <w:r w:rsidR="00FF6598">
        <w:t>Subpart F</w:t>
      </w:r>
      <w:r w:rsidR="00630D9D">
        <w:t>,</w:t>
      </w:r>
      <w:r w:rsidR="00250722">
        <w:rPr>
          <w:rStyle w:val="FootnoteReference"/>
        </w:rPr>
        <w:footnoteReference w:id="19"/>
      </w:r>
      <w:r w:rsidR="005F07D1">
        <w:t xml:space="preserve"> </w:t>
      </w:r>
      <w:r w:rsidR="002D48D4" w:rsidRPr="006D27AC">
        <w:t>(</w:t>
      </w:r>
      <w:r w:rsidR="00630D9D">
        <w:t>4</w:t>
      </w:r>
      <w:r w:rsidR="002D48D4" w:rsidRPr="00DA6598">
        <w:t xml:space="preserve">) </w:t>
      </w:r>
      <w:r w:rsidR="00FF6598">
        <w:t xml:space="preserve">licensed wireless microphone and other </w:t>
      </w:r>
      <w:r w:rsidR="000F2D56" w:rsidRPr="006D27AC">
        <w:t>l</w:t>
      </w:r>
      <w:r w:rsidR="000F2D56" w:rsidRPr="00263CEF">
        <w:t>ow power auxiliary station (LPAS)</w:t>
      </w:r>
      <w:r w:rsidR="003646ED">
        <w:t xml:space="preserve"> </w:t>
      </w:r>
      <w:r w:rsidR="00746235">
        <w:t>operations</w:t>
      </w:r>
      <w:r w:rsidR="00FF6598">
        <w:t xml:space="preserve"> </w:t>
      </w:r>
      <w:r w:rsidR="003646ED">
        <w:t xml:space="preserve">and </w:t>
      </w:r>
      <w:r w:rsidR="000F2D56" w:rsidRPr="00263CEF">
        <w:t xml:space="preserve">wireless assist </w:t>
      </w:r>
      <w:r w:rsidR="00C349A2">
        <w:t xml:space="preserve">video </w:t>
      </w:r>
      <w:r w:rsidR="000F2D56" w:rsidRPr="00263CEF">
        <w:t>device (WA</w:t>
      </w:r>
      <w:r w:rsidR="00C349A2">
        <w:t>V</w:t>
      </w:r>
      <w:r w:rsidR="000F2D56" w:rsidRPr="00263CEF">
        <w:t>D)</w:t>
      </w:r>
      <w:r w:rsidR="003646ED">
        <w:t xml:space="preserve"> operations </w:t>
      </w:r>
      <w:r w:rsidR="00620E97">
        <w:t xml:space="preserve">on a secondary basis </w:t>
      </w:r>
      <w:r w:rsidR="003646ED">
        <w:t>under Part 74</w:t>
      </w:r>
      <w:r w:rsidR="00FF6598">
        <w:t xml:space="preserve"> Subpart H</w:t>
      </w:r>
      <w:r w:rsidR="003646ED">
        <w:t>,</w:t>
      </w:r>
      <w:r w:rsidR="00620E97">
        <w:t xml:space="preserve"> </w:t>
      </w:r>
      <w:r w:rsidR="00630D9D">
        <w:t xml:space="preserve">(5) </w:t>
      </w:r>
      <w:r w:rsidR="000F2D56" w:rsidRPr="00263CEF">
        <w:t xml:space="preserve">unlicensed wireless microphone </w:t>
      </w:r>
      <w:r w:rsidR="00250722">
        <w:t>operations</w:t>
      </w:r>
      <w:r w:rsidR="000F2D56" w:rsidRPr="00263CEF">
        <w:t xml:space="preserve"> </w:t>
      </w:r>
      <w:r w:rsidR="003646ED">
        <w:t>under Part 15</w:t>
      </w:r>
      <w:r w:rsidR="00CE01A9">
        <w:t xml:space="preserve"> on a non-interference basis</w:t>
      </w:r>
      <w:r w:rsidR="003646ED">
        <w:t>,</w:t>
      </w:r>
      <w:r w:rsidR="00DA693D">
        <w:rPr>
          <w:rStyle w:val="FootnoteReference"/>
        </w:rPr>
        <w:footnoteReference w:id="20"/>
      </w:r>
      <w:r w:rsidR="003646ED">
        <w:t xml:space="preserve"> </w:t>
      </w:r>
      <w:r w:rsidR="000F2D56" w:rsidRPr="00263CEF">
        <w:t xml:space="preserve">on frequencies in </w:t>
      </w:r>
      <w:r w:rsidR="000F2D56" w:rsidRPr="00DA6598">
        <w:t xml:space="preserve">the </w:t>
      </w:r>
      <w:r w:rsidR="009B4428">
        <w:t>614</w:t>
      </w:r>
      <w:r w:rsidR="00491301">
        <w:t xml:space="preserve">-698 MHz </w:t>
      </w:r>
      <w:r w:rsidR="000F2D56" w:rsidRPr="00DA6598">
        <w:t>band</w:t>
      </w:r>
      <w:r w:rsidR="00630D9D">
        <w:t>,</w:t>
      </w:r>
      <w:r w:rsidR="003C3301">
        <w:rPr>
          <w:rStyle w:val="FootnoteReference"/>
        </w:rPr>
        <w:footnoteReference w:id="21"/>
      </w:r>
      <w:r w:rsidR="00E57E7D">
        <w:t xml:space="preserve"> </w:t>
      </w:r>
      <w:r w:rsidR="00630D9D">
        <w:t xml:space="preserve">and </w:t>
      </w:r>
      <w:r w:rsidR="00585CE7">
        <w:t>(</w:t>
      </w:r>
      <w:r w:rsidR="00630D9D">
        <w:t>6</w:t>
      </w:r>
      <w:r w:rsidR="00585CE7">
        <w:t xml:space="preserve">) </w:t>
      </w:r>
      <w:r w:rsidR="00491301">
        <w:t xml:space="preserve">unlicensed </w:t>
      </w:r>
      <w:r w:rsidR="00585CE7">
        <w:t xml:space="preserve">white space device </w:t>
      </w:r>
      <w:r w:rsidR="00556E47">
        <w:t>o</w:t>
      </w:r>
      <w:r w:rsidR="00585CE7">
        <w:t>perations under Part 15 on</w:t>
      </w:r>
      <w:r w:rsidR="007306EE">
        <w:t xml:space="preserve"> a non-interference basis on</w:t>
      </w:r>
      <w:r w:rsidR="00585CE7">
        <w:t xml:space="preserve"> frequencies in the 614-698 MHz band.</w:t>
      </w:r>
      <w:r w:rsidR="00585CE7">
        <w:rPr>
          <w:rStyle w:val="FootnoteReference"/>
        </w:rPr>
        <w:footnoteReference w:id="22"/>
      </w:r>
    </w:p>
    <w:p w14:paraId="446F9924" w14:textId="7E349B1E" w:rsidR="002D48D4" w:rsidRPr="008C0B47" w:rsidRDefault="00C4382F" w:rsidP="00556FFB">
      <w:pPr>
        <w:pStyle w:val="ParaNum"/>
        <w:widowControl/>
        <w:tabs>
          <w:tab w:val="clear" w:pos="1080"/>
          <w:tab w:val="left" w:pos="1170"/>
        </w:tabs>
        <w:suppressAutoHyphens/>
      </w:pPr>
      <w:r>
        <w:t xml:space="preserve">Based on the </w:t>
      </w:r>
      <w:r w:rsidR="00556E47">
        <w:t xml:space="preserve">results </w:t>
      </w:r>
      <w:r w:rsidR="00BD4A51">
        <w:t>of the i</w:t>
      </w:r>
      <w:r w:rsidRPr="009D29A1">
        <w:t xml:space="preserve">ncentive </w:t>
      </w:r>
      <w:r w:rsidR="00BD4A51">
        <w:t>a</w:t>
      </w:r>
      <w:r w:rsidRPr="009D29A1">
        <w:t>uction</w:t>
      </w:r>
      <w:r>
        <w:t>, we also m</w:t>
      </w:r>
      <w:r w:rsidR="00E93D8B">
        <w:t>odify four rules</w:t>
      </w:r>
      <w:r w:rsidR="008C0B47">
        <w:t xml:space="preserve"> in Part 27</w:t>
      </w:r>
      <w:r w:rsidR="00E93D8B">
        <w:t>.</w:t>
      </w:r>
      <w:r w:rsidR="008C0B47">
        <w:t xml:space="preserve">  </w:t>
      </w:r>
      <w:r w:rsidR="004E7EBE">
        <w:t>W</w:t>
      </w:r>
      <w:r w:rsidR="008C0B47">
        <w:t xml:space="preserve">e </w:t>
      </w:r>
      <w:r w:rsidR="004E7EBE">
        <w:t xml:space="preserve">revise Section 27.1(b)(14) to replace a generic reference to the </w:t>
      </w:r>
      <w:r w:rsidR="004E7EBE" w:rsidRPr="00621F72">
        <w:rPr>
          <w:color w:val="000000"/>
          <w:szCs w:val="22"/>
          <w:shd w:val="clear" w:color="auto" w:fill="FFFFFF"/>
        </w:rPr>
        <w:t xml:space="preserve">470-698 MHz UHF band with a specific reference to </w:t>
      </w:r>
      <w:r w:rsidR="004E7EBE">
        <w:t>“</w:t>
      </w:r>
      <w:r w:rsidR="004E7EBE" w:rsidRPr="00621F72">
        <w:rPr>
          <w:szCs w:val="22"/>
        </w:rPr>
        <w:t xml:space="preserve">617-652 MHz and 663-698 MHz,” </w:t>
      </w:r>
      <w:r w:rsidR="005263B4">
        <w:rPr>
          <w:szCs w:val="22"/>
        </w:rPr>
        <w:t>to follow</w:t>
      </w:r>
      <w:r w:rsidR="004E7EBE" w:rsidRPr="00621F72">
        <w:rPr>
          <w:szCs w:val="22"/>
        </w:rPr>
        <w:t xml:space="preserve"> the </w:t>
      </w:r>
      <w:r w:rsidR="00620E97">
        <w:rPr>
          <w:szCs w:val="22"/>
        </w:rPr>
        <w:t xml:space="preserve">600 MHz </w:t>
      </w:r>
      <w:r w:rsidR="00203F23">
        <w:rPr>
          <w:szCs w:val="22"/>
        </w:rPr>
        <w:t>B</w:t>
      </w:r>
      <w:r w:rsidR="00620E97">
        <w:rPr>
          <w:szCs w:val="22"/>
        </w:rPr>
        <w:t xml:space="preserve">and Plan </w:t>
      </w:r>
      <w:r w:rsidR="005263B4">
        <w:rPr>
          <w:szCs w:val="22"/>
        </w:rPr>
        <w:t>and be consistent with the way the rule is structured</w:t>
      </w:r>
      <w:r w:rsidR="004E7EBE" w:rsidRPr="00621F72">
        <w:rPr>
          <w:szCs w:val="22"/>
        </w:rPr>
        <w:t xml:space="preserve">.  We also modify </w:t>
      </w:r>
      <w:r w:rsidR="00373427" w:rsidRPr="00621F72">
        <w:rPr>
          <w:szCs w:val="22"/>
        </w:rPr>
        <w:t xml:space="preserve">Section </w:t>
      </w:r>
      <w:r w:rsidR="00EC23B8">
        <w:t>27.5</w:t>
      </w:r>
      <w:r w:rsidR="004E7EBE">
        <w:t>, which</w:t>
      </w:r>
      <w:r w:rsidR="00EC23B8">
        <w:t xml:space="preserve"> lists available </w:t>
      </w:r>
      <w:r w:rsidR="004E7EBE">
        <w:t xml:space="preserve">frequencies, </w:t>
      </w:r>
      <w:r w:rsidR="00EC23B8" w:rsidRPr="00621F72">
        <w:rPr>
          <w:szCs w:val="22"/>
        </w:rPr>
        <w:t>channel blocks</w:t>
      </w:r>
      <w:r w:rsidR="004E7EBE" w:rsidRPr="00621F72">
        <w:rPr>
          <w:szCs w:val="22"/>
        </w:rPr>
        <w:t>,</w:t>
      </w:r>
      <w:r w:rsidR="00EC23B8" w:rsidRPr="00621F72">
        <w:rPr>
          <w:szCs w:val="22"/>
        </w:rPr>
        <w:t xml:space="preserve"> and geographic areas of licensing</w:t>
      </w:r>
      <w:r w:rsidR="004E7EBE" w:rsidRPr="00621F72">
        <w:rPr>
          <w:szCs w:val="22"/>
        </w:rPr>
        <w:t>, by revising</w:t>
      </w:r>
      <w:r w:rsidR="00EC23B8" w:rsidRPr="00621F72">
        <w:rPr>
          <w:szCs w:val="22"/>
        </w:rPr>
        <w:t xml:space="preserve"> paragraph (l)</w:t>
      </w:r>
      <w:r w:rsidR="00743DF7" w:rsidRPr="00621F72">
        <w:rPr>
          <w:szCs w:val="22"/>
        </w:rPr>
        <w:t xml:space="preserve"> </w:t>
      </w:r>
      <w:r w:rsidR="004E7EBE" w:rsidRPr="00621F72">
        <w:rPr>
          <w:szCs w:val="22"/>
        </w:rPr>
        <w:t>to state that the</w:t>
      </w:r>
      <w:r w:rsidR="009E146E" w:rsidRPr="00621F72">
        <w:rPr>
          <w:szCs w:val="22"/>
        </w:rPr>
        <w:t xml:space="preserve"> 600 MHz </w:t>
      </w:r>
      <w:r w:rsidR="00DB6D13">
        <w:rPr>
          <w:szCs w:val="22"/>
        </w:rPr>
        <w:t>B</w:t>
      </w:r>
      <w:r w:rsidR="009E146E" w:rsidRPr="00621F72">
        <w:rPr>
          <w:szCs w:val="22"/>
        </w:rPr>
        <w:t xml:space="preserve">and </w:t>
      </w:r>
      <w:r w:rsidR="0002112E">
        <w:rPr>
          <w:szCs w:val="22"/>
        </w:rPr>
        <w:t>(</w:t>
      </w:r>
      <w:r w:rsidR="00F51A1E">
        <w:rPr>
          <w:szCs w:val="22"/>
        </w:rPr>
        <w:t>for the 600 MHz service</w:t>
      </w:r>
      <w:r w:rsidR="00F51A1E">
        <w:rPr>
          <w:rStyle w:val="FootnoteReference"/>
          <w:szCs w:val="22"/>
        </w:rPr>
        <w:footnoteReference w:id="23"/>
      </w:r>
      <w:r w:rsidR="0002112E">
        <w:rPr>
          <w:szCs w:val="22"/>
        </w:rPr>
        <w:t>)</w:t>
      </w:r>
      <w:r w:rsidR="00F51A1E">
        <w:rPr>
          <w:szCs w:val="22"/>
        </w:rPr>
        <w:t xml:space="preserve"> </w:t>
      </w:r>
      <w:r w:rsidR="004E7EBE" w:rsidRPr="00621F72">
        <w:rPr>
          <w:szCs w:val="22"/>
        </w:rPr>
        <w:t>consists of</w:t>
      </w:r>
      <w:r w:rsidR="001D49F6">
        <w:rPr>
          <w:szCs w:val="22"/>
        </w:rPr>
        <w:t xml:space="preserve"> seven pairs of 5 megahertz</w:t>
      </w:r>
      <w:r w:rsidR="009E146E" w:rsidRPr="00621F72">
        <w:rPr>
          <w:szCs w:val="22"/>
        </w:rPr>
        <w:t xml:space="preserve"> channel blocks available for assignment on a Partial Economic Area basis</w:t>
      </w:r>
      <w:r w:rsidR="004E7EBE" w:rsidRPr="00621F72">
        <w:rPr>
          <w:szCs w:val="22"/>
        </w:rPr>
        <w:t>, and to identify the frequencies associated with blocks A through G.</w:t>
      </w:r>
      <w:r w:rsidR="009E146E" w:rsidRPr="00621F72">
        <w:rPr>
          <w:szCs w:val="22"/>
        </w:rPr>
        <w:t xml:space="preserve"> </w:t>
      </w:r>
      <w:r w:rsidR="00621F72">
        <w:rPr>
          <w:szCs w:val="22"/>
        </w:rPr>
        <w:t xml:space="preserve"> </w:t>
      </w:r>
      <w:r w:rsidR="00410267" w:rsidRPr="00621F72">
        <w:rPr>
          <w:szCs w:val="22"/>
        </w:rPr>
        <w:t xml:space="preserve">Section </w:t>
      </w:r>
      <w:r w:rsidR="00621F72" w:rsidRPr="00621F72">
        <w:rPr>
          <w:szCs w:val="22"/>
        </w:rPr>
        <w:t xml:space="preserve">27.6 </w:t>
      </w:r>
      <w:r w:rsidR="00410267" w:rsidRPr="00621F72">
        <w:rPr>
          <w:szCs w:val="22"/>
        </w:rPr>
        <w:t xml:space="preserve">specifies the </w:t>
      </w:r>
      <w:r w:rsidR="00832255">
        <w:rPr>
          <w:szCs w:val="22"/>
        </w:rPr>
        <w:t xml:space="preserve">Partial Economic Areas </w:t>
      </w:r>
      <w:r w:rsidR="00410267" w:rsidRPr="00621F72">
        <w:rPr>
          <w:szCs w:val="22"/>
        </w:rPr>
        <w:t xml:space="preserve">for each of the frequency </w:t>
      </w:r>
      <w:r w:rsidR="003B4129">
        <w:rPr>
          <w:szCs w:val="22"/>
        </w:rPr>
        <w:t>bands and channel blocks</w:t>
      </w:r>
      <w:r w:rsidR="003B4129" w:rsidRPr="00621F72">
        <w:rPr>
          <w:szCs w:val="22"/>
        </w:rPr>
        <w:t xml:space="preserve"> </w:t>
      </w:r>
      <w:r w:rsidR="00410267" w:rsidRPr="00621F72">
        <w:rPr>
          <w:szCs w:val="22"/>
        </w:rPr>
        <w:t xml:space="preserve">listed in Section 27.5.  </w:t>
      </w:r>
      <w:r w:rsidR="00C170D0" w:rsidRPr="00621F72">
        <w:rPr>
          <w:szCs w:val="22"/>
        </w:rPr>
        <w:t xml:space="preserve">We revise the text of </w:t>
      </w:r>
      <w:r w:rsidR="00621F72" w:rsidRPr="00621F72">
        <w:rPr>
          <w:szCs w:val="22"/>
        </w:rPr>
        <w:t xml:space="preserve">27.6(l) </w:t>
      </w:r>
      <w:r w:rsidR="00C170D0" w:rsidRPr="00621F72">
        <w:rPr>
          <w:szCs w:val="22"/>
        </w:rPr>
        <w:t xml:space="preserve">to </w:t>
      </w:r>
      <w:r w:rsidR="008F5A47">
        <w:rPr>
          <w:szCs w:val="22"/>
        </w:rPr>
        <w:t xml:space="preserve">reference additional details recently provided by </w:t>
      </w:r>
      <w:r w:rsidR="00445755" w:rsidRPr="00621F72">
        <w:rPr>
          <w:szCs w:val="22"/>
        </w:rPr>
        <w:t xml:space="preserve">the Wireless Telecommunications Bureau about </w:t>
      </w:r>
      <w:r w:rsidR="00621F72">
        <w:rPr>
          <w:szCs w:val="22"/>
        </w:rPr>
        <w:t>licensing in the 600 MHz band by Partial Economic Areas</w:t>
      </w:r>
      <w:r w:rsidR="00445755" w:rsidRPr="00621F72">
        <w:rPr>
          <w:szCs w:val="22"/>
        </w:rPr>
        <w:t>.</w:t>
      </w:r>
      <w:r w:rsidR="00445755">
        <w:rPr>
          <w:rStyle w:val="FootnoteReference"/>
          <w:szCs w:val="22"/>
        </w:rPr>
        <w:footnoteReference w:id="24"/>
      </w:r>
      <w:r w:rsidR="00445755" w:rsidRPr="00621F72">
        <w:rPr>
          <w:szCs w:val="22"/>
        </w:rPr>
        <w:t xml:space="preserve">  </w:t>
      </w:r>
      <w:r w:rsidR="00C170D0" w:rsidRPr="00621F72">
        <w:rPr>
          <w:szCs w:val="22"/>
        </w:rPr>
        <w:t xml:space="preserve">Lastly, we revise Section 27.11(k) to </w:t>
      </w:r>
      <w:r w:rsidR="0075399C">
        <w:rPr>
          <w:color w:val="000000"/>
          <w:shd w:val="clear" w:color="auto" w:fill="FFFFFF"/>
        </w:rPr>
        <w:t xml:space="preserve">specify </w:t>
      </w:r>
      <w:r w:rsidR="0055712F" w:rsidRPr="00621F72">
        <w:rPr>
          <w:color w:val="000000"/>
          <w:shd w:val="clear" w:color="auto" w:fill="FFFFFF"/>
        </w:rPr>
        <w:t xml:space="preserve">the 600 MHz </w:t>
      </w:r>
      <w:r w:rsidR="00DB6D13">
        <w:rPr>
          <w:color w:val="000000"/>
          <w:shd w:val="clear" w:color="auto" w:fill="FFFFFF"/>
        </w:rPr>
        <w:t>B</w:t>
      </w:r>
      <w:r w:rsidR="00A067A7">
        <w:rPr>
          <w:color w:val="000000"/>
          <w:shd w:val="clear" w:color="auto" w:fill="FFFFFF"/>
        </w:rPr>
        <w:t>and (</w:t>
      </w:r>
      <w:r w:rsidR="00CB65F1">
        <w:rPr>
          <w:color w:val="000000"/>
          <w:shd w:val="clear" w:color="auto" w:fill="FFFFFF"/>
        </w:rPr>
        <w:t xml:space="preserve">i.e., </w:t>
      </w:r>
      <w:r w:rsidR="00A067A7">
        <w:rPr>
          <w:color w:val="000000"/>
          <w:shd w:val="clear" w:color="auto" w:fill="FFFFFF"/>
        </w:rPr>
        <w:t xml:space="preserve">the 617-652 MHz </w:t>
      </w:r>
      <w:r w:rsidR="0055712F" w:rsidRPr="00621F72">
        <w:rPr>
          <w:color w:val="000000"/>
          <w:shd w:val="clear" w:color="auto" w:fill="FFFFFF"/>
        </w:rPr>
        <w:t>downlink</w:t>
      </w:r>
      <w:r w:rsidR="00C00C39">
        <w:rPr>
          <w:color w:val="000000"/>
          <w:shd w:val="clear" w:color="auto" w:fill="FFFFFF"/>
        </w:rPr>
        <w:t xml:space="preserve"> </w:t>
      </w:r>
      <w:r w:rsidR="00730466">
        <w:rPr>
          <w:color w:val="000000"/>
          <w:shd w:val="clear" w:color="auto" w:fill="FFFFFF"/>
        </w:rPr>
        <w:t xml:space="preserve">band </w:t>
      </w:r>
      <w:r w:rsidR="00C00C39">
        <w:rPr>
          <w:color w:val="000000"/>
          <w:shd w:val="clear" w:color="auto" w:fill="FFFFFF"/>
        </w:rPr>
        <w:t xml:space="preserve">and </w:t>
      </w:r>
      <w:r w:rsidR="00A067A7">
        <w:rPr>
          <w:color w:val="000000"/>
          <w:shd w:val="clear" w:color="auto" w:fill="FFFFFF"/>
        </w:rPr>
        <w:t xml:space="preserve">663-698 MHz </w:t>
      </w:r>
      <w:r w:rsidR="00C00C39">
        <w:rPr>
          <w:color w:val="000000"/>
          <w:shd w:val="clear" w:color="auto" w:fill="FFFFFF"/>
        </w:rPr>
        <w:t>uplink</w:t>
      </w:r>
      <w:r w:rsidR="0055712F" w:rsidRPr="00621F72">
        <w:rPr>
          <w:color w:val="000000"/>
          <w:shd w:val="clear" w:color="auto" w:fill="FFFFFF"/>
        </w:rPr>
        <w:t xml:space="preserve"> band</w:t>
      </w:r>
      <w:r w:rsidR="00A067A7">
        <w:rPr>
          <w:color w:val="000000"/>
          <w:shd w:val="clear" w:color="auto" w:fill="FFFFFF"/>
        </w:rPr>
        <w:t>)</w:t>
      </w:r>
      <w:r w:rsidR="00C170D0" w:rsidRPr="00621F72">
        <w:rPr>
          <w:color w:val="000000"/>
          <w:shd w:val="clear" w:color="auto" w:fill="FFFFFF"/>
        </w:rPr>
        <w:t xml:space="preserve"> and to add a cross-reference to </w:t>
      </w:r>
      <w:r w:rsidR="008F35ED" w:rsidRPr="00621F72">
        <w:rPr>
          <w:color w:val="000000"/>
          <w:szCs w:val="22"/>
          <w:shd w:val="clear" w:color="auto" w:fill="FFFFFF"/>
        </w:rPr>
        <w:t xml:space="preserve">the frequency blocks specified in </w:t>
      </w:r>
      <w:r w:rsidR="00DE11DF">
        <w:rPr>
          <w:color w:val="000000"/>
          <w:szCs w:val="22"/>
          <w:shd w:val="clear" w:color="auto" w:fill="FFFFFF"/>
        </w:rPr>
        <w:t>Section</w:t>
      </w:r>
      <w:r w:rsidR="00DE11DF" w:rsidRPr="00621F72">
        <w:rPr>
          <w:color w:val="000000"/>
          <w:szCs w:val="22"/>
          <w:shd w:val="clear" w:color="auto" w:fill="FFFFFF"/>
        </w:rPr>
        <w:t xml:space="preserve"> </w:t>
      </w:r>
      <w:r w:rsidR="008F35ED" w:rsidRPr="00621F72">
        <w:rPr>
          <w:color w:val="000000"/>
          <w:szCs w:val="22"/>
          <w:shd w:val="clear" w:color="auto" w:fill="FFFFFF"/>
        </w:rPr>
        <w:t>27.5(l).</w:t>
      </w:r>
    </w:p>
    <w:p w14:paraId="0852C35D" w14:textId="432FBF6A" w:rsidR="00773A05" w:rsidRDefault="008A1FE1" w:rsidP="00556FFB">
      <w:pPr>
        <w:pStyle w:val="ParaNum"/>
        <w:widowControl/>
        <w:tabs>
          <w:tab w:val="clear" w:pos="1080"/>
          <w:tab w:val="left" w:pos="1170"/>
        </w:tabs>
        <w:suppressAutoHyphens/>
        <w:rPr>
          <w:szCs w:val="22"/>
        </w:rPr>
      </w:pPr>
      <w:bookmarkStart w:id="2" w:name="_Ref257637414"/>
      <w:r>
        <w:rPr>
          <w:szCs w:val="22"/>
        </w:rPr>
        <w:t>W</w:t>
      </w:r>
      <w:r w:rsidR="003B4129">
        <w:rPr>
          <w:szCs w:val="22"/>
        </w:rPr>
        <w:t xml:space="preserve">e conclude that there is good cause for not employing the </w:t>
      </w:r>
      <w:r>
        <w:rPr>
          <w:szCs w:val="22"/>
        </w:rPr>
        <w:t xml:space="preserve">prior </w:t>
      </w:r>
      <w:r w:rsidR="003B4129">
        <w:rPr>
          <w:szCs w:val="22"/>
        </w:rPr>
        <w:t xml:space="preserve">notice and </w:t>
      </w:r>
      <w:r>
        <w:rPr>
          <w:szCs w:val="22"/>
        </w:rPr>
        <w:t xml:space="preserve">comment </w:t>
      </w:r>
      <w:r w:rsidR="00CE0416" w:rsidRPr="00DE4CCF">
        <w:t xml:space="preserve">procedure specified in the Administrative Procedure Act (APA) </w:t>
      </w:r>
      <w:r w:rsidR="003B4129">
        <w:rPr>
          <w:szCs w:val="22"/>
        </w:rPr>
        <w:t>in this case.</w:t>
      </w:r>
      <w:r w:rsidR="002E047F">
        <w:rPr>
          <w:rStyle w:val="FootnoteReference"/>
          <w:szCs w:val="22"/>
        </w:rPr>
        <w:footnoteReference w:id="25"/>
      </w:r>
      <w:r w:rsidR="003B4129">
        <w:rPr>
          <w:szCs w:val="22"/>
        </w:rPr>
        <w:t xml:space="preserve">  </w:t>
      </w:r>
      <w:r>
        <w:rPr>
          <w:szCs w:val="22"/>
        </w:rPr>
        <w:t xml:space="preserve">The </w:t>
      </w:r>
      <w:r w:rsidR="002E047F">
        <w:rPr>
          <w:szCs w:val="22"/>
        </w:rPr>
        <w:t xml:space="preserve">rule </w:t>
      </w:r>
      <w:r>
        <w:rPr>
          <w:szCs w:val="22"/>
        </w:rPr>
        <w:t xml:space="preserve">modifications </w:t>
      </w:r>
      <w:r w:rsidR="002E047F">
        <w:rPr>
          <w:szCs w:val="22"/>
        </w:rPr>
        <w:t xml:space="preserve">here </w:t>
      </w:r>
      <w:r>
        <w:rPr>
          <w:szCs w:val="22"/>
        </w:rPr>
        <w:t xml:space="preserve">implement </w:t>
      </w:r>
      <w:r w:rsidR="002E075A">
        <w:rPr>
          <w:szCs w:val="22"/>
        </w:rPr>
        <w:t xml:space="preserve">the Commission’s </w:t>
      </w:r>
      <w:r w:rsidR="002E075A">
        <w:t xml:space="preserve">prior rulemaking </w:t>
      </w:r>
      <w:r>
        <w:rPr>
          <w:szCs w:val="22"/>
        </w:rPr>
        <w:t xml:space="preserve">decisions </w:t>
      </w:r>
      <w:r w:rsidR="002E075A">
        <w:t>issued following notice-and-comment procedures</w:t>
      </w:r>
      <w:r w:rsidR="002E075A">
        <w:rPr>
          <w:szCs w:val="22"/>
        </w:rPr>
        <w:t xml:space="preserve"> </w:t>
      </w:r>
      <w:r>
        <w:rPr>
          <w:szCs w:val="22"/>
        </w:rPr>
        <w:t>in the incentive auction proceeding</w:t>
      </w:r>
      <w:r w:rsidR="002E047F">
        <w:rPr>
          <w:szCs w:val="22"/>
        </w:rPr>
        <w:t xml:space="preserve"> with respect to the 600 MHz Band and the end date of the post-auction transition period.  The</w:t>
      </w:r>
      <w:r w:rsidR="00900258">
        <w:rPr>
          <w:szCs w:val="22"/>
        </w:rPr>
        <w:t>se</w:t>
      </w:r>
      <w:r w:rsidR="002E047F">
        <w:rPr>
          <w:szCs w:val="22"/>
        </w:rPr>
        <w:t xml:space="preserve"> specific frequenc</w:t>
      </w:r>
      <w:r w:rsidR="00832255">
        <w:rPr>
          <w:szCs w:val="22"/>
        </w:rPr>
        <w:t>y</w:t>
      </w:r>
      <w:r w:rsidR="002E047F">
        <w:rPr>
          <w:szCs w:val="22"/>
        </w:rPr>
        <w:t xml:space="preserve"> </w:t>
      </w:r>
      <w:r w:rsidR="00832255">
        <w:rPr>
          <w:szCs w:val="22"/>
        </w:rPr>
        <w:t xml:space="preserve">bands </w:t>
      </w:r>
      <w:r w:rsidR="002E047F">
        <w:rPr>
          <w:szCs w:val="22"/>
        </w:rPr>
        <w:t>and dates</w:t>
      </w:r>
      <w:r>
        <w:rPr>
          <w:szCs w:val="22"/>
        </w:rPr>
        <w:t xml:space="preserve"> </w:t>
      </w:r>
      <w:r w:rsidR="002E075A">
        <w:rPr>
          <w:szCs w:val="22"/>
        </w:rPr>
        <w:t xml:space="preserve">were not known until </w:t>
      </w:r>
      <w:r>
        <w:rPr>
          <w:szCs w:val="22"/>
        </w:rPr>
        <w:t>the close of the incentive auction</w:t>
      </w:r>
      <w:r w:rsidR="002E075A">
        <w:rPr>
          <w:szCs w:val="22"/>
        </w:rPr>
        <w:t xml:space="preserve"> on </w:t>
      </w:r>
      <w:r w:rsidR="002E075A">
        <w:t xml:space="preserve">April 13, 2017 with the release of the </w:t>
      </w:r>
      <w:r w:rsidR="002E075A">
        <w:rPr>
          <w:i/>
        </w:rPr>
        <w:t>Closing and Channel Reassignment Public Notice</w:t>
      </w:r>
      <w:r>
        <w:rPr>
          <w:szCs w:val="22"/>
        </w:rPr>
        <w:t>.</w:t>
      </w:r>
      <w:r>
        <w:rPr>
          <w:rStyle w:val="FootnoteReference"/>
          <w:szCs w:val="22"/>
        </w:rPr>
        <w:footnoteReference w:id="26"/>
      </w:r>
      <w:r>
        <w:rPr>
          <w:szCs w:val="22"/>
        </w:rPr>
        <w:t xml:space="preserve">  In implementing these rule revisions, we have no discretion to deviate from the auction results</w:t>
      </w:r>
      <w:r w:rsidR="002E075A">
        <w:rPr>
          <w:szCs w:val="22"/>
        </w:rPr>
        <w:t xml:space="preserve"> and the Commission’s prior </w:t>
      </w:r>
      <w:r w:rsidR="00C26D7C">
        <w:rPr>
          <w:szCs w:val="22"/>
        </w:rPr>
        <w:t xml:space="preserve">rulemaking </w:t>
      </w:r>
      <w:r w:rsidR="002E075A">
        <w:rPr>
          <w:szCs w:val="22"/>
        </w:rPr>
        <w:t>decisions</w:t>
      </w:r>
      <w:r>
        <w:rPr>
          <w:szCs w:val="22"/>
        </w:rPr>
        <w:t xml:space="preserve">.  Under these circumstances, </w:t>
      </w:r>
      <w:r w:rsidR="003B4129">
        <w:rPr>
          <w:szCs w:val="22"/>
        </w:rPr>
        <w:t xml:space="preserve">we find that notice and comment under Section 553 of the </w:t>
      </w:r>
      <w:r w:rsidR="00DE11DF">
        <w:rPr>
          <w:szCs w:val="22"/>
        </w:rPr>
        <w:t>APA</w:t>
      </w:r>
      <w:r w:rsidR="003B4129">
        <w:rPr>
          <w:szCs w:val="22"/>
        </w:rPr>
        <w:t>, 5 U.S.C. § 553, would be unnecessary.</w:t>
      </w:r>
      <w:r w:rsidR="00773A05">
        <w:rPr>
          <w:rStyle w:val="FootnoteReference"/>
          <w:szCs w:val="22"/>
        </w:rPr>
        <w:footnoteReference w:id="27"/>
      </w:r>
      <w:r w:rsidR="00CE0416" w:rsidRPr="00DE4CCF">
        <w:t xml:space="preserve"> </w:t>
      </w:r>
    </w:p>
    <w:bookmarkEnd w:id="2"/>
    <w:p w14:paraId="6A1D6C9F" w14:textId="105DF8CA" w:rsidR="00405598" w:rsidRDefault="00C97150" w:rsidP="00556FFB">
      <w:pPr>
        <w:pStyle w:val="ParaNum"/>
        <w:widowControl/>
        <w:tabs>
          <w:tab w:val="clear" w:pos="1080"/>
          <w:tab w:val="left" w:pos="1170"/>
        </w:tabs>
        <w:suppressAutoHyphens/>
      </w:pPr>
      <w:r>
        <w:t xml:space="preserve">We take </w:t>
      </w:r>
      <w:r w:rsidR="00636129">
        <w:t>this</w:t>
      </w:r>
      <w:r>
        <w:t xml:space="preserve"> action to modify the Allocations Table and </w:t>
      </w:r>
      <w:r w:rsidR="00773A05">
        <w:t xml:space="preserve">to make conforming amendments to the </w:t>
      </w:r>
      <w:r>
        <w:t>rules under</w:t>
      </w:r>
      <w:r w:rsidR="00405598">
        <w:t xml:space="preserve"> authority</w:t>
      </w:r>
      <w:r w:rsidR="00EE191C">
        <w:t xml:space="preserve"> expressly</w:t>
      </w:r>
      <w:r w:rsidR="00405598">
        <w:t xml:space="preserve"> </w:t>
      </w:r>
      <w:r>
        <w:t xml:space="preserve">delegated by the Commission in the </w:t>
      </w:r>
      <w:r>
        <w:rPr>
          <w:i/>
        </w:rPr>
        <w:t>Incentive Auction R&amp;O</w:t>
      </w:r>
      <w:r w:rsidR="00405598">
        <w:rPr>
          <w:rStyle w:val="FootnoteReference"/>
        </w:rPr>
        <w:footnoteReference w:id="28"/>
      </w:r>
      <w:r w:rsidR="00405598">
        <w:t xml:space="preserve"> </w:t>
      </w:r>
      <w:r w:rsidR="00773A05">
        <w:t xml:space="preserve">and </w:t>
      </w:r>
      <w:r w:rsidR="000E36E6">
        <w:t xml:space="preserve">the authority </w:t>
      </w:r>
      <w:r w:rsidR="00773A05">
        <w:t>delegated</w:t>
      </w:r>
      <w:r w:rsidR="000E36E6">
        <w:t xml:space="preserve"> in Part 0 of the Commission’s rules</w:t>
      </w:r>
      <w:r w:rsidR="00EE191C">
        <w:t>.</w:t>
      </w:r>
      <w:r w:rsidR="000E36E6">
        <w:rPr>
          <w:rStyle w:val="FootnoteReference"/>
        </w:rPr>
        <w:footnoteReference w:id="29"/>
      </w:r>
      <w:r w:rsidR="00EE191C">
        <w:t xml:space="preserve">  The </w:t>
      </w:r>
      <w:r w:rsidR="000E36E6">
        <w:t xml:space="preserve">specific </w:t>
      </w:r>
      <w:r w:rsidR="00EE191C">
        <w:t xml:space="preserve">edits to the Allocations Table and service rules </w:t>
      </w:r>
      <w:r w:rsidR="000E36E6">
        <w:t xml:space="preserve">described herein </w:t>
      </w:r>
      <w:r w:rsidR="00EE191C">
        <w:t xml:space="preserve">are </w:t>
      </w:r>
      <w:r w:rsidR="000E36E6">
        <w:t>contained</w:t>
      </w:r>
      <w:r w:rsidR="00EE191C">
        <w:t xml:space="preserve"> in the attached </w:t>
      </w:r>
      <w:r w:rsidR="000E36E6">
        <w:t>A</w:t>
      </w:r>
      <w:r w:rsidR="00EE191C">
        <w:t>ppendix.</w:t>
      </w:r>
    </w:p>
    <w:p w14:paraId="05DD058E" w14:textId="77777777" w:rsidR="009151F7" w:rsidRDefault="009151F7" w:rsidP="00556FFB">
      <w:pPr>
        <w:pStyle w:val="ParaNum"/>
        <w:widowControl/>
        <w:suppressAutoHyphens/>
      </w:pPr>
      <w:r>
        <w:t>Because this Order is being adopted without notice and comment, the Regulatory Flexibility Act</w:t>
      </w:r>
      <w:r>
        <w:rPr>
          <w:rStyle w:val="FootnoteReference"/>
        </w:rPr>
        <w:footnoteReference w:id="30"/>
      </w:r>
      <w:r>
        <w:t xml:space="preserve"> does not apply. </w:t>
      </w:r>
    </w:p>
    <w:p w14:paraId="0B2ABA62" w14:textId="77777777" w:rsidR="00EB4421" w:rsidRDefault="009151F7" w:rsidP="00556FFB">
      <w:pPr>
        <w:pStyle w:val="ParaNum"/>
        <w:widowControl/>
        <w:suppressAutoHyphens/>
        <w:rPr>
          <w:rStyle w:val="documentbody"/>
        </w:rPr>
      </w:pPr>
      <w:r>
        <w:rPr>
          <w:rStyle w:val="documentbody"/>
        </w:rPr>
        <w:t>The rules contained herein have been analyzed with respect to the Paperwork Reduction Act of 1995 and found to contain no new or modified form, information collection, and/or recordkeeping, labeling, disclosure, or record retention requirements, and will not increase or decrease burden hours imposed on the public.</w:t>
      </w:r>
      <w:r>
        <w:rPr>
          <w:rStyle w:val="FootnoteReference"/>
        </w:rPr>
        <w:footnoteReference w:id="31"/>
      </w:r>
      <w:r>
        <w:rPr>
          <w:rStyle w:val="documentbody"/>
        </w:rPr>
        <w:t xml:space="preserve">  In addition, therefore, this Order does not contain any new or modified “information collection burden for small business concerns with fewer than 25 employees,” pursuant to the Small Business Paperwork Relief Act of 2002.</w:t>
      </w:r>
      <w:r>
        <w:rPr>
          <w:rStyle w:val="FootnoteReference"/>
        </w:rPr>
        <w:footnoteReference w:id="32"/>
      </w:r>
    </w:p>
    <w:p w14:paraId="013CF202" w14:textId="77777777" w:rsidR="009151F7" w:rsidRDefault="009151F7" w:rsidP="00556FFB">
      <w:pPr>
        <w:pStyle w:val="ParaNum"/>
        <w:widowControl/>
        <w:suppressAutoHyphens/>
        <w:rPr>
          <w:rStyle w:val="documentbody"/>
        </w:rPr>
      </w:pPr>
      <w:r>
        <w:rPr>
          <w:rStyle w:val="documentbody"/>
        </w:rPr>
        <w:t>The Commission will send a copy of the Order in a report to Congress and the Government Accountability Office pursuant to the Congressional Review Act.</w:t>
      </w:r>
      <w:r>
        <w:rPr>
          <w:rStyle w:val="FootnoteReference"/>
        </w:rPr>
        <w:footnoteReference w:id="33"/>
      </w:r>
    </w:p>
    <w:p w14:paraId="1A1CF73E" w14:textId="77777777" w:rsidR="00D432EE" w:rsidRPr="00402482" w:rsidRDefault="000E36E6" w:rsidP="00556FFB">
      <w:pPr>
        <w:pStyle w:val="ParaNum"/>
        <w:widowControl/>
        <w:tabs>
          <w:tab w:val="clear" w:pos="1080"/>
          <w:tab w:val="num" w:pos="1170"/>
        </w:tabs>
        <w:suppressAutoHyphens/>
        <w:rPr>
          <w:spacing w:val="-3"/>
          <w:szCs w:val="22"/>
        </w:rPr>
      </w:pPr>
      <w:r>
        <w:t xml:space="preserve">Accordingly, </w:t>
      </w:r>
      <w:r w:rsidR="00E6355C">
        <w:t xml:space="preserve">IT IS ORDERED that Parts </w:t>
      </w:r>
      <w:r w:rsidR="00D432EE">
        <w:t>2</w:t>
      </w:r>
      <w:r w:rsidR="00E6355C">
        <w:t xml:space="preserve"> and 27</w:t>
      </w:r>
      <w:r w:rsidR="00D432EE">
        <w:t xml:space="preserve"> of the Commission</w:t>
      </w:r>
      <w:r w:rsidR="00721864">
        <w:t>’</w:t>
      </w:r>
      <w:r w:rsidR="00D432EE">
        <w:t>s Rules, 47 </w:t>
      </w:r>
      <w:r w:rsidR="001862AC">
        <w:t>CFR</w:t>
      </w:r>
      <w:r w:rsidR="00D432EE">
        <w:t xml:space="preserve"> Parts 2</w:t>
      </w:r>
      <w:r w:rsidR="00E6355C">
        <w:t xml:space="preserve"> and 27</w:t>
      </w:r>
      <w:r w:rsidR="00D432EE">
        <w:t>, ARE AMENDE</w:t>
      </w:r>
      <w:r w:rsidR="00E6355C">
        <w:t>D as set forth in the Appendix</w:t>
      </w:r>
      <w:r w:rsidR="00D432EE">
        <w:t xml:space="preserve">, effective </w:t>
      </w:r>
      <w:r w:rsidR="00704FBA">
        <w:t xml:space="preserve">30 days after </w:t>
      </w:r>
      <w:r w:rsidR="006D253D">
        <w:t xml:space="preserve">the date of </w:t>
      </w:r>
      <w:r w:rsidR="00D432EE">
        <w:t>publication in the Federal Register.  This action is taken pursuant to authority found in Sections 4(i) and 303 of the Communications Act of 1934, as amended, 47 U.S.C. §§ 154(i</w:t>
      </w:r>
      <w:r w:rsidR="00D432EE" w:rsidRPr="00EB4421">
        <w:rPr>
          <w:szCs w:val="22"/>
        </w:rPr>
        <w:t>) and 303</w:t>
      </w:r>
      <w:r w:rsidR="009F0851" w:rsidRPr="00EB4421">
        <w:rPr>
          <w:szCs w:val="22"/>
        </w:rPr>
        <w:t>;</w:t>
      </w:r>
      <w:r w:rsidR="00D432EE" w:rsidRPr="00EB4421">
        <w:rPr>
          <w:szCs w:val="22"/>
        </w:rPr>
        <w:t xml:space="preserve"> </w:t>
      </w:r>
      <w:r w:rsidR="00EB4421">
        <w:rPr>
          <w:szCs w:val="22"/>
        </w:rPr>
        <w:t xml:space="preserve">in </w:t>
      </w:r>
      <w:r w:rsidR="00EB4421" w:rsidRPr="00EB4421">
        <w:rPr>
          <w:color w:val="000000" w:themeColor="text1"/>
          <w:szCs w:val="22"/>
        </w:rPr>
        <w:t>Section </w:t>
      </w:r>
      <w:r w:rsidR="00EB4421" w:rsidRPr="00EB4421">
        <w:rPr>
          <w:rStyle w:val="cosearchterm"/>
          <w:bCs/>
          <w:color w:val="000000" w:themeColor="text1"/>
          <w:szCs w:val="22"/>
        </w:rPr>
        <w:t>553</w:t>
      </w:r>
      <w:r w:rsidR="00EB4421" w:rsidRPr="00EB4421">
        <w:rPr>
          <w:color w:val="000000" w:themeColor="text1"/>
          <w:szCs w:val="22"/>
        </w:rPr>
        <w:t>(</w:t>
      </w:r>
      <w:r w:rsidR="00EB4421" w:rsidRPr="00EB4421">
        <w:rPr>
          <w:rStyle w:val="cosearchterm"/>
          <w:bCs/>
          <w:color w:val="000000" w:themeColor="text1"/>
          <w:szCs w:val="22"/>
        </w:rPr>
        <w:t>b</w:t>
      </w:r>
      <w:r w:rsidR="00EB4421" w:rsidRPr="00EB4421">
        <w:rPr>
          <w:color w:val="000000" w:themeColor="text1"/>
          <w:szCs w:val="22"/>
        </w:rPr>
        <w:t>)(</w:t>
      </w:r>
      <w:r w:rsidR="00EB4421" w:rsidRPr="00EB4421">
        <w:rPr>
          <w:rStyle w:val="cosearchterm"/>
          <w:bCs/>
          <w:color w:val="000000" w:themeColor="text1"/>
          <w:szCs w:val="22"/>
        </w:rPr>
        <w:t>B</w:t>
      </w:r>
      <w:r w:rsidR="00EB4421" w:rsidRPr="00EB4421">
        <w:rPr>
          <w:color w:val="000000" w:themeColor="text1"/>
          <w:szCs w:val="22"/>
        </w:rPr>
        <w:t>) of the Administrative Procedure Act, 5 U.S.C § </w:t>
      </w:r>
      <w:r w:rsidR="00EB4421" w:rsidRPr="00EB4421">
        <w:rPr>
          <w:rStyle w:val="cosearchterm"/>
          <w:bCs/>
          <w:color w:val="000000" w:themeColor="text1"/>
          <w:szCs w:val="22"/>
        </w:rPr>
        <w:t>553</w:t>
      </w:r>
      <w:r w:rsidR="00EB4421" w:rsidRPr="00EB4421">
        <w:rPr>
          <w:color w:val="000000" w:themeColor="text1"/>
          <w:szCs w:val="22"/>
        </w:rPr>
        <w:t>(</w:t>
      </w:r>
      <w:r w:rsidR="00EB4421" w:rsidRPr="00EB4421">
        <w:rPr>
          <w:rStyle w:val="cosearchterm"/>
          <w:bCs/>
          <w:color w:val="000000" w:themeColor="text1"/>
          <w:szCs w:val="22"/>
        </w:rPr>
        <w:t>b</w:t>
      </w:r>
      <w:r w:rsidR="00EB4421" w:rsidRPr="00EB4421">
        <w:rPr>
          <w:color w:val="000000" w:themeColor="text1"/>
          <w:szCs w:val="22"/>
        </w:rPr>
        <w:t>)(</w:t>
      </w:r>
      <w:r w:rsidR="00EB4421" w:rsidRPr="00EB4421">
        <w:rPr>
          <w:rStyle w:val="cosearchterm"/>
          <w:bCs/>
          <w:color w:val="000000" w:themeColor="text1"/>
          <w:szCs w:val="22"/>
        </w:rPr>
        <w:t>B</w:t>
      </w:r>
      <w:r w:rsidR="00EB4421">
        <w:rPr>
          <w:rStyle w:val="cosearchterm"/>
          <w:bCs/>
          <w:color w:val="000000" w:themeColor="text1"/>
          <w:szCs w:val="22"/>
        </w:rPr>
        <w:t>);</w:t>
      </w:r>
      <w:r w:rsidR="00EB4421" w:rsidRPr="00EB4421">
        <w:rPr>
          <w:szCs w:val="22"/>
        </w:rPr>
        <w:t xml:space="preserve"> </w:t>
      </w:r>
      <w:r w:rsidR="00D432EE" w:rsidRPr="00EB4421">
        <w:rPr>
          <w:szCs w:val="22"/>
        </w:rPr>
        <w:t xml:space="preserve">in Sections </w:t>
      </w:r>
      <w:r w:rsidR="00D432EE">
        <w:t xml:space="preserve">0.31, </w:t>
      </w:r>
      <w:r w:rsidR="00EE191C">
        <w:t xml:space="preserve">0.131, </w:t>
      </w:r>
      <w:r w:rsidR="00D432EE">
        <w:t>0.2</w:t>
      </w:r>
      <w:r w:rsidR="00EE191C">
        <w:t>4</w:t>
      </w:r>
      <w:r w:rsidR="00D432EE">
        <w:t>1 and 0.</w:t>
      </w:r>
      <w:r w:rsidR="00EE191C">
        <w:t>33</w:t>
      </w:r>
      <w:r w:rsidR="00D432EE">
        <w:t>1 of the Commission</w:t>
      </w:r>
      <w:r w:rsidR="009F0851">
        <w:t>’</w:t>
      </w:r>
      <w:r w:rsidR="00D432EE">
        <w:t xml:space="preserve">s Rules, 47 </w:t>
      </w:r>
      <w:r w:rsidR="001862AC">
        <w:t>CFR</w:t>
      </w:r>
      <w:r w:rsidR="00D432EE">
        <w:t xml:space="preserve"> §§ </w:t>
      </w:r>
      <w:r w:rsidR="00EE191C">
        <w:t>0.31, 0.131, 0.241 and 0.331</w:t>
      </w:r>
      <w:r w:rsidR="009F0851">
        <w:t xml:space="preserve">; and in </w:t>
      </w:r>
      <w:r w:rsidR="009F0851" w:rsidRPr="0075399C">
        <w:rPr>
          <w:i/>
          <w:spacing w:val="-3"/>
          <w:szCs w:val="22"/>
        </w:rPr>
        <w:t>Expanding the Economic and Innovation Opportunities of Spectrum Through Incentive Auctions</w:t>
      </w:r>
      <w:r w:rsidR="009F0851" w:rsidRPr="009F0851">
        <w:rPr>
          <w:spacing w:val="-3"/>
          <w:szCs w:val="22"/>
        </w:rPr>
        <w:t>, GN Docket No. 12-268, Report and Order, 29 FCC Rcd 6567</w:t>
      </w:r>
      <w:r w:rsidR="009F0851">
        <w:rPr>
          <w:spacing w:val="-3"/>
          <w:szCs w:val="22"/>
        </w:rPr>
        <w:t xml:space="preserve"> (2014).</w:t>
      </w:r>
    </w:p>
    <w:p w14:paraId="6445C80F" w14:textId="77777777" w:rsidR="00D432EE" w:rsidRDefault="00D432EE">
      <w:pPr>
        <w:widowControl/>
        <w:tabs>
          <w:tab w:val="left" w:pos="-1440"/>
          <w:tab w:val="left" w:pos="-720"/>
          <w:tab w:val="left" w:pos="0"/>
          <w:tab w:val="left" w:pos="720"/>
          <w:tab w:val="left" w:pos="1260"/>
          <w:tab w:val="left" w:pos="216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14:paraId="6418D82D" w14:textId="77777777" w:rsidR="00EF4053" w:rsidRDefault="00D432EE">
      <w:pPr>
        <w:widowControl/>
        <w:tabs>
          <w:tab w:val="left" w:pos="-1440"/>
          <w:tab w:val="left" w:pos="-720"/>
          <w:tab w:val="left" w:pos="0"/>
          <w:tab w:val="left" w:pos="720"/>
          <w:tab w:val="left" w:pos="1260"/>
          <w:tab w:val="left" w:pos="2160"/>
          <w:tab w:val="left" w:pos="6495"/>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p>
    <w:p w14:paraId="282A2E16" w14:textId="77777777" w:rsidR="00F54969" w:rsidRDefault="00EF4053">
      <w:pPr>
        <w:widowControl/>
        <w:tabs>
          <w:tab w:val="left" w:pos="-1440"/>
          <w:tab w:val="left" w:pos="-720"/>
          <w:tab w:val="left" w:pos="0"/>
          <w:tab w:val="left" w:pos="720"/>
          <w:tab w:val="left" w:pos="1260"/>
          <w:tab w:val="left" w:pos="216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p>
    <w:p w14:paraId="7536BF81" w14:textId="77777777" w:rsidR="00F54969" w:rsidRDefault="00F54969">
      <w:pPr>
        <w:widowControl/>
        <w:tabs>
          <w:tab w:val="left" w:pos="-1440"/>
          <w:tab w:val="left" w:pos="-720"/>
          <w:tab w:val="left" w:pos="0"/>
          <w:tab w:val="left" w:pos="720"/>
          <w:tab w:val="left" w:pos="1260"/>
          <w:tab w:val="left" w:pos="216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p>
    <w:p w14:paraId="505DBCEF" w14:textId="77777777" w:rsidR="00D432EE" w:rsidRDefault="00F54969">
      <w:pPr>
        <w:widowControl/>
        <w:tabs>
          <w:tab w:val="left" w:pos="-1440"/>
          <w:tab w:val="left" w:pos="-720"/>
          <w:tab w:val="left" w:pos="0"/>
          <w:tab w:val="left" w:pos="720"/>
          <w:tab w:val="left" w:pos="1260"/>
          <w:tab w:val="left" w:pos="216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D432EE">
        <w:rPr>
          <w:spacing w:val="-3"/>
          <w:szCs w:val="22"/>
        </w:rPr>
        <w:t>Julius P. Knapp</w:t>
      </w:r>
    </w:p>
    <w:p w14:paraId="37260D71" w14:textId="77777777" w:rsidR="00D432EE" w:rsidRDefault="00D432EE">
      <w:pPr>
        <w:widowControl/>
        <w:tabs>
          <w:tab w:val="left" w:pos="-1440"/>
          <w:tab w:val="left" w:pos="-720"/>
          <w:tab w:val="left" w:pos="0"/>
          <w:tab w:val="left" w:pos="720"/>
          <w:tab w:val="left" w:pos="1260"/>
          <w:tab w:val="left" w:pos="216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Chief, Office of Engineering and Technology</w:t>
      </w:r>
      <w:r>
        <w:rPr>
          <w:spacing w:val="-3"/>
          <w:szCs w:val="22"/>
        </w:rPr>
        <w:tab/>
      </w:r>
      <w:r>
        <w:rPr>
          <w:spacing w:val="-3"/>
          <w:szCs w:val="22"/>
        </w:rPr>
        <w:tab/>
      </w:r>
    </w:p>
    <w:p w14:paraId="49DE821D" w14:textId="77777777" w:rsidR="00F54969" w:rsidRDefault="00D432EE">
      <w:pPr>
        <w:widowControl/>
        <w:tabs>
          <w:tab w:val="left" w:pos="-1440"/>
          <w:tab w:val="left" w:pos="-720"/>
          <w:tab w:val="left" w:pos="0"/>
          <w:tab w:val="left" w:pos="720"/>
          <w:tab w:val="left" w:pos="1260"/>
          <w:tab w:val="left" w:pos="216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p>
    <w:p w14:paraId="7832791C" w14:textId="77777777" w:rsidR="00F54969" w:rsidRDefault="00F54969">
      <w:pPr>
        <w:widowControl/>
        <w:tabs>
          <w:tab w:val="left" w:pos="-1440"/>
          <w:tab w:val="left" w:pos="-720"/>
          <w:tab w:val="left" w:pos="0"/>
          <w:tab w:val="left" w:pos="720"/>
          <w:tab w:val="left" w:pos="1260"/>
          <w:tab w:val="left" w:pos="2160"/>
        </w:tabs>
        <w:suppressAutoHyphens/>
        <w:jc w:val="both"/>
        <w:rPr>
          <w:spacing w:val="-3"/>
          <w:szCs w:val="22"/>
        </w:rPr>
      </w:pPr>
    </w:p>
    <w:p w14:paraId="435D1A90" w14:textId="77777777" w:rsidR="00C57F30" w:rsidRDefault="00C57F30">
      <w:pPr>
        <w:widowControl/>
        <w:tabs>
          <w:tab w:val="left" w:pos="-1440"/>
          <w:tab w:val="left" w:pos="-720"/>
          <w:tab w:val="left" w:pos="0"/>
          <w:tab w:val="left" w:pos="720"/>
          <w:tab w:val="left" w:pos="1260"/>
          <w:tab w:val="left" w:pos="2160"/>
        </w:tabs>
        <w:suppressAutoHyphens/>
        <w:jc w:val="both"/>
        <w:rPr>
          <w:spacing w:val="-3"/>
          <w:szCs w:val="22"/>
        </w:rPr>
      </w:pPr>
    </w:p>
    <w:p w14:paraId="65D0D5A9" w14:textId="77777777" w:rsidR="00D432EE" w:rsidRDefault="00F54969">
      <w:pPr>
        <w:widowControl/>
        <w:tabs>
          <w:tab w:val="left" w:pos="-1440"/>
          <w:tab w:val="left" w:pos="-720"/>
          <w:tab w:val="left" w:pos="0"/>
          <w:tab w:val="left" w:pos="720"/>
          <w:tab w:val="left" w:pos="1260"/>
          <w:tab w:val="left" w:pos="216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5B459F">
        <w:rPr>
          <w:spacing w:val="-3"/>
          <w:szCs w:val="22"/>
        </w:rPr>
        <w:t>Donald Stockdale</w:t>
      </w:r>
    </w:p>
    <w:p w14:paraId="17A19BF3" w14:textId="77777777" w:rsidR="00DE7B2E" w:rsidRDefault="004B38FE">
      <w:pPr>
        <w:widowControl/>
        <w:tabs>
          <w:tab w:val="left" w:pos="-1440"/>
          <w:tab w:val="left" w:pos="-720"/>
          <w:tab w:val="left" w:pos="0"/>
          <w:tab w:val="left" w:pos="720"/>
          <w:tab w:val="left" w:pos="1260"/>
          <w:tab w:val="left" w:pos="216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Chief, Wireless Telecommunications Bureau</w:t>
      </w:r>
    </w:p>
    <w:p w14:paraId="2DE86DCE" w14:textId="77777777" w:rsidR="00DE7B2E" w:rsidRDefault="00DE7B2E" w:rsidP="00556FFB">
      <w:pPr>
        <w:widowControl/>
        <w:suppressAutoHyphens/>
        <w:rPr>
          <w:spacing w:val="-3"/>
          <w:szCs w:val="22"/>
        </w:rPr>
      </w:pPr>
      <w:r>
        <w:rPr>
          <w:spacing w:val="-3"/>
          <w:szCs w:val="22"/>
        </w:rPr>
        <w:br w:type="page"/>
      </w:r>
    </w:p>
    <w:p w14:paraId="48C937F9" w14:textId="77777777" w:rsidR="002D48D4" w:rsidRPr="001C4D28" w:rsidRDefault="002D48D4">
      <w:pPr>
        <w:widowControl/>
        <w:tabs>
          <w:tab w:val="left" w:pos="-1440"/>
          <w:tab w:val="left" w:pos="-720"/>
          <w:tab w:val="left" w:pos="0"/>
          <w:tab w:val="left" w:pos="720"/>
          <w:tab w:val="left" w:pos="1260"/>
          <w:tab w:val="left" w:pos="2160"/>
        </w:tabs>
        <w:suppressAutoHyphens/>
        <w:jc w:val="center"/>
        <w:rPr>
          <w:b/>
        </w:rPr>
      </w:pPr>
      <w:r w:rsidRPr="001C4D28">
        <w:rPr>
          <w:b/>
        </w:rPr>
        <w:t>APPENDIX</w:t>
      </w:r>
    </w:p>
    <w:p w14:paraId="6A7537E0" w14:textId="77777777" w:rsidR="002D48D4" w:rsidRPr="001C4D28" w:rsidRDefault="002D48D4" w:rsidP="00556FFB">
      <w:pPr>
        <w:widowControl/>
        <w:numPr>
          <w:ilvl w:val="1"/>
          <w:numId w:val="0"/>
        </w:numPr>
        <w:tabs>
          <w:tab w:val="left" w:pos="-1440"/>
          <w:tab w:val="left" w:pos="-720"/>
        </w:tabs>
        <w:suppressAutoHyphens/>
        <w:spacing w:line="227" w:lineRule="atLeast"/>
        <w:jc w:val="center"/>
        <w:rPr>
          <w:b/>
        </w:rPr>
      </w:pPr>
    </w:p>
    <w:p w14:paraId="2DED8636" w14:textId="77777777" w:rsidR="002D48D4" w:rsidRPr="001C4D28" w:rsidRDefault="002D48D4" w:rsidP="00556FFB">
      <w:pPr>
        <w:widowControl/>
        <w:numPr>
          <w:ilvl w:val="1"/>
          <w:numId w:val="0"/>
        </w:numPr>
        <w:tabs>
          <w:tab w:val="left" w:pos="-1440"/>
          <w:tab w:val="left" w:pos="-720"/>
        </w:tabs>
        <w:suppressAutoHyphens/>
        <w:spacing w:line="227" w:lineRule="atLeast"/>
        <w:jc w:val="center"/>
        <w:rPr>
          <w:b/>
        </w:rPr>
      </w:pPr>
      <w:r w:rsidRPr="001C4D28">
        <w:rPr>
          <w:b/>
        </w:rPr>
        <w:t>Final Rules</w:t>
      </w:r>
    </w:p>
    <w:p w14:paraId="0C42866F" w14:textId="77777777" w:rsidR="002D48D4" w:rsidRPr="001C4D28" w:rsidRDefault="002D48D4" w:rsidP="00556FFB">
      <w:pPr>
        <w:widowControl/>
        <w:numPr>
          <w:ilvl w:val="1"/>
          <w:numId w:val="0"/>
        </w:numPr>
        <w:tabs>
          <w:tab w:val="left" w:pos="-1440"/>
          <w:tab w:val="left" w:pos="-720"/>
        </w:tabs>
        <w:suppressAutoHyphens/>
        <w:spacing w:line="227" w:lineRule="atLeast"/>
      </w:pPr>
    </w:p>
    <w:p w14:paraId="6F2C085E" w14:textId="77777777" w:rsidR="002D48D4" w:rsidRPr="001C4D28" w:rsidRDefault="002D48D4" w:rsidP="00556FFB">
      <w:pPr>
        <w:widowControl/>
        <w:suppressAutoHyphens/>
        <w:spacing w:after="220"/>
        <w:jc w:val="both"/>
        <w:rPr>
          <w:spacing w:val="-3"/>
        </w:rPr>
      </w:pPr>
      <w:r w:rsidRPr="001C4D28">
        <w:rPr>
          <w:spacing w:val="-3"/>
        </w:rPr>
        <w:t>For the reasons discussed in the preamble, the Federal Communications Commission amends 47 CFR part</w:t>
      </w:r>
      <w:r w:rsidR="00C859EF">
        <w:rPr>
          <w:spacing w:val="-3"/>
        </w:rPr>
        <w:t>s</w:t>
      </w:r>
      <w:r w:rsidRPr="001C4D28">
        <w:rPr>
          <w:spacing w:val="-3"/>
        </w:rPr>
        <w:t xml:space="preserve"> </w:t>
      </w:r>
      <w:r w:rsidRPr="001C4D28">
        <w:t>2</w:t>
      </w:r>
      <w:r w:rsidR="00C859EF">
        <w:t xml:space="preserve"> and 27</w:t>
      </w:r>
      <w:r w:rsidRPr="001C4D28">
        <w:t xml:space="preserve"> </w:t>
      </w:r>
      <w:r w:rsidRPr="001C4D28">
        <w:rPr>
          <w:spacing w:val="-3"/>
        </w:rPr>
        <w:t>as follows:</w:t>
      </w:r>
    </w:p>
    <w:p w14:paraId="0749F942" w14:textId="77777777" w:rsidR="002D48D4" w:rsidRPr="001C4D28" w:rsidRDefault="002D48D4" w:rsidP="00556FFB">
      <w:pPr>
        <w:widowControl/>
        <w:suppressAutoHyphens/>
        <w:rPr>
          <w:b/>
        </w:rPr>
      </w:pPr>
      <w:r w:rsidRPr="001C4D28">
        <w:rPr>
          <w:b/>
        </w:rPr>
        <w:t>PART 2 – FREQUENCY ALLOCATIONS AND RADIO TREATY MATTERS;</w:t>
      </w:r>
    </w:p>
    <w:p w14:paraId="3BEC1D3D" w14:textId="77777777" w:rsidR="002D48D4" w:rsidRPr="001C4D28" w:rsidRDefault="002D48D4" w:rsidP="00556FFB">
      <w:pPr>
        <w:widowControl/>
        <w:suppressAutoHyphens/>
        <w:spacing w:after="220"/>
        <w:rPr>
          <w:b/>
        </w:rPr>
      </w:pPr>
      <w:r w:rsidRPr="001C4D28">
        <w:rPr>
          <w:b/>
        </w:rPr>
        <w:t>GENERAL RULES AND REGULATIONS</w:t>
      </w:r>
    </w:p>
    <w:p w14:paraId="6C2A72D7" w14:textId="77777777" w:rsidR="002D48D4" w:rsidRPr="001C4D28" w:rsidRDefault="002D48D4" w:rsidP="00556FFB">
      <w:pPr>
        <w:pStyle w:val="ParaNum"/>
        <w:widowControl/>
        <w:numPr>
          <w:ilvl w:val="0"/>
          <w:numId w:val="7"/>
        </w:numPr>
        <w:suppressAutoHyphens/>
        <w:rPr>
          <w:szCs w:val="22"/>
        </w:rPr>
      </w:pPr>
      <w:r w:rsidRPr="001C4D28">
        <w:rPr>
          <w:szCs w:val="22"/>
        </w:rPr>
        <w:t>The authority citation for part 2 continues to read as follows:</w:t>
      </w:r>
    </w:p>
    <w:p w14:paraId="33849F76" w14:textId="77777777" w:rsidR="002D48D4" w:rsidRPr="001C4D28" w:rsidRDefault="002D48D4" w:rsidP="00556FFB">
      <w:pPr>
        <w:widowControl/>
        <w:tabs>
          <w:tab w:val="num" w:pos="1080"/>
        </w:tabs>
        <w:suppressAutoHyphens/>
        <w:spacing w:after="220"/>
      </w:pPr>
      <w:r w:rsidRPr="001C4D28">
        <w:rPr>
          <w:smallCaps/>
        </w:rPr>
        <w:t>Authority</w:t>
      </w:r>
      <w:r w:rsidRPr="001C4D28">
        <w:t>: 47 U.S.C. 154, 302a, 303, and 336, unless otherwise noted.</w:t>
      </w:r>
    </w:p>
    <w:p w14:paraId="01E6475D" w14:textId="77777777" w:rsidR="002D48D4" w:rsidRPr="001C4D28" w:rsidRDefault="002D48D4">
      <w:pPr>
        <w:pStyle w:val="ParaNum"/>
        <w:widowControl/>
        <w:numPr>
          <w:ilvl w:val="0"/>
          <w:numId w:val="7"/>
        </w:numPr>
        <w:suppressAutoHyphens/>
        <w:rPr>
          <w:szCs w:val="22"/>
        </w:rPr>
      </w:pPr>
      <w:r w:rsidRPr="001C4D28">
        <w:rPr>
          <w:szCs w:val="22"/>
        </w:rPr>
        <w:t>Section 2.106, the Table of Frequency Allocations, is amended as follows:</w:t>
      </w:r>
    </w:p>
    <w:p w14:paraId="7A4C77EC" w14:textId="77777777" w:rsidR="002D48D4" w:rsidRPr="001C4D28" w:rsidRDefault="002D48D4">
      <w:pPr>
        <w:pStyle w:val="ParaNum"/>
        <w:widowControl/>
        <w:numPr>
          <w:ilvl w:val="0"/>
          <w:numId w:val="8"/>
        </w:numPr>
        <w:tabs>
          <w:tab w:val="left" w:pos="1080"/>
        </w:tabs>
        <w:suppressAutoHyphens/>
        <w:rPr>
          <w:szCs w:val="22"/>
        </w:rPr>
      </w:pPr>
      <w:r w:rsidRPr="001C4D28">
        <w:rPr>
          <w:szCs w:val="22"/>
        </w:rPr>
        <w:t>Page</w:t>
      </w:r>
      <w:r>
        <w:rPr>
          <w:szCs w:val="22"/>
        </w:rPr>
        <w:t>s</w:t>
      </w:r>
      <w:r w:rsidRPr="001C4D28">
        <w:rPr>
          <w:szCs w:val="22"/>
        </w:rPr>
        <w:t xml:space="preserve"> </w:t>
      </w:r>
      <w:r>
        <w:rPr>
          <w:szCs w:val="22"/>
        </w:rPr>
        <w:t>29 and 30 are</w:t>
      </w:r>
      <w:r w:rsidRPr="001C4D28">
        <w:rPr>
          <w:szCs w:val="22"/>
        </w:rPr>
        <w:t xml:space="preserve"> revised.</w:t>
      </w:r>
    </w:p>
    <w:p w14:paraId="62A1A154" w14:textId="77777777" w:rsidR="002D48D4" w:rsidRPr="001C4D28" w:rsidRDefault="002D48D4">
      <w:pPr>
        <w:pStyle w:val="ParaNum"/>
        <w:widowControl/>
        <w:numPr>
          <w:ilvl w:val="0"/>
          <w:numId w:val="8"/>
        </w:numPr>
        <w:tabs>
          <w:tab w:val="left" w:pos="1080"/>
        </w:tabs>
        <w:suppressAutoHyphens/>
        <w:rPr>
          <w:szCs w:val="22"/>
        </w:rPr>
      </w:pPr>
      <w:r w:rsidRPr="001C4D28">
        <w:rPr>
          <w:szCs w:val="22"/>
        </w:rPr>
        <w:t xml:space="preserve">In the list of </w:t>
      </w:r>
      <w:r>
        <w:rPr>
          <w:szCs w:val="22"/>
        </w:rPr>
        <w:t xml:space="preserve">Non-Federal Government (NG) </w:t>
      </w:r>
      <w:r w:rsidRPr="001C4D28">
        <w:rPr>
          <w:szCs w:val="22"/>
        </w:rPr>
        <w:t>Footnotes, footnote</w:t>
      </w:r>
      <w:r>
        <w:rPr>
          <w:szCs w:val="22"/>
        </w:rPr>
        <w:t>s NG5, NG14, and NG149 are revised and footnote NG33</w:t>
      </w:r>
      <w:r w:rsidRPr="001C4D28">
        <w:rPr>
          <w:szCs w:val="22"/>
        </w:rPr>
        <w:t xml:space="preserve"> </w:t>
      </w:r>
      <w:r>
        <w:rPr>
          <w:szCs w:val="22"/>
        </w:rPr>
        <w:t xml:space="preserve">is </w:t>
      </w:r>
      <w:r w:rsidRPr="001C4D28">
        <w:rPr>
          <w:szCs w:val="22"/>
        </w:rPr>
        <w:t>added.</w:t>
      </w:r>
    </w:p>
    <w:p w14:paraId="6DB70960" w14:textId="77777777" w:rsidR="007119C7" w:rsidRPr="001C4D28" w:rsidRDefault="007119C7" w:rsidP="00556FFB">
      <w:pPr>
        <w:pStyle w:val="Note"/>
        <w:widowControl/>
        <w:suppressAutoHyphens/>
        <w:spacing w:before="0" w:after="120"/>
        <w:ind w:left="360"/>
        <w:rPr>
          <w:spacing w:val="-3"/>
          <w:sz w:val="22"/>
          <w:szCs w:val="22"/>
          <w:lang w:val="en-US"/>
        </w:rPr>
      </w:pPr>
      <w:r w:rsidRPr="001C4D28">
        <w:rPr>
          <w:spacing w:val="-3"/>
          <w:sz w:val="22"/>
          <w:szCs w:val="22"/>
          <w:lang w:val="en-US"/>
        </w:rPr>
        <w:t>The revisions and additions read as follows:</w:t>
      </w:r>
    </w:p>
    <w:p w14:paraId="21EF9D5D" w14:textId="77777777" w:rsidR="002D48D4" w:rsidRPr="001C4D28" w:rsidRDefault="002D48D4" w:rsidP="00556FFB">
      <w:pPr>
        <w:pStyle w:val="Note"/>
        <w:widowControl/>
        <w:suppressAutoHyphens/>
        <w:spacing w:before="0" w:after="120"/>
        <w:rPr>
          <w:b/>
          <w:spacing w:val="-3"/>
          <w:sz w:val="22"/>
          <w:szCs w:val="22"/>
          <w:lang w:val="en-US"/>
        </w:rPr>
      </w:pPr>
      <w:r w:rsidRPr="001C4D28">
        <w:rPr>
          <w:b/>
          <w:spacing w:val="-3"/>
          <w:sz w:val="22"/>
          <w:szCs w:val="22"/>
          <w:u w:val="single"/>
          <w:lang w:val="en-US"/>
        </w:rPr>
        <w:t>§ 2.106   Table of Frequency Allocations</w:t>
      </w:r>
      <w:r w:rsidRPr="001C4D28">
        <w:rPr>
          <w:b/>
          <w:spacing w:val="-3"/>
          <w:sz w:val="22"/>
          <w:szCs w:val="22"/>
          <w:lang w:val="en-US"/>
        </w:rPr>
        <w:t>.</w:t>
      </w:r>
    </w:p>
    <w:p w14:paraId="0074CB6F" w14:textId="77777777" w:rsidR="002D48D4" w:rsidRPr="001C4D28" w:rsidRDefault="002D48D4" w:rsidP="00556FFB">
      <w:pPr>
        <w:pStyle w:val="Note"/>
        <w:widowControl/>
        <w:tabs>
          <w:tab w:val="clear" w:pos="284"/>
        </w:tabs>
        <w:suppressAutoHyphens/>
        <w:spacing w:before="0" w:after="120"/>
        <w:ind w:firstLine="360"/>
        <w:rPr>
          <w:sz w:val="22"/>
          <w:szCs w:val="22"/>
          <w:lang w:val="en-US"/>
        </w:rPr>
      </w:pPr>
      <w:r w:rsidRPr="001C4D28">
        <w:rPr>
          <w:spacing w:val="-3"/>
          <w:sz w:val="22"/>
          <w:szCs w:val="22"/>
          <w:lang w:val="en-US"/>
        </w:rPr>
        <w:t>* * * * *</w:t>
      </w:r>
    </w:p>
    <w:p w14:paraId="1BAD2237" w14:textId="77777777" w:rsidR="002D48D4" w:rsidRDefault="002D48D4" w:rsidP="00556FFB">
      <w:pPr>
        <w:widowControl/>
        <w:suppressAutoHyphens/>
        <w:sectPr w:rsidR="002D48D4" w:rsidSect="002D54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pPr>
    </w:p>
    <w:tbl>
      <w:tblPr>
        <w:tblW w:w="5000" w:type="pct"/>
        <w:tblLayout w:type="fixed"/>
        <w:tblCellMar>
          <w:left w:w="58" w:type="dxa"/>
          <w:right w:w="0" w:type="dxa"/>
        </w:tblCellMar>
        <w:tblLook w:val="0000" w:firstRow="0" w:lastRow="0" w:firstColumn="0" w:lastColumn="0" w:noHBand="0" w:noVBand="0"/>
      </w:tblPr>
      <w:tblGrid>
        <w:gridCol w:w="2162"/>
        <w:gridCol w:w="2368"/>
        <w:gridCol w:w="2249"/>
        <w:gridCol w:w="2171"/>
        <w:gridCol w:w="2486"/>
        <w:gridCol w:w="2302"/>
      </w:tblGrid>
      <w:tr w:rsidR="002D48D4" w:rsidRPr="00FD2A75" w14:paraId="29DB1C03" w14:textId="77777777" w:rsidTr="00462DA2">
        <w:trPr>
          <w:trHeight w:val="45"/>
        </w:trPr>
        <w:tc>
          <w:tcPr>
            <w:tcW w:w="11494" w:type="dxa"/>
            <w:gridSpan w:val="5"/>
            <w:tcBorders>
              <w:top w:val="single" w:sz="6" w:space="0" w:color="000000"/>
              <w:left w:val="nil"/>
              <w:bottom w:val="single" w:sz="6" w:space="0" w:color="FFFFFF"/>
              <w:right w:val="nil"/>
            </w:tcBorders>
            <w:noWrap/>
          </w:tcPr>
          <w:p w14:paraId="5C0656FF"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5" w:after="5"/>
              <w:ind w:left="-58"/>
              <w:rPr>
                <w:rFonts w:ascii="Arial Narrow" w:hAnsi="Arial Narrow"/>
                <w:sz w:val="17"/>
              </w:rPr>
            </w:pPr>
            <w:r w:rsidRPr="00FD2A75">
              <w:rPr>
                <w:rFonts w:ascii="Arial Narrow" w:hAnsi="Arial Narrow"/>
                <w:sz w:val="17"/>
              </w:rPr>
              <w:t>Table of Frequency Allocations                                                                                                               456-894 MHz (UHF)</w:t>
            </w:r>
          </w:p>
        </w:tc>
        <w:tc>
          <w:tcPr>
            <w:tcW w:w="2314" w:type="dxa"/>
            <w:tcBorders>
              <w:top w:val="single" w:sz="6" w:space="0" w:color="000000"/>
              <w:left w:val="nil"/>
              <w:bottom w:val="single" w:sz="6" w:space="0" w:color="auto"/>
              <w:right w:val="nil"/>
            </w:tcBorders>
            <w:noWrap/>
          </w:tcPr>
          <w:p w14:paraId="7A4450C2" w14:textId="77777777" w:rsidR="002D48D4" w:rsidRPr="00FD2A75" w:rsidRDefault="002D48D4" w:rsidP="00556FFB">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5" w:after="5"/>
              <w:ind w:right="9"/>
              <w:jc w:val="right"/>
              <w:rPr>
                <w:rFonts w:ascii="Arial Narrow" w:hAnsi="Arial Narrow"/>
                <w:sz w:val="17"/>
              </w:rPr>
            </w:pPr>
            <w:r w:rsidRPr="00FD2A75">
              <w:rPr>
                <w:rFonts w:ascii="Arial Narrow" w:hAnsi="Arial Narrow"/>
                <w:sz w:val="17"/>
              </w:rPr>
              <w:t>Page 29</w:t>
            </w:r>
          </w:p>
        </w:tc>
      </w:tr>
      <w:tr w:rsidR="002D48D4" w:rsidRPr="00FD2A75" w14:paraId="2C9D6165" w14:textId="77777777" w:rsidTr="00462DA2">
        <w:tc>
          <w:tcPr>
            <w:tcW w:w="6813" w:type="dxa"/>
            <w:gridSpan w:val="3"/>
            <w:tcBorders>
              <w:top w:val="single" w:sz="6" w:space="0" w:color="000000"/>
              <w:left w:val="nil"/>
              <w:bottom w:val="nil"/>
              <w:right w:val="nil"/>
            </w:tcBorders>
            <w:noWrap/>
          </w:tcPr>
          <w:p w14:paraId="55CE6A8B"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ind w:left="-72"/>
              <w:jc w:val="center"/>
              <w:rPr>
                <w:rFonts w:ascii="Arial Narrow" w:hAnsi="Arial Narrow"/>
                <w:sz w:val="17"/>
              </w:rPr>
            </w:pPr>
            <w:r w:rsidRPr="00FD2A75">
              <w:rPr>
                <w:rFonts w:ascii="Arial Narrow" w:hAnsi="Arial Narrow"/>
                <w:sz w:val="17"/>
              </w:rPr>
              <w:t>International Table</w:t>
            </w:r>
          </w:p>
        </w:tc>
        <w:tc>
          <w:tcPr>
            <w:tcW w:w="4681" w:type="dxa"/>
            <w:gridSpan w:val="2"/>
            <w:tcBorders>
              <w:top w:val="single" w:sz="6" w:space="0" w:color="000000"/>
              <w:left w:val="double" w:sz="6" w:space="0" w:color="000000"/>
              <w:bottom w:val="single" w:sz="6" w:space="0" w:color="auto"/>
              <w:right w:val="nil"/>
            </w:tcBorders>
            <w:noWrap/>
          </w:tcPr>
          <w:p w14:paraId="6ADA2CF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jc w:val="center"/>
              <w:rPr>
                <w:rFonts w:ascii="Arial Narrow" w:hAnsi="Arial Narrow"/>
                <w:sz w:val="17"/>
              </w:rPr>
            </w:pPr>
            <w:r w:rsidRPr="00FD2A75">
              <w:rPr>
                <w:rFonts w:ascii="Arial Narrow" w:hAnsi="Arial Narrow"/>
                <w:sz w:val="17"/>
              </w:rPr>
              <w:t>United States Table</w:t>
            </w:r>
          </w:p>
        </w:tc>
        <w:tc>
          <w:tcPr>
            <w:tcW w:w="2314" w:type="dxa"/>
            <w:vMerge w:val="restart"/>
            <w:tcBorders>
              <w:top w:val="single" w:sz="6" w:space="0" w:color="auto"/>
              <w:left w:val="double" w:sz="6" w:space="0" w:color="000000"/>
              <w:bottom w:val="single" w:sz="6" w:space="0" w:color="auto"/>
              <w:right w:val="nil"/>
            </w:tcBorders>
            <w:noWrap/>
          </w:tcPr>
          <w:p w14:paraId="4EFBCABC"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10" w:after="10"/>
              <w:rPr>
                <w:rFonts w:ascii="Arial Narrow" w:hAnsi="Arial Narrow"/>
                <w:sz w:val="17"/>
              </w:rPr>
            </w:pPr>
            <w:r w:rsidRPr="00FD2A75">
              <w:rPr>
                <w:rFonts w:ascii="Arial Narrow" w:hAnsi="Arial Narrow"/>
                <w:sz w:val="17"/>
              </w:rPr>
              <w:t>FCC Rule Part(s)</w:t>
            </w:r>
          </w:p>
        </w:tc>
      </w:tr>
      <w:tr w:rsidR="002D48D4" w:rsidRPr="00FD2A75" w14:paraId="4D430409" w14:textId="77777777" w:rsidTr="00462DA2">
        <w:tc>
          <w:tcPr>
            <w:tcW w:w="2173" w:type="dxa"/>
            <w:tcBorders>
              <w:top w:val="single" w:sz="6" w:space="0" w:color="auto"/>
              <w:left w:val="nil"/>
              <w:bottom w:val="single" w:sz="6" w:space="0" w:color="auto"/>
              <w:right w:val="single" w:sz="6" w:space="0" w:color="FFFFFF"/>
            </w:tcBorders>
            <w:noWrap/>
          </w:tcPr>
          <w:p w14:paraId="2CAE240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ind w:left="-49"/>
              <w:rPr>
                <w:rFonts w:ascii="Arial Narrow" w:hAnsi="Arial Narrow"/>
                <w:sz w:val="17"/>
              </w:rPr>
            </w:pPr>
            <w:r w:rsidRPr="00FD2A75">
              <w:rPr>
                <w:rFonts w:ascii="Arial Narrow" w:hAnsi="Arial Narrow"/>
                <w:sz w:val="17"/>
              </w:rPr>
              <w:t>Region 1 Table</w:t>
            </w:r>
          </w:p>
        </w:tc>
        <w:tc>
          <w:tcPr>
            <w:tcW w:w="2380" w:type="dxa"/>
            <w:tcBorders>
              <w:top w:val="single" w:sz="6" w:space="0" w:color="000000"/>
              <w:left w:val="single" w:sz="6" w:space="0" w:color="000000"/>
              <w:bottom w:val="single" w:sz="6" w:space="0" w:color="auto"/>
              <w:right w:val="single" w:sz="6" w:space="0" w:color="FFFFFF"/>
            </w:tcBorders>
            <w:noWrap/>
          </w:tcPr>
          <w:p w14:paraId="2FA8ED3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FD2A75">
              <w:rPr>
                <w:rFonts w:ascii="Arial Narrow" w:hAnsi="Arial Narrow"/>
                <w:sz w:val="17"/>
              </w:rPr>
              <w:t>Region 2 Table</w:t>
            </w:r>
          </w:p>
        </w:tc>
        <w:tc>
          <w:tcPr>
            <w:tcW w:w="2260" w:type="dxa"/>
            <w:tcBorders>
              <w:top w:val="single" w:sz="6" w:space="0" w:color="000000"/>
              <w:left w:val="single" w:sz="6" w:space="0" w:color="000000"/>
              <w:bottom w:val="single" w:sz="6" w:space="0" w:color="auto"/>
              <w:right w:val="single" w:sz="6" w:space="0" w:color="FFFFFF"/>
            </w:tcBorders>
            <w:noWrap/>
          </w:tcPr>
          <w:p w14:paraId="7EA06A08"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FD2A75">
              <w:rPr>
                <w:rFonts w:ascii="Arial Narrow" w:hAnsi="Arial Narrow"/>
                <w:sz w:val="17"/>
              </w:rPr>
              <w:t>Region 3 Table</w:t>
            </w:r>
          </w:p>
        </w:tc>
        <w:tc>
          <w:tcPr>
            <w:tcW w:w="2182" w:type="dxa"/>
            <w:tcBorders>
              <w:top w:val="single" w:sz="6" w:space="0" w:color="auto"/>
              <w:left w:val="double" w:sz="6" w:space="0" w:color="000000"/>
              <w:bottom w:val="single" w:sz="6" w:space="0" w:color="auto"/>
              <w:right w:val="single" w:sz="6" w:space="0" w:color="FFFFFF"/>
            </w:tcBorders>
            <w:noWrap/>
          </w:tcPr>
          <w:p w14:paraId="6B10B10F"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FD2A75">
              <w:rPr>
                <w:rFonts w:ascii="Arial Narrow" w:hAnsi="Arial Narrow"/>
                <w:sz w:val="17"/>
              </w:rPr>
              <w:t>Federal Table</w:t>
            </w:r>
          </w:p>
        </w:tc>
        <w:tc>
          <w:tcPr>
            <w:tcW w:w="2499" w:type="dxa"/>
            <w:tcBorders>
              <w:top w:val="single" w:sz="6" w:space="0" w:color="auto"/>
              <w:left w:val="single" w:sz="6" w:space="0" w:color="000000"/>
              <w:bottom w:val="single" w:sz="6" w:space="0" w:color="auto"/>
              <w:right w:val="single" w:sz="6" w:space="0" w:color="FFFFFF"/>
            </w:tcBorders>
            <w:noWrap/>
          </w:tcPr>
          <w:p w14:paraId="7A658BE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FD2A75">
              <w:rPr>
                <w:rFonts w:ascii="Arial Narrow" w:hAnsi="Arial Narrow"/>
                <w:sz w:val="17"/>
              </w:rPr>
              <w:t>Non-Federal Table</w:t>
            </w:r>
          </w:p>
        </w:tc>
        <w:tc>
          <w:tcPr>
            <w:tcW w:w="2314" w:type="dxa"/>
            <w:vMerge/>
            <w:tcBorders>
              <w:top w:val="single" w:sz="6" w:space="0" w:color="auto"/>
              <w:left w:val="double" w:sz="6" w:space="0" w:color="000000"/>
              <w:bottom w:val="single" w:sz="6" w:space="0" w:color="auto"/>
              <w:right w:val="nil"/>
            </w:tcBorders>
            <w:noWrap/>
            <w:vAlign w:val="center"/>
          </w:tcPr>
          <w:p w14:paraId="24B4F5B6" w14:textId="77777777" w:rsidR="002D48D4" w:rsidRPr="00FD2A75" w:rsidRDefault="002D48D4" w:rsidP="00556FFB">
            <w:pPr>
              <w:widowControl/>
              <w:tabs>
                <w:tab w:val="left" w:pos="11156"/>
              </w:tabs>
              <w:suppressAutoHyphens/>
              <w:spacing w:before="10" w:after="10"/>
              <w:rPr>
                <w:rFonts w:ascii="Arial Narrow" w:hAnsi="Arial Narrow"/>
                <w:sz w:val="17"/>
              </w:rPr>
            </w:pPr>
          </w:p>
        </w:tc>
      </w:tr>
      <w:tr w:rsidR="002D48D4" w:rsidRPr="00FD2A75" w14:paraId="7A0B7CD4" w14:textId="77777777" w:rsidTr="00462DA2">
        <w:trPr>
          <w:trHeight w:val="669"/>
        </w:trPr>
        <w:tc>
          <w:tcPr>
            <w:tcW w:w="6813" w:type="dxa"/>
            <w:gridSpan w:val="3"/>
            <w:tcBorders>
              <w:top w:val="single" w:sz="6" w:space="0" w:color="000000"/>
              <w:left w:val="nil"/>
              <w:bottom w:val="single" w:sz="6" w:space="0" w:color="000000"/>
              <w:right w:val="single" w:sz="6" w:space="0" w:color="FFFFFF"/>
            </w:tcBorders>
            <w:noWrap/>
          </w:tcPr>
          <w:p w14:paraId="1EFE9A9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FD2A75">
              <w:rPr>
                <w:rFonts w:ascii="Arial Narrow" w:hAnsi="Arial Narrow"/>
                <w:sz w:val="17"/>
              </w:rPr>
              <w:t>456-459</w:t>
            </w:r>
          </w:p>
          <w:p w14:paraId="287DA47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FD2A75">
              <w:rPr>
                <w:rFonts w:ascii="Arial Narrow" w:hAnsi="Arial Narrow"/>
                <w:sz w:val="17"/>
              </w:rPr>
              <w:t>FIXED</w:t>
            </w:r>
          </w:p>
          <w:p w14:paraId="771A5A1D"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FD2A75">
              <w:rPr>
                <w:rFonts w:ascii="Arial Narrow" w:hAnsi="Arial Narrow"/>
                <w:sz w:val="17"/>
              </w:rPr>
              <w:t>MOBILE  5.286AA</w:t>
            </w:r>
          </w:p>
          <w:p w14:paraId="49000D4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sz w:val="17"/>
              </w:rPr>
            </w:pPr>
          </w:p>
          <w:p w14:paraId="220A8203" w14:textId="77777777" w:rsidR="002D48D4" w:rsidRPr="00FD2A75" w:rsidRDefault="002D48D4" w:rsidP="00556FFB">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FD2A75">
              <w:rPr>
                <w:rFonts w:ascii="Arial Narrow" w:hAnsi="Arial Narrow"/>
                <w:sz w:val="17"/>
              </w:rPr>
              <w:t>5.271  5.287  5.288</w:t>
            </w:r>
          </w:p>
        </w:tc>
        <w:tc>
          <w:tcPr>
            <w:tcW w:w="2182" w:type="dxa"/>
            <w:tcBorders>
              <w:top w:val="single" w:sz="6" w:space="0" w:color="000000"/>
              <w:left w:val="double" w:sz="6" w:space="0" w:color="000000"/>
              <w:bottom w:val="single" w:sz="6" w:space="0" w:color="auto"/>
              <w:right w:val="single" w:sz="6" w:space="0" w:color="FFFFFF"/>
            </w:tcBorders>
            <w:shd w:val="clear" w:color="auto" w:fill="auto"/>
            <w:noWrap/>
          </w:tcPr>
          <w:p w14:paraId="082A746D"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456-459</w:t>
            </w:r>
          </w:p>
          <w:p w14:paraId="5FC12A13" w14:textId="77777777" w:rsidR="002D48D4" w:rsidRPr="00FD2A75" w:rsidRDefault="002D48D4" w:rsidP="00556FFB">
            <w:pPr>
              <w:widowControl/>
              <w:suppressAutoHyphens/>
              <w:rPr>
                <w:rFonts w:ascii="Arial Narrow" w:hAnsi="Arial Narrow"/>
                <w:sz w:val="17"/>
              </w:rPr>
            </w:pPr>
          </w:p>
          <w:p w14:paraId="107808C0" w14:textId="77777777" w:rsidR="002D48D4" w:rsidRPr="00FD2A75" w:rsidRDefault="002D48D4" w:rsidP="00556FFB">
            <w:pPr>
              <w:widowControl/>
              <w:suppressAutoHyphens/>
              <w:rPr>
                <w:rFonts w:ascii="Arial Narrow" w:hAnsi="Arial Narrow"/>
                <w:sz w:val="17"/>
              </w:rPr>
            </w:pPr>
          </w:p>
          <w:p w14:paraId="67F46C2A" w14:textId="77777777" w:rsidR="002D48D4" w:rsidRPr="00FD2A75" w:rsidRDefault="002D48D4" w:rsidP="00556FFB">
            <w:pPr>
              <w:widowControl/>
              <w:suppressAutoHyphens/>
              <w:spacing w:line="144" w:lineRule="auto"/>
              <w:rPr>
                <w:rFonts w:ascii="Arial Narrow" w:hAnsi="Arial Narrow"/>
                <w:sz w:val="17"/>
              </w:rPr>
            </w:pPr>
          </w:p>
          <w:p w14:paraId="26E66CDD"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5.287  US64  US288</w:t>
            </w:r>
          </w:p>
        </w:tc>
        <w:tc>
          <w:tcPr>
            <w:tcW w:w="2499" w:type="dxa"/>
            <w:tcBorders>
              <w:top w:val="single" w:sz="6" w:space="0" w:color="000000"/>
              <w:left w:val="single" w:sz="6" w:space="0" w:color="000000"/>
              <w:right w:val="single" w:sz="6" w:space="0" w:color="FFFFFF"/>
            </w:tcBorders>
            <w:shd w:val="clear" w:color="auto" w:fill="auto"/>
            <w:noWrap/>
          </w:tcPr>
          <w:p w14:paraId="70EB197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456-460</w:t>
            </w:r>
          </w:p>
          <w:p w14:paraId="063C2F5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FIXED</w:t>
            </w:r>
          </w:p>
          <w:p w14:paraId="4DF0D912"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LAND MOBILE</w:t>
            </w:r>
          </w:p>
        </w:tc>
        <w:tc>
          <w:tcPr>
            <w:tcW w:w="2314" w:type="dxa"/>
            <w:vMerge w:val="restart"/>
            <w:tcBorders>
              <w:top w:val="single" w:sz="6" w:space="0" w:color="000000"/>
              <w:left w:val="double" w:sz="6" w:space="0" w:color="000000"/>
              <w:right w:val="nil"/>
            </w:tcBorders>
            <w:noWrap/>
          </w:tcPr>
          <w:p w14:paraId="2BC477C8"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B34113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Public Mobile (22)</w:t>
            </w:r>
          </w:p>
          <w:p w14:paraId="07864C5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Maritime (80)</w:t>
            </w:r>
          </w:p>
          <w:p w14:paraId="462B971F"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Private Land Mobile (90)</w:t>
            </w:r>
          </w:p>
          <w:p w14:paraId="11516139"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MedRadio (95I)</w:t>
            </w:r>
          </w:p>
        </w:tc>
      </w:tr>
      <w:tr w:rsidR="002D48D4" w:rsidRPr="00FD2A75" w14:paraId="38852298" w14:textId="77777777" w:rsidTr="00462DA2">
        <w:trPr>
          <w:trHeight w:val="534"/>
        </w:trPr>
        <w:tc>
          <w:tcPr>
            <w:tcW w:w="2173" w:type="dxa"/>
            <w:tcBorders>
              <w:top w:val="single" w:sz="6" w:space="0" w:color="000000"/>
              <w:left w:val="nil"/>
              <w:bottom w:val="single" w:sz="6" w:space="0" w:color="000000"/>
              <w:right w:val="single" w:sz="6" w:space="0" w:color="FFFFFF"/>
            </w:tcBorders>
            <w:noWrap/>
          </w:tcPr>
          <w:p w14:paraId="25C0C8E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FD2A75">
              <w:rPr>
                <w:rFonts w:ascii="Arial Narrow" w:hAnsi="Arial Narrow"/>
                <w:sz w:val="17"/>
              </w:rPr>
              <w:t>459-460</w:t>
            </w:r>
          </w:p>
          <w:p w14:paraId="6FE8115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FD2A75">
              <w:rPr>
                <w:rFonts w:ascii="Arial Narrow" w:hAnsi="Arial Narrow"/>
                <w:sz w:val="17"/>
              </w:rPr>
              <w:t>FIXED</w:t>
            </w:r>
          </w:p>
          <w:p w14:paraId="34EF3FFB"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FD2A75">
              <w:rPr>
                <w:rFonts w:ascii="Arial Narrow" w:hAnsi="Arial Narrow"/>
                <w:sz w:val="17"/>
              </w:rPr>
              <w:t>MOBILE  5.286AA</w:t>
            </w:r>
          </w:p>
          <w:p w14:paraId="59764B5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2A350333" w14:textId="77777777" w:rsidR="002D48D4" w:rsidRPr="00FD2A75" w:rsidRDefault="002D48D4" w:rsidP="00556FFB">
            <w:pPr>
              <w:widowControl/>
              <w:suppressAutoHyphens/>
              <w:spacing w:line="72" w:lineRule="auto"/>
              <w:ind w:left="-58"/>
              <w:rPr>
                <w:rFonts w:ascii="Arial Narrow" w:hAnsi="Arial Narrow"/>
                <w:sz w:val="17"/>
              </w:rPr>
            </w:pPr>
          </w:p>
          <w:p w14:paraId="4EC89704" w14:textId="77777777" w:rsidR="002D48D4" w:rsidRPr="00FD2A75" w:rsidRDefault="002D48D4" w:rsidP="00556FFB">
            <w:pPr>
              <w:widowControl/>
              <w:suppressAutoHyphens/>
              <w:ind w:left="-58"/>
              <w:rPr>
                <w:rFonts w:ascii="Arial Narrow" w:hAnsi="Arial Narrow"/>
                <w:sz w:val="17"/>
              </w:rPr>
            </w:pPr>
            <w:r w:rsidRPr="00FD2A75">
              <w:rPr>
                <w:rFonts w:ascii="Arial Narrow" w:hAnsi="Arial Narrow"/>
                <w:sz w:val="17"/>
              </w:rPr>
              <w:t>5.209  5.271  5.286A  5.286B</w:t>
            </w:r>
          </w:p>
          <w:p w14:paraId="005645FB" w14:textId="77777777" w:rsidR="002D48D4" w:rsidRPr="00FD2A75" w:rsidRDefault="002D48D4" w:rsidP="00556FFB">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FD2A75">
              <w:rPr>
                <w:rFonts w:ascii="Arial Narrow" w:hAnsi="Arial Narrow"/>
                <w:sz w:val="17"/>
              </w:rPr>
              <w:t>5.286C  5.286E</w:t>
            </w:r>
          </w:p>
        </w:tc>
        <w:tc>
          <w:tcPr>
            <w:tcW w:w="2380" w:type="dxa"/>
            <w:tcBorders>
              <w:top w:val="single" w:sz="6" w:space="0" w:color="000000"/>
              <w:left w:val="single" w:sz="6" w:space="0" w:color="000000"/>
              <w:bottom w:val="single" w:sz="6" w:space="0" w:color="000000"/>
              <w:right w:val="single" w:sz="6" w:space="0" w:color="FFFFFF"/>
            </w:tcBorders>
            <w:noWrap/>
          </w:tcPr>
          <w:p w14:paraId="08C7534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459-460</w:t>
            </w:r>
          </w:p>
          <w:p w14:paraId="61D27AE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FIXED</w:t>
            </w:r>
          </w:p>
          <w:p w14:paraId="62C1A2EF"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MOBILE  5.286AA</w:t>
            </w:r>
          </w:p>
          <w:p w14:paraId="3994902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MOBILE-SATELLITE (Earth-to-</w:t>
            </w:r>
          </w:p>
          <w:p w14:paraId="136A0BA5"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 xml:space="preserve">   space)  5.286A  5.286B  5.286C</w:t>
            </w:r>
          </w:p>
          <w:p w14:paraId="664D819F"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467291F2"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5.209</w:t>
            </w:r>
          </w:p>
        </w:tc>
        <w:tc>
          <w:tcPr>
            <w:tcW w:w="2260" w:type="dxa"/>
            <w:tcBorders>
              <w:top w:val="single" w:sz="6" w:space="0" w:color="000000"/>
              <w:left w:val="single" w:sz="6" w:space="0" w:color="000000"/>
              <w:bottom w:val="single" w:sz="6" w:space="0" w:color="000000"/>
              <w:right w:val="single" w:sz="6" w:space="0" w:color="FFFFFF"/>
            </w:tcBorders>
            <w:noWrap/>
          </w:tcPr>
          <w:p w14:paraId="3455BAF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459-460</w:t>
            </w:r>
          </w:p>
          <w:p w14:paraId="57F19B1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FIXED</w:t>
            </w:r>
          </w:p>
          <w:p w14:paraId="6AD6F47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MOBILE  5.286AA</w:t>
            </w:r>
          </w:p>
          <w:p w14:paraId="536DDE9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900FA7B"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14:paraId="7596204A"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5.209  5.271  5.286A  5.286B</w:t>
            </w:r>
          </w:p>
          <w:p w14:paraId="1B61AE65"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5.286C  5.286E</w:t>
            </w:r>
          </w:p>
        </w:tc>
        <w:tc>
          <w:tcPr>
            <w:tcW w:w="2182" w:type="dxa"/>
            <w:tcBorders>
              <w:top w:val="single" w:sz="6" w:space="0" w:color="auto"/>
              <w:left w:val="double" w:sz="6" w:space="0" w:color="000000"/>
              <w:bottom w:val="single" w:sz="6" w:space="0" w:color="000000"/>
              <w:right w:val="single" w:sz="6" w:space="0" w:color="FFFFFF"/>
            </w:tcBorders>
            <w:noWrap/>
          </w:tcPr>
          <w:p w14:paraId="0D6C27BF"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459-460</w:t>
            </w:r>
          </w:p>
        </w:tc>
        <w:tc>
          <w:tcPr>
            <w:tcW w:w="2499" w:type="dxa"/>
            <w:tcBorders>
              <w:left w:val="single" w:sz="6" w:space="0" w:color="000000"/>
              <w:bottom w:val="single" w:sz="6" w:space="0" w:color="000000"/>
              <w:right w:val="single" w:sz="6" w:space="0" w:color="FFFFFF"/>
            </w:tcBorders>
            <w:noWrap/>
            <w:vAlign w:val="bottom"/>
          </w:tcPr>
          <w:p w14:paraId="093D6FB4"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rPr>
                <w:rFonts w:ascii="Arial Narrow" w:hAnsi="Arial Narrow"/>
                <w:sz w:val="17"/>
              </w:rPr>
            </w:pPr>
            <w:r w:rsidRPr="00FD2A75">
              <w:rPr>
                <w:rFonts w:ascii="Arial Narrow" w:hAnsi="Arial Narrow"/>
                <w:sz w:val="17"/>
              </w:rPr>
              <w:t>5.287  US64  US288  NG32  NG112</w:t>
            </w:r>
          </w:p>
          <w:p w14:paraId="14F31167"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NG124  NG148</w:t>
            </w:r>
          </w:p>
        </w:tc>
        <w:tc>
          <w:tcPr>
            <w:tcW w:w="2314" w:type="dxa"/>
            <w:vMerge/>
            <w:tcBorders>
              <w:left w:val="double" w:sz="6" w:space="0" w:color="000000"/>
              <w:bottom w:val="single" w:sz="6" w:space="0" w:color="000000"/>
              <w:right w:val="nil"/>
            </w:tcBorders>
            <w:noWrap/>
          </w:tcPr>
          <w:p w14:paraId="4BEF5B0F" w14:textId="77777777" w:rsidR="002D48D4" w:rsidRPr="00FD2A75" w:rsidRDefault="002D48D4" w:rsidP="00556FFB">
            <w:pPr>
              <w:widowControl/>
              <w:suppressAutoHyphens/>
              <w:rPr>
                <w:rFonts w:ascii="Arial Narrow" w:hAnsi="Arial Narrow"/>
                <w:sz w:val="17"/>
              </w:rPr>
            </w:pPr>
          </w:p>
        </w:tc>
      </w:tr>
      <w:tr w:rsidR="002D48D4" w:rsidRPr="00FD2A75" w14:paraId="19E088E0" w14:textId="77777777" w:rsidTr="00462DA2">
        <w:tc>
          <w:tcPr>
            <w:tcW w:w="6813" w:type="dxa"/>
            <w:gridSpan w:val="3"/>
            <w:vMerge w:val="restart"/>
            <w:tcBorders>
              <w:top w:val="single" w:sz="6" w:space="0" w:color="000000"/>
              <w:left w:val="nil"/>
              <w:right w:val="single" w:sz="6" w:space="0" w:color="FFFFFF"/>
            </w:tcBorders>
            <w:noWrap/>
          </w:tcPr>
          <w:p w14:paraId="668CFA6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D2A75">
              <w:rPr>
                <w:rFonts w:ascii="Arial Narrow" w:hAnsi="Arial Narrow"/>
                <w:sz w:val="17"/>
              </w:rPr>
              <w:t>460-470</w:t>
            </w:r>
          </w:p>
          <w:p w14:paraId="496E614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D2A75">
              <w:rPr>
                <w:rFonts w:ascii="Arial Narrow" w:hAnsi="Arial Narrow"/>
                <w:sz w:val="17"/>
              </w:rPr>
              <w:t>FIXED</w:t>
            </w:r>
          </w:p>
          <w:p w14:paraId="2A9705A3"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D2A75">
              <w:rPr>
                <w:rFonts w:ascii="Arial Narrow" w:hAnsi="Arial Narrow"/>
                <w:sz w:val="17"/>
              </w:rPr>
              <w:t>MOBILE  5.286AA</w:t>
            </w:r>
          </w:p>
          <w:p w14:paraId="7EC0091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D2A75">
              <w:rPr>
                <w:rFonts w:ascii="Arial Narrow" w:hAnsi="Arial Narrow"/>
                <w:sz w:val="17"/>
              </w:rPr>
              <w:t>Meteorological-satellite (space-to-Earth)</w:t>
            </w:r>
          </w:p>
        </w:tc>
        <w:tc>
          <w:tcPr>
            <w:tcW w:w="2182" w:type="dxa"/>
            <w:vMerge w:val="restart"/>
            <w:tcBorders>
              <w:top w:val="single" w:sz="6" w:space="0" w:color="000000"/>
              <w:left w:val="double" w:sz="6" w:space="0" w:color="000000"/>
              <w:right w:val="single" w:sz="6" w:space="0" w:color="FFFFFF"/>
            </w:tcBorders>
            <w:noWrap/>
          </w:tcPr>
          <w:p w14:paraId="2828BCA0"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460-470</w:t>
            </w:r>
          </w:p>
          <w:p w14:paraId="3DD90BE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Meteorological-satellite</w:t>
            </w:r>
          </w:p>
          <w:p w14:paraId="4AA9BB10"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 xml:space="preserve">   (space-to-Earth)</w:t>
            </w:r>
          </w:p>
        </w:tc>
        <w:tc>
          <w:tcPr>
            <w:tcW w:w="2499" w:type="dxa"/>
            <w:tcBorders>
              <w:top w:val="single" w:sz="6" w:space="0" w:color="000000"/>
              <w:left w:val="single" w:sz="6" w:space="0" w:color="000000"/>
              <w:bottom w:val="single" w:sz="6" w:space="0" w:color="000000"/>
              <w:right w:val="single" w:sz="6" w:space="0" w:color="FFFFFF"/>
            </w:tcBorders>
            <w:noWrap/>
          </w:tcPr>
          <w:p w14:paraId="6C7A261B" w14:textId="77777777" w:rsidR="002D48D4" w:rsidRPr="00FD2A75" w:rsidRDefault="002D48D4" w:rsidP="00556FFB">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460-462.5375</w:t>
            </w:r>
          </w:p>
          <w:p w14:paraId="2514DD1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FIXED</w:t>
            </w:r>
          </w:p>
          <w:p w14:paraId="2C72517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LAND MOBILE</w:t>
            </w:r>
          </w:p>
          <w:p w14:paraId="38ABE5BF"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3599ADF9"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US209  US289  NG124</w:t>
            </w:r>
          </w:p>
        </w:tc>
        <w:tc>
          <w:tcPr>
            <w:tcW w:w="2314" w:type="dxa"/>
            <w:tcBorders>
              <w:top w:val="single" w:sz="6" w:space="0" w:color="000000"/>
              <w:left w:val="double" w:sz="6" w:space="0" w:color="000000"/>
              <w:bottom w:val="single" w:sz="6" w:space="0" w:color="000000"/>
              <w:right w:val="nil"/>
            </w:tcBorders>
            <w:noWrap/>
          </w:tcPr>
          <w:p w14:paraId="63B3FE4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B2EB4F3"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Private Land Mobile (90)</w:t>
            </w:r>
          </w:p>
        </w:tc>
      </w:tr>
      <w:tr w:rsidR="002D48D4" w:rsidRPr="00FD2A75" w14:paraId="56A8B7B0" w14:textId="77777777" w:rsidTr="00462DA2">
        <w:trPr>
          <w:trHeight w:val="363"/>
        </w:trPr>
        <w:tc>
          <w:tcPr>
            <w:tcW w:w="6813" w:type="dxa"/>
            <w:gridSpan w:val="3"/>
            <w:vMerge/>
            <w:tcBorders>
              <w:left w:val="nil"/>
              <w:right w:val="single" w:sz="6" w:space="0" w:color="FFFFFF"/>
            </w:tcBorders>
            <w:noWrap/>
          </w:tcPr>
          <w:p w14:paraId="55EFAE80" w14:textId="77777777" w:rsidR="002D48D4" w:rsidRPr="00FD2A75" w:rsidRDefault="002D48D4" w:rsidP="00556FFB">
            <w:pPr>
              <w:widowControl/>
              <w:suppressAutoHyphens/>
              <w:spacing w:line="36" w:lineRule="exact"/>
              <w:ind w:left="-54"/>
              <w:rPr>
                <w:rFonts w:ascii="Arial Narrow" w:hAnsi="Arial Narrow"/>
                <w:sz w:val="17"/>
              </w:rPr>
            </w:pPr>
          </w:p>
        </w:tc>
        <w:tc>
          <w:tcPr>
            <w:tcW w:w="2182" w:type="dxa"/>
            <w:vMerge/>
            <w:tcBorders>
              <w:left w:val="double" w:sz="6" w:space="0" w:color="000000"/>
              <w:right w:val="single" w:sz="6" w:space="0" w:color="FFFFFF"/>
            </w:tcBorders>
            <w:noWrap/>
            <w:vAlign w:val="center"/>
          </w:tcPr>
          <w:p w14:paraId="67063605" w14:textId="77777777" w:rsidR="002D48D4" w:rsidRPr="00FD2A75" w:rsidRDefault="002D48D4" w:rsidP="00556FFB">
            <w:pPr>
              <w:widowControl/>
              <w:suppressAutoHyphens/>
              <w:rPr>
                <w:rFonts w:ascii="Arial Narrow" w:hAnsi="Arial Narrow"/>
                <w:sz w:val="17"/>
              </w:rPr>
            </w:pPr>
          </w:p>
        </w:tc>
        <w:tc>
          <w:tcPr>
            <w:tcW w:w="2499" w:type="dxa"/>
            <w:tcBorders>
              <w:top w:val="single" w:sz="6" w:space="0" w:color="000000"/>
              <w:left w:val="single" w:sz="6" w:space="0" w:color="000000"/>
              <w:bottom w:val="single" w:sz="6" w:space="0" w:color="000000"/>
              <w:right w:val="single" w:sz="6" w:space="0" w:color="FFFFFF"/>
            </w:tcBorders>
            <w:noWrap/>
          </w:tcPr>
          <w:p w14:paraId="74534FA1" w14:textId="77777777" w:rsidR="002D48D4" w:rsidRPr="00FD2A75" w:rsidRDefault="002D48D4" w:rsidP="00556FFB">
            <w:pPr>
              <w:widowControl/>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462.5375-462.7375</w:t>
            </w:r>
          </w:p>
          <w:p w14:paraId="3B22D052" w14:textId="77777777" w:rsidR="002D48D4" w:rsidRPr="00FD2A75" w:rsidRDefault="002D48D4" w:rsidP="00556FFB">
            <w:pPr>
              <w:widowControl/>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LAND MOBILE</w:t>
            </w:r>
          </w:p>
          <w:p w14:paraId="419EA4F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7E2A9281"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US289</w:t>
            </w:r>
          </w:p>
        </w:tc>
        <w:tc>
          <w:tcPr>
            <w:tcW w:w="2314" w:type="dxa"/>
            <w:tcBorders>
              <w:top w:val="single" w:sz="6" w:space="0" w:color="000000"/>
              <w:left w:val="double" w:sz="6" w:space="0" w:color="000000"/>
              <w:bottom w:val="single" w:sz="6" w:space="0" w:color="000000"/>
              <w:right w:val="nil"/>
            </w:tcBorders>
            <w:noWrap/>
          </w:tcPr>
          <w:p w14:paraId="424360B7" w14:textId="77777777" w:rsidR="002D48D4" w:rsidRPr="00FD2A75" w:rsidRDefault="002D48D4" w:rsidP="00556FFB">
            <w:pPr>
              <w:widowControl/>
              <w:suppressAutoHyphens/>
              <w:rPr>
                <w:rFonts w:ascii="Arial Narrow" w:hAnsi="Arial Narrow"/>
                <w:sz w:val="17"/>
              </w:rPr>
            </w:pPr>
          </w:p>
          <w:p w14:paraId="2DE21E14"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Personal Radio (95)</w:t>
            </w:r>
          </w:p>
        </w:tc>
      </w:tr>
      <w:tr w:rsidR="002D48D4" w:rsidRPr="00FD2A75" w14:paraId="7C486B2E" w14:textId="77777777" w:rsidTr="00462DA2">
        <w:tc>
          <w:tcPr>
            <w:tcW w:w="6813" w:type="dxa"/>
            <w:gridSpan w:val="3"/>
            <w:vMerge/>
            <w:tcBorders>
              <w:left w:val="nil"/>
              <w:right w:val="single" w:sz="6" w:space="0" w:color="FFFFFF"/>
            </w:tcBorders>
            <w:noWrap/>
          </w:tcPr>
          <w:p w14:paraId="219BAD49" w14:textId="77777777" w:rsidR="002D48D4" w:rsidRPr="00FD2A75" w:rsidRDefault="002D48D4" w:rsidP="00556FFB">
            <w:pPr>
              <w:widowControl/>
              <w:suppressAutoHyphens/>
              <w:spacing w:line="36" w:lineRule="exact"/>
              <w:ind w:left="-54"/>
              <w:rPr>
                <w:rFonts w:ascii="Arial Narrow" w:hAnsi="Arial Narrow"/>
                <w:sz w:val="17"/>
              </w:rPr>
            </w:pPr>
          </w:p>
        </w:tc>
        <w:tc>
          <w:tcPr>
            <w:tcW w:w="2182" w:type="dxa"/>
            <w:vMerge/>
            <w:tcBorders>
              <w:left w:val="double" w:sz="6" w:space="0" w:color="000000"/>
              <w:right w:val="single" w:sz="6" w:space="0" w:color="FFFFFF"/>
            </w:tcBorders>
            <w:noWrap/>
            <w:vAlign w:val="center"/>
          </w:tcPr>
          <w:p w14:paraId="6C5394E5" w14:textId="77777777" w:rsidR="002D48D4" w:rsidRPr="00FD2A75" w:rsidRDefault="002D48D4" w:rsidP="00556FFB">
            <w:pPr>
              <w:widowControl/>
              <w:suppressAutoHyphens/>
              <w:rPr>
                <w:rFonts w:ascii="Arial Narrow" w:hAnsi="Arial Narrow"/>
                <w:sz w:val="17"/>
              </w:rPr>
            </w:pPr>
          </w:p>
        </w:tc>
        <w:tc>
          <w:tcPr>
            <w:tcW w:w="2499" w:type="dxa"/>
            <w:tcBorders>
              <w:top w:val="single" w:sz="6" w:space="0" w:color="000000"/>
              <w:left w:val="single" w:sz="6" w:space="0" w:color="000000"/>
              <w:bottom w:val="single" w:sz="6" w:space="0" w:color="000000"/>
              <w:right w:val="single" w:sz="6" w:space="0" w:color="FFFFFF"/>
            </w:tcBorders>
            <w:shd w:val="clear" w:color="auto" w:fill="auto"/>
            <w:noWrap/>
          </w:tcPr>
          <w:p w14:paraId="5D840B0D"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462.7375-467.5375</w:t>
            </w:r>
          </w:p>
          <w:p w14:paraId="2DA8E74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FIXED</w:t>
            </w:r>
          </w:p>
          <w:p w14:paraId="43BDB52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LAND MOBILE</w:t>
            </w:r>
          </w:p>
          <w:p w14:paraId="5FDABC7B"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657DA06F"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rPr>
                <w:rFonts w:ascii="Arial Narrow" w:hAnsi="Arial Narrow"/>
                <w:sz w:val="17"/>
              </w:rPr>
            </w:pPr>
            <w:r w:rsidRPr="00FD2A75">
              <w:rPr>
                <w:rFonts w:ascii="Arial Narrow" w:hAnsi="Arial Narrow"/>
                <w:sz w:val="17"/>
              </w:rPr>
              <w:t>5.287  US73  US209  US288  US289</w:t>
            </w:r>
          </w:p>
          <w:p w14:paraId="1F80B5CB"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NG124</w:t>
            </w:r>
          </w:p>
        </w:tc>
        <w:tc>
          <w:tcPr>
            <w:tcW w:w="2314" w:type="dxa"/>
            <w:tcBorders>
              <w:top w:val="single" w:sz="6" w:space="0" w:color="000000"/>
              <w:left w:val="double" w:sz="6" w:space="0" w:color="000000"/>
              <w:bottom w:val="single" w:sz="6" w:space="0" w:color="000000"/>
              <w:right w:val="nil"/>
            </w:tcBorders>
            <w:noWrap/>
          </w:tcPr>
          <w:p w14:paraId="27CADCB4"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C81A275"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Maritime (80)</w:t>
            </w:r>
          </w:p>
          <w:p w14:paraId="04423DC5"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Private Land Mobile (90)</w:t>
            </w:r>
          </w:p>
        </w:tc>
      </w:tr>
      <w:tr w:rsidR="002D48D4" w:rsidRPr="00FD2A75" w14:paraId="5CCB34BA" w14:textId="77777777" w:rsidTr="00462DA2">
        <w:tc>
          <w:tcPr>
            <w:tcW w:w="6813" w:type="dxa"/>
            <w:gridSpan w:val="3"/>
            <w:vMerge/>
            <w:tcBorders>
              <w:left w:val="nil"/>
              <w:right w:val="single" w:sz="6" w:space="0" w:color="FFFFFF"/>
            </w:tcBorders>
            <w:noWrap/>
          </w:tcPr>
          <w:p w14:paraId="0144C1E5" w14:textId="77777777" w:rsidR="002D48D4" w:rsidRPr="00FD2A75" w:rsidRDefault="002D48D4" w:rsidP="00556FFB">
            <w:pPr>
              <w:widowControl/>
              <w:suppressAutoHyphens/>
              <w:spacing w:line="36" w:lineRule="exact"/>
              <w:ind w:left="-54"/>
              <w:rPr>
                <w:rFonts w:ascii="Arial Narrow" w:hAnsi="Arial Narrow"/>
                <w:sz w:val="17"/>
              </w:rPr>
            </w:pPr>
          </w:p>
        </w:tc>
        <w:tc>
          <w:tcPr>
            <w:tcW w:w="2182" w:type="dxa"/>
            <w:vMerge/>
            <w:tcBorders>
              <w:left w:val="double" w:sz="6" w:space="0" w:color="000000"/>
              <w:right w:val="single" w:sz="6" w:space="0" w:color="FFFFFF"/>
            </w:tcBorders>
            <w:noWrap/>
            <w:vAlign w:val="center"/>
          </w:tcPr>
          <w:p w14:paraId="45CF1D2C" w14:textId="77777777" w:rsidR="002D48D4" w:rsidRPr="00FD2A75" w:rsidRDefault="002D48D4" w:rsidP="00556FFB">
            <w:pPr>
              <w:widowControl/>
              <w:suppressAutoHyphens/>
              <w:rPr>
                <w:rFonts w:ascii="Arial Narrow" w:hAnsi="Arial Narrow"/>
                <w:sz w:val="17"/>
              </w:rPr>
            </w:pPr>
          </w:p>
        </w:tc>
        <w:tc>
          <w:tcPr>
            <w:tcW w:w="2499" w:type="dxa"/>
            <w:tcBorders>
              <w:top w:val="single" w:sz="6" w:space="0" w:color="000000"/>
              <w:left w:val="single" w:sz="6" w:space="0" w:color="000000"/>
              <w:bottom w:val="single" w:sz="6" w:space="0" w:color="000000"/>
              <w:right w:val="single" w:sz="6" w:space="0" w:color="FFFFFF"/>
            </w:tcBorders>
            <w:shd w:val="clear" w:color="auto" w:fill="auto"/>
            <w:noWrap/>
          </w:tcPr>
          <w:p w14:paraId="359EF68E" w14:textId="77777777" w:rsidR="002D48D4" w:rsidRPr="00FD2A75" w:rsidRDefault="002D48D4" w:rsidP="00556FFB">
            <w:pPr>
              <w:widowControl/>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467.5375-467.7375</w:t>
            </w:r>
          </w:p>
          <w:p w14:paraId="2E657529" w14:textId="77777777" w:rsidR="002D48D4" w:rsidRPr="00FD2A75" w:rsidRDefault="002D48D4" w:rsidP="00556FFB">
            <w:pPr>
              <w:widowControl/>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LAND MOBILE</w:t>
            </w:r>
          </w:p>
          <w:p w14:paraId="054C7BF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623D676F"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5.287  US288  US289</w:t>
            </w:r>
          </w:p>
        </w:tc>
        <w:tc>
          <w:tcPr>
            <w:tcW w:w="2314" w:type="dxa"/>
            <w:tcBorders>
              <w:top w:val="single" w:sz="6" w:space="0" w:color="000000"/>
              <w:left w:val="double" w:sz="6" w:space="0" w:color="000000"/>
              <w:bottom w:val="single" w:sz="6" w:space="0" w:color="000000"/>
              <w:right w:val="nil"/>
            </w:tcBorders>
            <w:noWrap/>
          </w:tcPr>
          <w:p w14:paraId="68B5F4F3"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782F023"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Maritime (80)</w:t>
            </w:r>
          </w:p>
          <w:p w14:paraId="65432ABB"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Personal Radio (95)</w:t>
            </w:r>
          </w:p>
        </w:tc>
      </w:tr>
      <w:tr w:rsidR="002D48D4" w:rsidRPr="00FD2A75" w14:paraId="4359BC72" w14:textId="77777777" w:rsidTr="00462DA2">
        <w:tc>
          <w:tcPr>
            <w:tcW w:w="6813" w:type="dxa"/>
            <w:gridSpan w:val="3"/>
            <w:tcBorders>
              <w:left w:val="nil"/>
              <w:bottom w:val="single" w:sz="6" w:space="0" w:color="000000"/>
            </w:tcBorders>
            <w:noWrap/>
            <w:vAlign w:val="bottom"/>
          </w:tcPr>
          <w:p w14:paraId="7AB2B9E1" w14:textId="77777777" w:rsidR="002D48D4" w:rsidRPr="00FD2A75" w:rsidRDefault="002D48D4" w:rsidP="00556FFB">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FD2A75">
              <w:rPr>
                <w:rFonts w:ascii="Arial Narrow" w:hAnsi="Arial Narrow"/>
                <w:sz w:val="17"/>
              </w:rPr>
              <w:t>5.287  5.288  5.289  5.290</w:t>
            </w:r>
          </w:p>
        </w:tc>
        <w:tc>
          <w:tcPr>
            <w:tcW w:w="2182" w:type="dxa"/>
            <w:tcBorders>
              <w:left w:val="double" w:sz="6" w:space="0" w:color="auto"/>
              <w:bottom w:val="single" w:sz="6" w:space="0" w:color="000000"/>
              <w:right w:val="single" w:sz="6" w:space="0" w:color="FFFFFF"/>
            </w:tcBorders>
            <w:noWrap/>
            <w:vAlign w:val="bottom"/>
          </w:tcPr>
          <w:p w14:paraId="3591E5AC"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5.287  US73  US209  US288</w:t>
            </w:r>
          </w:p>
          <w:p w14:paraId="3924D7EB"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US289</w:t>
            </w:r>
          </w:p>
        </w:tc>
        <w:tc>
          <w:tcPr>
            <w:tcW w:w="2499" w:type="dxa"/>
            <w:tcBorders>
              <w:top w:val="single" w:sz="6" w:space="0" w:color="000000"/>
              <w:left w:val="single" w:sz="6" w:space="0" w:color="000000"/>
              <w:bottom w:val="single" w:sz="6" w:space="0" w:color="000000"/>
              <w:right w:val="single" w:sz="6" w:space="0" w:color="FFFFFF"/>
            </w:tcBorders>
            <w:shd w:val="clear" w:color="auto" w:fill="auto"/>
            <w:noWrap/>
          </w:tcPr>
          <w:p w14:paraId="557C237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467.7375-470</w:t>
            </w:r>
          </w:p>
          <w:p w14:paraId="1668946C"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FIXED</w:t>
            </w:r>
          </w:p>
          <w:p w14:paraId="4512BC1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LAND MOBILE</w:t>
            </w:r>
          </w:p>
          <w:p w14:paraId="7AC5A0E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0ABBB29D"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US73  US288  US289  NG124</w:t>
            </w:r>
          </w:p>
        </w:tc>
        <w:tc>
          <w:tcPr>
            <w:tcW w:w="2314" w:type="dxa"/>
            <w:tcBorders>
              <w:top w:val="single" w:sz="6" w:space="0" w:color="000000"/>
              <w:left w:val="double" w:sz="6" w:space="0" w:color="000000"/>
              <w:bottom w:val="single" w:sz="6" w:space="0" w:color="000000"/>
              <w:right w:val="nil"/>
            </w:tcBorders>
            <w:noWrap/>
          </w:tcPr>
          <w:p w14:paraId="5DBFF71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877273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Maritime (80)</w:t>
            </w:r>
          </w:p>
          <w:p w14:paraId="7E27439C"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Private Land Mobile (90)</w:t>
            </w:r>
          </w:p>
        </w:tc>
      </w:tr>
      <w:tr w:rsidR="002D48D4" w:rsidRPr="00FD2A75" w14:paraId="3E9C2424" w14:textId="77777777" w:rsidTr="00462DA2">
        <w:trPr>
          <w:trHeight w:val="831"/>
        </w:trPr>
        <w:tc>
          <w:tcPr>
            <w:tcW w:w="2173" w:type="dxa"/>
            <w:vMerge w:val="restart"/>
            <w:tcBorders>
              <w:top w:val="single" w:sz="6" w:space="0" w:color="auto"/>
              <w:left w:val="nil"/>
              <w:right w:val="single" w:sz="6" w:space="0" w:color="auto"/>
            </w:tcBorders>
            <w:noWrap/>
          </w:tcPr>
          <w:p w14:paraId="649F3628"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D2A75">
              <w:rPr>
                <w:rFonts w:ascii="Arial Narrow" w:hAnsi="Arial Narrow"/>
                <w:sz w:val="17"/>
              </w:rPr>
              <w:t>470-790</w:t>
            </w:r>
          </w:p>
          <w:p w14:paraId="4AED8714" w14:textId="77777777" w:rsidR="002D48D4" w:rsidRPr="00FD2A75" w:rsidRDefault="002D48D4" w:rsidP="00556FFB">
            <w:pPr>
              <w:widowControl/>
              <w:tabs>
                <w:tab w:val="left" w:pos="1440"/>
              </w:tabs>
              <w:suppressAutoHyphens/>
              <w:ind w:left="-54"/>
              <w:jc w:val="both"/>
              <w:rPr>
                <w:rFonts w:ascii="Arial Narrow" w:hAnsi="Arial Narrow"/>
                <w:sz w:val="17"/>
                <w:szCs w:val="17"/>
              </w:rPr>
            </w:pPr>
            <w:r w:rsidRPr="00FD2A75">
              <w:rPr>
                <w:rFonts w:ascii="Arial Narrow" w:hAnsi="Arial Narrow"/>
                <w:sz w:val="17"/>
              </w:rPr>
              <w:t>BROADCASTING</w:t>
            </w:r>
          </w:p>
        </w:tc>
        <w:tc>
          <w:tcPr>
            <w:tcW w:w="2380" w:type="dxa"/>
            <w:tcBorders>
              <w:top w:val="single" w:sz="6" w:space="0" w:color="auto"/>
              <w:left w:val="single" w:sz="6" w:space="0" w:color="auto"/>
              <w:bottom w:val="single" w:sz="6" w:space="0" w:color="FFFFFF"/>
              <w:right w:val="single" w:sz="6" w:space="0" w:color="FFFFFF"/>
            </w:tcBorders>
            <w:noWrap/>
          </w:tcPr>
          <w:p w14:paraId="1563EF5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470-512</w:t>
            </w:r>
          </w:p>
          <w:p w14:paraId="35E1DE15"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BROADCASTING</w:t>
            </w:r>
          </w:p>
          <w:p w14:paraId="3511A0AC"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Fixed</w:t>
            </w:r>
          </w:p>
          <w:p w14:paraId="004DC68C"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Mobile</w:t>
            </w:r>
          </w:p>
          <w:p w14:paraId="42C6971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14:paraId="579F29F8"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5.292  5.293</w:t>
            </w:r>
          </w:p>
        </w:tc>
        <w:tc>
          <w:tcPr>
            <w:tcW w:w="2260" w:type="dxa"/>
            <w:tcBorders>
              <w:top w:val="single" w:sz="6" w:space="0" w:color="auto"/>
              <w:left w:val="single" w:sz="6" w:space="0" w:color="000000"/>
              <w:bottom w:val="nil"/>
            </w:tcBorders>
            <w:noWrap/>
          </w:tcPr>
          <w:p w14:paraId="1019E47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470-585</w:t>
            </w:r>
          </w:p>
          <w:p w14:paraId="4C5D724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FIXED</w:t>
            </w:r>
          </w:p>
          <w:p w14:paraId="37F5121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MOBILE</w:t>
            </w:r>
          </w:p>
          <w:p w14:paraId="4FC3B41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BROADCASTING</w:t>
            </w:r>
          </w:p>
        </w:tc>
        <w:tc>
          <w:tcPr>
            <w:tcW w:w="2182" w:type="dxa"/>
            <w:vMerge w:val="restart"/>
            <w:tcBorders>
              <w:top w:val="single" w:sz="6" w:space="0" w:color="auto"/>
              <w:left w:val="double" w:sz="6" w:space="0" w:color="auto"/>
              <w:bottom w:val="nil"/>
              <w:right w:val="single" w:sz="6" w:space="0" w:color="FFFFFF"/>
            </w:tcBorders>
            <w:noWrap/>
          </w:tcPr>
          <w:p w14:paraId="21E128AE"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470-608</w:t>
            </w:r>
          </w:p>
        </w:tc>
        <w:tc>
          <w:tcPr>
            <w:tcW w:w="2499" w:type="dxa"/>
            <w:tcBorders>
              <w:top w:val="single" w:sz="6" w:space="0" w:color="auto"/>
              <w:left w:val="single" w:sz="6" w:space="0" w:color="000000"/>
              <w:bottom w:val="single" w:sz="6" w:space="0" w:color="FFFFFF"/>
              <w:right w:val="single" w:sz="6" w:space="0" w:color="FFFFFF"/>
            </w:tcBorders>
            <w:noWrap/>
          </w:tcPr>
          <w:p w14:paraId="55E26FE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470-512</w:t>
            </w:r>
          </w:p>
          <w:p w14:paraId="6AEAEE5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FIXED</w:t>
            </w:r>
          </w:p>
          <w:p w14:paraId="51C582A0"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LAND MOBILE</w:t>
            </w:r>
          </w:p>
          <w:p w14:paraId="21310ED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BROADCASTING</w:t>
            </w:r>
          </w:p>
          <w:p w14:paraId="72140CD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14:paraId="063DD580"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NG5  NG14  NG66  NG115  NG149</w:t>
            </w:r>
          </w:p>
        </w:tc>
        <w:tc>
          <w:tcPr>
            <w:tcW w:w="2314" w:type="dxa"/>
            <w:tcBorders>
              <w:top w:val="single" w:sz="6" w:space="0" w:color="auto"/>
              <w:left w:val="double" w:sz="6" w:space="0" w:color="000000"/>
              <w:bottom w:val="single" w:sz="6" w:space="0" w:color="FFFFFF"/>
              <w:right w:val="nil"/>
            </w:tcBorders>
            <w:noWrap/>
          </w:tcPr>
          <w:p w14:paraId="0D343BF0"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rPr>
                <w:rFonts w:ascii="Arial Narrow" w:hAnsi="Arial Narrow"/>
                <w:sz w:val="17"/>
              </w:rPr>
            </w:pPr>
          </w:p>
          <w:p w14:paraId="27EC0EA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Public Mobile (22)</w:t>
            </w:r>
          </w:p>
          <w:p w14:paraId="25FAD37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Broadcast Radio (TV)(73)</w:t>
            </w:r>
          </w:p>
          <w:p w14:paraId="228E676D" w14:textId="77777777" w:rsidR="002D48D4" w:rsidRPr="00FD2A75" w:rsidRDefault="002D48D4" w:rsidP="00556FFB">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LPTV, TV Translator/Booster (74G)</w:t>
            </w:r>
          </w:p>
          <w:p w14:paraId="4C227E1D"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Low Power Auxiliary (74H)</w:t>
            </w:r>
          </w:p>
          <w:p w14:paraId="624CFD3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Private Land Mobile (90)</w:t>
            </w:r>
          </w:p>
        </w:tc>
      </w:tr>
      <w:tr w:rsidR="002D48D4" w:rsidRPr="00FD2A75" w14:paraId="0ADA0E1E" w14:textId="77777777" w:rsidTr="00462DA2">
        <w:tc>
          <w:tcPr>
            <w:tcW w:w="2173" w:type="dxa"/>
            <w:vMerge/>
            <w:tcBorders>
              <w:left w:val="nil"/>
              <w:right w:val="single" w:sz="6" w:space="0" w:color="auto"/>
            </w:tcBorders>
            <w:shd w:val="clear" w:color="auto" w:fill="auto"/>
            <w:noWrap/>
            <w:vAlign w:val="bottom"/>
          </w:tcPr>
          <w:p w14:paraId="07235325" w14:textId="77777777" w:rsidR="002D48D4" w:rsidRPr="00FD2A75" w:rsidRDefault="002D48D4" w:rsidP="00556FFB">
            <w:pPr>
              <w:widowControl/>
              <w:suppressAutoHyphens/>
              <w:spacing w:line="192" w:lineRule="auto"/>
              <w:rPr>
                <w:rFonts w:ascii="Arial Narrow" w:hAnsi="Arial Narrow"/>
                <w:sz w:val="17"/>
                <w:szCs w:val="17"/>
              </w:rPr>
            </w:pPr>
          </w:p>
        </w:tc>
        <w:tc>
          <w:tcPr>
            <w:tcW w:w="2380" w:type="dxa"/>
            <w:vMerge w:val="restart"/>
            <w:tcBorders>
              <w:top w:val="single" w:sz="6" w:space="0" w:color="000000"/>
              <w:left w:val="single" w:sz="6" w:space="0" w:color="auto"/>
              <w:right w:val="single" w:sz="6" w:space="0" w:color="FFFFFF"/>
            </w:tcBorders>
            <w:noWrap/>
          </w:tcPr>
          <w:p w14:paraId="713972A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512-608</w:t>
            </w:r>
          </w:p>
          <w:p w14:paraId="43F0640F"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BROADCASTING</w:t>
            </w:r>
          </w:p>
          <w:p w14:paraId="783B62CC"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94A13A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9E1156F"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5B001166"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5.297</w:t>
            </w:r>
          </w:p>
        </w:tc>
        <w:tc>
          <w:tcPr>
            <w:tcW w:w="2260" w:type="dxa"/>
            <w:tcBorders>
              <w:top w:val="nil"/>
              <w:left w:val="single" w:sz="6" w:space="0" w:color="000000"/>
              <w:bottom w:val="single" w:sz="6" w:space="0" w:color="FFFFFF"/>
              <w:right w:val="single" w:sz="6" w:space="0" w:color="FFFFFF"/>
            </w:tcBorders>
            <w:noWrap/>
            <w:vAlign w:val="bottom"/>
          </w:tcPr>
          <w:p w14:paraId="2CA85A3C"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5.291  5.298</w:t>
            </w:r>
          </w:p>
        </w:tc>
        <w:tc>
          <w:tcPr>
            <w:tcW w:w="2182" w:type="dxa"/>
            <w:vMerge/>
            <w:tcBorders>
              <w:top w:val="nil"/>
              <w:left w:val="double" w:sz="6" w:space="0" w:color="000000"/>
              <w:bottom w:val="nil"/>
              <w:right w:val="single" w:sz="6" w:space="0" w:color="FFFFFF"/>
            </w:tcBorders>
            <w:noWrap/>
            <w:vAlign w:val="center"/>
          </w:tcPr>
          <w:p w14:paraId="519A8404" w14:textId="77777777" w:rsidR="002D48D4" w:rsidRPr="00FD2A75" w:rsidRDefault="002D48D4" w:rsidP="00556FFB">
            <w:pPr>
              <w:widowControl/>
              <w:suppressAutoHyphens/>
              <w:rPr>
                <w:rFonts w:ascii="Arial Narrow" w:hAnsi="Arial Narrow"/>
                <w:sz w:val="17"/>
              </w:rPr>
            </w:pPr>
          </w:p>
        </w:tc>
        <w:tc>
          <w:tcPr>
            <w:tcW w:w="2499" w:type="dxa"/>
            <w:vMerge w:val="restart"/>
            <w:tcBorders>
              <w:top w:val="single" w:sz="6" w:space="0" w:color="000000"/>
              <w:left w:val="single" w:sz="6" w:space="0" w:color="000000"/>
              <w:right w:val="single" w:sz="6" w:space="0" w:color="FFFFFF"/>
            </w:tcBorders>
            <w:noWrap/>
          </w:tcPr>
          <w:p w14:paraId="2FC76D9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512-608</w:t>
            </w:r>
          </w:p>
          <w:p w14:paraId="10C3EF0F" w14:textId="77777777" w:rsidR="002D48D4"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BROADCASTING</w:t>
            </w:r>
          </w:p>
          <w:p w14:paraId="47B6C493" w14:textId="77777777" w:rsidR="002D48D4"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9A0291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0557AED"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0A599D95"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NG5  NG14  NG115  NG149</w:t>
            </w:r>
          </w:p>
        </w:tc>
        <w:tc>
          <w:tcPr>
            <w:tcW w:w="2314" w:type="dxa"/>
            <w:vMerge w:val="restart"/>
            <w:tcBorders>
              <w:top w:val="single" w:sz="6" w:space="0" w:color="000000"/>
              <w:left w:val="double" w:sz="6" w:space="0" w:color="000000"/>
              <w:bottom w:val="nil"/>
              <w:right w:val="nil"/>
            </w:tcBorders>
            <w:noWrap/>
          </w:tcPr>
          <w:p w14:paraId="2AFF1B8C" w14:textId="77777777" w:rsidR="002D48D4" w:rsidRPr="00FD2A75" w:rsidRDefault="002D48D4" w:rsidP="00556FFB">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7D0891A" w14:textId="77777777" w:rsidR="002D48D4" w:rsidRPr="00FD2A75" w:rsidRDefault="002D48D4" w:rsidP="00556FFB">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Broadcast Radio (TV)(73)</w:t>
            </w:r>
          </w:p>
          <w:p w14:paraId="3628699C" w14:textId="77777777" w:rsidR="002D48D4" w:rsidRPr="00FD2A75" w:rsidRDefault="002D48D4" w:rsidP="00556FFB">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r w:rsidRPr="00FD2A75">
              <w:rPr>
                <w:rFonts w:ascii="Arial Narrow" w:hAnsi="Arial Narrow"/>
                <w:sz w:val="17"/>
              </w:rPr>
              <w:t>LPTV, TV Translator/Booster (74G)</w:t>
            </w:r>
          </w:p>
          <w:p w14:paraId="4768643B"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Low Power Auxiliary (74H)</w:t>
            </w:r>
          </w:p>
        </w:tc>
      </w:tr>
      <w:tr w:rsidR="002D48D4" w:rsidRPr="00FD2A75" w14:paraId="12EA10B1" w14:textId="77777777" w:rsidTr="00462DA2">
        <w:trPr>
          <w:trHeight w:val="309"/>
        </w:trPr>
        <w:tc>
          <w:tcPr>
            <w:tcW w:w="2173" w:type="dxa"/>
            <w:vMerge/>
            <w:tcBorders>
              <w:left w:val="nil"/>
              <w:right w:val="single" w:sz="6" w:space="0" w:color="auto"/>
            </w:tcBorders>
            <w:shd w:val="clear" w:color="auto" w:fill="auto"/>
            <w:noWrap/>
            <w:vAlign w:val="bottom"/>
          </w:tcPr>
          <w:p w14:paraId="6A5C50D7" w14:textId="77777777" w:rsidR="002D48D4" w:rsidRPr="00FD2A75" w:rsidRDefault="002D48D4" w:rsidP="00556FFB">
            <w:pPr>
              <w:widowControl/>
              <w:suppressAutoHyphens/>
              <w:rPr>
                <w:rFonts w:ascii="Arial Narrow" w:hAnsi="Arial Narrow"/>
                <w:sz w:val="17"/>
              </w:rPr>
            </w:pPr>
          </w:p>
        </w:tc>
        <w:tc>
          <w:tcPr>
            <w:tcW w:w="2380" w:type="dxa"/>
            <w:vMerge/>
            <w:tcBorders>
              <w:left w:val="single" w:sz="6" w:space="0" w:color="auto"/>
              <w:bottom w:val="single" w:sz="6" w:space="0" w:color="000000"/>
              <w:right w:val="single" w:sz="6" w:space="0" w:color="FFFFFF"/>
            </w:tcBorders>
            <w:noWrap/>
            <w:vAlign w:val="bottom"/>
          </w:tcPr>
          <w:p w14:paraId="72962DE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260" w:type="dxa"/>
            <w:vMerge w:val="restart"/>
            <w:tcBorders>
              <w:top w:val="single" w:sz="6" w:space="0" w:color="000000"/>
              <w:left w:val="single" w:sz="6" w:space="0" w:color="000000"/>
              <w:bottom w:val="nil"/>
              <w:right w:val="double" w:sz="6" w:space="0" w:color="auto"/>
            </w:tcBorders>
            <w:noWrap/>
          </w:tcPr>
          <w:p w14:paraId="066CFDE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585-610</w:t>
            </w:r>
          </w:p>
          <w:p w14:paraId="1E550C8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FIXED</w:t>
            </w:r>
          </w:p>
          <w:p w14:paraId="3FCED583"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MOBILE</w:t>
            </w:r>
          </w:p>
          <w:p w14:paraId="7CE1D21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BROADCASTING</w:t>
            </w:r>
          </w:p>
          <w:p w14:paraId="7E458B7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RADIONAVIGATION</w:t>
            </w:r>
          </w:p>
          <w:p w14:paraId="4D04C054"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A533DD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14:paraId="76784D73"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5.149  5.305  5.306  5.307</w:t>
            </w:r>
          </w:p>
        </w:tc>
        <w:tc>
          <w:tcPr>
            <w:tcW w:w="2182" w:type="dxa"/>
            <w:vMerge/>
            <w:tcBorders>
              <w:top w:val="nil"/>
              <w:left w:val="double" w:sz="6" w:space="0" w:color="auto"/>
              <w:bottom w:val="single" w:sz="6" w:space="0" w:color="000000"/>
              <w:right w:val="single" w:sz="6" w:space="0" w:color="FFFFFF"/>
            </w:tcBorders>
            <w:noWrap/>
            <w:vAlign w:val="center"/>
          </w:tcPr>
          <w:p w14:paraId="004027A6" w14:textId="77777777" w:rsidR="002D48D4" w:rsidRPr="00FD2A75" w:rsidRDefault="002D48D4" w:rsidP="00556FFB">
            <w:pPr>
              <w:widowControl/>
              <w:suppressAutoHyphens/>
              <w:rPr>
                <w:rFonts w:ascii="Arial Narrow" w:hAnsi="Arial Narrow"/>
                <w:sz w:val="17"/>
              </w:rPr>
            </w:pPr>
          </w:p>
        </w:tc>
        <w:tc>
          <w:tcPr>
            <w:tcW w:w="2499" w:type="dxa"/>
            <w:vMerge/>
            <w:tcBorders>
              <w:left w:val="single" w:sz="6" w:space="0" w:color="000000"/>
              <w:bottom w:val="single" w:sz="6" w:space="0" w:color="000000"/>
              <w:right w:val="single" w:sz="6" w:space="0" w:color="FFFFFF"/>
            </w:tcBorders>
            <w:noWrap/>
            <w:vAlign w:val="center"/>
          </w:tcPr>
          <w:p w14:paraId="383DA9F3" w14:textId="77777777" w:rsidR="002D48D4" w:rsidRPr="00FD2A75" w:rsidRDefault="002D48D4" w:rsidP="00556FFB">
            <w:pPr>
              <w:widowControl/>
              <w:suppressAutoHyphens/>
              <w:spacing w:line="192" w:lineRule="auto"/>
              <w:rPr>
                <w:rFonts w:ascii="Arial Narrow" w:hAnsi="Arial Narrow"/>
                <w:sz w:val="17"/>
              </w:rPr>
            </w:pPr>
          </w:p>
        </w:tc>
        <w:tc>
          <w:tcPr>
            <w:tcW w:w="2314" w:type="dxa"/>
            <w:vMerge/>
            <w:tcBorders>
              <w:top w:val="nil"/>
              <w:left w:val="double" w:sz="6" w:space="0" w:color="000000"/>
              <w:bottom w:val="single" w:sz="6" w:space="0" w:color="000000"/>
              <w:right w:val="nil"/>
            </w:tcBorders>
            <w:noWrap/>
            <w:vAlign w:val="center"/>
          </w:tcPr>
          <w:p w14:paraId="30ADB449" w14:textId="77777777" w:rsidR="002D48D4" w:rsidRPr="00FD2A75" w:rsidRDefault="002D48D4" w:rsidP="00556FFB">
            <w:pPr>
              <w:widowControl/>
              <w:suppressAutoHyphens/>
              <w:rPr>
                <w:rFonts w:ascii="Arial Narrow" w:hAnsi="Arial Narrow"/>
                <w:sz w:val="17"/>
              </w:rPr>
            </w:pPr>
          </w:p>
        </w:tc>
      </w:tr>
      <w:tr w:rsidR="002D48D4" w:rsidRPr="00FD2A75" w14:paraId="6606DC0B" w14:textId="77777777" w:rsidTr="00462DA2">
        <w:trPr>
          <w:trHeight w:val="507"/>
        </w:trPr>
        <w:tc>
          <w:tcPr>
            <w:tcW w:w="2173" w:type="dxa"/>
            <w:vMerge/>
            <w:tcBorders>
              <w:left w:val="nil"/>
              <w:right w:val="single" w:sz="6" w:space="0" w:color="auto"/>
            </w:tcBorders>
            <w:shd w:val="clear" w:color="auto" w:fill="auto"/>
            <w:noWrap/>
            <w:vAlign w:val="bottom"/>
          </w:tcPr>
          <w:p w14:paraId="388F044F" w14:textId="77777777" w:rsidR="002D48D4" w:rsidRPr="00FD2A75" w:rsidRDefault="002D48D4" w:rsidP="00556FFB">
            <w:pPr>
              <w:widowControl/>
              <w:suppressAutoHyphens/>
              <w:rPr>
                <w:rFonts w:ascii="Arial Narrow" w:hAnsi="Arial Narrow"/>
                <w:sz w:val="17"/>
              </w:rPr>
            </w:pPr>
          </w:p>
        </w:tc>
        <w:tc>
          <w:tcPr>
            <w:tcW w:w="2380" w:type="dxa"/>
            <w:vMerge w:val="restart"/>
            <w:tcBorders>
              <w:top w:val="single" w:sz="6" w:space="0" w:color="000000"/>
              <w:left w:val="single" w:sz="6" w:space="0" w:color="auto"/>
              <w:bottom w:val="single" w:sz="6" w:space="0" w:color="000000"/>
              <w:right w:val="single" w:sz="6" w:space="0" w:color="FFFFFF"/>
            </w:tcBorders>
            <w:noWrap/>
          </w:tcPr>
          <w:p w14:paraId="61A5126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608-614</w:t>
            </w:r>
          </w:p>
          <w:p w14:paraId="14BFF31B"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RADIO ASTRONOMY</w:t>
            </w:r>
          </w:p>
          <w:p w14:paraId="22DE05B0"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Mobile-satellite except aeronautical</w:t>
            </w:r>
          </w:p>
          <w:p w14:paraId="3A8CF13A"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 xml:space="preserve">   mobile-satellite (Earth-to-space)</w:t>
            </w:r>
          </w:p>
        </w:tc>
        <w:tc>
          <w:tcPr>
            <w:tcW w:w="2260" w:type="dxa"/>
            <w:vMerge/>
            <w:tcBorders>
              <w:left w:val="single" w:sz="6" w:space="0" w:color="000000"/>
              <w:bottom w:val="nil"/>
              <w:right w:val="double" w:sz="6" w:space="0" w:color="auto"/>
            </w:tcBorders>
            <w:noWrap/>
            <w:vAlign w:val="bottom"/>
          </w:tcPr>
          <w:p w14:paraId="4C0F121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681" w:type="dxa"/>
            <w:gridSpan w:val="2"/>
            <w:tcBorders>
              <w:top w:val="single" w:sz="6" w:space="0" w:color="000000"/>
              <w:left w:val="double" w:sz="6" w:space="0" w:color="auto"/>
              <w:bottom w:val="nil"/>
              <w:right w:val="double" w:sz="6" w:space="0" w:color="auto"/>
            </w:tcBorders>
            <w:noWrap/>
          </w:tcPr>
          <w:p w14:paraId="7934E16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608-614</w:t>
            </w:r>
          </w:p>
          <w:p w14:paraId="7CB8145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LAND MOBILE (medical telemetry and medical telecommand)</w:t>
            </w:r>
          </w:p>
          <w:p w14:paraId="3CF14B6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RADIO ASTRONOMY  US74</w:t>
            </w:r>
          </w:p>
        </w:tc>
        <w:tc>
          <w:tcPr>
            <w:tcW w:w="2314" w:type="dxa"/>
            <w:vMerge w:val="restart"/>
            <w:tcBorders>
              <w:top w:val="single" w:sz="6" w:space="0" w:color="000000"/>
              <w:left w:val="double" w:sz="6" w:space="0" w:color="auto"/>
              <w:bottom w:val="nil"/>
              <w:right w:val="nil"/>
            </w:tcBorders>
            <w:noWrap/>
          </w:tcPr>
          <w:p w14:paraId="0FE6D41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5631AC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Personal Radio (95)</w:t>
            </w:r>
          </w:p>
        </w:tc>
      </w:tr>
      <w:tr w:rsidR="002D48D4" w:rsidRPr="00FD2A75" w14:paraId="2F18E78A" w14:textId="77777777" w:rsidTr="00462DA2">
        <w:trPr>
          <w:trHeight w:val="65"/>
        </w:trPr>
        <w:tc>
          <w:tcPr>
            <w:tcW w:w="2173" w:type="dxa"/>
            <w:vMerge/>
            <w:tcBorders>
              <w:left w:val="nil"/>
              <w:right w:val="single" w:sz="6" w:space="0" w:color="auto"/>
            </w:tcBorders>
            <w:shd w:val="clear" w:color="auto" w:fill="auto"/>
            <w:noWrap/>
          </w:tcPr>
          <w:p w14:paraId="30348217" w14:textId="77777777" w:rsidR="002D48D4" w:rsidRPr="00FD2A75" w:rsidRDefault="002D48D4" w:rsidP="00556FFB">
            <w:pPr>
              <w:widowControl/>
              <w:suppressAutoHyphens/>
              <w:rPr>
                <w:rFonts w:ascii="Arial Narrow" w:hAnsi="Arial Narrow"/>
                <w:sz w:val="17"/>
              </w:rPr>
            </w:pPr>
          </w:p>
        </w:tc>
        <w:tc>
          <w:tcPr>
            <w:tcW w:w="2380" w:type="dxa"/>
            <w:vMerge/>
            <w:tcBorders>
              <w:top w:val="single" w:sz="6" w:space="0" w:color="auto"/>
              <w:left w:val="single" w:sz="6" w:space="0" w:color="auto"/>
              <w:bottom w:val="single" w:sz="6" w:space="0" w:color="000000"/>
              <w:right w:val="single" w:sz="6" w:space="0" w:color="FFFFFF"/>
            </w:tcBorders>
            <w:noWrap/>
            <w:vAlign w:val="center"/>
          </w:tcPr>
          <w:p w14:paraId="696F7C01" w14:textId="77777777" w:rsidR="002D48D4" w:rsidRPr="00FD2A75" w:rsidRDefault="002D48D4" w:rsidP="00556FFB">
            <w:pPr>
              <w:widowControl/>
              <w:suppressAutoHyphens/>
              <w:rPr>
                <w:rFonts w:ascii="Arial Narrow" w:hAnsi="Arial Narrow"/>
                <w:sz w:val="17"/>
              </w:rPr>
            </w:pPr>
          </w:p>
        </w:tc>
        <w:tc>
          <w:tcPr>
            <w:tcW w:w="2260" w:type="dxa"/>
            <w:tcBorders>
              <w:top w:val="single" w:sz="6" w:space="0" w:color="000000"/>
              <w:left w:val="single" w:sz="6" w:space="0" w:color="000000"/>
              <w:right w:val="double" w:sz="6" w:space="0" w:color="auto"/>
            </w:tcBorders>
            <w:shd w:val="clear" w:color="auto" w:fill="auto"/>
            <w:noWrap/>
          </w:tcPr>
          <w:p w14:paraId="74F50F6C"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610-890</w:t>
            </w:r>
          </w:p>
          <w:p w14:paraId="785D9300"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FIXED</w:t>
            </w:r>
          </w:p>
          <w:p w14:paraId="38DD4F13"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FD2A75">
              <w:rPr>
                <w:rFonts w:ascii="Arial Narrow" w:hAnsi="Arial Narrow"/>
                <w:sz w:val="17"/>
              </w:rPr>
              <w:t>MOBILE  5.313A  5.317A</w:t>
            </w:r>
          </w:p>
          <w:p w14:paraId="1D2F7148" w14:textId="77777777" w:rsidR="002D48D4" w:rsidRPr="00FD2A75" w:rsidRDefault="002D48D4" w:rsidP="00556FFB">
            <w:pPr>
              <w:widowControl/>
              <w:tabs>
                <w:tab w:val="left" w:pos="1440"/>
              </w:tabs>
              <w:suppressAutoHyphens/>
              <w:jc w:val="both"/>
              <w:rPr>
                <w:rFonts w:ascii="Arial Narrow" w:hAnsi="Arial Narrow"/>
                <w:sz w:val="17"/>
                <w:szCs w:val="17"/>
              </w:rPr>
            </w:pPr>
            <w:r w:rsidRPr="00FD2A75">
              <w:rPr>
                <w:rFonts w:ascii="Arial Narrow" w:hAnsi="Arial Narrow"/>
                <w:sz w:val="17"/>
              </w:rPr>
              <w:t>BROADCASTING</w:t>
            </w:r>
          </w:p>
        </w:tc>
        <w:tc>
          <w:tcPr>
            <w:tcW w:w="4681" w:type="dxa"/>
            <w:gridSpan w:val="2"/>
            <w:tcBorders>
              <w:left w:val="double" w:sz="6" w:space="0" w:color="auto"/>
              <w:bottom w:val="single" w:sz="6" w:space="0" w:color="000000"/>
              <w:right w:val="double" w:sz="6" w:space="0" w:color="auto"/>
            </w:tcBorders>
            <w:noWrap/>
            <w:vAlign w:val="bottom"/>
          </w:tcPr>
          <w:p w14:paraId="4019A7C8"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US246</w:t>
            </w:r>
          </w:p>
        </w:tc>
        <w:tc>
          <w:tcPr>
            <w:tcW w:w="2314" w:type="dxa"/>
            <w:vMerge/>
            <w:tcBorders>
              <w:left w:val="double" w:sz="6" w:space="0" w:color="auto"/>
              <w:bottom w:val="single" w:sz="6" w:space="0" w:color="000000"/>
              <w:right w:val="nil"/>
            </w:tcBorders>
            <w:noWrap/>
            <w:vAlign w:val="center"/>
          </w:tcPr>
          <w:p w14:paraId="33466837" w14:textId="77777777" w:rsidR="002D48D4" w:rsidRPr="00FD2A75" w:rsidRDefault="002D48D4" w:rsidP="00556FFB">
            <w:pPr>
              <w:widowControl/>
              <w:suppressAutoHyphens/>
              <w:rPr>
                <w:rFonts w:ascii="Arial Narrow" w:hAnsi="Arial Narrow"/>
                <w:sz w:val="17"/>
              </w:rPr>
            </w:pPr>
          </w:p>
        </w:tc>
      </w:tr>
    </w:tbl>
    <w:p w14:paraId="69775FA3" w14:textId="77777777" w:rsidR="002D48D4" w:rsidRPr="00FD2A75" w:rsidRDefault="002D48D4" w:rsidP="00556FFB">
      <w:pPr>
        <w:widowControl/>
        <w:suppressAutoHyphens/>
        <w:spacing w:line="14" w:lineRule="auto"/>
      </w:pPr>
    </w:p>
    <w:tbl>
      <w:tblPr>
        <w:tblW w:w="5000" w:type="pct"/>
        <w:tblLayout w:type="fixed"/>
        <w:tblCellMar>
          <w:left w:w="58" w:type="dxa"/>
          <w:right w:w="0" w:type="dxa"/>
        </w:tblCellMar>
        <w:tblLook w:val="0000" w:firstRow="0" w:lastRow="0" w:firstColumn="0" w:lastColumn="0" w:noHBand="0" w:noVBand="0"/>
      </w:tblPr>
      <w:tblGrid>
        <w:gridCol w:w="2162"/>
        <w:gridCol w:w="2368"/>
        <w:gridCol w:w="2249"/>
        <w:gridCol w:w="2171"/>
        <w:gridCol w:w="2486"/>
        <w:gridCol w:w="2302"/>
      </w:tblGrid>
      <w:tr w:rsidR="002D48D4" w:rsidRPr="00FD2A75" w14:paraId="3BFE6028" w14:textId="77777777" w:rsidTr="00462DA2">
        <w:trPr>
          <w:trHeight w:val="390"/>
        </w:trPr>
        <w:tc>
          <w:tcPr>
            <w:tcW w:w="2162" w:type="dxa"/>
            <w:vMerge w:val="restart"/>
            <w:tcBorders>
              <w:left w:val="nil"/>
              <w:right w:val="single" w:sz="6" w:space="0" w:color="auto"/>
            </w:tcBorders>
            <w:shd w:val="clear" w:color="auto" w:fill="auto"/>
            <w:noWrap/>
            <w:vAlign w:val="bottom"/>
          </w:tcPr>
          <w:p w14:paraId="239CED7F" w14:textId="77777777" w:rsidR="002D48D4" w:rsidRPr="00FD2A75" w:rsidRDefault="002D48D4" w:rsidP="00556FFB">
            <w:pPr>
              <w:widowControl/>
              <w:tabs>
                <w:tab w:val="left" w:pos="1440"/>
              </w:tabs>
              <w:suppressAutoHyphens/>
              <w:ind w:left="-63"/>
              <w:rPr>
                <w:rFonts w:ascii="Arial Narrow" w:hAnsi="Arial Narrow"/>
                <w:sz w:val="17"/>
              </w:rPr>
            </w:pPr>
            <w:r w:rsidRPr="00FD2A75">
              <w:rPr>
                <w:rFonts w:ascii="Arial Narrow" w:hAnsi="Arial Narrow"/>
                <w:sz w:val="17"/>
              </w:rPr>
              <w:t>5.149  5.291A  5.294  5.296</w:t>
            </w:r>
          </w:p>
          <w:p w14:paraId="564FEF96" w14:textId="77777777" w:rsidR="002D48D4" w:rsidRPr="00FD2A75" w:rsidRDefault="002D48D4" w:rsidP="00556FFB">
            <w:pPr>
              <w:widowControl/>
              <w:tabs>
                <w:tab w:val="left" w:pos="1440"/>
              </w:tabs>
              <w:suppressAutoHyphens/>
              <w:ind w:left="-63"/>
              <w:rPr>
                <w:rFonts w:ascii="Arial Narrow" w:hAnsi="Arial Narrow"/>
                <w:sz w:val="17"/>
              </w:rPr>
            </w:pPr>
            <w:r w:rsidRPr="00FD2A75">
              <w:rPr>
                <w:rFonts w:ascii="Arial Narrow" w:hAnsi="Arial Narrow"/>
                <w:sz w:val="17"/>
              </w:rPr>
              <w:t>5.300  5.304  5.306  5.311A</w:t>
            </w:r>
          </w:p>
          <w:p w14:paraId="53A72E26" w14:textId="77777777" w:rsidR="002D48D4" w:rsidRPr="00FD2A75" w:rsidRDefault="002D48D4" w:rsidP="00556FFB">
            <w:pPr>
              <w:widowControl/>
              <w:suppressAutoHyphens/>
              <w:spacing w:line="204" w:lineRule="auto"/>
              <w:ind w:left="-63"/>
              <w:rPr>
                <w:rFonts w:ascii="Arial Narrow" w:hAnsi="Arial Narrow"/>
                <w:sz w:val="17"/>
              </w:rPr>
            </w:pPr>
            <w:r w:rsidRPr="00FD2A75">
              <w:rPr>
                <w:rFonts w:ascii="Arial Narrow" w:hAnsi="Arial Narrow"/>
                <w:sz w:val="17"/>
              </w:rPr>
              <w:t>5.312  5.312A</w:t>
            </w:r>
          </w:p>
        </w:tc>
        <w:tc>
          <w:tcPr>
            <w:tcW w:w="2368" w:type="dxa"/>
            <w:tcBorders>
              <w:top w:val="single" w:sz="6" w:space="0" w:color="auto"/>
              <w:left w:val="single" w:sz="6" w:space="0" w:color="auto"/>
              <w:bottom w:val="single" w:sz="6" w:space="0" w:color="auto"/>
              <w:right w:val="single" w:sz="6" w:space="0" w:color="000000"/>
            </w:tcBorders>
            <w:shd w:val="clear" w:color="auto" w:fill="auto"/>
            <w:noWrap/>
          </w:tcPr>
          <w:p w14:paraId="4FA24DC8"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614-698</w:t>
            </w:r>
          </w:p>
          <w:p w14:paraId="208ED3A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BROADCASTING</w:t>
            </w:r>
          </w:p>
          <w:p w14:paraId="225AEAB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Fixed</w:t>
            </w:r>
          </w:p>
          <w:p w14:paraId="14EB2CAD" w14:textId="77777777" w:rsidR="002D48D4" w:rsidRPr="00FD2A75" w:rsidRDefault="002D48D4" w:rsidP="00556FFB">
            <w:pPr>
              <w:widowControl/>
              <w:tabs>
                <w:tab w:val="left" w:pos="1440"/>
              </w:tabs>
              <w:suppressAutoHyphens/>
              <w:jc w:val="both"/>
              <w:rPr>
                <w:rFonts w:ascii="Arial Narrow" w:hAnsi="Arial Narrow"/>
                <w:sz w:val="17"/>
              </w:rPr>
            </w:pPr>
            <w:r w:rsidRPr="00FD2A75">
              <w:rPr>
                <w:rFonts w:ascii="Arial Narrow" w:hAnsi="Arial Narrow"/>
                <w:sz w:val="17"/>
              </w:rPr>
              <w:t>Mobile</w:t>
            </w:r>
          </w:p>
          <w:p w14:paraId="1D1D932F" w14:textId="77777777" w:rsidR="002D48D4" w:rsidRPr="00FD2A75" w:rsidRDefault="002D48D4" w:rsidP="00556FFB">
            <w:pPr>
              <w:widowControl/>
              <w:tabs>
                <w:tab w:val="left" w:pos="1440"/>
              </w:tabs>
              <w:suppressAutoHyphens/>
              <w:spacing w:line="168" w:lineRule="auto"/>
              <w:jc w:val="both"/>
              <w:rPr>
                <w:rFonts w:ascii="Arial Narrow" w:hAnsi="Arial Narrow"/>
                <w:sz w:val="17"/>
              </w:rPr>
            </w:pPr>
          </w:p>
          <w:p w14:paraId="12A43D9B"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FD2A75">
              <w:rPr>
                <w:rFonts w:ascii="Arial Narrow" w:hAnsi="Arial Narrow"/>
                <w:sz w:val="17"/>
              </w:rPr>
              <w:t>5.293  5.309  5.311A</w:t>
            </w:r>
          </w:p>
        </w:tc>
        <w:tc>
          <w:tcPr>
            <w:tcW w:w="2249" w:type="dxa"/>
            <w:vMerge w:val="restart"/>
            <w:tcBorders>
              <w:left w:val="single" w:sz="6" w:space="0" w:color="000000"/>
              <w:right w:val="double" w:sz="6" w:space="0" w:color="auto"/>
            </w:tcBorders>
            <w:shd w:val="clear" w:color="auto" w:fill="auto"/>
            <w:noWrap/>
          </w:tcPr>
          <w:p w14:paraId="41DC1A6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171" w:type="dxa"/>
            <w:tcBorders>
              <w:top w:val="single" w:sz="6" w:space="0" w:color="auto"/>
              <w:left w:val="nil"/>
              <w:bottom w:val="single" w:sz="6" w:space="0" w:color="auto"/>
              <w:right w:val="single" w:sz="6" w:space="0" w:color="auto"/>
            </w:tcBorders>
            <w:shd w:val="clear" w:color="auto" w:fill="auto"/>
            <w:noWrap/>
          </w:tcPr>
          <w:p w14:paraId="33ECE87C"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614-698</w:t>
            </w:r>
          </w:p>
        </w:tc>
        <w:tc>
          <w:tcPr>
            <w:tcW w:w="2486" w:type="dxa"/>
            <w:tcBorders>
              <w:top w:val="single" w:sz="6" w:space="0" w:color="auto"/>
              <w:left w:val="single" w:sz="6" w:space="0" w:color="auto"/>
              <w:bottom w:val="single" w:sz="6" w:space="0" w:color="auto"/>
              <w:right w:val="double" w:sz="6" w:space="0" w:color="auto"/>
            </w:tcBorders>
            <w:shd w:val="clear" w:color="auto" w:fill="auto"/>
            <w:noWrap/>
          </w:tcPr>
          <w:p w14:paraId="229FB07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614-698</w:t>
            </w:r>
          </w:p>
          <w:p w14:paraId="6340BF4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FIXED</w:t>
            </w:r>
          </w:p>
          <w:p w14:paraId="45F62982" w14:textId="77777777" w:rsidR="002D48D4"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MOBILE</w:t>
            </w:r>
          </w:p>
          <w:p w14:paraId="0FA3349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325994B"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14:paraId="54767F34" w14:textId="77777777" w:rsidR="002D48D4" w:rsidRPr="00FD2A75" w:rsidRDefault="003C506C"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NG5  </w:t>
            </w:r>
            <w:r w:rsidR="009B061D">
              <w:rPr>
                <w:rFonts w:ascii="Arial Narrow" w:hAnsi="Arial Narrow"/>
                <w:sz w:val="17"/>
              </w:rPr>
              <w:t xml:space="preserve">NG14  </w:t>
            </w:r>
            <w:r w:rsidR="002D48D4">
              <w:rPr>
                <w:rFonts w:ascii="Arial Narrow" w:hAnsi="Arial Narrow"/>
                <w:sz w:val="17"/>
              </w:rPr>
              <w:t>NG33  NG115</w:t>
            </w:r>
            <w:r w:rsidR="003F0040">
              <w:rPr>
                <w:rFonts w:ascii="Arial Narrow" w:hAnsi="Arial Narrow"/>
                <w:sz w:val="17"/>
              </w:rPr>
              <w:t xml:space="preserve">  NG149</w:t>
            </w:r>
          </w:p>
        </w:tc>
        <w:tc>
          <w:tcPr>
            <w:tcW w:w="2302" w:type="dxa"/>
            <w:tcBorders>
              <w:top w:val="single" w:sz="6" w:space="0" w:color="auto"/>
              <w:left w:val="double" w:sz="6" w:space="0" w:color="auto"/>
              <w:bottom w:val="single" w:sz="6" w:space="0" w:color="auto"/>
            </w:tcBorders>
            <w:noWrap/>
          </w:tcPr>
          <w:p w14:paraId="60FAC72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FB63AA5" w14:textId="77777777" w:rsidR="00FD4C66" w:rsidRDefault="00FD4C66" w:rsidP="00556FFB">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Pr>
                <w:rFonts w:ascii="Arial Narrow" w:hAnsi="Arial Narrow"/>
                <w:sz w:val="17"/>
                <w:szCs w:val="17"/>
              </w:rPr>
              <w:t>RF Devices (15)</w:t>
            </w:r>
          </w:p>
          <w:p w14:paraId="5CF496DE" w14:textId="77777777" w:rsidR="002D48D4" w:rsidRPr="00FD2A75" w:rsidRDefault="002D48D4" w:rsidP="00556FFB">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Wireless Communications (27)</w:t>
            </w:r>
          </w:p>
          <w:p w14:paraId="2E4CB51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LPTV, TV Translator/Booster (74G)</w:t>
            </w:r>
          </w:p>
          <w:p w14:paraId="4FCB0EAA" w14:textId="77777777" w:rsidR="00A067A7" w:rsidRPr="00FD2A75" w:rsidRDefault="002D48D4" w:rsidP="00556FFB">
            <w:pPr>
              <w:widowControl/>
              <w:suppressAutoHyphens/>
              <w:rPr>
                <w:rFonts w:ascii="Arial Narrow" w:hAnsi="Arial Narrow"/>
                <w:sz w:val="17"/>
              </w:rPr>
            </w:pPr>
            <w:r w:rsidRPr="00FD2A75">
              <w:rPr>
                <w:rFonts w:ascii="Arial Narrow" w:hAnsi="Arial Narrow"/>
                <w:sz w:val="17"/>
              </w:rPr>
              <w:t>Low Power Auxiliary (74H)</w:t>
            </w:r>
          </w:p>
        </w:tc>
      </w:tr>
      <w:tr w:rsidR="002D48D4" w:rsidRPr="00FD2A75" w14:paraId="0BE632BB" w14:textId="77777777" w:rsidTr="00462DA2">
        <w:trPr>
          <w:trHeight w:val="1020"/>
        </w:trPr>
        <w:tc>
          <w:tcPr>
            <w:tcW w:w="2162" w:type="dxa"/>
            <w:vMerge/>
            <w:tcBorders>
              <w:left w:val="nil"/>
              <w:right w:val="single" w:sz="6" w:space="0" w:color="auto"/>
            </w:tcBorders>
            <w:shd w:val="clear" w:color="auto" w:fill="auto"/>
            <w:noWrap/>
            <w:vAlign w:val="bottom"/>
          </w:tcPr>
          <w:p w14:paraId="28BBB48D" w14:textId="77777777" w:rsidR="002D48D4" w:rsidRPr="00FD2A75" w:rsidRDefault="002D48D4" w:rsidP="00556FFB">
            <w:pPr>
              <w:widowControl/>
              <w:suppressAutoHyphens/>
              <w:spacing w:line="204" w:lineRule="auto"/>
              <w:ind w:left="-63"/>
              <w:rPr>
                <w:rFonts w:ascii="Arial Narrow" w:hAnsi="Arial Narrow"/>
                <w:sz w:val="17"/>
              </w:rPr>
            </w:pPr>
          </w:p>
        </w:tc>
        <w:tc>
          <w:tcPr>
            <w:tcW w:w="2368" w:type="dxa"/>
            <w:vMerge w:val="restart"/>
            <w:tcBorders>
              <w:top w:val="single" w:sz="6" w:space="0" w:color="000000"/>
              <w:left w:val="single" w:sz="6" w:space="0" w:color="auto"/>
              <w:right w:val="single" w:sz="6" w:space="0" w:color="FFFFFF"/>
            </w:tcBorders>
            <w:shd w:val="clear" w:color="auto" w:fill="auto"/>
            <w:noWrap/>
          </w:tcPr>
          <w:p w14:paraId="440A4CC7" w14:textId="77777777" w:rsidR="002D48D4" w:rsidRPr="00FD2A75" w:rsidRDefault="002D48D4" w:rsidP="00556FFB">
            <w:pPr>
              <w:widowControl/>
              <w:tabs>
                <w:tab w:val="left" w:pos="1440"/>
              </w:tabs>
              <w:suppressAutoHyphens/>
              <w:jc w:val="both"/>
              <w:rPr>
                <w:rFonts w:ascii="Arial Narrow" w:hAnsi="Arial Narrow"/>
                <w:sz w:val="17"/>
                <w:szCs w:val="17"/>
              </w:rPr>
            </w:pPr>
            <w:r w:rsidRPr="00FD2A75">
              <w:rPr>
                <w:rFonts w:ascii="Arial Narrow" w:hAnsi="Arial Narrow"/>
                <w:sz w:val="17"/>
                <w:szCs w:val="17"/>
              </w:rPr>
              <w:t>698-806</w:t>
            </w:r>
          </w:p>
          <w:p w14:paraId="5A305A0A" w14:textId="77777777" w:rsidR="002D48D4" w:rsidRPr="00FD2A75" w:rsidRDefault="002D48D4" w:rsidP="00556FFB">
            <w:pPr>
              <w:widowControl/>
              <w:tabs>
                <w:tab w:val="left" w:pos="1440"/>
              </w:tabs>
              <w:suppressAutoHyphens/>
              <w:jc w:val="both"/>
              <w:rPr>
                <w:rFonts w:ascii="Arial Narrow" w:hAnsi="Arial Narrow"/>
                <w:sz w:val="17"/>
                <w:szCs w:val="17"/>
              </w:rPr>
            </w:pPr>
            <w:r w:rsidRPr="00FD2A75">
              <w:rPr>
                <w:rFonts w:ascii="Arial Narrow" w:hAnsi="Arial Narrow"/>
                <w:sz w:val="17"/>
                <w:szCs w:val="17"/>
              </w:rPr>
              <w:t>MOBILE  5.313B  5.317A</w:t>
            </w:r>
          </w:p>
          <w:p w14:paraId="0BFB131E" w14:textId="77777777" w:rsidR="002D48D4" w:rsidRPr="00FD2A75" w:rsidRDefault="002D48D4" w:rsidP="00556FFB">
            <w:pPr>
              <w:widowControl/>
              <w:tabs>
                <w:tab w:val="left" w:pos="1440"/>
              </w:tabs>
              <w:suppressAutoHyphens/>
              <w:jc w:val="both"/>
              <w:rPr>
                <w:rFonts w:ascii="Arial Narrow" w:hAnsi="Arial Narrow"/>
                <w:sz w:val="17"/>
                <w:szCs w:val="17"/>
              </w:rPr>
            </w:pPr>
            <w:r w:rsidRPr="00FD2A75">
              <w:rPr>
                <w:rFonts w:ascii="Arial Narrow" w:hAnsi="Arial Narrow"/>
                <w:sz w:val="17"/>
                <w:szCs w:val="17"/>
              </w:rPr>
              <w:t>BROADCASTING</w:t>
            </w:r>
          </w:p>
          <w:p w14:paraId="3A192570" w14:textId="77777777" w:rsidR="002D48D4" w:rsidRPr="00FD2A75" w:rsidRDefault="002D48D4" w:rsidP="00556FFB">
            <w:pPr>
              <w:widowControl/>
              <w:tabs>
                <w:tab w:val="left" w:pos="1440"/>
              </w:tabs>
              <w:suppressAutoHyphens/>
              <w:jc w:val="both"/>
              <w:rPr>
                <w:rFonts w:ascii="Arial Narrow" w:hAnsi="Arial Narrow"/>
                <w:sz w:val="17"/>
                <w:szCs w:val="17"/>
              </w:rPr>
            </w:pPr>
            <w:r w:rsidRPr="00FD2A75">
              <w:rPr>
                <w:rFonts w:ascii="Arial Narrow" w:hAnsi="Arial Narrow"/>
                <w:sz w:val="17"/>
                <w:szCs w:val="17"/>
              </w:rPr>
              <w:t>Fixed</w:t>
            </w:r>
          </w:p>
        </w:tc>
        <w:tc>
          <w:tcPr>
            <w:tcW w:w="2249" w:type="dxa"/>
            <w:vMerge/>
            <w:tcBorders>
              <w:left w:val="single" w:sz="6" w:space="0" w:color="000000"/>
              <w:right w:val="double" w:sz="6" w:space="0" w:color="auto"/>
            </w:tcBorders>
            <w:shd w:val="clear" w:color="auto" w:fill="auto"/>
            <w:noWrap/>
          </w:tcPr>
          <w:p w14:paraId="71BE14B9" w14:textId="77777777" w:rsidR="002D48D4" w:rsidRPr="00FD2A75" w:rsidRDefault="002D48D4" w:rsidP="00556FFB">
            <w:pPr>
              <w:widowControl/>
              <w:tabs>
                <w:tab w:val="left" w:pos="1440"/>
              </w:tabs>
              <w:suppressAutoHyphens/>
              <w:jc w:val="both"/>
              <w:rPr>
                <w:rFonts w:ascii="Arial Narrow" w:hAnsi="Arial Narrow"/>
                <w:sz w:val="17"/>
                <w:szCs w:val="17"/>
              </w:rPr>
            </w:pPr>
          </w:p>
        </w:tc>
        <w:tc>
          <w:tcPr>
            <w:tcW w:w="2171" w:type="dxa"/>
            <w:tcBorders>
              <w:top w:val="single" w:sz="6" w:space="0" w:color="auto"/>
              <w:left w:val="double" w:sz="6" w:space="0" w:color="auto"/>
              <w:bottom w:val="single" w:sz="6" w:space="0" w:color="auto"/>
              <w:right w:val="single" w:sz="6" w:space="0" w:color="auto"/>
            </w:tcBorders>
            <w:noWrap/>
          </w:tcPr>
          <w:p w14:paraId="242DF1A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698-758</w:t>
            </w:r>
          </w:p>
        </w:tc>
        <w:tc>
          <w:tcPr>
            <w:tcW w:w="2486" w:type="dxa"/>
            <w:tcBorders>
              <w:top w:val="single" w:sz="6" w:space="0" w:color="000000"/>
              <w:left w:val="single" w:sz="6" w:space="0" w:color="auto"/>
              <w:bottom w:val="single" w:sz="6" w:space="0" w:color="auto"/>
              <w:right w:val="single" w:sz="6" w:space="0" w:color="FFFFFF"/>
            </w:tcBorders>
            <w:noWrap/>
          </w:tcPr>
          <w:p w14:paraId="119C2B4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698-758</w:t>
            </w:r>
          </w:p>
          <w:p w14:paraId="2F34D83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FIXED</w:t>
            </w:r>
          </w:p>
          <w:p w14:paraId="1957DA9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MOBILE</w:t>
            </w:r>
          </w:p>
          <w:p w14:paraId="5A69FBE4"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BROADCASTING</w:t>
            </w:r>
          </w:p>
          <w:p w14:paraId="2EF151A4"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AD5C50F"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NG159</w:t>
            </w:r>
          </w:p>
        </w:tc>
        <w:tc>
          <w:tcPr>
            <w:tcW w:w="2302" w:type="dxa"/>
            <w:tcBorders>
              <w:top w:val="single" w:sz="6" w:space="0" w:color="000000"/>
              <w:left w:val="double" w:sz="6" w:space="0" w:color="000000"/>
              <w:bottom w:val="single" w:sz="6" w:space="0" w:color="000000"/>
              <w:right w:val="nil"/>
            </w:tcBorders>
            <w:noWrap/>
          </w:tcPr>
          <w:p w14:paraId="75F5D16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26F271E" w14:textId="77777777" w:rsidR="002D48D4" w:rsidRPr="00FD2A75" w:rsidRDefault="002D48D4" w:rsidP="00556FFB">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Wireless Communications (27)</w:t>
            </w:r>
          </w:p>
          <w:p w14:paraId="2D3CADD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LPTV and TV Translator (74G)</w:t>
            </w:r>
          </w:p>
        </w:tc>
      </w:tr>
      <w:tr w:rsidR="002D48D4" w:rsidRPr="00FD2A75" w14:paraId="5AA674D9" w14:textId="77777777" w:rsidTr="00462DA2">
        <w:tc>
          <w:tcPr>
            <w:tcW w:w="2162" w:type="dxa"/>
            <w:vMerge/>
            <w:tcBorders>
              <w:left w:val="nil"/>
              <w:right w:val="single" w:sz="6" w:space="0" w:color="auto"/>
            </w:tcBorders>
            <w:shd w:val="clear" w:color="auto" w:fill="auto"/>
            <w:noWrap/>
          </w:tcPr>
          <w:p w14:paraId="1934DBB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tc>
        <w:tc>
          <w:tcPr>
            <w:tcW w:w="2368" w:type="dxa"/>
            <w:vMerge/>
            <w:tcBorders>
              <w:left w:val="single" w:sz="6" w:space="0" w:color="auto"/>
              <w:right w:val="single" w:sz="6" w:space="0" w:color="FFFFFF"/>
            </w:tcBorders>
            <w:noWrap/>
            <w:vAlign w:val="bottom"/>
          </w:tcPr>
          <w:p w14:paraId="1BDCF224" w14:textId="77777777" w:rsidR="002D48D4" w:rsidRPr="00FD2A75" w:rsidRDefault="002D48D4" w:rsidP="00556FFB">
            <w:pPr>
              <w:widowControl/>
              <w:suppressAutoHyphens/>
              <w:rPr>
                <w:rFonts w:ascii="Arial Narrow" w:hAnsi="Arial Narrow"/>
                <w:sz w:val="17"/>
              </w:rPr>
            </w:pPr>
          </w:p>
        </w:tc>
        <w:tc>
          <w:tcPr>
            <w:tcW w:w="2249" w:type="dxa"/>
            <w:vMerge/>
            <w:tcBorders>
              <w:left w:val="single" w:sz="6" w:space="0" w:color="000000"/>
              <w:right w:val="double" w:sz="6" w:space="0" w:color="auto"/>
            </w:tcBorders>
            <w:shd w:val="clear" w:color="auto" w:fill="auto"/>
            <w:noWrap/>
          </w:tcPr>
          <w:p w14:paraId="06420495"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171" w:type="dxa"/>
            <w:tcBorders>
              <w:top w:val="single" w:sz="6" w:space="0" w:color="auto"/>
              <w:left w:val="double" w:sz="6" w:space="0" w:color="auto"/>
              <w:bottom w:val="single" w:sz="6" w:space="0" w:color="auto"/>
              <w:right w:val="single" w:sz="6" w:space="0" w:color="auto"/>
            </w:tcBorders>
            <w:shd w:val="clear" w:color="auto" w:fill="auto"/>
            <w:noWrap/>
          </w:tcPr>
          <w:p w14:paraId="2DB66FC4"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758-775</w:t>
            </w:r>
          </w:p>
        </w:tc>
        <w:tc>
          <w:tcPr>
            <w:tcW w:w="2486" w:type="dxa"/>
            <w:tcBorders>
              <w:top w:val="single" w:sz="6" w:space="0" w:color="auto"/>
              <w:left w:val="single" w:sz="6" w:space="0" w:color="auto"/>
              <w:bottom w:val="single" w:sz="6" w:space="0" w:color="auto"/>
              <w:right w:val="single" w:sz="6" w:space="0" w:color="FFFFFF"/>
            </w:tcBorders>
            <w:shd w:val="clear" w:color="auto" w:fill="auto"/>
            <w:noWrap/>
          </w:tcPr>
          <w:p w14:paraId="4AEA8F6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758-775</w:t>
            </w:r>
          </w:p>
          <w:p w14:paraId="238CADD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FIXED</w:t>
            </w:r>
          </w:p>
          <w:p w14:paraId="66F63D9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MOBILE</w:t>
            </w:r>
          </w:p>
          <w:p w14:paraId="0FA5A8F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14EEC48"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FD2A75">
              <w:rPr>
                <w:rFonts w:ascii="Arial Narrow" w:hAnsi="Arial Narrow"/>
                <w:sz w:val="17"/>
              </w:rPr>
              <w:t>NG34</w:t>
            </w:r>
            <w:r w:rsidRPr="00FD2A75">
              <w:rPr>
                <w:rFonts w:ascii="Arial Narrow" w:hAnsi="Arial Narrow"/>
                <w:sz w:val="17"/>
                <w:szCs w:val="17"/>
              </w:rPr>
              <w:t xml:space="preserve">  NG159</w:t>
            </w:r>
          </w:p>
        </w:tc>
        <w:tc>
          <w:tcPr>
            <w:tcW w:w="2302" w:type="dxa"/>
            <w:tcBorders>
              <w:top w:val="single" w:sz="6" w:space="0" w:color="000000"/>
              <w:left w:val="double" w:sz="6" w:space="0" w:color="000000"/>
              <w:bottom w:val="single" w:sz="6" w:space="0" w:color="auto"/>
              <w:right w:val="nil"/>
            </w:tcBorders>
            <w:shd w:val="clear" w:color="auto" w:fill="auto"/>
            <w:noWrap/>
          </w:tcPr>
          <w:p w14:paraId="2BCB71FB"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6E06C45"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Public Safety Land Mobile (90R)</w:t>
            </w:r>
          </w:p>
        </w:tc>
      </w:tr>
      <w:tr w:rsidR="002D48D4" w:rsidRPr="00FD2A75" w14:paraId="562282D6" w14:textId="77777777" w:rsidTr="00462DA2">
        <w:trPr>
          <w:trHeight w:val="930"/>
        </w:trPr>
        <w:tc>
          <w:tcPr>
            <w:tcW w:w="2162" w:type="dxa"/>
            <w:vMerge/>
            <w:tcBorders>
              <w:left w:val="nil"/>
              <w:bottom w:val="single" w:sz="6" w:space="0" w:color="FFFFFF"/>
              <w:right w:val="single" w:sz="6" w:space="0" w:color="auto"/>
            </w:tcBorders>
            <w:shd w:val="clear" w:color="auto" w:fill="auto"/>
            <w:noWrap/>
            <w:vAlign w:val="bottom"/>
          </w:tcPr>
          <w:p w14:paraId="3EDD843F"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63"/>
              <w:rPr>
                <w:rFonts w:ascii="Arial Narrow" w:hAnsi="Arial Narrow"/>
                <w:sz w:val="17"/>
              </w:rPr>
            </w:pPr>
          </w:p>
        </w:tc>
        <w:tc>
          <w:tcPr>
            <w:tcW w:w="2368" w:type="dxa"/>
            <w:vMerge/>
            <w:tcBorders>
              <w:left w:val="single" w:sz="6" w:space="0" w:color="auto"/>
              <w:right w:val="single" w:sz="6" w:space="0" w:color="FFFFFF"/>
            </w:tcBorders>
            <w:noWrap/>
            <w:vAlign w:val="bottom"/>
          </w:tcPr>
          <w:p w14:paraId="53272F71" w14:textId="77777777" w:rsidR="002D48D4" w:rsidRPr="00FD2A75" w:rsidRDefault="002D48D4" w:rsidP="00556FFB">
            <w:pPr>
              <w:widowControl/>
              <w:suppressAutoHyphens/>
              <w:rPr>
                <w:rFonts w:ascii="Arial Narrow" w:hAnsi="Arial Narrow"/>
                <w:sz w:val="17"/>
              </w:rPr>
            </w:pPr>
          </w:p>
        </w:tc>
        <w:tc>
          <w:tcPr>
            <w:tcW w:w="2249" w:type="dxa"/>
            <w:vMerge/>
            <w:tcBorders>
              <w:left w:val="single" w:sz="6" w:space="0" w:color="000000"/>
              <w:right w:val="double" w:sz="6" w:space="0" w:color="auto"/>
            </w:tcBorders>
            <w:shd w:val="clear" w:color="auto" w:fill="auto"/>
            <w:noWrap/>
            <w:vAlign w:val="bottom"/>
          </w:tcPr>
          <w:p w14:paraId="2153D1A0" w14:textId="77777777" w:rsidR="002D48D4" w:rsidRPr="00FD2A75" w:rsidRDefault="002D48D4" w:rsidP="00556FFB">
            <w:pPr>
              <w:widowControl/>
              <w:suppressAutoHyphens/>
              <w:rPr>
                <w:rFonts w:ascii="Arial Narrow" w:hAnsi="Arial Narrow"/>
                <w:sz w:val="17"/>
              </w:rPr>
            </w:pPr>
          </w:p>
        </w:tc>
        <w:tc>
          <w:tcPr>
            <w:tcW w:w="2171" w:type="dxa"/>
            <w:vMerge w:val="restart"/>
            <w:tcBorders>
              <w:top w:val="single" w:sz="6" w:space="0" w:color="auto"/>
              <w:left w:val="double" w:sz="6" w:space="0" w:color="auto"/>
              <w:right w:val="single" w:sz="6" w:space="0" w:color="auto"/>
            </w:tcBorders>
            <w:noWrap/>
          </w:tcPr>
          <w:p w14:paraId="279DBD38"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775-788</w:t>
            </w:r>
          </w:p>
        </w:tc>
        <w:tc>
          <w:tcPr>
            <w:tcW w:w="2486" w:type="dxa"/>
            <w:vMerge w:val="restart"/>
            <w:tcBorders>
              <w:top w:val="single" w:sz="6" w:space="0" w:color="auto"/>
              <w:left w:val="single" w:sz="6" w:space="0" w:color="auto"/>
              <w:right w:val="single" w:sz="6" w:space="0" w:color="FFFFFF"/>
            </w:tcBorders>
            <w:noWrap/>
          </w:tcPr>
          <w:p w14:paraId="6970DBD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775-788</w:t>
            </w:r>
          </w:p>
          <w:p w14:paraId="29AFBB4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FIXED</w:t>
            </w:r>
          </w:p>
          <w:p w14:paraId="55B04E4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MOBILE</w:t>
            </w:r>
          </w:p>
          <w:p w14:paraId="67B828E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BROADCASTING</w:t>
            </w:r>
          </w:p>
          <w:p w14:paraId="1F05EC5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14908A5"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FD2A75">
              <w:rPr>
                <w:rFonts w:ascii="Arial Narrow" w:hAnsi="Arial Narrow"/>
                <w:sz w:val="17"/>
                <w:szCs w:val="17"/>
              </w:rPr>
              <w:t>NG159</w:t>
            </w:r>
          </w:p>
        </w:tc>
        <w:tc>
          <w:tcPr>
            <w:tcW w:w="2302" w:type="dxa"/>
            <w:vMerge w:val="restart"/>
            <w:tcBorders>
              <w:top w:val="single" w:sz="6" w:space="0" w:color="auto"/>
              <w:left w:val="double" w:sz="6" w:space="0" w:color="000000"/>
              <w:bottom w:val="single" w:sz="6" w:space="0" w:color="auto"/>
            </w:tcBorders>
            <w:noWrap/>
          </w:tcPr>
          <w:p w14:paraId="29DD7484"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FCBA5E0" w14:textId="77777777" w:rsidR="002D48D4" w:rsidRPr="00FD2A75" w:rsidRDefault="002D48D4" w:rsidP="00556FFB">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Wireless Communications (27)</w:t>
            </w:r>
          </w:p>
          <w:p w14:paraId="32A74583" w14:textId="77777777" w:rsidR="002D48D4" w:rsidRPr="00FD2A75" w:rsidRDefault="002D48D4" w:rsidP="00556FFB">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LPTV and TV Translator (74G)</w:t>
            </w:r>
          </w:p>
        </w:tc>
      </w:tr>
      <w:tr w:rsidR="002D48D4" w:rsidRPr="00FD2A75" w14:paraId="63D1C0A3" w14:textId="77777777" w:rsidTr="00462DA2">
        <w:trPr>
          <w:trHeight w:val="225"/>
        </w:trPr>
        <w:tc>
          <w:tcPr>
            <w:tcW w:w="2162" w:type="dxa"/>
            <w:vMerge w:val="restart"/>
            <w:tcBorders>
              <w:top w:val="single" w:sz="6" w:space="0" w:color="000000"/>
              <w:left w:val="nil"/>
              <w:right w:val="single" w:sz="6" w:space="0" w:color="FFFFFF"/>
            </w:tcBorders>
            <w:noWrap/>
          </w:tcPr>
          <w:p w14:paraId="05023A3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FD2A75">
              <w:rPr>
                <w:rFonts w:ascii="Arial Narrow" w:hAnsi="Arial Narrow"/>
                <w:sz w:val="17"/>
              </w:rPr>
              <w:t>790-862</w:t>
            </w:r>
          </w:p>
          <w:p w14:paraId="417F133D" w14:textId="77777777" w:rsidR="002D48D4" w:rsidRPr="00FD2A75" w:rsidRDefault="002D48D4" w:rsidP="00556FFB">
            <w:pPr>
              <w:widowControl/>
              <w:suppressAutoHyphens/>
              <w:ind w:left="-63"/>
              <w:rPr>
                <w:rFonts w:ascii="Arial Narrow" w:hAnsi="Arial Narrow"/>
                <w:sz w:val="17"/>
              </w:rPr>
            </w:pPr>
            <w:r w:rsidRPr="00FD2A75">
              <w:rPr>
                <w:rFonts w:ascii="Arial Narrow" w:hAnsi="Arial Narrow"/>
                <w:sz w:val="17"/>
              </w:rPr>
              <w:t>FIXED</w:t>
            </w:r>
          </w:p>
          <w:p w14:paraId="4311CFCB" w14:textId="77777777" w:rsidR="002D48D4" w:rsidRPr="00FD2A75" w:rsidRDefault="002D48D4" w:rsidP="00556FFB">
            <w:pPr>
              <w:widowControl/>
              <w:suppressAutoHyphens/>
              <w:ind w:left="-63"/>
              <w:rPr>
                <w:rFonts w:ascii="Arial Narrow" w:hAnsi="Arial Narrow"/>
                <w:sz w:val="17"/>
              </w:rPr>
            </w:pPr>
            <w:r w:rsidRPr="00FD2A75">
              <w:rPr>
                <w:rFonts w:ascii="Arial Narrow" w:hAnsi="Arial Narrow"/>
                <w:sz w:val="17"/>
              </w:rPr>
              <w:t>MOBILE except aeronautical</w:t>
            </w:r>
          </w:p>
          <w:p w14:paraId="1D5D8746" w14:textId="77777777" w:rsidR="002D48D4" w:rsidRPr="00FD2A75" w:rsidRDefault="002D48D4" w:rsidP="00556FFB">
            <w:pPr>
              <w:widowControl/>
              <w:suppressAutoHyphens/>
              <w:spacing w:line="204" w:lineRule="auto"/>
              <w:ind w:left="-63"/>
              <w:rPr>
                <w:rFonts w:ascii="Arial Narrow" w:hAnsi="Arial Narrow"/>
                <w:sz w:val="17"/>
              </w:rPr>
            </w:pPr>
            <w:r w:rsidRPr="00FD2A75">
              <w:rPr>
                <w:rFonts w:ascii="Arial Narrow" w:hAnsi="Arial Narrow"/>
                <w:sz w:val="17"/>
              </w:rPr>
              <w:t xml:space="preserve">   mobile  5.316B  5.317A</w:t>
            </w:r>
          </w:p>
          <w:p w14:paraId="281B4AD1" w14:textId="77777777" w:rsidR="002D48D4" w:rsidRPr="00FD2A75" w:rsidRDefault="002D48D4" w:rsidP="00556FFB">
            <w:pPr>
              <w:widowControl/>
              <w:suppressAutoHyphens/>
              <w:ind w:left="-63"/>
              <w:rPr>
                <w:rFonts w:ascii="Arial Narrow" w:hAnsi="Arial Narrow"/>
                <w:sz w:val="17"/>
              </w:rPr>
            </w:pPr>
            <w:r w:rsidRPr="00FD2A75">
              <w:rPr>
                <w:rFonts w:ascii="Arial Narrow" w:hAnsi="Arial Narrow"/>
                <w:sz w:val="17"/>
              </w:rPr>
              <w:t>BROADCASTING</w:t>
            </w:r>
          </w:p>
        </w:tc>
        <w:tc>
          <w:tcPr>
            <w:tcW w:w="2368" w:type="dxa"/>
            <w:vMerge w:val="restart"/>
            <w:tcBorders>
              <w:left w:val="single" w:sz="6" w:space="0" w:color="000000"/>
              <w:right w:val="single" w:sz="6" w:space="0" w:color="000000"/>
            </w:tcBorders>
            <w:shd w:val="clear" w:color="auto" w:fill="auto"/>
            <w:noWrap/>
            <w:vAlign w:val="bottom"/>
          </w:tcPr>
          <w:p w14:paraId="3A120B38"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5.293  5.309  5.311A</w:t>
            </w:r>
          </w:p>
        </w:tc>
        <w:tc>
          <w:tcPr>
            <w:tcW w:w="2249" w:type="dxa"/>
            <w:vMerge/>
            <w:tcBorders>
              <w:left w:val="single" w:sz="6" w:space="0" w:color="000000"/>
              <w:right w:val="double" w:sz="6" w:space="0" w:color="auto"/>
            </w:tcBorders>
            <w:shd w:val="clear" w:color="auto" w:fill="auto"/>
            <w:noWrap/>
            <w:vAlign w:val="center"/>
          </w:tcPr>
          <w:p w14:paraId="61452E45" w14:textId="77777777" w:rsidR="002D48D4" w:rsidRPr="00FD2A75" w:rsidRDefault="002D48D4" w:rsidP="00556FFB">
            <w:pPr>
              <w:widowControl/>
              <w:suppressAutoHyphens/>
              <w:rPr>
                <w:rFonts w:ascii="Arial Narrow" w:hAnsi="Arial Narrow"/>
                <w:sz w:val="17"/>
              </w:rPr>
            </w:pPr>
          </w:p>
        </w:tc>
        <w:tc>
          <w:tcPr>
            <w:tcW w:w="2171" w:type="dxa"/>
            <w:vMerge/>
            <w:tcBorders>
              <w:left w:val="double" w:sz="6" w:space="0" w:color="auto"/>
              <w:bottom w:val="single" w:sz="6" w:space="0" w:color="auto"/>
              <w:right w:val="single" w:sz="6" w:space="0" w:color="auto"/>
            </w:tcBorders>
            <w:noWrap/>
          </w:tcPr>
          <w:p w14:paraId="360CFF7C" w14:textId="77777777" w:rsidR="002D48D4" w:rsidRPr="00FD2A75" w:rsidRDefault="002D48D4" w:rsidP="00556FFB">
            <w:pPr>
              <w:widowControl/>
              <w:suppressAutoHyphens/>
              <w:rPr>
                <w:rFonts w:ascii="Arial Narrow" w:hAnsi="Arial Narrow"/>
                <w:sz w:val="17"/>
              </w:rPr>
            </w:pPr>
          </w:p>
        </w:tc>
        <w:tc>
          <w:tcPr>
            <w:tcW w:w="2486" w:type="dxa"/>
            <w:vMerge/>
            <w:tcBorders>
              <w:left w:val="single" w:sz="6" w:space="0" w:color="auto"/>
              <w:bottom w:val="single" w:sz="6" w:space="0" w:color="auto"/>
              <w:right w:val="single" w:sz="6" w:space="0" w:color="FFFFFF"/>
            </w:tcBorders>
            <w:noWrap/>
            <w:vAlign w:val="bottom"/>
          </w:tcPr>
          <w:p w14:paraId="2BB1F98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302" w:type="dxa"/>
            <w:vMerge/>
            <w:tcBorders>
              <w:top w:val="single" w:sz="6" w:space="0" w:color="auto"/>
              <w:left w:val="double" w:sz="6" w:space="0" w:color="000000"/>
              <w:bottom w:val="single" w:sz="6" w:space="0" w:color="auto"/>
            </w:tcBorders>
            <w:noWrap/>
            <w:vAlign w:val="center"/>
          </w:tcPr>
          <w:p w14:paraId="65BECD2A" w14:textId="77777777" w:rsidR="002D48D4" w:rsidRPr="00FD2A75" w:rsidRDefault="002D48D4" w:rsidP="00556FFB">
            <w:pPr>
              <w:widowControl/>
              <w:suppressAutoHyphens/>
              <w:rPr>
                <w:rFonts w:ascii="Arial Narrow" w:hAnsi="Arial Narrow"/>
                <w:sz w:val="17"/>
                <w:szCs w:val="17"/>
              </w:rPr>
            </w:pPr>
          </w:p>
        </w:tc>
      </w:tr>
      <w:tr w:rsidR="002D48D4" w:rsidRPr="00FD2A75" w14:paraId="540E5CE1" w14:textId="77777777" w:rsidTr="00462DA2">
        <w:trPr>
          <w:trHeight w:val="462"/>
        </w:trPr>
        <w:tc>
          <w:tcPr>
            <w:tcW w:w="2162" w:type="dxa"/>
            <w:vMerge/>
            <w:tcBorders>
              <w:left w:val="nil"/>
              <w:right w:val="single" w:sz="6" w:space="0" w:color="FFFFFF"/>
            </w:tcBorders>
            <w:noWrap/>
            <w:vAlign w:val="center"/>
          </w:tcPr>
          <w:p w14:paraId="00D81B24" w14:textId="77777777" w:rsidR="002D48D4" w:rsidRPr="00FD2A75" w:rsidRDefault="002D48D4" w:rsidP="00556FFB">
            <w:pPr>
              <w:widowControl/>
              <w:suppressAutoHyphens/>
              <w:ind w:left="-63"/>
              <w:rPr>
                <w:rFonts w:ascii="Arial Narrow" w:hAnsi="Arial Narrow"/>
                <w:sz w:val="17"/>
              </w:rPr>
            </w:pPr>
          </w:p>
        </w:tc>
        <w:tc>
          <w:tcPr>
            <w:tcW w:w="2368" w:type="dxa"/>
            <w:vMerge/>
            <w:tcBorders>
              <w:left w:val="single" w:sz="6" w:space="0" w:color="000000"/>
              <w:right w:val="single" w:sz="6" w:space="0" w:color="000000"/>
            </w:tcBorders>
            <w:shd w:val="clear" w:color="auto" w:fill="auto"/>
            <w:noWrap/>
            <w:vAlign w:val="bottom"/>
          </w:tcPr>
          <w:p w14:paraId="7D95D318" w14:textId="77777777" w:rsidR="002D48D4" w:rsidRPr="00FD2A75" w:rsidRDefault="002D48D4" w:rsidP="00556FFB">
            <w:pPr>
              <w:widowControl/>
              <w:suppressAutoHyphens/>
              <w:rPr>
                <w:rFonts w:ascii="Arial Narrow" w:hAnsi="Arial Narrow"/>
                <w:sz w:val="17"/>
              </w:rPr>
            </w:pPr>
          </w:p>
        </w:tc>
        <w:tc>
          <w:tcPr>
            <w:tcW w:w="2249" w:type="dxa"/>
            <w:vMerge/>
            <w:tcBorders>
              <w:left w:val="single" w:sz="6" w:space="0" w:color="000000"/>
              <w:right w:val="double" w:sz="6" w:space="0" w:color="auto"/>
            </w:tcBorders>
            <w:shd w:val="clear" w:color="auto" w:fill="auto"/>
            <w:noWrap/>
            <w:vAlign w:val="center"/>
          </w:tcPr>
          <w:p w14:paraId="77D04790" w14:textId="77777777" w:rsidR="002D48D4" w:rsidRPr="00FD2A75" w:rsidRDefault="002D48D4" w:rsidP="00556FFB">
            <w:pPr>
              <w:widowControl/>
              <w:suppressAutoHyphens/>
              <w:rPr>
                <w:rFonts w:ascii="Arial Narrow" w:hAnsi="Arial Narrow"/>
                <w:sz w:val="17"/>
              </w:rPr>
            </w:pPr>
          </w:p>
        </w:tc>
        <w:tc>
          <w:tcPr>
            <w:tcW w:w="2171" w:type="dxa"/>
            <w:tcBorders>
              <w:top w:val="single" w:sz="6" w:space="0" w:color="auto"/>
              <w:left w:val="double" w:sz="6" w:space="0" w:color="auto"/>
              <w:bottom w:val="single" w:sz="6" w:space="0" w:color="auto"/>
              <w:right w:val="single" w:sz="6" w:space="0" w:color="auto"/>
            </w:tcBorders>
            <w:shd w:val="clear" w:color="auto" w:fill="auto"/>
            <w:noWrap/>
          </w:tcPr>
          <w:p w14:paraId="0C5650D5"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788-805</w:t>
            </w:r>
          </w:p>
        </w:tc>
        <w:tc>
          <w:tcPr>
            <w:tcW w:w="2486" w:type="dxa"/>
            <w:tcBorders>
              <w:top w:val="single" w:sz="6" w:space="0" w:color="auto"/>
              <w:left w:val="single" w:sz="6" w:space="0" w:color="auto"/>
              <w:bottom w:val="single" w:sz="6" w:space="0" w:color="auto"/>
              <w:right w:val="single" w:sz="6" w:space="0" w:color="FFFFFF"/>
            </w:tcBorders>
            <w:shd w:val="clear" w:color="auto" w:fill="auto"/>
            <w:noWrap/>
          </w:tcPr>
          <w:p w14:paraId="6667B60C"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788-805</w:t>
            </w:r>
          </w:p>
          <w:p w14:paraId="33BFCCD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FIXED</w:t>
            </w:r>
          </w:p>
          <w:p w14:paraId="60213B53"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MOBILE</w:t>
            </w:r>
          </w:p>
          <w:p w14:paraId="75EDD15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F84EFEA"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FD2A75">
              <w:rPr>
                <w:rFonts w:ascii="Arial Narrow" w:hAnsi="Arial Narrow"/>
                <w:sz w:val="17"/>
              </w:rPr>
              <w:t>NG34</w:t>
            </w:r>
            <w:r w:rsidRPr="00FD2A75">
              <w:rPr>
                <w:rFonts w:ascii="Arial Narrow" w:hAnsi="Arial Narrow"/>
                <w:sz w:val="17"/>
                <w:szCs w:val="17"/>
              </w:rPr>
              <w:t xml:space="preserve">  NG159</w:t>
            </w:r>
          </w:p>
        </w:tc>
        <w:tc>
          <w:tcPr>
            <w:tcW w:w="2302" w:type="dxa"/>
            <w:tcBorders>
              <w:top w:val="single" w:sz="6" w:space="0" w:color="auto"/>
              <w:left w:val="double" w:sz="6" w:space="0" w:color="000000"/>
              <w:bottom w:val="single" w:sz="6" w:space="0" w:color="auto"/>
              <w:right w:val="nil"/>
            </w:tcBorders>
            <w:shd w:val="clear" w:color="auto" w:fill="auto"/>
            <w:noWrap/>
          </w:tcPr>
          <w:p w14:paraId="69F4C0D7" w14:textId="77777777" w:rsidR="002D48D4" w:rsidRPr="00FD2A75" w:rsidRDefault="002D48D4" w:rsidP="00556FFB">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D96FA54"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Public Safety Land Mobile (90R)</w:t>
            </w:r>
          </w:p>
        </w:tc>
      </w:tr>
      <w:tr w:rsidR="002D48D4" w:rsidRPr="00FD2A75" w14:paraId="1FF2A507" w14:textId="77777777" w:rsidTr="00462DA2">
        <w:trPr>
          <w:trHeight w:val="957"/>
        </w:trPr>
        <w:tc>
          <w:tcPr>
            <w:tcW w:w="2162" w:type="dxa"/>
            <w:vMerge/>
            <w:tcBorders>
              <w:left w:val="nil"/>
              <w:right w:val="single" w:sz="6" w:space="0" w:color="FFFFFF"/>
            </w:tcBorders>
            <w:noWrap/>
            <w:vAlign w:val="center"/>
          </w:tcPr>
          <w:p w14:paraId="460E0106" w14:textId="77777777" w:rsidR="002D48D4" w:rsidRPr="00FD2A75" w:rsidRDefault="002D48D4" w:rsidP="00556FFB">
            <w:pPr>
              <w:widowControl/>
              <w:suppressAutoHyphens/>
              <w:ind w:left="-63"/>
              <w:rPr>
                <w:rFonts w:ascii="Arial Narrow" w:hAnsi="Arial Narrow"/>
                <w:sz w:val="17"/>
              </w:rPr>
            </w:pPr>
          </w:p>
        </w:tc>
        <w:tc>
          <w:tcPr>
            <w:tcW w:w="2368" w:type="dxa"/>
            <w:vMerge/>
            <w:tcBorders>
              <w:left w:val="single" w:sz="6" w:space="0" w:color="000000"/>
              <w:bottom w:val="single" w:sz="6" w:space="0" w:color="auto"/>
              <w:right w:val="single" w:sz="6" w:space="0" w:color="000000"/>
            </w:tcBorders>
            <w:shd w:val="clear" w:color="auto" w:fill="auto"/>
            <w:noWrap/>
            <w:vAlign w:val="bottom"/>
          </w:tcPr>
          <w:p w14:paraId="224A227E" w14:textId="77777777" w:rsidR="002D48D4" w:rsidRPr="00FD2A75" w:rsidRDefault="002D48D4" w:rsidP="00556FFB">
            <w:pPr>
              <w:widowControl/>
              <w:suppressAutoHyphens/>
              <w:rPr>
                <w:rFonts w:ascii="Arial Narrow" w:hAnsi="Arial Narrow"/>
                <w:sz w:val="17"/>
              </w:rPr>
            </w:pPr>
          </w:p>
        </w:tc>
        <w:tc>
          <w:tcPr>
            <w:tcW w:w="2249" w:type="dxa"/>
            <w:vMerge/>
            <w:tcBorders>
              <w:left w:val="single" w:sz="6" w:space="0" w:color="000000"/>
              <w:right w:val="double" w:sz="6" w:space="0" w:color="auto"/>
            </w:tcBorders>
            <w:shd w:val="clear" w:color="auto" w:fill="auto"/>
            <w:noWrap/>
            <w:vAlign w:val="center"/>
          </w:tcPr>
          <w:p w14:paraId="1119F10D" w14:textId="77777777" w:rsidR="002D48D4" w:rsidRPr="00FD2A75" w:rsidRDefault="002D48D4" w:rsidP="00556FFB">
            <w:pPr>
              <w:widowControl/>
              <w:suppressAutoHyphens/>
              <w:rPr>
                <w:rFonts w:ascii="Arial Narrow" w:hAnsi="Arial Narrow"/>
                <w:sz w:val="17"/>
              </w:rPr>
            </w:pPr>
          </w:p>
        </w:tc>
        <w:tc>
          <w:tcPr>
            <w:tcW w:w="2171" w:type="dxa"/>
            <w:tcBorders>
              <w:top w:val="single" w:sz="6" w:space="0" w:color="auto"/>
              <w:left w:val="double" w:sz="6" w:space="0" w:color="auto"/>
              <w:bottom w:val="single" w:sz="6" w:space="0" w:color="auto"/>
              <w:right w:val="single" w:sz="6" w:space="0" w:color="auto"/>
            </w:tcBorders>
            <w:shd w:val="clear" w:color="auto" w:fill="auto"/>
            <w:noWrap/>
          </w:tcPr>
          <w:p w14:paraId="2B4138D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805-806</w:t>
            </w:r>
          </w:p>
        </w:tc>
        <w:tc>
          <w:tcPr>
            <w:tcW w:w="2486" w:type="dxa"/>
            <w:tcBorders>
              <w:top w:val="single" w:sz="6" w:space="0" w:color="auto"/>
              <w:left w:val="single" w:sz="6" w:space="0" w:color="auto"/>
              <w:bottom w:val="single" w:sz="6" w:space="0" w:color="auto"/>
              <w:right w:val="single" w:sz="6" w:space="0" w:color="FFFFFF"/>
            </w:tcBorders>
            <w:shd w:val="clear" w:color="auto" w:fill="auto"/>
            <w:noWrap/>
          </w:tcPr>
          <w:p w14:paraId="002D938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805-806</w:t>
            </w:r>
          </w:p>
          <w:p w14:paraId="6F806CB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FIXED</w:t>
            </w:r>
          </w:p>
          <w:p w14:paraId="2CD792CF"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MOBILE</w:t>
            </w:r>
          </w:p>
          <w:p w14:paraId="6527C778"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BROADCASTING</w:t>
            </w:r>
          </w:p>
          <w:p w14:paraId="421C303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E7398B5"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FD2A75">
              <w:rPr>
                <w:rFonts w:ascii="Arial Narrow" w:hAnsi="Arial Narrow"/>
                <w:sz w:val="17"/>
              </w:rPr>
              <w:t>NG159</w:t>
            </w:r>
          </w:p>
        </w:tc>
        <w:tc>
          <w:tcPr>
            <w:tcW w:w="2302" w:type="dxa"/>
            <w:tcBorders>
              <w:top w:val="single" w:sz="6" w:space="0" w:color="auto"/>
              <w:left w:val="double" w:sz="6" w:space="0" w:color="000000"/>
              <w:bottom w:val="single" w:sz="6" w:space="0" w:color="FFFFFF"/>
              <w:right w:val="nil"/>
            </w:tcBorders>
            <w:shd w:val="clear" w:color="auto" w:fill="auto"/>
            <w:noWrap/>
          </w:tcPr>
          <w:p w14:paraId="43B63DF5"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173B08D" w14:textId="77777777" w:rsidR="002D48D4" w:rsidRPr="00FD2A75" w:rsidRDefault="002D48D4" w:rsidP="00556FFB">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D2A75">
              <w:rPr>
                <w:rFonts w:ascii="Arial Narrow" w:hAnsi="Arial Narrow"/>
                <w:sz w:val="17"/>
                <w:szCs w:val="17"/>
              </w:rPr>
              <w:t>Wireless Communications (27)</w:t>
            </w:r>
          </w:p>
          <w:p w14:paraId="0E48F52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LPTV and TV Translator (74G)</w:t>
            </w:r>
          </w:p>
        </w:tc>
      </w:tr>
      <w:tr w:rsidR="002D48D4" w:rsidRPr="00FD2A75" w14:paraId="7A852046" w14:textId="77777777" w:rsidTr="00462DA2">
        <w:trPr>
          <w:trHeight w:val="192"/>
        </w:trPr>
        <w:tc>
          <w:tcPr>
            <w:tcW w:w="2162" w:type="dxa"/>
            <w:vMerge/>
            <w:tcBorders>
              <w:left w:val="nil"/>
              <w:right w:val="single" w:sz="6" w:space="0" w:color="FFFFFF"/>
            </w:tcBorders>
            <w:noWrap/>
            <w:vAlign w:val="center"/>
          </w:tcPr>
          <w:p w14:paraId="3AB1C3AD" w14:textId="77777777" w:rsidR="002D48D4" w:rsidRPr="00FD2A75" w:rsidRDefault="002D48D4" w:rsidP="00556FFB">
            <w:pPr>
              <w:widowControl/>
              <w:suppressAutoHyphens/>
              <w:ind w:left="-63"/>
              <w:rPr>
                <w:rFonts w:ascii="Arial Narrow" w:hAnsi="Arial Narrow"/>
                <w:sz w:val="17"/>
              </w:rPr>
            </w:pPr>
          </w:p>
        </w:tc>
        <w:tc>
          <w:tcPr>
            <w:tcW w:w="2368" w:type="dxa"/>
            <w:vMerge w:val="restart"/>
            <w:tcBorders>
              <w:top w:val="single" w:sz="6" w:space="0" w:color="auto"/>
              <w:left w:val="single" w:sz="6" w:space="0" w:color="000000"/>
              <w:right w:val="single" w:sz="6" w:space="0" w:color="000000"/>
            </w:tcBorders>
            <w:noWrap/>
          </w:tcPr>
          <w:p w14:paraId="50AC9E4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806-890</w:t>
            </w:r>
          </w:p>
          <w:p w14:paraId="09413994"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FIXED</w:t>
            </w:r>
          </w:p>
          <w:p w14:paraId="264A9B30" w14:textId="77777777" w:rsidR="002D48D4" w:rsidRPr="00FD2A75" w:rsidRDefault="002D48D4" w:rsidP="00556FFB">
            <w:pPr>
              <w:widowControl/>
              <w:suppressAutoHyphens/>
              <w:rPr>
                <w:rFonts w:ascii="Arial Narrow" w:hAnsi="Arial Narrow"/>
                <w:sz w:val="17"/>
                <w:szCs w:val="17"/>
              </w:rPr>
            </w:pPr>
            <w:r w:rsidRPr="00FD2A75">
              <w:rPr>
                <w:rFonts w:ascii="Arial Narrow" w:hAnsi="Arial Narrow"/>
                <w:sz w:val="17"/>
              </w:rPr>
              <w:t xml:space="preserve">MOBILE  </w:t>
            </w:r>
            <w:r w:rsidRPr="00FD2A75">
              <w:rPr>
                <w:rFonts w:ascii="Arial Narrow" w:hAnsi="Arial Narrow"/>
                <w:sz w:val="17"/>
                <w:szCs w:val="17"/>
              </w:rPr>
              <w:t>5.317A</w:t>
            </w:r>
          </w:p>
          <w:p w14:paraId="173051A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BROADCASTING</w:t>
            </w:r>
          </w:p>
        </w:tc>
        <w:tc>
          <w:tcPr>
            <w:tcW w:w="2249" w:type="dxa"/>
            <w:vMerge/>
            <w:tcBorders>
              <w:left w:val="single" w:sz="6" w:space="0" w:color="000000"/>
              <w:right w:val="double" w:sz="6" w:space="0" w:color="auto"/>
            </w:tcBorders>
            <w:shd w:val="clear" w:color="auto" w:fill="auto"/>
            <w:noWrap/>
            <w:vAlign w:val="center"/>
          </w:tcPr>
          <w:p w14:paraId="33B99657" w14:textId="77777777" w:rsidR="002D48D4" w:rsidRPr="00FD2A75" w:rsidRDefault="002D48D4" w:rsidP="00556FFB">
            <w:pPr>
              <w:widowControl/>
              <w:suppressAutoHyphens/>
              <w:rPr>
                <w:rFonts w:ascii="Arial Narrow" w:hAnsi="Arial Narrow"/>
                <w:sz w:val="17"/>
              </w:rPr>
            </w:pPr>
          </w:p>
        </w:tc>
        <w:tc>
          <w:tcPr>
            <w:tcW w:w="2171" w:type="dxa"/>
            <w:tcBorders>
              <w:top w:val="single" w:sz="6" w:space="0" w:color="auto"/>
              <w:left w:val="double" w:sz="6" w:space="0" w:color="auto"/>
              <w:bottom w:val="single" w:sz="6" w:space="0" w:color="auto"/>
              <w:right w:val="single" w:sz="6" w:space="0" w:color="auto"/>
            </w:tcBorders>
            <w:shd w:val="clear" w:color="auto" w:fill="auto"/>
            <w:noWrap/>
          </w:tcPr>
          <w:p w14:paraId="71C9483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806-809</w:t>
            </w:r>
          </w:p>
        </w:tc>
        <w:tc>
          <w:tcPr>
            <w:tcW w:w="2486" w:type="dxa"/>
            <w:tcBorders>
              <w:top w:val="single" w:sz="6" w:space="0" w:color="auto"/>
              <w:left w:val="single" w:sz="6" w:space="0" w:color="auto"/>
              <w:bottom w:val="single" w:sz="6" w:space="0" w:color="auto"/>
              <w:right w:val="single" w:sz="6" w:space="0" w:color="FFFFFF"/>
            </w:tcBorders>
            <w:shd w:val="clear" w:color="auto" w:fill="auto"/>
            <w:noWrap/>
          </w:tcPr>
          <w:p w14:paraId="51E36FAB"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806-809</w:t>
            </w:r>
          </w:p>
          <w:p w14:paraId="1D3FD44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LAND MOBILE</w:t>
            </w:r>
          </w:p>
        </w:tc>
        <w:tc>
          <w:tcPr>
            <w:tcW w:w="2302" w:type="dxa"/>
            <w:tcBorders>
              <w:top w:val="single" w:sz="6" w:space="0" w:color="000000"/>
              <w:left w:val="double" w:sz="6" w:space="0" w:color="000000"/>
              <w:bottom w:val="single" w:sz="6" w:space="0" w:color="auto"/>
              <w:right w:val="nil"/>
            </w:tcBorders>
            <w:shd w:val="clear" w:color="auto" w:fill="auto"/>
            <w:noWrap/>
          </w:tcPr>
          <w:p w14:paraId="34C07E5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7BCA14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FD2A75">
              <w:rPr>
                <w:rFonts w:ascii="Arial Narrow" w:hAnsi="Arial Narrow"/>
                <w:sz w:val="17"/>
                <w:szCs w:val="17"/>
              </w:rPr>
              <w:t>Public Safety Land Mobile (90S)</w:t>
            </w:r>
          </w:p>
        </w:tc>
      </w:tr>
      <w:tr w:rsidR="002D48D4" w:rsidRPr="00FD2A75" w14:paraId="1C5C5CC1" w14:textId="77777777" w:rsidTr="00462DA2">
        <w:trPr>
          <w:trHeight w:val="390"/>
        </w:trPr>
        <w:tc>
          <w:tcPr>
            <w:tcW w:w="2162" w:type="dxa"/>
            <w:vMerge/>
            <w:tcBorders>
              <w:left w:val="nil"/>
              <w:right w:val="single" w:sz="6" w:space="0" w:color="FFFFFF"/>
            </w:tcBorders>
            <w:noWrap/>
            <w:vAlign w:val="center"/>
          </w:tcPr>
          <w:p w14:paraId="60340FB2" w14:textId="77777777" w:rsidR="002D48D4" w:rsidRPr="00FD2A75" w:rsidRDefault="002D48D4" w:rsidP="00556FFB">
            <w:pPr>
              <w:widowControl/>
              <w:suppressAutoHyphens/>
              <w:ind w:left="-63"/>
              <w:rPr>
                <w:rFonts w:ascii="Arial Narrow" w:hAnsi="Arial Narrow"/>
                <w:sz w:val="17"/>
              </w:rPr>
            </w:pPr>
          </w:p>
        </w:tc>
        <w:tc>
          <w:tcPr>
            <w:tcW w:w="2368" w:type="dxa"/>
            <w:vMerge/>
            <w:tcBorders>
              <w:left w:val="single" w:sz="6" w:space="0" w:color="000000"/>
              <w:bottom w:val="nil"/>
              <w:right w:val="single" w:sz="6" w:space="0" w:color="000000"/>
            </w:tcBorders>
            <w:noWrap/>
          </w:tcPr>
          <w:p w14:paraId="484AF9A7" w14:textId="77777777" w:rsidR="002D48D4" w:rsidRPr="00FD2A75" w:rsidRDefault="002D48D4" w:rsidP="00556FFB">
            <w:pPr>
              <w:widowControl/>
              <w:suppressAutoHyphens/>
              <w:rPr>
                <w:rFonts w:ascii="Arial Narrow" w:hAnsi="Arial Narrow"/>
                <w:sz w:val="17"/>
              </w:rPr>
            </w:pPr>
          </w:p>
        </w:tc>
        <w:tc>
          <w:tcPr>
            <w:tcW w:w="2249" w:type="dxa"/>
            <w:vMerge/>
            <w:tcBorders>
              <w:left w:val="single" w:sz="6" w:space="0" w:color="000000"/>
              <w:right w:val="double" w:sz="6" w:space="0" w:color="auto"/>
            </w:tcBorders>
            <w:shd w:val="clear" w:color="auto" w:fill="auto"/>
            <w:noWrap/>
            <w:vAlign w:val="center"/>
          </w:tcPr>
          <w:p w14:paraId="7F585B46" w14:textId="77777777" w:rsidR="002D48D4" w:rsidRPr="00FD2A75" w:rsidRDefault="002D48D4" w:rsidP="00556FFB">
            <w:pPr>
              <w:widowControl/>
              <w:suppressAutoHyphens/>
              <w:rPr>
                <w:rFonts w:ascii="Arial Narrow" w:hAnsi="Arial Narrow"/>
                <w:sz w:val="17"/>
              </w:rPr>
            </w:pPr>
          </w:p>
        </w:tc>
        <w:tc>
          <w:tcPr>
            <w:tcW w:w="2171" w:type="dxa"/>
            <w:vMerge w:val="restart"/>
            <w:tcBorders>
              <w:top w:val="single" w:sz="6" w:space="0" w:color="auto"/>
              <w:left w:val="double" w:sz="6" w:space="0" w:color="auto"/>
              <w:bottom w:val="nil"/>
              <w:right w:val="single" w:sz="6" w:space="0" w:color="auto"/>
            </w:tcBorders>
            <w:noWrap/>
          </w:tcPr>
          <w:p w14:paraId="7BB283F0"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809-851</w:t>
            </w:r>
          </w:p>
        </w:tc>
        <w:tc>
          <w:tcPr>
            <w:tcW w:w="2486" w:type="dxa"/>
            <w:vMerge w:val="restart"/>
            <w:tcBorders>
              <w:top w:val="single" w:sz="6" w:space="0" w:color="auto"/>
              <w:left w:val="single" w:sz="6" w:space="0" w:color="auto"/>
              <w:bottom w:val="nil"/>
              <w:right w:val="single" w:sz="6" w:space="0" w:color="FFFFFF"/>
            </w:tcBorders>
            <w:noWrap/>
          </w:tcPr>
          <w:p w14:paraId="0A7C839B"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809-849</w:t>
            </w:r>
          </w:p>
          <w:p w14:paraId="65D176B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FIXED</w:t>
            </w:r>
          </w:p>
          <w:p w14:paraId="2FC37D0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LAND MOBILE</w:t>
            </w:r>
          </w:p>
        </w:tc>
        <w:tc>
          <w:tcPr>
            <w:tcW w:w="2302" w:type="dxa"/>
            <w:vMerge w:val="restart"/>
            <w:tcBorders>
              <w:top w:val="single" w:sz="6" w:space="0" w:color="auto"/>
              <w:left w:val="double" w:sz="6" w:space="0" w:color="000000"/>
              <w:bottom w:val="nil"/>
              <w:right w:val="nil"/>
            </w:tcBorders>
            <w:noWrap/>
          </w:tcPr>
          <w:p w14:paraId="799F703E"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4A1F567" w14:textId="77777777" w:rsidR="002D48D4" w:rsidRPr="00FD2A75" w:rsidRDefault="002D48D4" w:rsidP="00556FFB">
            <w:pPr>
              <w:widowControl/>
              <w:suppressAutoHyphens/>
              <w:rPr>
                <w:rFonts w:ascii="Arial Narrow" w:hAnsi="Arial Narrow"/>
                <w:sz w:val="17"/>
              </w:rPr>
            </w:pPr>
            <w:r w:rsidRPr="00FD2A75">
              <w:rPr>
                <w:rFonts w:ascii="Arial Narrow" w:hAnsi="Arial Narrow"/>
                <w:sz w:val="17"/>
              </w:rPr>
              <w:t>Public Mobile (22)</w:t>
            </w:r>
          </w:p>
          <w:p w14:paraId="04506C6E" w14:textId="77777777" w:rsidR="002D48D4" w:rsidRPr="00FD2A75" w:rsidRDefault="002D48D4" w:rsidP="00556FFB">
            <w:pPr>
              <w:widowControl/>
              <w:suppressAutoHyphens/>
              <w:spacing w:after="20"/>
              <w:rPr>
                <w:rFonts w:ascii="Arial Narrow" w:hAnsi="Arial Narrow"/>
                <w:sz w:val="17"/>
              </w:rPr>
            </w:pPr>
            <w:r w:rsidRPr="00FD2A75">
              <w:rPr>
                <w:rFonts w:ascii="Arial Narrow" w:hAnsi="Arial Narrow"/>
                <w:sz w:val="17"/>
              </w:rPr>
              <w:t>Private Land Mobile (90)</w:t>
            </w:r>
          </w:p>
        </w:tc>
      </w:tr>
      <w:tr w:rsidR="002D48D4" w:rsidRPr="00FD2A75" w14:paraId="01A0E57E" w14:textId="77777777" w:rsidTr="00462DA2">
        <w:trPr>
          <w:trHeight w:val="195"/>
        </w:trPr>
        <w:tc>
          <w:tcPr>
            <w:tcW w:w="2162" w:type="dxa"/>
            <w:vMerge w:val="restart"/>
            <w:tcBorders>
              <w:top w:val="nil"/>
              <w:left w:val="nil"/>
              <w:bottom w:val="single" w:sz="6" w:space="0" w:color="auto"/>
              <w:right w:val="single" w:sz="6" w:space="0" w:color="FFFFFF"/>
            </w:tcBorders>
            <w:noWrap/>
            <w:vAlign w:val="bottom"/>
          </w:tcPr>
          <w:p w14:paraId="1E5F12B6" w14:textId="77777777" w:rsidR="002D48D4" w:rsidRPr="00FD2A75" w:rsidRDefault="002D48D4" w:rsidP="00556FFB">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FD2A75">
              <w:rPr>
                <w:rFonts w:ascii="Arial Narrow" w:hAnsi="Arial Narrow"/>
                <w:sz w:val="17"/>
              </w:rPr>
              <w:br w:type="page"/>
              <w:t>5.312  5.314  5.315  5.316</w:t>
            </w:r>
          </w:p>
          <w:p w14:paraId="405D853E" w14:textId="77777777" w:rsidR="002D48D4" w:rsidRPr="00FD2A75" w:rsidRDefault="002D48D4" w:rsidP="00556FFB">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FD2A75">
              <w:rPr>
                <w:rFonts w:ascii="Arial Narrow" w:hAnsi="Arial Narrow"/>
                <w:sz w:val="17"/>
              </w:rPr>
              <w:t>5.316A  5.319</w:t>
            </w:r>
          </w:p>
        </w:tc>
        <w:tc>
          <w:tcPr>
            <w:tcW w:w="2368" w:type="dxa"/>
            <w:vMerge/>
            <w:tcBorders>
              <w:left w:val="single" w:sz="6" w:space="0" w:color="000000"/>
              <w:right w:val="single" w:sz="6" w:space="0" w:color="000000"/>
            </w:tcBorders>
            <w:noWrap/>
            <w:vAlign w:val="center"/>
          </w:tcPr>
          <w:p w14:paraId="5ECD6D0B" w14:textId="77777777" w:rsidR="002D48D4" w:rsidRPr="00FD2A75" w:rsidRDefault="002D48D4" w:rsidP="00556FFB">
            <w:pPr>
              <w:widowControl/>
              <w:suppressAutoHyphens/>
              <w:rPr>
                <w:rFonts w:ascii="Arial Narrow" w:hAnsi="Arial Narrow"/>
                <w:sz w:val="17"/>
              </w:rPr>
            </w:pPr>
          </w:p>
        </w:tc>
        <w:tc>
          <w:tcPr>
            <w:tcW w:w="2249" w:type="dxa"/>
            <w:vMerge/>
            <w:tcBorders>
              <w:left w:val="single" w:sz="6" w:space="0" w:color="000000"/>
              <w:right w:val="double" w:sz="6" w:space="0" w:color="auto"/>
            </w:tcBorders>
            <w:shd w:val="clear" w:color="auto" w:fill="auto"/>
            <w:noWrap/>
            <w:vAlign w:val="center"/>
          </w:tcPr>
          <w:p w14:paraId="09DD30D1" w14:textId="77777777" w:rsidR="002D48D4" w:rsidRPr="00FD2A75" w:rsidRDefault="002D48D4" w:rsidP="00556FFB">
            <w:pPr>
              <w:widowControl/>
              <w:suppressAutoHyphens/>
              <w:rPr>
                <w:rFonts w:ascii="Arial Narrow" w:hAnsi="Arial Narrow"/>
                <w:sz w:val="17"/>
              </w:rPr>
            </w:pPr>
          </w:p>
        </w:tc>
        <w:tc>
          <w:tcPr>
            <w:tcW w:w="2171" w:type="dxa"/>
            <w:vMerge/>
            <w:tcBorders>
              <w:left w:val="double" w:sz="6" w:space="0" w:color="auto"/>
              <w:right w:val="single" w:sz="6" w:space="0" w:color="auto"/>
            </w:tcBorders>
            <w:noWrap/>
            <w:vAlign w:val="center"/>
          </w:tcPr>
          <w:p w14:paraId="05A67209" w14:textId="77777777" w:rsidR="002D48D4" w:rsidRPr="00FD2A75" w:rsidRDefault="002D48D4" w:rsidP="00556FFB">
            <w:pPr>
              <w:widowControl/>
              <w:suppressAutoHyphens/>
              <w:rPr>
                <w:rFonts w:ascii="Arial Narrow" w:hAnsi="Arial Narrow"/>
                <w:sz w:val="17"/>
              </w:rPr>
            </w:pPr>
          </w:p>
        </w:tc>
        <w:tc>
          <w:tcPr>
            <w:tcW w:w="2486" w:type="dxa"/>
            <w:vMerge/>
            <w:tcBorders>
              <w:left w:val="single" w:sz="6" w:space="0" w:color="auto"/>
              <w:bottom w:val="single" w:sz="6" w:space="0" w:color="auto"/>
              <w:right w:val="double" w:sz="6" w:space="0" w:color="000000"/>
            </w:tcBorders>
            <w:noWrap/>
          </w:tcPr>
          <w:p w14:paraId="5D7167E8"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302" w:type="dxa"/>
            <w:vMerge/>
            <w:tcBorders>
              <w:left w:val="double" w:sz="6" w:space="0" w:color="000000"/>
              <w:bottom w:val="single" w:sz="6" w:space="0" w:color="auto"/>
              <w:right w:val="nil"/>
            </w:tcBorders>
            <w:noWrap/>
          </w:tcPr>
          <w:p w14:paraId="62AC28A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D48D4" w:rsidRPr="00FD2A75" w14:paraId="7CF67887" w14:textId="77777777" w:rsidTr="00462DA2">
        <w:trPr>
          <w:trHeight w:val="156"/>
        </w:trPr>
        <w:tc>
          <w:tcPr>
            <w:tcW w:w="2162" w:type="dxa"/>
            <w:vMerge/>
            <w:tcBorders>
              <w:left w:val="nil"/>
              <w:bottom w:val="single" w:sz="6" w:space="0" w:color="auto"/>
              <w:right w:val="single" w:sz="6" w:space="0" w:color="FFFFFF"/>
            </w:tcBorders>
            <w:noWrap/>
            <w:vAlign w:val="center"/>
          </w:tcPr>
          <w:p w14:paraId="1490BD30" w14:textId="77777777" w:rsidR="002D48D4" w:rsidRPr="00FD2A75" w:rsidRDefault="002D48D4" w:rsidP="00556FFB">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tc>
        <w:tc>
          <w:tcPr>
            <w:tcW w:w="2368" w:type="dxa"/>
            <w:vMerge/>
            <w:tcBorders>
              <w:left w:val="single" w:sz="6" w:space="0" w:color="000000"/>
              <w:bottom w:val="nil"/>
              <w:right w:val="single" w:sz="6" w:space="0" w:color="000000"/>
            </w:tcBorders>
            <w:noWrap/>
            <w:vAlign w:val="center"/>
          </w:tcPr>
          <w:p w14:paraId="0FB68693" w14:textId="77777777" w:rsidR="002D48D4" w:rsidRPr="00FD2A75" w:rsidRDefault="002D48D4" w:rsidP="00556FFB">
            <w:pPr>
              <w:widowControl/>
              <w:suppressAutoHyphens/>
              <w:rPr>
                <w:rFonts w:ascii="Arial Narrow" w:hAnsi="Arial Narrow"/>
                <w:sz w:val="17"/>
              </w:rPr>
            </w:pPr>
          </w:p>
        </w:tc>
        <w:tc>
          <w:tcPr>
            <w:tcW w:w="2249" w:type="dxa"/>
            <w:vMerge/>
            <w:tcBorders>
              <w:left w:val="single" w:sz="6" w:space="0" w:color="000000"/>
              <w:right w:val="double" w:sz="6" w:space="0" w:color="auto"/>
            </w:tcBorders>
            <w:shd w:val="clear" w:color="auto" w:fill="auto"/>
            <w:noWrap/>
            <w:vAlign w:val="center"/>
          </w:tcPr>
          <w:p w14:paraId="685573DA" w14:textId="77777777" w:rsidR="002D48D4" w:rsidRPr="00FD2A75" w:rsidRDefault="002D48D4" w:rsidP="00556FFB">
            <w:pPr>
              <w:widowControl/>
              <w:suppressAutoHyphens/>
              <w:rPr>
                <w:rFonts w:ascii="Arial Narrow" w:hAnsi="Arial Narrow"/>
                <w:sz w:val="17"/>
              </w:rPr>
            </w:pPr>
          </w:p>
        </w:tc>
        <w:tc>
          <w:tcPr>
            <w:tcW w:w="2171" w:type="dxa"/>
            <w:vMerge/>
            <w:tcBorders>
              <w:left w:val="double" w:sz="6" w:space="0" w:color="auto"/>
              <w:bottom w:val="single" w:sz="6" w:space="0" w:color="auto"/>
              <w:right w:val="single" w:sz="6" w:space="0" w:color="auto"/>
            </w:tcBorders>
            <w:noWrap/>
            <w:vAlign w:val="center"/>
          </w:tcPr>
          <w:p w14:paraId="314A6E77" w14:textId="77777777" w:rsidR="002D48D4" w:rsidRPr="00FD2A75" w:rsidRDefault="002D48D4" w:rsidP="00556FFB">
            <w:pPr>
              <w:widowControl/>
              <w:suppressAutoHyphens/>
              <w:rPr>
                <w:rFonts w:ascii="Arial Narrow" w:hAnsi="Arial Narrow"/>
                <w:sz w:val="17"/>
              </w:rPr>
            </w:pPr>
          </w:p>
        </w:tc>
        <w:tc>
          <w:tcPr>
            <w:tcW w:w="2486" w:type="dxa"/>
            <w:tcBorders>
              <w:top w:val="single" w:sz="6" w:space="0" w:color="auto"/>
              <w:left w:val="single" w:sz="6" w:space="0" w:color="auto"/>
              <w:bottom w:val="single" w:sz="6" w:space="0" w:color="auto"/>
              <w:right w:val="double" w:sz="6" w:space="0" w:color="auto"/>
            </w:tcBorders>
            <w:noWrap/>
          </w:tcPr>
          <w:p w14:paraId="0F7C9B8F"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849-851</w:t>
            </w:r>
          </w:p>
          <w:p w14:paraId="3A6865A3"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AERONAUTICAL MOBILE</w:t>
            </w:r>
          </w:p>
        </w:tc>
        <w:tc>
          <w:tcPr>
            <w:tcW w:w="2302" w:type="dxa"/>
            <w:tcBorders>
              <w:top w:val="single" w:sz="6" w:space="0" w:color="auto"/>
              <w:left w:val="double" w:sz="6" w:space="0" w:color="auto"/>
              <w:bottom w:val="single" w:sz="6" w:space="0" w:color="auto"/>
              <w:right w:val="nil"/>
            </w:tcBorders>
            <w:noWrap/>
          </w:tcPr>
          <w:p w14:paraId="520FE9E4"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78CBB33"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FD2A75">
              <w:rPr>
                <w:rFonts w:ascii="Arial Narrow" w:hAnsi="Arial Narrow"/>
                <w:sz w:val="17"/>
              </w:rPr>
              <w:t>Public Mobile (22)</w:t>
            </w:r>
          </w:p>
        </w:tc>
      </w:tr>
      <w:tr w:rsidR="002D48D4" w:rsidRPr="00FD2A75" w14:paraId="4D9081EC" w14:textId="77777777" w:rsidTr="00462DA2">
        <w:trPr>
          <w:trHeight w:val="111"/>
        </w:trPr>
        <w:tc>
          <w:tcPr>
            <w:tcW w:w="2162" w:type="dxa"/>
            <w:vMerge/>
            <w:tcBorders>
              <w:left w:val="nil"/>
              <w:bottom w:val="single" w:sz="6" w:space="0" w:color="auto"/>
              <w:right w:val="single" w:sz="6" w:space="0" w:color="FFFFFF"/>
            </w:tcBorders>
            <w:noWrap/>
          </w:tcPr>
          <w:p w14:paraId="167ACD8E" w14:textId="77777777" w:rsidR="002D48D4" w:rsidRPr="00FD2A75" w:rsidRDefault="002D48D4" w:rsidP="00556FFB">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tc>
        <w:tc>
          <w:tcPr>
            <w:tcW w:w="2368" w:type="dxa"/>
            <w:vMerge/>
            <w:tcBorders>
              <w:left w:val="single" w:sz="6" w:space="0" w:color="000000"/>
              <w:right w:val="single" w:sz="6" w:space="0" w:color="000000"/>
            </w:tcBorders>
            <w:noWrap/>
            <w:vAlign w:val="bottom"/>
          </w:tcPr>
          <w:p w14:paraId="002C7377" w14:textId="77777777" w:rsidR="002D48D4" w:rsidRPr="00FD2A75" w:rsidRDefault="002D48D4" w:rsidP="00556FFB">
            <w:pPr>
              <w:widowControl/>
              <w:suppressAutoHyphens/>
              <w:rPr>
                <w:rFonts w:ascii="Arial Narrow" w:hAnsi="Arial Narrow"/>
                <w:sz w:val="17"/>
              </w:rPr>
            </w:pPr>
          </w:p>
        </w:tc>
        <w:tc>
          <w:tcPr>
            <w:tcW w:w="2249" w:type="dxa"/>
            <w:vMerge/>
            <w:tcBorders>
              <w:left w:val="single" w:sz="6" w:space="0" w:color="000000"/>
              <w:right w:val="double" w:sz="6" w:space="0" w:color="auto"/>
            </w:tcBorders>
            <w:shd w:val="clear" w:color="auto" w:fill="auto"/>
            <w:noWrap/>
            <w:vAlign w:val="bottom"/>
          </w:tcPr>
          <w:p w14:paraId="44565C85"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171" w:type="dxa"/>
            <w:tcBorders>
              <w:top w:val="single" w:sz="6" w:space="0" w:color="auto"/>
              <w:left w:val="double" w:sz="6" w:space="0" w:color="auto"/>
              <w:bottom w:val="single" w:sz="6" w:space="0" w:color="auto"/>
              <w:right w:val="single" w:sz="6" w:space="0" w:color="auto"/>
            </w:tcBorders>
            <w:shd w:val="clear" w:color="auto" w:fill="auto"/>
            <w:noWrap/>
          </w:tcPr>
          <w:p w14:paraId="40282E50"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851-854</w:t>
            </w:r>
          </w:p>
        </w:tc>
        <w:tc>
          <w:tcPr>
            <w:tcW w:w="2486" w:type="dxa"/>
            <w:tcBorders>
              <w:top w:val="single" w:sz="6" w:space="0" w:color="auto"/>
              <w:left w:val="single" w:sz="6" w:space="0" w:color="auto"/>
              <w:bottom w:val="single" w:sz="6" w:space="0" w:color="auto"/>
              <w:right w:val="double" w:sz="6" w:space="0" w:color="auto"/>
            </w:tcBorders>
            <w:shd w:val="clear" w:color="auto" w:fill="auto"/>
            <w:noWrap/>
          </w:tcPr>
          <w:p w14:paraId="60858CAD"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851-854</w:t>
            </w:r>
          </w:p>
          <w:p w14:paraId="7E72ABF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LAND MOBILE</w:t>
            </w:r>
          </w:p>
        </w:tc>
        <w:tc>
          <w:tcPr>
            <w:tcW w:w="2302" w:type="dxa"/>
            <w:tcBorders>
              <w:top w:val="single" w:sz="6" w:space="0" w:color="auto"/>
              <w:left w:val="double" w:sz="6" w:space="0" w:color="auto"/>
              <w:bottom w:val="single" w:sz="6" w:space="0" w:color="auto"/>
              <w:right w:val="nil"/>
            </w:tcBorders>
            <w:shd w:val="clear" w:color="auto" w:fill="auto"/>
            <w:noWrap/>
          </w:tcPr>
          <w:p w14:paraId="103C7B94"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14:paraId="7B5D83A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20"/>
              <w:rPr>
                <w:rFonts w:ascii="Arial Narrow" w:hAnsi="Arial Narrow"/>
                <w:sz w:val="17"/>
              </w:rPr>
            </w:pPr>
            <w:r w:rsidRPr="00FD2A75">
              <w:rPr>
                <w:rFonts w:ascii="Arial Narrow" w:hAnsi="Arial Narrow"/>
                <w:sz w:val="17"/>
                <w:szCs w:val="17"/>
              </w:rPr>
              <w:t>Public Safety Land Mobile (90S)</w:t>
            </w:r>
          </w:p>
        </w:tc>
      </w:tr>
      <w:tr w:rsidR="002D48D4" w:rsidRPr="00FD2A75" w14:paraId="4BFFA555" w14:textId="77777777" w:rsidTr="00462DA2">
        <w:trPr>
          <w:trHeight w:val="225"/>
        </w:trPr>
        <w:tc>
          <w:tcPr>
            <w:tcW w:w="2162" w:type="dxa"/>
            <w:vMerge/>
            <w:tcBorders>
              <w:left w:val="nil"/>
              <w:bottom w:val="single" w:sz="6" w:space="0" w:color="auto"/>
              <w:right w:val="single" w:sz="6" w:space="0" w:color="FFFFFF"/>
            </w:tcBorders>
            <w:noWrap/>
            <w:vAlign w:val="bottom"/>
          </w:tcPr>
          <w:p w14:paraId="3BD51613" w14:textId="77777777" w:rsidR="002D48D4" w:rsidRPr="00FD2A75" w:rsidRDefault="002D48D4" w:rsidP="00556FFB">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tc>
        <w:tc>
          <w:tcPr>
            <w:tcW w:w="2368" w:type="dxa"/>
            <w:vMerge/>
            <w:tcBorders>
              <w:left w:val="single" w:sz="6" w:space="0" w:color="000000"/>
              <w:right w:val="single" w:sz="6" w:space="0" w:color="000000"/>
            </w:tcBorders>
            <w:noWrap/>
            <w:vAlign w:val="bottom"/>
          </w:tcPr>
          <w:p w14:paraId="78BC9A7C" w14:textId="77777777" w:rsidR="002D48D4" w:rsidRPr="00FD2A75" w:rsidRDefault="002D48D4" w:rsidP="00556FFB">
            <w:pPr>
              <w:widowControl/>
              <w:suppressAutoHyphens/>
              <w:rPr>
                <w:rFonts w:ascii="Arial Narrow" w:hAnsi="Arial Narrow"/>
                <w:sz w:val="17"/>
              </w:rPr>
            </w:pPr>
          </w:p>
        </w:tc>
        <w:tc>
          <w:tcPr>
            <w:tcW w:w="2249" w:type="dxa"/>
            <w:vMerge/>
            <w:tcBorders>
              <w:left w:val="single" w:sz="6" w:space="0" w:color="000000"/>
              <w:right w:val="double" w:sz="6" w:space="0" w:color="auto"/>
            </w:tcBorders>
            <w:shd w:val="clear" w:color="auto" w:fill="auto"/>
            <w:noWrap/>
          </w:tcPr>
          <w:p w14:paraId="767F811A" w14:textId="77777777" w:rsidR="002D48D4" w:rsidRPr="00FD2A75" w:rsidRDefault="002D48D4" w:rsidP="00556FFB">
            <w:pPr>
              <w:widowControl/>
              <w:suppressAutoHyphens/>
              <w:rPr>
                <w:rFonts w:ascii="Arial Narrow" w:hAnsi="Arial Narrow"/>
                <w:sz w:val="17"/>
              </w:rPr>
            </w:pPr>
          </w:p>
        </w:tc>
        <w:tc>
          <w:tcPr>
            <w:tcW w:w="2171" w:type="dxa"/>
            <w:vMerge w:val="restart"/>
            <w:tcBorders>
              <w:top w:val="single" w:sz="6" w:space="0" w:color="auto"/>
              <w:left w:val="double" w:sz="6" w:space="0" w:color="auto"/>
              <w:bottom w:val="single" w:sz="4" w:space="0" w:color="auto"/>
              <w:right w:val="single" w:sz="6" w:space="0" w:color="auto"/>
            </w:tcBorders>
            <w:shd w:val="clear" w:color="auto" w:fill="auto"/>
            <w:noWrap/>
          </w:tcPr>
          <w:p w14:paraId="1488BE9B"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854-890</w:t>
            </w:r>
          </w:p>
        </w:tc>
        <w:tc>
          <w:tcPr>
            <w:tcW w:w="2486" w:type="dxa"/>
            <w:vMerge w:val="restart"/>
            <w:tcBorders>
              <w:top w:val="single" w:sz="6" w:space="0" w:color="auto"/>
              <w:left w:val="single" w:sz="6" w:space="0" w:color="auto"/>
              <w:right w:val="double" w:sz="6" w:space="0" w:color="auto"/>
            </w:tcBorders>
            <w:noWrap/>
          </w:tcPr>
          <w:p w14:paraId="5D04F30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854-894</w:t>
            </w:r>
          </w:p>
          <w:p w14:paraId="21EC78FD"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FIXED</w:t>
            </w:r>
          </w:p>
          <w:p w14:paraId="07EA37C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D2A75">
              <w:rPr>
                <w:rFonts w:ascii="Arial Narrow" w:hAnsi="Arial Narrow"/>
                <w:sz w:val="17"/>
              </w:rPr>
              <w:t>LAND MOBILE</w:t>
            </w:r>
          </w:p>
        </w:tc>
        <w:tc>
          <w:tcPr>
            <w:tcW w:w="2302" w:type="dxa"/>
            <w:vMerge w:val="restart"/>
            <w:tcBorders>
              <w:top w:val="single" w:sz="6" w:space="0" w:color="auto"/>
              <w:left w:val="double" w:sz="6" w:space="0" w:color="auto"/>
              <w:bottom w:val="single" w:sz="6" w:space="0" w:color="000000"/>
              <w:right w:val="nil"/>
            </w:tcBorders>
            <w:shd w:val="clear" w:color="auto" w:fill="auto"/>
            <w:noWrap/>
          </w:tcPr>
          <w:p w14:paraId="3F6AE480"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14:paraId="02CCCB1C"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FD2A75">
              <w:rPr>
                <w:rFonts w:ascii="Arial Narrow" w:hAnsi="Arial Narrow"/>
                <w:sz w:val="17"/>
              </w:rPr>
              <w:t>Public Mobile (22)</w:t>
            </w:r>
          </w:p>
          <w:p w14:paraId="0598A507"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FD2A75">
              <w:rPr>
                <w:rFonts w:ascii="Arial Narrow" w:hAnsi="Arial Narrow"/>
                <w:sz w:val="17"/>
              </w:rPr>
              <w:t>Private Land Mobile (90)</w:t>
            </w:r>
          </w:p>
        </w:tc>
      </w:tr>
      <w:tr w:rsidR="002D48D4" w:rsidRPr="00FD2A75" w14:paraId="09EE1AFB" w14:textId="77777777" w:rsidTr="00462DA2">
        <w:trPr>
          <w:trHeight w:val="1225"/>
        </w:trPr>
        <w:tc>
          <w:tcPr>
            <w:tcW w:w="2162" w:type="dxa"/>
            <w:tcBorders>
              <w:top w:val="single" w:sz="6" w:space="0" w:color="auto"/>
              <w:left w:val="nil"/>
              <w:bottom w:val="single" w:sz="6" w:space="0" w:color="000000"/>
              <w:right w:val="single" w:sz="6" w:space="0" w:color="FFFFFF"/>
            </w:tcBorders>
            <w:noWrap/>
          </w:tcPr>
          <w:p w14:paraId="297689A9"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FD2A75">
              <w:rPr>
                <w:rFonts w:ascii="Arial Narrow" w:hAnsi="Arial Narrow"/>
                <w:sz w:val="17"/>
              </w:rPr>
              <w:t>862-890</w:t>
            </w:r>
          </w:p>
          <w:p w14:paraId="438BD024"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FD2A75">
              <w:rPr>
                <w:rFonts w:ascii="Arial Narrow" w:hAnsi="Arial Narrow"/>
                <w:sz w:val="17"/>
              </w:rPr>
              <w:t>FIXED</w:t>
            </w:r>
          </w:p>
          <w:p w14:paraId="65BCD44F"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FD2A75">
              <w:rPr>
                <w:rFonts w:ascii="Arial Narrow" w:hAnsi="Arial Narrow"/>
                <w:sz w:val="17"/>
              </w:rPr>
              <w:t>MOBILE except aeronautical</w:t>
            </w:r>
          </w:p>
          <w:p w14:paraId="1829D5BC"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3"/>
              <w:rPr>
                <w:rFonts w:ascii="Arial Narrow" w:hAnsi="Arial Narrow"/>
                <w:sz w:val="17"/>
                <w:szCs w:val="17"/>
              </w:rPr>
            </w:pPr>
            <w:r w:rsidRPr="00FD2A75">
              <w:rPr>
                <w:rFonts w:ascii="Arial Narrow" w:hAnsi="Arial Narrow"/>
                <w:sz w:val="17"/>
              </w:rPr>
              <w:t xml:space="preserve">   mobile  </w:t>
            </w:r>
            <w:r w:rsidRPr="00FD2A75">
              <w:rPr>
                <w:rFonts w:ascii="Arial Narrow" w:hAnsi="Arial Narrow"/>
                <w:sz w:val="17"/>
                <w:szCs w:val="17"/>
              </w:rPr>
              <w:t>5.317A</w:t>
            </w:r>
          </w:p>
          <w:p w14:paraId="17F94A84"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FD2A75">
              <w:rPr>
                <w:rFonts w:ascii="Arial Narrow" w:hAnsi="Arial Narrow"/>
                <w:sz w:val="17"/>
              </w:rPr>
              <w:t>BROADCASTING  5.322</w:t>
            </w:r>
          </w:p>
          <w:p w14:paraId="51AC6CCA"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p w14:paraId="5ED65C1F" w14:textId="77777777" w:rsidR="002D48D4" w:rsidRPr="00FD2A75" w:rsidRDefault="002D48D4" w:rsidP="00556FFB">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FD2A75">
              <w:rPr>
                <w:rFonts w:ascii="Arial Narrow" w:hAnsi="Arial Narrow"/>
                <w:sz w:val="17"/>
              </w:rPr>
              <w:t>5.319  5.323</w:t>
            </w:r>
          </w:p>
        </w:tc>
        <w:tc>
          <w:tcPr>
            <w:tcW w:w="2368" w:type="dxa"/>
            <w:tcBorders>
              <w:left w:val="single" w:sz="6" w:space="0" w:color="000000"/>
              <w:bottom w:val="single" w:sz="6" w:space="0" w:color="000000"/>
              <w:right w:val="single" w:sz="6" w:space="0" w:color="auto"/>
            </w:tcBorders>
            <w:noWrap/>
            <w:vAlign w:val="bottom"/>
          </w:tcPr>
          <w:p w14:paraId="6098E9D3" w14:textId="77777777" w:rsidR="002D48D4" w:rsidRPr="00FD2A75" w:rsidRDefault="002D48D4" w:rsidP="00556FFB">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D2A75">
              <w:rPr>
                <w:rFonts w:ascii="Arial Narrow" w:hAnsi="Arial Narrow"/>
                <w:sz w:val="17"/>
              </w:rPr>
              <w:t>5.317  5.318</w:t>
            </w:r>
          </w:p>
        </w:tc>
        <w:tc>
          <w:tcPr>
            <w:tcW w:w="2249" w:type="dxa"/>
            <w:tcBorders>
              <w:left w:val="single" w:sz="6" w:space="0" w:color="auto"/>
              <w:bottom w:val="single" w:sz="6" w:space="0" w:color="000000"/>
              <w:right w:val="double" w:sz="6" w:space="0" w:color="auto"/>
            </w:tcBorders>
            <w:shd w:val="clear" w:color="auto" w:fill="auto"/>
            <w:noWrap/>
            <w:vAlign w:val="bottom"/>
          </w:tcPr>
          <w:p w14:paraId="654F3850" w14:textId="77777777" w:rsidR="002D48D4" w:rsidRPr="00FD2A75" w:rsidRDefault="002D48D4" w:rsidP="00556FFB">
            <w:pPr>
              <w:widowControl/>
              <w:tabs>
                <w:tab w:val="left" w:pos="1440"/>
              </w:tabs>
              <w:suppressAutoHyphens/>
              <w:jc w:val="both"/>
              <w:rPr>
                <w:rFonts w:ascii="Arial Narrow" w:hAnsi="Arial Narrow"/>
                <w:sz w:val="17"/>
              </w:rPr>
            </w:pPr>
            <w:r w:rsidRPr="00FD2A75">
              <w:rPr>
                <w:rFonts w:ascii="Arial Narrow" w:hAnsi="Arial Narrow"/>
                <w:sz w:val="17"/>
              </w:rPr>
              <w:t>5.149  5.305  5.306  5.307</w:t>
            </w:r>
          </w:p>
          <w:p w14:paraId="2B304E26" w14:textId="77777777" w:rsidR="002D48D4" w:rsidRPr="00FD2A75" w:rsidRDefault="002D48D4" w:rsidP="00556FFB">
            <w:pPr>
              <w:widowControl/>
              <w:suppressAutoHyphens/>
              <w:spacing w:line="204" w:lineRule="auto"/>
              <w:rPr>
                <w:rFonts w:ascii="Arial Narrow" w:hAnsi="Arial Narrow"/>
                <w:sz w:val="17"/>
              </w:rPr>
            </w:pPr>
            <w:r w:rsidRPr="00FD2A75">
              <w:rPr>
                <w:rFonts w:ascii="Arial Narrow" w:hAnsi="Arial Narrow"/>
                <w:sz w:val="17"/>
              </w:rPr>
              <w:t>5.311A  5.320</w:t>
            </w:r>
          </w:p>
        </w:tc>
        <w:tc>
          <w:tcPr>
            <w:tcW w:w="2171" w:type="dxa"/>
            <w:vMerge/>
            <w:tcBorders>
              <w:left w:val="double" w:sz="6" w:space="0" w:color="auto"/>
              <w:bottom w:val="single" w:sz="6" w:space="0" w:color="000000"/>
              <w:right w:val="single" w:sz="6" w:space="0" w:color="auto"/>
            </w:tcBorders>
            <w:shd w:val="clear" w:color="auto" w:fill="auto"/>
            <w:noWrap/>
            <w:vAlign w:val="center"/>
          </w:tcPr>
          <w:p w14:paraId="7732CFA8" w14:textId="77777777" w:rsidR="002D48D4" w:rsidRPr="00FD2A75" w:rsidRDefault="002D48D4" w:rsidP="00556FFB">
            <w:pPr>
              <w:widowControl/>
              <w:suppressAutoHyphens/>
              <w:rPr>
                <w:rFonts w:ascii="Arial Narrow" w:hAnsi="Arial Narrow"/>
                <w:sz w:val="17"/>
              </w:rPr>
            </w:pPr>
          </w:p>
        </w:tc>
        <w:tc>
          <w:tcPr>
            <w:tcW w:w="2486" w:type="dxa"/>
            <w:vMerge/>
            <w:tcBorders>
              <w:left w:val="single" w:sz="6" w:space="0" w:color="auto"/>
              <w:right w:val="double" w:sz="6" w:space="0" w:color="auto"/>
            </w:tcBorders>
            <w:noWrap/>
          </w:tcPr>
          <w:p w14:paraId="735567A6"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302" w:type="dxa"/>
            <w:vMerge/>
            <w:tcBorders>
              <w:left w:val="double" w:sz="6" w:space="0" w:color="auto"/>
              <w:bottom w:val="single" w:sz="6" w:space="0" w:color="000000"/>
              <w:right w:val="nil"/>
            </w:tcBorders>
            <w:shd w:val="clear" w:color="auto" w:fill="auto"/>
            <w:noWrap/>
          </w:tcPr>
          <w:p w14:paraId="2E7642D1"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tc>
      </w:tr>
      <w:tr w:rsidR="002D48D4" w:rsidRPr="00FD2A75" w14:paraId="4CF9DA94" w14:textId="77777777" w:rsidTr="00462DA2">
        <w:trPr>
          <w:trHeight w:val="174"/>
        </w:trPr>
        <w:tc>
          <w:tcPr>
            <w:tcW w:w="8950" w:type="dxa"/>
            <w:gridSpan w:val="4"/>
            <w:tcBorders>
              <w:top w:val="single" w:sz="6" w:space="0" w:color="000000"/>
              <w:left w:val="nil"/>
              <w:right w:val="single" w:sz="6" w:space="0" w:color="auto"/>
            </w:tcBorders>
            <w:noWrap/>
          </w:tcPr>
          <w:p w14:paraId="0E8DB480" w14:textId="77777777" w:rsidR="002D48D4" w:rsidRPr="00FD2A75" w:rsidRDefault="002D48D4" w:rsidP="00556FFB">
            <w:pPr>
              <w:widowControl/>
              <w:suppressAutoHyphens/>
              <w:rPr>
                <w:rFonts w:ascii="Arial Narrow" w:hAnsi="Arial Narrow"/>
                <w:sz w:val="17"/>
              </w:rPr>
            </w:pPr>
          </w:p>
        </w:tc>
        <w:tc>
          <w:tcPr>
            <w:tcW w:w="2486" w:type="dxa"/>
            <w:tcBorders>
              <w:left w:val="single" w:sz="6" w:space="0" w:color="auto"/>
              <w:bottom w:val="single" w:sz="6" w:space="0" w:color="auto"/>
              <w:right w:val="double" w:sz="6" w:space="0" w:color="auto"/>
            </w:tcBorders>
            <w:noWrap/>
            <w:vAlign w:val="bottom"/>
          </w:tcPr>
          <w:p w14:paraId="6D525782" w14:textId="77777777" w:rsidR="002D48D4" w:rsidRPr="00FD2A75" w:rsidRDefault="002D48D4" w:rsidP="00556FFB">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FD2A75">
              <w:rPr>
                <w:rFonts w:ascii="Arial Narrow" w:hAnsi="Arial Narrow"/>
                <w:sz w:val="17"/>
              </w:rPr>
              <w:t>US116  US268</w:t>
            </w:r>
          </w:p>
        </w:tc>
        <w:tc>
          <w:tcPr>
            <w:tcW w:w="2302" w:type="dxa"/>
            <w:tcBorders>
              <w:top w:val="single" w:sz="6" w:space="0" w:color="000000"/>
              <w:left w:val="double" w:sz="6" w:space="0" w:color="auto"/>
              <w:right w:val="nil"/>
            </w:tcBorders>
            <w:shd w:val="clear" w:color="auto" w:fill="auto"/>
            <w:noWrap/>
          </w:tcPr>
          <w:p w14:paraId="0AF3FB3C" w14:textId="77777777" w:rsidR="002D48D4" w:rsidRPr="00FD2A75" w:rsidRDefault="002D48D4" w:rsidP="00556FFB">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3"/>
              <w:ind w:right="18"/>
              <w:jc w:val="right"/>
              <w:rPr>
                <w:rFonts w:ascii="Arial Narrow" w:hAnsi="Arial Narrow"/>
                <w:sz w:val="17"/>
              </w:rPr>
            </w:pPr>
            <w:r w:rsidRPr="00FD2A75">
              <w:rPr>
                <w:rFonts w:ascii="Arial Narrow" w:hAnsi="Arial Narrow"/>
                <w:sz w:val="17"/>
              </w:rPr>
              <w:t>Page 30</w:t>
            </w:r>
          </w:p>
        </w:tc>
      </w:tr>
    </w:tbl>
    <w:p w14:paraId="284338EF" w14:textId="77777777" w:rsidR="002D48D4" w:rsidRDefault="002D48D4" w:rsidP="00556FFB">
      <w:pPr>
        <w:widowControl/>
        <w:suppressAutoHyphens/>
        <w:sectPr w:rsidR="002D48D4" w:rsidSect="009A6DF2">
          <w:headerReference w:type="default" r:id="rId15"/>
          <w:pgSz w:w="15840" w:h="12240" w:orient="landscape" w:code="1"/>
          <w:pgMar w:top="864" w:right="1080" w:bottom="720" w:left="1080" w:header="0" w:footer="720" w:gutter="0"/>
          <w:cols w:space="720"/>
          <w:docGrid w:linePitch="360"/>
        </w:sectPr>
      </w:pPr>
    </w:p>
    <w:p w14:paraId="35EBE225" w14:textId="77777777" w:rsidR="00763149" w:rsidRDefault="00763149" w:rsidP="00556FFB">
      <w:pPr>
        <w:widowControl/>
        <w:suppressAutoHyphens/>
        <w:spacing w:after="120"/>
        <w:ind w:right="115" w:firstLine="360"/>
        <w:rPr>
          <w:smallCaps/>
          <w:color w:val="000000"/>
          <w:szCs w:val="22"/>
        </w:rPr>
      </w:pPr>
      <w:r w:rsidRPr="008E7E94">
        <w:rPr>
          <w:szCs w:val="22"/>
        </w:rPr>
        <w:t>* * * * *</w:t>
      </w:r>
    </w:p>
    <w:p w14:paraId="354F7D8F" w14:textId="77777777" w:rsidR="002D48D4" w:rsidRPr="008E7E94" w:rsidRDefault="002D48D4">
      <w:pPr>
        <w:pStyle w:val="FootnoteText"/>
        <w:suppressAutoHyphens/>
        <w:jc w:val="center"/>
        <w:rPr>
          <w:smallCaps/>
          <w:color w:val="000000"/>
          <w:sz w:val="22"/>
          <w:szCs w:val="22"/>
        </w:rPr>
      </w:pPr>
      <w:r w:rsidRPr="008E7E94">
        <w:rPr>
          <w:smallCaps/>
          <w:color w:val="000000"/>
          <w:sz w:val="22"/>
          <w:szCs w:val="22"/>
        </w:rPr>
        <w:t>Non-Federal Government (NG) Footnotes</w:t>
      </w:r>
    </w:p>
    <w:p w14:paraId="4590A1CD" w14:textId="77777777" w:rsidR="002D48D4" w:rsidRPr="008E7E94" w:rsidRDefault="002D48D4" w:rsidP="00556FFB">
      <w:pPr>
        <w:widowControl/>
        <w:suppressAutoHyphens/>
        <w:spacing w:after="120"/>
        <w:ind w:right="115" w:firstLine="360"/>
        <w:rPr>
          <w:szCs w:val="22"/>
        </w:rPr>
      </w:pPr>
      <w:r w:rsidRPr="008E7E94">
        <w:rPr>
          <w:szCs w:val="22"/>
        </w:rPr>
        <w:t>* * * * *</w:t>
      </w:r>
    </w:p>
    <w:p w14:paraId="589C20EB" w14:textId="77777777" w:rsidR="00643F57" w:rsidRPr="008E7E94" w:rsidRDefault="002D48D4" w:rsidP="00556FFB">
      <w:pPr>
        <w:widowControl/>
        <w:suppressAutoHyphens/>
        <w:spacing w:after="120"/>
        <w:ind w:right="115" w:firstLine="360"/>
        <w:rPr>
          <w:szCs w:val="22"/>
        </w:rPr>
      </w:pPr>
      <w:r w:rsidRPr="008E7E94">
        <w:rPr>
          <w:szCs w:val="22"/>
        </w:rPr>
        <w:t>NG5  In the band 535-1705 kHz, AM broadcast licensees and permittees may use their AM carrier on a secondary basis to transmit signals intended for both broadcast and non-broadcast purposes.  In the band 88</w:t>
      </w:r>
      <w:r w:rsidRPr="008E7E94">
        <w:rPr>
          <w:szCs w:val="22"/>
        </w:rPr>
        <w:noBreakHyphen/>
        <w:t>108 MHz, FM broadcast licensees and permittees are permitted to use subcarriers on a secondary basis to transmit signals intended for both broadcast and non-broadcast purposes.  In the bands 54-72, 76</w:t>
      </w:r>
      <w:r w:rsidRPr="008E7E94">
        <w:rPr>
          <w:szCs w:val="22"/>
        </w:rPr>
        <w:noBreakHyphen/>
        <w:t>88, 174</w:t>
      </w:r>
      <w:r w:rsidRPr="008E7E94">
        <w:rPr>
          <w:szCs w:val="22"/>
        </w:rPr>
        <w:noBreakHyphen/>
        <w:t>216, 470-608</w:t>
      </w:r>
      <w:r w:rsidR="00181020">
        <w:rPr>
          <w:szCs w:val="22"/>
        </w:rPr>
        <w:t>, and 614-698 MHz</w:t>
      </w:r>
      <w:r w:rsidRPr="008E7E94">
        <w:rPr>
          <w:szCs w:val="22"/>
        </w:rPr>
        <w:t>, TV broadcast licensees and permittees are permitted to use subcarriers on a secondary basis for both broadcast and non-broadcast purposes.</w:t>
      </w:r>
      <w:r w:rsidR="00643F57">
        <w:rPr>
          <w:szCs w:val="22"/>
        </w:rPr>
        <w:t xml:space="preserve">  </w:t>
      </w:r>
      <w:r w:rsidR="00F86363">
        <w:rPr>
          <w:szCs w:val="22"/>
        </w:rPr>
        <w:t>U</w:t>
      </w:r>
      <w:r w:rsidR="00643F57" w:rsidRPr="00643F57">
        <w:rPr>
          <w:szCs w:val="22"/>
        </w:rPr>
        <w:t xml:space="preserve">se of the band </w:t>
      </w:r>
      <w:r w:rsidR="00F86363">
        <w:rPr>
          <w:szCs w:val="22"/>
        </w:rPr>
        <w:t xml:space="preserve">614-698 MHz </w:t>
      </w:r>
      <w:r w:rsidR="00643F57" w:rsidRPr="00643F57">
        <w:rPr>
          <w:szCs w:val="22"/>
        </w:rPr>
        <w:t>is subject to the provisions specified in NG33.</w:t>
      </w:r>
    </w:p>
    <w:p w14:paraId="78A7C357" w14:textId="77777777" w:rsidR="002D48D4" w:rsidRPr="008E7E94" w:rsidRDefault="002D48D4" w:rsidP="00556FFB">
      <w:pPr>
        <w:widowControl/>
        <w:suppressAutoHyphens/>
        <w:spacing w:after="120"/>
        <w:ind w:right="115" w:firstLine="360"/>
        <w:rPr>
          <w:szCs w:val="22"/>
        </w:rPr>
      </w:pPr>
      <w:r w:rsidRPr="008E7E94">
        <w:rPr>
          <w:szCs w:val="22"/>
        </w:rPr>
        <w:t>* * * * *</w:t>
      </w:r>
    </w:p>
    <w:p w14:paraId="56FDD6FE" w14:textId="77777777" w:rsidR="00643F57" w:rsidRPr="008E7E94" w:rsidRDefault="002D48D4" w:rsidP="00556FFB">
      <w:pPr>
        <w:widowControl/>
        <w:suppressAutoHyphens/>
        <w:spacing w:after="120"/>
        <w:ind w:right="115" w:firstLine="360"/>
        <w:rPr>
          <w:szCs w:val="22"/>
        </w:rPr>
      </w:pPr>
      <w:r w:rsidRPr="008E7E94">
        <w:rPr>
          <w:szCs w:val="22"/>
        </w:rPr>
        <w:t>NG14  TV broadcast stations authorized to operate in the bands 54-72, 76-88, 174-216, 470</w:t>
      </w:r>
      <w:r w:rsidRPr="008E7E94">
        <w:rPr>
          <w:szCs w:val="22"/>
        </w:rPr>
        <w:noBreakHyphen/>
        <w:t>608</w:t>
      </w:r>
      <w:r w:rsidR="00181020">
        <w:rPr>
          <w:szCs w:val="22"/>
        </w:rPr>
        <w:t>, and 614-698</w:t>
      </w:r>
      <w:r w:rsidRPr="008E7E94">
        <w:rPr>
          <w:szCs w:val="22"/>
        </w:rPr>
        <w:t xml:space="preserve"> MHz may use a portion of the television vertical blanking interval for the transmission of telecommunications signals, on the condition that harmful interference will not be caused to the reception of primary services, and that such telecommunications services must accept any interference caused by primary services operating in these bands.</w:t>
      </w:r>
      <w:r w:rsidR="00643F57">
        <w:rPr>
          <w:szCs w:val="22"/>
        </w:rPr>
        <w:t xml:space="preserve">  </w:t>
      </w:r>
      <w:r w:rsidR="00C62A0C">
        <w:rPr>
          <w:szCs w:val="22"/>
        </w:rPr>
        <w:t>U</w:t>
      </w:r>
      <w:r w:rsidR="00643F57" w:rsidRPr="00643F57">
        <w:rPr>
          <w:szCs w:val="22"/>
        </w:rPr>
        <w:t xml:space="preserve">se of the </w:t>
      </w:r>
      <w:r w:rsidR="00C62A0C">
        <w:rPr>
          <w:szCs w:val="22"/>
        </w:rPr>
        <w:t>band 614-698 MHz</w:t>
      </w:r>
      <w:r w:rsidR="00643F57" w:rsidRPr="00643F57">
        <w:rPr>
          <w:szCs w:val="22"/>
        </w:rPr>
        <w:t xml:space="preserve"> is subject to the provisions specified in NG33.</w:t>
      </w:r>
    </w:p>
    <w:p w14:paraId="632DA7D0" w14:textId="77777777" w:rsidR="002D48D4" w:rsidRPr="008E7E94" w:rsidRDefault="002D48D4" w:rsidP="00556FFB">
      <w:pPr>
        <w:widowControl/>
        <w:suppressAutoHyphens/>
        <w:spacing w:after="120"/>
        <w:ind w:right="115" w:firstLine="360"/>
        <w:rPr>
          <w:szCs w:val="22"/>
        </w:rPr>
      </w:pPr>
      <w:r w:rsidRPr="008E7E94">
        <w:rPr>
          <w:szCs w:val="22"/>
        </w:rPr>
        <w:t>* * * * *</w:t>
      </w:r>
    </w:p>
    <w:p w14:paraId="698BB2B9" w14:textId="77777777" w:rsidR="001A259A" w:rsidRPr="001A259A" w:rsidRDefault="001A259A" w:rsidP="00556FFB">
      <w:pPr>
        <w:widowControl/>
        <w:suppressAutoHyphens/>
        <w:ind w:firstLine="360"/>
        <w:rPr>
          <w:rFonts w:eastAsia="Calibri"/>
          <w:snapToGrid/>
          <w:kern w:val="0"/>
          <w:szCs w:val="22"/>
        </w:rPr>
      </w:pPr>
      <w:r w:rsidRPr="001A259A">
        <w:rPr>
          <w:rFonts w:eastAsia="Calibri"/>
          <w:snapToGrid/>
          <w:kern w:val="0"/>
          <w:szCs w:val="22"/>
        </w:rPr>
        <w:t>NG33  In the band 614-698 MHz, the following provisions shall apply:</w:t>
      </w:r>
    </w:p>
    <w:p w14:paraId="2F544D15" w14:textId="77777777" w:rsidR="001A259A" w:rsidRPr="001A259A" w:rsidRDefault="001A259A" w:rsidP="00556FFB">
      <w:pPr>
        <w:widowControl/>
        <w:suppressAutoHyphens/>
        <w:ind w:firstLine="360"/>
        <w:rPr>
          <w:snapToGrid/>
          <w:kern w:val="0"/>
          <w:szCs w:val="22"/>
        </w:rPr>
      </w:pPr>
      <w:r w:rsidRPr="001A259A">
        <w:rPr>
          <w:snapToGrid/>
          <w:kern w:val="0"/>
          <w:szCs w:val="22"/>
        </w:rPr>
        <w:t>(a) Until July 13, 2020, stations in the broadcasting service and other authorized uses may operate as follows:</w:t>
      </w:r>
    </w:p>
    <w:p w14:paraId="501DEB5B" w14:textId="77777777" w:rsidR="001A259A" w:rsidRPr="001A259A" w:rsidRDefault="001A259A" w:rsidP="00556FFB">
      <w:pPr>
        <w:widowControl/>
        <w:suppressAutoHyphens/>
        <w:ind w:firstLine="360"/>
        <w:rPr>
          <w:snapToGrid/>
          <w:kern w:val="0"/>
          <w:szCs w:val="22"/>
        </w:rPr>
      </w:pPr>
      <w:r w:rsidRPr="001A259A">
        <w:rPr>
          <w:snapToGrid/>
          <w:kern w:val="0"/>
          <w:szCs w:val="22"/>
        </w:rPr>
        <w:t xml:space="preserve">(1) </w:t>
      </w:r>
      <w:r w:rsidR="00CA2121">
        <w:rPr>
          <w:snapToGrid/>
          <w:kern w:val="0"/>
          <w:szCs w:val="22"/>
        </w:rPr>
        <w:t>F</w:t>
      </w:r>
      <w:r w:rsidRPr="001A259A">
        <w:rPr>
          <w:snapToGrid/>
          <w:kern w:val="0"/>
          <w:szCs w:val="22"/>
        </w:rPr>
        <w:t>ull power and Class A television (TV) stations, i.e., broadcast TV stations, may operate on a co</w:t>
      </w:r>
      <w:r w:rsidR="00197073">
        <w:rPr>
          <w:snapToGrid/>
          <w:kern w:val="0"/>
          <w:szCs w:val="22"/>
        </w:rPr>
        <w:noBreakHyphen/>
      </w:r>
      <w:r w:rsidRPr="001A259A">
        <w:rPr>
          <w:snapToGrid/>
          <w:kern w:val="0"/>
          <w:szCs w:val="22"/>
        </w:rPr>
        <w:t>equal, primary basis with stations in the fixed and mobile services until such stations terminate operations on their pre</w:t>
      </w:r>
      <w:r w:rsidRPr="001A259A">
        <w:rPr>
          <w:snapToGrid/>
          <w:kern w:val="0"/>
          <w:szCs w:val="22"/>
        </w:rPr>
        <w:noBreakHyphen/>
        <w:t>auction television channels in accordance with § 73.3700(b)(4).</w:t>
      </w:r>
    </w:p>
    <w:p w14:paraId="26DADBE6" w14:textId="77777777" w:rsidR="001A259A" w:rsidRPr="001A259A" w:rsidRDefault="001A259A" w:rsidP="00556FFB">
      <w:pPr>
        <w:widowControl/>
        <w:suppressAutoHyphens/>
        <w:ind w:firstLine="360"/>
        <w:rPr>
          <w:rFonts w:eastAsia="Calibri"/>
          <w:snapToGrid/>
          <w:kern w:val="0"/>
          <w:szCs w:val="22"/>
        </w:rPr>
      </w:pPr>
      <w:r w:rsidRPr="001A259A">
        <w:rPr>
          <w:rFonts w:eastAsia="Calibri"/>
          <w:snapToGrid/>
          <w:kern w:val="0"/>
          <w:szCs w:val="22"/>
        </w:rPr>
        <w:t>(2) Low power TV (LPTV) and TV translator stations may operate on a secondary basis to stations in the fixed and mobile services and to broadcast TV stations, and fixed TV broadcast auxiliary stations may operate on a secondary basis to LPTV and TV translator stations, unless such stations are required to terminate their operations earlier in accordance with § 73.3700(g)(4) or § 74.602(h)(5)-(6).</w:t>
      </w:r>
    </w:p>
    <w:p w14:paraId="3532D83A" w14:textId="77777777" w:rsidR="001A259A" w:rsidRPr="001A259A" w:rsidRDefault="001A259A" w:rsidP="00556FFB">
      <w:pPr>
        <w:widowControl/>
        <w:suppressAutoHyphens/>
        <w:ind w:firstLine="360"/>
        <w:rPr>
          <w:rFonts w:eastAsia="Calibri"/>
          <w:snapToGrid/>
          <w:kern w:val="0"/>
          <w:szCs w:val="22"/>
        </w:rPr>
      </w:pPr>
      <w:r w:rsidRPr="001A259A">
        <w:rPr>
          <w:rFonts w:eastAsia="Calibri"/>
          <w:snapToGrid/>
          <w:kern w:val="0"/>
          <w:szCs w:val="22"/>
        </w:rPr>
        <w:t xml:space="preserve">(3) Low power auxiliary stations (LPAS), including wireless assist video devices (WAVDs), may operate on a  secondary basis to all other authorized stations in accordance with § 74.802(f) </w:t>
      </w:r>
      <w:r w:rsidR="00C239F3">
        <w:rPr>
          <w:rFonts w:eastAsia="Calibri"/>
          <w:snapToGrid/>
          <w:kern w:val="0"/>
          <w:szCs w:val="22"/>
        </w:rPr>
        <w:t>and</w:t>
      </w:r>
      <w:r w:rsidRPr="001A259A">
        <w:rPr>
          <w:rFonts w:eastAsia="Calibri"/>
          <w:snapToGrid/>
          <w:kern w:val="0"/>
          <w:szCs w:val="22"/>
        </w:rPr>
        <w:t xml:space="preserve"> § 74.870(i).</w:t>
      </w:r>
    </w:p>
    <w:p w14:paraId="7A9E0275" w14:textId="77777777" w:rsidR="001A259A" w:rsidRPr="001A259A" w:rsidRDefault="001A259A" w:rsidP="00556FFB">
      <w:pPr>
        <w:widowControl/>
        <w:suppressAutoHyphens/>
        <w:ind w:firstLine="360"/>
        <w:rPr>
          <w:rFonts w:eastAsia="Calibri"/>
          <w:snapToGrid/>
          <w:kern w:val="0"/>
          <w:szCs w:val="22"/>
        </w:rPr>
      </w:pPr>
      <w:r w:rsidRPr="001A259A">
        <w:rPr>
          <w:rFonts w:eastAsia="Calibri"/>
          <w:snapToGrid/>
          <w:kern w:val="0"/>
          <w:szCs w:val="22"/>
        </w:rPr>
        <w:t>(4) Unlicensed wireless microphones and white space devices (WSDs) may operate on a non</w:t>
      </w:r>
      <w:r w:rsidRPr="001A259A">
        <w:rPr>
          <w:rFonts w:eastAsia="Calibri"/>
          <w:snapToGrid/>
          <w:kern w:val="0"/>
          <w:szCs w:val="22"/>
        </w:rPr>
        <w:noBreakHyphen/>
        <w:t>interference basis, unless such devices are required to terminate operations earlier in accordance with § 15.236(c)(2) or § 15.707(a)(1)-(2), (5)</w:t>
      </w:r>
      <w:r w:rsidR="00CA2121">
        <w:rPr>
          <w:rFonts w:eastAsia="Calibri"/>
          <w:snapToGrid/>
          <w:kern w:val="0"/>
          <w:szCs w:val="22"/>
        </w:rPr>
        <w:t>, respectively</w:t>
      </w:r>
      <w:r w:rsidRPr="001A259A">
        <w:rPr>
          <w:rFonts w:eastAsia="Calibri"/>
          <w:snapToGrid/>
          <w:kern w:val="0"/>
          <w:szCs w:val="22"/>
        </w:rPr>
        <w:t xml:space="preserve">. </w:t>
      </w:r>
    </w:p>
    <w:p w14:paraId="1AD13718" w14:textId="77777777" w:rsidR="001A259A" w:rsidRPr="001A259A" w:rsidRDefault="001A259A" w:rsidP="00556FFB">
      <w:pPr>
        <w:widowControl/>
        <w:suppressAutoHyphens/>
        <w:ind w:firstLine="360"/>
        <w:rPr>
          <w:rFonts w:eastAsia="Calibri"/>
          <w:snapToGrid/>
          <w:kern w:val="0"/>
          <w:szCs w:val="22"/>
        </w:rPr>
      </w:pPr>
      <w:r w:rsidRPr="001A259A">
        <w:rPr>
          <w:rFonts w:eastAsia="Calibri"/>
          <w:snapToGrid/>
          <w:kern w:val="0"/>
          <w:szCs w:val="22"/>
        </w:rPr>
        <w:t>(b) After July 13, 2020, only the following types of radiofrequency devices that are authorized in paragraph (a) may continue to operate:</w:t>
      </w:r>
    </w:p>
    <w:p w14:paraId="673B5F78" w14:textId="77777777" w:rsidR="001A259A" w:rsidRPr="001A259A" w:rsidRDefault="001A259A" w:rsidP="00556FFB">
      <w:pPr>
        <w:widowControl/>
        <w:suppressAutoHyphens/>
        <w:ind w:firstLine="360"/>
        <w:rPr>
          <w:rFonts w:eastAsia="Calibri"/>
          <w:snapToGrid/>
          <w:kern w:val="0"/>
          <w:szCs w:val="22"/>
        </w:rPr>
      </w:pPr>
      <w:r w:rsidRPr="001A259A">
        <w:rPr>
          <w:rFonts w:eastAsia="Calibri"/>
          <w:snapToGrid/>
          <w:kern w:val="0"/>
          <w:szCs w:val="22"/>
        </w:rPr>
        <w:t>(1) LPTV and TV translator stations may operate on a secondary basis to stations in the fixed and mobile services in the sub-bands 617-652 MHz and 663-698 MHz until required to terminate their operations in accordance with § 73.3700(g)(4).</w:t>
      </w:r>
    </w:p>
    <w:p w14:paraId="6BCA70EF" w14:textId="77777777" w:rsidR="001A259A" w:rsidRPr="001A259A" w:rsidRDefault="001A259A" w:rsidP="00556FFB">
      <w:pPr>
        <w:widowControl/>
        <w:suppressAutoHyphens/>
        <w:ind w:firstLine="360"/>
        <w:rPr>
          <w:rFonts w:eastAsia="Calibri"/>
          <w:snapToGrid/>
          <w:kern w:val="0"/>
          <w:szCs w:val="22"/>
        </w:rPr>
      </w:pPr>
      <w:r w:rsidRPr="001A259A">
        <w:rPr>
          <w:rFonts w:eastAsia="Calibri"/>
          <w:snapToGrid/>
          <w:kern w:val="0"/>
          <w:szCs w:val="22"/>
        </w:rPr>
        <w:t>(2) LPAS may operate in the sub-band 653-657 MHz and unlicensed wireless microphones may operate in the sub-bands 614</w:t>
      </w:r>
      <w:r w:rsidRPr="001A259A">
        <w:rPr>
          <w:rFonts w:eastAsia="Calibri"/>
          <w:snapToGrid/>
          <w:kern w:val="0"/>
          <w:szCs w:val="22"/>
        </w:rPr>
        <w:noBreakHyphen/>
        <w:t>616 MHz and 657-663 MHz.</w:t>
      </w:r>
    </w:p>
    <w:p w14:paraId="505B61B5" w14:textId="77777777" w:rsidR="00DE7B2E" w:rsidRPr="001A259A" w:rsidRDefault="001A259A" w:rsidP="00556FFB">
      <w:pPr>
        <w:widowControl/>
        <w:suppressAutoHyphens/>
        <w:spacing w:after="120"/>
        <w:ind w:firstLine="360"/>
        <w:rPr>
          <w:rFonts w:eastAsia="Calibri"/>
          <w:snapToGrid/>
          <w:kern w:val="0"/>
          <w:szCs w:val="22"/>
        </w:rPr>
      </w:pPr>
      <w:r w:rsidRPr="001A259A">
        <w:rPr>
          <w:rFonts w:eastAsia="Calibri"/>
          <w:snapToGrid/>
          <w:kern w:val="0"/>
          <w:szCs w:val="22"/>
        </w:rPr>
        <w:t>(3) WSDs may operate in</w:t>
      </w:r>
      <w:r w:rsidR="00C23BB1">
        <w:rPr>
          <w:rFonts w:eastAsia="Calibri"/>
          <w:snapToGrid/>
          <w:kern w:val="0"/>
          <w:szCs w:val="22"/>
        </w:rPr>
        <w:t>:</w:t>
      </w:r>
      <w:r w:rsidR="005C4B3B">
        <w:rPr>
          <w:rFonts w:eastAsia="Calibri"/>
          <w:snapToGrid/>
          <w:kern w:val="0"/>
          <w:szCs w:val="22"/>
        </w:rPr>
        <w:t xml:space="preserve"> </w:t>
      </w:r>
      <w:r w:rsidR="004142E3">
        <w:rPr>
          <w:rFonts w:eastAsia="Calibri"/>
          <w:snapToGrid/>
          <w:kern w:val="0"/>
          <w:szCs w:val="22"/>
        </w:rPr>
        <w:t xml:space="preserve">(i) </w:t>
      </w:r>
      <w:r w:rsidRPr="001A259A">
        <w:rPr>
          <w:rFonts w:eastAsia="Calibri"/>
          <w:snapToGrid/>
          <w:kern w:val="0"/>
          <w:szCs w:val="22"/>
        </w:rPr>
        <w:t xml:space="preserve">the sub-bands </w:t>
      </w:r>
      <w:r w:rsidR="004142E3" w:rsidRPr="001A259A">
        <w:rPr>
          <w:rFonts w:eastAsia="Calibri"/>
          <w:snapToGrid/>
          <w:kern w:val="0"/>
          <w:szCs w:val="22"/>
        </w:rPr>
        <w:t>61</w:t>
      </w:r>
      <w:r w:rsidR="004142E3">
        <w:rPr>
          <w:rFonts w:eastAsia="Calibri"/>
          <w:snapToGrid/>
          <w:kern w:val="0"/>
          <w:szCs w:val="22"/>
        </w:rPr>
        <w:t>7</w:t>
      </w:r>
      <w:r w:rsidRPr="001A259A">
        <w:rPr>
          <w:rFonts w:eastAsia="Calibri"/>
          <w:snapToGrid/>
          <w:kern w:val="0"/>
          <w:szCs w:val="22"/>
        </w:rPr>
        <w:t xml:space="preserve">-652 MHz and </w:t>
      </w:r>
      <w:r w:rsidR="004142E3" w:rsidRPr="001A259A">
        <w:rPr>
          <w:rFonts w:eastAsia="Calibri"/>
          <w:snapToGrid/>
          <w:kern w:val="0"/>
          <w:szCs w:val="22"/>
        </w:rPr>
        <w:t>6</w:t>
      </w:r>
      <w:r w:rsidR="004142E3">
        <w:rPr>
          <w:rFonts w:eastAsia="Calibri"/>
          <w:snapToGrid/>
          <w:kern w:val="0"/>
          <w:szCs w:val="22"/>
        </w:rPr>
        <w:t>63</w:t>
      </w:r>
      <w:r w:rsidRPr="001A259A">
        <w:rPr>
          <w:rFonts w:eastAsia="Calibri"/>
          <w:snapToGrid/>
          <w:kern w:val="0"/>
          <w:szCs w:val="22"/>
        </w:rPr>
        <w:noBreakHyphen/>
        <w:t>698 MHz, except in those areas where their use is prohibited in accordance with §§ 15.707(a</w:t>
      </w:r>
      <w:r w:rsidR="004142E3">
        <w:rPr>
          <w:rFonts w:eastAsia="Calibri"/>
          <w:snapToGrid/>
          <w:kern w:val="0"/>
          <w:szCs w:val="22"/>
        </w:rPr>
        <w:t>)</w:t>
      </w:r>
      <w:r w:rsidRPr="001A259A">
        <w:rPr>
          <w:rFonts w:eastAsia="Calibri"/>
          <w:snapToGrid/>
          <w:kern w:val="0"/>
          <w:szCs w:val="22"/>
        </w:rPr>
        <w:t>(5) and 15.713(b)(2)(iv</w:t>
      </w:r>
      <w:r w:rsidR="004142E3">
        <w:rPr>
          <w:rFonts w:eastAsia="Calibri"/>
          <w:snapToGrid/>
          <w:kern w:val="0"/>
          <w:szCs w:val="22"/>
        </w:rPr>
        <w:t>)</w:t>
      </w:r>
      <w:r w:rsidR="00CD3C2D">
        <w:rPr>
          <w:rFonts w:eastAsia="Calibri"/>
          <w:snapToGrid/>
          <w:kern w:val="0"/>
          <w:szCs w:val="22"/>
        </w:rPr>
        <w:t>,</w:t>
      </w:r>
      <w:r w:rsidR="004142E3">
        <w:rPr>
          <w:rFonts w:eastAsia="Calibri"/>
          <w:snapToGrid/>
          <w:kern w:val="0"/>
          <w:szCs w:val="22"/>
        </w:rPr>
        <w:t xml:space="preserve"> and (ii) the sub</w:t>
      </w:r>
      <w:r w:rsidR="00C23BB1">
        <w:rPr>
          <w:rFonts w:eastAsia="Calibri"/>
          <w:snapToGrid/>
          <w:kern w:val="0"/>
          <w:szCs w:val="22"/>
        </w:rPr>
        <w:noBreakHyphen/>
      </w:r>
      <w:r w:rsidR="004142E3">
        <w:rPr>
          <w:rFonts w:eastAsia="Calibri"/>
          <w:snapToGrid/>
          <w:kern w:val="0"/>
          <w:szCs w:val="22"/>
        </w:rPr>
        <w:t>band 657-663 MHz, in accordance with § 15.707(a)(4)</w:t>
      </w:r>
      <w:r w:rsidRPr="001A259A">
        <w:rPr>
          <w:rFonts w:eastAsia="Calibri"/>
          <w:snapToGrid/>
          <w:kern w:val="0"/>
          <w:szCs w:val="22"/>
        </w:rPr>
        <w:t>.</w:t>
      </w:r>
    </w:p>
    <w:p w14:paraId="5CC03159" w14:textId="77777777" w:rsidR="002D48D4" w:rsidRPr="008E7E94" w:rsidRDefault="002D48D4" w:rsidP="00556FFB">
      <w:pPr>
        <w:widowControl/>
        <w:suppressAutoHyphens/>
        <w:spacing w:after="120"/>
        <w:ind w:left="-5" w:right="119" w:firstLine="365"/>
        <w:rPr>
          <w:szCs w:val="22"/>
        </w:rPr>
      </w:pPr>
      <w:r w:rsidRPr="008E7E94">
        <w:rPr>
          <w:szCs w:val="22"/>
        </w:rPr>
        <w:t>* * * * *</w:t>
      </w:r>
    </w:p>
    <w:p w14:paraId="5431FFF1" w14:textId="77777777" w:rsidR="002D48D4" w:rsidRDefault="002D48D4" w:rsidP="00556FFB">
      <w:pPr>
        <w:widowControl/>
        <w:suppressAutoHyphens/>
        <w:spacing w:after="120"/>
        <w:ind w:right="115" w:firstLine="360"/>
      </w:pPr>
      <w:r w:rsidRPr="008E7E94">
        <w:rPr>
          <w:szCs w:val="22"/>
        </w:rPr>
        <w:t>NG149  The bands 54-72, 76-88, 174-216, 470-608</w:t>
      </w:r>
      <w:r w:rsidR="00181020">
        <w:rPr>
          <w:szCs w:val="22"/>
        </w:rPr>
        <w:t>, and 614-698 MHz</w:t>
      </w:r>
      <w:r w:rsidR="000F522E">
        <w:rPr>
          <w:szCs w:val="22"/>
        </w:rPr>
        <w:t xml:space="preserve"> </w:t>
      </w:r>
      <w:r w:rsidRPr="008E7E94">
        <w:rPr>
          <w:szCs w:val="22"/>
        </w:rPr>
        <w:t>are also allocated to the fixed service to permit subscription television operations in accordance with 47</w:t>
      </w:r>
      <w:r w:rsidRPr="00DB075E">
        <w:t xml:space="preserve"> CFR part 73.</w:t>
      </w:r>
      <w:r w:rsidR="00D64282">
        <w:t xml:space="preserve">  </w:t>
      </w:r>
      <w:r w:rsidR="00C62A0C">
        <w:t>U</w:t>
      </w:r>
      <w:r w:rsidR="00D64282" w:rsidRPr="00D64282">
        <w:t xml:space="preserve">se of the band </w:t>
      </w:r>
      <w:r w:rsidR="00C62A0C">
        <w:t xml:space="preserve">614-698 MHz </w:t>
      </w:r>
      <w:r w:rsidR="00D64282" w:rsidRPr="00D64282">
        <w:t>is subject to the provisions specified in NG33.</w:t>
      </w:r>
    </w:p>
    <w:p w14:paraId="1D34ADE0" w14:textId="77777777" w:rsidR="00DE7B2E" w:rsidRDefault="002D48D4" w:rsidP="00556FFB">
      <w:pPr>
        <w:widowControl/>
        <w:suppressAutoHyphens/>
        <w:spacing w:after="220"/>
        <w:ind w:right="115" w:firstLine="360"/>
      </w:pPr>
      <w:r w:rsidRPr="00DB075E">
        <w:t>* * * * *</w:t>
      </w:r>
    </w:p>
    <w:p w14:paraId="08FF1E61" w14:textId="77777777" w:rsidR="00C859EF" w:rsidRPr="00970B9B" w:rsidRDefault="00C859EF" w:rsidP="00556FFB">
      <w:pPr>
        <w:pStyle w:val="NormalWeb"/>
        <w:suppressAutoHyphens/>
        <w:spacing w:before="0" w:beforeAutospacing="0" w:after="220" w:afterAutospacing="0"/>
        <w:rPr>
          <w:b/>
          <w:szCs w:val="22"/>
        </w:rPr>
      </w:pPr>
      <w:r w:rsidRPr="00970B9B">
        <w:rPr>
          <w:b/>
          <w:iCs/>
          <w:sz w:val="22"/>
          <w:szCs w:val="22"/>
        </w:rPr>
        <w:t xml:space="preserve">PART </w:t>
      </w:r>
      <w:r w:rsidRPr="00970B9B">
        <w:rPr>
          <w:b/>
          <w:szCs w:val="22"/>
        </w:rPr>
        <w:t>27—MISCELLANEOUS WIRELESS COMMUNICATIONS SERVICES</w:t>
      </w:r>
    </w:p>
    <w:p w14:paraId="3E3D24F6" w14:textId="77777777" w:rsidR="00C859EF" w:rsidRPr="00970B9B" w:rsidRDefault="00C859EF" w:rsidP="00556FFB">
      <w:pPr>
        <w:pStyle w:val="ParaNum"/>
        <w:widowControl/>
        <w:numPr>
          <w:ilvl w:val="0"/>
          <w:numId w:val="16"/>
        </w:numPr>
        <w:suppressAutoHyphens/>
      </w:pPr>
      <w:r w:rsidRPr="00970B9B">
        <w:t xml:space="preserve">The authority citation for part 27 </w:t>
      </w:r>
      <w:r>
        <w:t>continues</w:t>
      </w:r>
      <w:r w:rsidRPr="00970B9B">
        <w:t xml:space="preserve"> to read as follows:</w:t>
      </w:r>
    </w:p>
    <w:p w14:paraId="4ABFD446" w14:textId="77777777" w:rsidR="00C859EF" w:rsidRPr="00970B9B" w:rsidRDefault="00C859EF" w:rsidP="00556FFB">
      <w:pPr>
        <w:widowControl/>
        <w:suppressAutoHyphens/>
        <w:spacing w:after="220"/>
        <w:ind w:firstLine="360"/>
        <w:rPr>
          <w:szCs w:val="22"/>
        </w:rPr>
      </w:pPr>
      <w:r w:rsidRPr="00970B9B">
        <w:rPr>
          <w:szCs w:val="22"/>
        </w:rPr>
        <w:t xml:space="preserve">Authority:  47 U.S.C. </w:t>
      </w:r>
      <w:r w:rsidRPr="00970B9B">
        <w:rPr>
          <w:color w:val="000000"/>
          <w:szCs w:val="22"/>
        </w:rPr>
        <w:t xml:space="preserve">154, 301, 302a, 303, 307, 309, 332, 336, 337, 1403, 1404, 1451, and 1452, </w:t>
      </w:r>
      <w:r w:rsidRPr="00970B9B">
        <w:rPr>
          <w:szCs w:val="22"/>
        </w:rPr>
        <w:t>unless otherwise noted.</w:t>
      </w:r>
      <w:r w:rsidRPr="00006E9B">
        <w:rPr>
          <w:szCs w:val="22"/>
        </w:rPr>
        <w:t xml:space="preserve"> </w:t>
      </w:r>
    </w:p>
    <w:p w14:paraId="3C3F5247" w14:textId="77777777" w:rsidR="00C859EF" w:rsidRPr="00DE3EB5" w:rsidRDefault="00C859EF" w:rsidP="00556FFB">
      <w:pPr>
        <w:pStyle w:val="ParaNum"/>
        <w:widowControl/>
        <w:suppressAutoHyphens/>
      </w:pPr>
      <w:r w:rsidRPr="00DE3EB5">
        <w:t>Section 27.</w:t>
      </w:r>
      <w:r>
        <w:t>1</w:t>
      </w:r>
      <w:r w:rsidRPr="00DE3EB5">
        <w:t xml:space="preserve"> is amended by </w:t>
      </w:r>
      <w:r>
        <w:t>revising</w:t>
      </w:r>
      <w:r w:rsidRPr="00DE3EB5">
        <w:t xml:space="preserve"> paragraph </w:t>
      </w:r>
      <w:r>
        <w:t xml:space="preserve">(b) </w:t>
      </w:r>
      <w:r w:rsidRPr="00DE3EB5">
        <w:t>(</w:t>
      </w:r>
      <w:r>
        <w:t>14</w:t>
      </w:r>
      <w:r w:rsidRPr="00DE3EB5">
        <w:t>) to read as follows:</w:t>
      </w:r>
    </w:p>
    <w:p w14:paraId="64444741" w14:textId="77777777" w:rsidR="00C859EF" w:rsidRPr="00970B9B" w:rsidRDefault="00C859EF" w:rsidP="00556FFB">
      <w:pPr>
        <w:widowControl/>
        <w:suppressAutoHyphens/>
        <w:spacing w:after="120"/>
        <w:rPr>
          <w:b/>
          <w:szCs w:val="22"/>
        </w:rPr>
      </w:pPr>
      <w:r w:rsidRPr="00970B9B">
        <w:rPr>
          <w:b/>
          <w:szCs w:val="22"/>
          <w:u w:val="single"/>
        </w:rPr>
        <w:t>§ 27.</w:t>
      </w:r>
      <w:r>
        <w:rPr>
          <w:b/>
          <w:szCs w:val="22"/>
          <w:u w:val="single"/>
        </w:rPr>
        <w:t>1</w:t>
      </w:r>
      <w:r w:rsidRPr="00970B9B">
        <w:rPr>
          <w:b/>
          <w:szCs w:val="22"/>
          <w:u w:val="single"/>
        </w:rPr>
        <w:t xml:space="preserve">   </w:t>
      </w:r>
      <w:r w:rsidRPr="002B022E">
        <w:rPr>
          <w:b/>
          <w:szCs w:val="22"/>
          <w:u w:val="single"/>
        </w:rPr>
        <w:t>Basis and purpose</w:t>
      </w:r>
      <w:r w:rsidRPr="00970B9B">
        <w:rPr>
          <w:b/>
          <w:szCs w:val="22"/>
        </w:rPr>
        <w:t>.</w:t>
      </w:r>
    </w:p>
    <w:p w14:paraId="2A6E842C" w14:textId="77777777" w:rsidR="00C859EF" w:rsidRPr="00970B9B" w:rsidRDefault="00C859EF" w:rsidP="00556FFB">
      <w:pPr>
        <w:widowControl/>
        <w:suppressAutoHyphens/>
        <w:spacing w:after="120"/>
        <w:rPr>
          <w:szCs w:val="22"/>
        </w:rPr>
      </w:pPr>
      <w:r w:rsidRPr="00970B9B">
        <w:rPr>
          <w:szCs w:val="22"/>
        </w:rPr>
        <w:t>* * * * *</w:t>
      </w:r>
    </w:p>
    <w:p w14:paraId="6CD1539D" w14:textId="77777777" w:rsidR="00C859EF" w:rsidRPr="00970B9B" w:rsidRDefault="00C859EF" w:rsidP="00556FFB">
      <w:pPr>
        <w:widowControl/>
        <w:suppressAutoHyphens/>
        <w:spacing w:after="220"/>
        <w:ind w:firstLine="360"/>
        <w:rPr>
          <w:szCs w:val="22"/>
        </w:rPr>
      </w:pPr>
      <w:r w:rsidRPr="00970B9B">
        <w:rPr>
          <w:szCs w:val="22"/>
        </w:rPr>
        <w:t>(</w:t>
      </w:r>
      <w:r>
        <w:rPr>
          <w:szCs w:val="22"/>
        </w:rPr>
        <w:t>14</w:t>
      </w:r>
      <w:r w:rsidRPr="00970B9B">
        <w:rPr>
          <w:szCs w:val="22"/>
        </w:rPr>
        <w:t xml:space="preserve">) </w:t>
      </w:r>
      <w:r>
        <w:rPr>
          <w:szCs w:val="22"/>
        </w:rPr>
        <w:t>617</w:t>
      </w:r>
      <w:r w:rsidRPr="00DE3EB5">
        <w:rPr>
          <w:szCs w:val="22"/>
        </w:rPr>
        <w:t>-</w:t>
      </w:r>
      <w:r>
        <w:rPr>
          <w:szCs w:val="22"/>
        </w:rPr>
        <w:t>652</w:t>
      </w:r>
      <w:r w:rsidRPr="00DE3EB5">
        <w:rPr>
          <w:szCs w:val="22"/>
        </w:rPr>
        <w:t xml:space="preserve"> MHz</w:t>
      </w:r>
      <w:r>
        <w:rPr>
          <w:szCs w:val="22"/>
        </w:rPr>
        <w:t xml:space="preserve"> and 663-698 MHz.</w:t>
      </w:r>
    </w:p>
    <w:p w14:paraId="3581A0C0" w14:textId="77777777" w:rsidR="00C859EF" w:rsidRPr="00DE3EB5" w:rsidRDefault="00C859EF" w:rsidP="00556FFB">
      <w:pPr>
        <w:pStyle w:val="ParaNum"/>
        <w:widowControl/>
        <w:suppressAutoHyphens/>
      </w:pPr>
      <w:r w:rsidRPr="00DE3EB5">
        <w:t xml:space="preserve">Section 27.5 is amended by </w:t>
      </w:r>
      <w:r>
        <w:t>revising</w:t>
      </w:r>
      <w:r w:rsidRPr="00DE3EB5">
        <w:t xml:space="preserve"> paragraph (l) to read as follows:</w:t>
      </w:r>
    </w:p>
    <w:p w14:paraId="4900C32F" w14:textId="77777777" w:rsidR="00C859EF" w:rsidRPr="00970B9B" w:rsidRDefault="00C859EF" w:rsidP="00556FFB">
      <w:pPr>
        <w:widowControl/>
        <w:tabs>
          <w:tab w:val="center" w:pos="4680"/>
        </w:tabs>
        <w:suppressAutoHyphens/>
        <w:spacing w:after="120"/>
        <w:rPr>
          <w:b/>
          <w:szCs w:val="22"/>
        </w:rPr>
      </w:pPr>
      <w:r w:rsidRPr="00970B9B">
        <w:rPr>
          <w:b/>
          <w:szCs w:val="22"/>
          <w:u w:val="single"/>
        </w:rPr>
        <w:t>§ 27.5   Frequencies</w:t>
      </w:r>
      <w:r w:rsidRPr="00970B9B">
        <w:rPr>
          <w:b/>
          <w:szCs w:val="22"/>
        </w:rPr>
        <w:t>.</w:t>
      </w:r>
    </w:p>
    <w:p w14:paraId="3D4CCF52" w14:textId="77777777" w:rsidR="00C859EF" w:rsidRPr="00970B9B" w:rsidRDefault="00C859EF" w:rsidP="00556FFB">
      <w:pPr>
        <w:widowControl/>
        <w:suppressAutoHyphens/>
        <w:spacing w:after="120"/>
        <w:ind w:firstLine="360"/>
        <w:rPr>
          <w:szCs w:val="22"/>
        </w:rPr>
      </w:pPr>
      <w:r w:rsidRPr="00970B9B">
        <w:rPr>
          <w:szCs w:val="22"/>
        </w:rPr>
        <w:t>* * * * *</w:t>
      </w:r>
    </w:p>
    <w:p w14:paraId="46BA502F" w14:textId="77777777" w:rsidR="00C859EF" w:rsidRDefault="00C859EF" w:rsidP="00556FFB">
      <w:pPr>
        <w:widowControl/>
        <w:suppressAutoHyphens/>
        <w:spacing w:after="80"/>
        <w:ind w:firstLine="360"/>
        <w:rPr>
          <w:szCs w:val="22"/>
        </w:rPr>
      </w:pPr>
      <w:r w:rsidRPr="00970B9B">
        <w:rPr>
          <w:szCs w:val="22"/>
        </w:rPr>
        <w:t xml:space="preserve">(l) </w:t>
      </w:r>
      <w:r w:rsidRPr="00970B9B">
        <w:rPr>
          <w:szCs w:val="22"/>
          <w:u w:val="single"/>
        </w:rPr>
        <w:t>600 MHz band</w:t>
      </w:r>
      <w:r w:rsidRPr="00970B9B">
        <w:rPr>
          <w:szCs w:val="22"/>
        </w:rPr>
        <w:t xml:space="preserve">. </w:t>
      </w:r>
      <w:r>
        <w:rPr>
          <w:szCs w:val="22"/>
        </w:rPr>
        <w:t>The</w:t>
      </w:r>
      <w:r w:rsidRPr="00DE3EB5">
        <w:rPr>
          <w:szCs w:val="22"/>
        </w:rPr>
        <w:t xml:space="preserve"> </w:t>
      </w:r>
      <w:r>
        <w:rPr>
          <w:szCs w:val="22"/>
        </w:rPr>
        <w:t>600 MHz band (617</w:t>
      </w:r>
      <w:r w:rsidRPr="00DE3EB5">
        <w:rPr>
          <w:szCs w:val="22"/>
        </w:rPr>
        <w:t>-</w:t>
      </w:r>
      <w:r>
        <w:rPr>
          <w:szCs w:val="22"/>
        </w:rPr>
        <w:t>652</w:t>
      </w:r>
      <w:r w:rsidRPr="00DE3EB5">
        <w:rPr>
          <w:szCs w:val="22"/>
        </w:rPr>
        <w:t xml:space="preserve"> MHz</w:t>
      </w:r>
      <w:r>
        <w:rPr>
          <w:szCs w:val="22"/>
        </w:rPr>
        <w:t xml:space="preserve"> and 663-698 </w:t>
      </w:r>
      <w:r w:rsidRPr="00DE3EB5">
        <w:rPr>
          <w:szCs w:val="22"/>
        </w:rPr>
        <w:t>MHz</w:t>
      </w:r>
      <w:r w:rsidR="001D49F6">
        <w:rPr>
          <w:szCs w:val="22"/>
        </w:rPr>
        <w:t>) has seven pairs of 5</w:t>
      </w:r>
      <w:r w:rsidR="00DE7B2E">
        <w:rPr>
          <w:szCs w:val="22"/>
        </w:rPr>
        <w:t> </w:t>
      </w:r>
      <w:r w:rsidR="001D49F6">
        <w:rPr>
          <w:szCs w:val="22"/>
        </w:rPr>
        <w:t>megahertz</w:t>
      </w:r>
      <w:r w:rsidRPr="001863AC">
        <w:rPr>
          <w:szCs w:val="22"/>
        </w:rPr>
        <w:t xml:space="preserve"> channel blocks</w:t>
      </w:r>
      <w:r w:rsidRPr="00970B9B">
        <w:rPr>
          <w:szCs w:val="22"/>
        </w:rPr>
        <w:t xml:space="preserve"> available for </w:t>
      </w:r>
      <w:r w:rsidRPr="001863AC">
        <w:rPr>
          <w:szCs w:val="22"/>
        </w:rPr>
        <w:t>assignment on a Partial Economic Area basis</w:t>
      </w:r>
      <w:r>
        <w:rPr>
          <w:szCs w:val="22"/>
        </w:rPr>
        <w:t xml:space="preserve"> as follows:</w:t>
      </w:r>
    </w:p>
    <w:p w14:paraId="74A2FB47" w14:textId="77777777" w:rsidR="00C859EF" w:rsidRPr="00FD1B92" w:rsidRDefault="00C859EF" w:rsidP="00556FFB">
      <w:pPr>
        <w:widowControl/>
        <w:suppressAutoHyphens/>
        <w:spacing w:after="80"/>
        <w:rPr>
          <w:szCs w:val="22"/>
        </w:rPr>
      </w:pPr>
      <w:r w:rsidRPr="00FD1B92">
        <w:rPr>
          <w:szCs w:val="22"/>
        </w:rPr>
        <w:t xml:space="preserve">Block A: </w:t>
      </w:r>
      <w:r>
        <w:rPr>
          <w:szCs w:val="22"/>
        </w:rPr>
        <w:t>617-622</w:t>
      </w:r>
      <w:r w:rsidRPr="00FD1B92">
        <w:rPr>
          <w:szCs w:val="22"/>
        </w:rPr>
        <w:t xml:space="preserve"> MHz and </w:t>
      </w:r>
      <w:r>
        <w:rPr>
          <w:szCs w:val="22"/>
        </w:rPr>
        <w:t>663-668</w:t>
      </w:r>
      <w:r w:rsidRPr="00FD1B92">
        <w:rPr>
          <w:szCs w:val="22"/>
        </w:rPr>
        <w:t xml:space="preserve"> MHz;</w:t>
      </w:r>
    </w:p>
    <w:p w14:paraId="2B8EDBB0" w14:textId="77777777" w:rsidR="00C859EF" w:rsidRPr="00FD1B92" w:rsidRDefault="00C859EF" w:rsidP="00556FFB">
      <w:pPr>
        <w:widowControl/>
        <w:suppressAutoHyphens/>
        <w:spacing w:after="80"/>
        <w:rPr>
          <w:szCs w:val="22"/>
        </w:rPr>
      </w:pPr>
      <w:r w:rsidRPr="00FD1B92">
        <w:rPr>
          <w:szCs w:val="22"/>
        </w:rPr>
        <w:t xml:space="preserve">Block B: </w:t>
      </w:r>
      <w:r>
        <w:rPr>
          <w:szCs w:val="22"/>
        </w:rPr>
        <w:t>622-627</w:t>
      </w:r>
      <w:r w:rsidRPr="00FD1B92">
        <w:rPr>
          <w:szCs w:val="22"/>
        </w:rPr>
        <w:t xml:space="preserve"> MHz and </w:t>
      </w:r>
      <w:r>
        <w:rPr>
          <w:szCs w:val="22"/>
        </w:rPr>
        <w:t>668-673</w:t>
      </w:r>
      <w:r w:rsidRPr="00FD1B92">
        <w:rPr>
          <w:szCs w:val="22"/>
        </w:rPr>
        <w:t xml:space="preserve"> MHz;</w:t>
      </w:r>
    </w:p>
    <w:p w14:paraId="228EC362" w14:textId="77777777" w:rsidR="00C859EF" w:rsidRPr="00FD1B92" w:rsidRDefault="00C859EF" w:rsidP="00556FFB">
      <w:pPr>
        <w:widowControl/>
        <w:suppressAutoHyphens/>
        <w:spacing w:after="80"/>
        <w:rPr>
          <w:szCs w:val="22"/>
        </w:rPr>
      </w:pPr>
      <w:r w:rsidRPr="00FD1B92">
        <w:rPr>
          <w:szCs w:val="22"/>
        </w:rPr>
        <w:t xml:space="preserve">Block </w:t>
      </w:r>
      <w:r>
        <w:rPr>
          <w:szCs w:val="22"/>
        </w:rPr>
        <w:t>C</w:t>
      </w:r>
      <w:r w:rsidRPr="00FD1B92">
        <w:rPr>
          <w:szCs w:val="22"/>
        </w:rPr>
        <w:t xml:space="preserve">: </w:t>
      </w:r>
      <w:r>
        <w:rPr>
          <w:szCs w:val="22"/>
        </w:rPr>
        <w:t>627-632</w:t>
      </w:r>
      <w:r w:rsidRPr="00FD1B92">
        <w:rPr>
          <w:szCs w:val="22"/>
        </w:rPr>
        <w:t xml:space="preserve"> MHz and </w:t>
      </w:r>
      <w:r>
        <w:rPr>
          <w:szCs w:val="22"/>
        </w:rPr>
        <w:t xml:space="preserve">673-678 </w:t>
      </w:r>
      <w:r w:rsidRPr="00FD1B92">
        <w:rPr>
          <w:szCs w:val="22"/>
        </w:rPr>
        <w:t>MHz</w:t>
      </w:r>
      <w:r>
        <w:rPr>
          <w:szCs w:val="22"/>
        </w:rPr>
        <w:t xml:space="preserve">; </w:t>
      </w:r>
    </w:p>
    <w:p w14:paraId="59EA5546" w14:textId="77777777" w:rsidR="00C859EF" w:rsidRDefault="00C859EF" w:rsidP="00556FFB">
      <w:pPr>
        <w:widowControl/>
        <w:suppressAutoHyphens/>
        <w:spacing w:after="80"/>
        <w:rPr>
          <w:szCs w:val="22"/>
        </w:rPr>
      </w:pPr>
      <w:r w:rsidRPr="00FD1B92">
        <w:rPr>
          <w:szCs w:val="22"/>
        </w:rPr>
        <w:t xml:space="preserve">Block </w:t>
      </w:r>
      <w:r>
        <w:rPr>
          <w:szCs w:val="22"/>
        </w:rPr>
        <w:t>D</w:t>
      </w:r>
      <w:r w:rsidRPr="00FD1B92">
        <w:rPr>
          <w:szCs w:val="22"/>
        </w:rPr>
        <w:t xml:space="preserve">: </w:t>
      </w:r>
      <w:r>
        <w:rPr>
          <w:szCs w:val="22"/>
        </w:rPr>
        <w:t>632-637</w:t>
      </w:r>
      <w:r w:rsidRPr="00FD1B92">
        <w:rPr>
          <w:szCs w:val="22"/>
        </w:rPr>
        <w:t xml:space="preserve"> MHz and </w:t>
      </w:r>
      <w:r>
        <w:rPr>
          <w:szCs w:val="22"/>
        </w:rPr>
        <w:t xml:space="preserve">678-683 </w:t>
      </w:r>
      <w:r w:rsidRPr="00FD1B92">
        <w:rPr>
          <w:szCs w:val="22"/>
        </w:rPr>
        <w:t>MHz</w:t>
      </w:r>
      <w:r>
        <w:rPr>
          <w:szCs w:val="22"/>
        </w:rPr>
        <w:t>;</w:t>
      </w:r>
    </w:p>
    <w:p w14:paraId="0DD653FF" w14:textId="77777777" w:rsidR="00C859EF" w:rsidRPr="00FD1B92" w:rsidRDefault="00C859EF" w:rsidP="00556FFB">
      <w:pPr>
        <w:widowControl/>
        <w:suppressAutoHyphens/>
        <w:spacing w:after="80"/>
        <w:rPr>
          <w:szCs w:val="22"/>
        </w:rPr>
      </w:pPr>
      <w:r w:rsidRPr="00FD1B92">
        <w:rPr>
          <w:szCs w:val="22"/>
        </w:rPr>
        <w:t xml:space="preserve">Block </w:t>
      </w:r>
      <w:r>
        <w:rPr>
          <w:szCs w:val="22"/>
        </w:rPr>
        <w:t>E</w:t>
      </w:r>
      <w:r w:rsidRPr="00FD1B92">
        <w:rPr>
          <w:szCs w:val="22"/>
        </w:rPr>
        <w:t xml:space="preserve">: </w:t>
      </w:r>
      <w:r>
        <w:rPr>
          <w:szCs w:val="22"/>
        </w:rPr>
        <w:t>637-642</w:t>
      </w:r>
      <w:r w:rsidRPr="00FD1B92">
        <w:rPr>
          <w:szCs w:val="22"/>
        </w:rPr>
        <w:t xml:space="preserve"> MHz and </w:t>
      </w:r>
      <w:r>
        <w:rPr>
          <w:szCs w:val="22"/>
        </w:rPr>
        <w:t>683-688</w:t>
      </w:r>
      <w:r w:rsidRPr="00FD1B92">
        <w:rPr>
          <w:szCs w:val="22"/>
        </w:rPr>
        <w:t xml:space="preserve"> MHz;</w:t>
      </w:r>
    </w:p>
    <w:p w14:paraId="726110E3" w14:textId="77777777" w:rsidR="00C859EF" w:rsidRPr="00FD1B92" w:rsidRDefault="00C859EF" w:rsidP="00556FFB">
      <w:pPr>
        <w:widowControl/>
        <w:suppressAutoHyphens/>
        <w:spacing w:after="80"/>
        <w:rPr>
          <w:szCs w:val="22"/>
        </w:rPr>
      </w:pPr>
      <w:r w:rsidRPr="00FD1B92">
        <w:rPr>
          <w:szCs w:val="22"/>
        </w:rPr>
        <w:t xml:space="preserve">Block F: </w:t>
      </w:r>
      <w:r>
        <w:rPr>
          <w:szCs w:val="22"/>
        </w:rPr>
        <w:t>642-647</w:t>
      </w:r>
      <w:r w:rsidRPr="00FD1B92">
        <w:rPr>
          <w:szCs w:val="22"/>
        </w:rPr>
        <w:t xml:space="preserve"> MHz and </w:t>
      </w:r>
      <w:r>
        <w:rPr>
          <w:szCs w:val="22"/>
        </w:rPr>
        <w:t>688-693</w:t>
      </w:r>
      <w:r w:rsidRPr="00FD1B92">
        <w:rPr>
          <w:szCs w:val="22"/>
        </w:rPr>
        <w:t xml:space="preserve"> MHz; and</w:t>
      </w:r>
    </w:p>
    <w:p w14:paraId="10D1B799" w14:textId="77777777" w:rsidR="00C859EF" w:rsidRDefault="00C859EF" w:rsidP="00556FFB">
      <w:pPr>
        <w:widowControl/>
        <w:suppressAutoHyphens/>
        <w:spacing w:after="220"/>
        <w:rPr>
          <w:szCs w:val="22"/>
        </w:rPr>
      </w:pPr>
      <w:r w:rsidRPr="00FD1B92">
        <w:rPr>
          <w:szCs w:val="22"/>
        </w:rPr>
        <w:t xml:space="preserve">Block </w:t>
      </w:r>
      <w:r>
        <w:rPr>
          <w:szCs w:val="22"/>
        </w:rPr>
        <w:t>G</w:t>
      </w:r>
      <w:r w:rsidRPr="00FD1B92">
        <w:rPr>
          <w:szCs w:val="22"/>
        </w:rPr>
        <w:t xml:space="preserve">: </w:t>
      </w:r>
      <w:r>
        <w:rPr>
          <w:szCs w:val="22"/>
        </w:rPr>
        <w:t>647-652</w:t>
      </w:r>
      <w:r w:rsidRPr="00FD1B92">
        <w:rPr>
          <w:szCs w:val="22"/>
        </w:rPr>
        <w:t xml:space="preserve"> MHz and </w:t>
      </w:r>
      <w:r>
        <w:rPr>
          <w:szCs w:val="22"/>
        </w:rPr>
        <w:t>693-698</w:t>
      </w:r>
      <w:r w:rsidRPr="00FD1B92">
        <w:rPr>
          <w:szCs w:val="22"/>
        </w:rPr>
        <w:t xml:space="preserve"> MHz</w:t>
      </w:r>
      <w:r w:rsidRPr="00970B9B">
        <w:rPr>
          <w:szCs w:val="22"/>
        </w:rPr>
        <w:t xml:space="preserve">. </w:t>
      </w:r>
    </w:p>
    <w:p w14:paraId="587D280C" w14:textId="77777777" w:rsidR="00C859EF" w:rsidRPr="00970B9B" w:rsidRDefault="00C859EF" w:rsidP="00556FFB">
      <w:pPr>
        <w:pStyle w:val="ParaNum"/>
        <w:widowControl/>
        <w:suppressAutoHyphens/>
      </w:pPr>
      <w:r w:rsidRPr="00970B9B">
        <w:t xml:space="preserve">Section 27.6 is amended by </w:t>
      </w:r>
      <w:r>
        <w:t>revising</w:t>
      </w:r>
      <w:r w:rsidRPr="00970B9B">
        <w:t xml:space="preserve"> paragraph (l) to read as follows:</w:t>
      </w:r>
    </w:p>
    <w:p w14:paraId="5476286E" w14:textId="77777777" w:rsidR="00C859EF" w:rsidRPr="00970B9B" w:rsidRDefault="00C859EF" w:rsidP="00556FFB">
      <w:pPr>
        <w:widowControl/>
        <w:suppressAutoHyphens/>
        <w:spacing w:after="120"/>
        <w:rPr>
          <w:b/>
          <w:szCs w:val="22"/>
        </w:rPr>
      </w:pPr>
      <w:r w:rsidRPr="00970B9B">
        <w:rPr>
          <w:b/>
          <w:szCs w:val="22"/>
          <w:u w:val="single"/>
        </w:rPr>
        <w:t>§ 27.6   Service areas</w:t>
      </w:r>
      <w:r w:rsidRPr="00970B9B">
        <w:rPr>
          <w:b/>
          <w:szCs w:val="22"/>
        </w:rPr>
        <w:t>.</w:t>
      </w:r>
    </w:p>
    <w:p w14:paraId="53F9D628" w14:textId="77777777" w:rsidR="00C859EF" w:rsidRPr="00970B9B" w:rsidRDefault="00C859EF" w:rsidP="00556FFB">
      <w:pPr>
        <w:widowControl/>
        <w:suppressAutoHyphens/>
        <w:spacing w:after="120"/>
        <w:ind w:firstLine="360"/>
        <w:rPr>
          <w:szCs w:val="22"/>
        </w:rPr>
      </w:pPr>
      <w:r w:rsidRPr="00970B9B">
        <w:rPr>
          <w:szCs w:val="22"/>
        </w:rPr>
        <w:t>* * * * *</w:t>
      </w:r>
    </w:p>
    <w:p w14:paraId="3299A056" w14:textId="77777777" w:rsidR="00C859EF" w:rsidRPr="00970B9B" w:rsidRDefault="00C859EF" w:rsidP="00556FFB">
      <w:pPr>
        <w:widowControl/>
        <w:suppressAutoHyphens/>
        <w:spacing w:after="220"/>
        <w:ind w:firstLine="360"/>
        <w:rPr>
          <w:szCs w:val="22"/>
        </w:rPr>
      </w:pPr>
      <w:r w:rsidRPr="00970B9B">
        <w:rPr>
          <w:szCs w:val="22"/>
        </w:rPr>
        <w:t xml:space="preserve">(l) </w:t>
      </w:r>
      <w:r w:rsidRPr="00970B9B">
        <w:rPr>
          <w:szCs w:val="22"/>
          <w:u w:val="single"/>
        </w:rPr>
        <w:t>600 MHz band</w:t>
      </w:r>
      <w:r w:rsidRPr="00970B9B">
        <w:rPr>
          <w:szCs w:val="22"/>
        </w:rPr>
        <w:t>.  Service areas for the 600 MHz band are based on Partial Economic Areas (PEAs)</w:t>
      </w:r>
      <w:r w:rsidRPr="00A040AD">
        <w:t xml:space="preserve"> </w:t>
      </w:r>
      <w:r>
        <w:t xml:space="preserve">as defined by </w:t>
      </w:r>
      <w:r w:rsidRPr="00A040AD">
        <w:rPr>
          <w:u w:val="single"/>
        </w:rPr>
        <w:t>Wireless Telecommunications Bureau Provides Details About Partial Economic Areas</w:t>
      </w:r>
      <w:r>
        <w:t>, Public Notice, 29 FCC Rcd 6491, App. B (2014)</w:t>
      </w:r>
      <w:r w:rsidRPr="00970B9B">
        <w:rPr>
          <w:szCs w:val="22"/>
        </w:rPr>
        <w:t>.</w:t>
      </w:r>
      <w:r>
        <w:rPr>
          <w:szCs w:val="22"/>
        </w:rPr>
        <w:t xml:space="preserve">  </w:t>
      </w:r>
      <w:r w:rsidRPr="00006B9A">
        <w:rPr>
          <w:szCs w:val="22"/>
        </w:rPr>
        <w:t>The service areas of PEAs that border the U.S. coastline of the Gulf of Mexico extend 12 nautical miles from the U.S. Gulf coastline. The service area of the Gulf of Mexico PEA</w:t>
      </w:r>
      <w:r>
        <w:rPr>
          <w:szCs w:val="22"/>
        </w:rPr>
        <w:t xml:space="preserve"> (PEA 416)</w:t>
      </w:r>
      <w:r w:rsidRPr="00006B9A">
        <w:rPr>
          <w:szCs w:val="22"/>
        </w:rPr>
        <w:t xml:space="preserve"> that comprises the water area of the Gulf of Mexico extends from 12 nautical miles off the U.S. G</w:t>
      </w:r>
      <w:r>
        <w:rPr>
          <w:szCs w:val="22"/>
        </w:rPr>
        <w:t>ulf coast outward into the Gulf.</w:t>
      </w:r>
    </w:p>
    <w:p w14:paraId="4AA8DAFC" w14:textId="77777777" w:rsidR="00C859EF" w:rsidRPr="00970B9B" w:rsidRDefault="00C859EF" w:rsidP="00556FFB">
      <w:pPr>
        <w:pStyle w:val="ParaNum"/>
        <w:widowControl/>
        <w:suppressAutoHyphens/>
      </w:pPr>
      <w:r w:rsidRPr="00970B9B">
        <w:t xml:space="preserve">Section 27.11 is amended by </w:t>
      </w:r>
      <w:r w:rsidR="0055712F" w:rsidRPr="00B13B3D">
        <w:t>revising</w:t>
      </w:r>
      <w:r w:rsidRPr="00B13B3D">
        <w:t xml:space="preserve"> </w:t>
      </w:r>
      <w:r w:rsidRPr="00970B9B">
        <w:t>paragraph (k) to read as follows:</w:t>
      </w:r>
    </w:p>
    <w:p w14:paraId="4AE5C3EC" w14:textId="77777777" w:rsidR="00C859EF" w:rsidRPr="00970B9B" w:rsidRDefault="00C859EF" w:rsidP="00556FFB">
      <w:pPr>
        <w:widowControl/>
        <w:suppressAutoHyphens/>
        <w:spacing w:after="120"/>
        <w:rPr>
          <w:b/>
          <w:szCs w:val="22"/>
        </w:rPr>
      </w:pPr>
      <w:r w:rsidRPr="00970B9B">
        <w:rPr>
          <w:b/>
          <w:szCs w:val="22"/>
          <w:u w:val="single"/>
        </w:rPr>
        <w:t>§ 27.11 Initial authorization</w:t>
      </w:r>
      <w:r w:rsidRPr="00970B9B">
        <w:rPr>
          <w:b/>
          <w:szCs w:val="22"/>
        </w:rPr>
        <w:t>.</w:t>
      </w:r>
    </w:p>
    <w:p w14:paraId="6B9A0E6C" w14:textId="77777777" w:rsidR="00C859EF" w:rsidRDefault="00C859EF" w:rsidP="00556FFB">
      <w:pPr>
        <w:widowControl/>
        <w:suppressAutoHyphens/>
        <w:spacing w:after="120"/>
        <w:ind w:firstLine="360"/>
        <w:rPr>
          <w:szCs w:val="22"/>
        </w:rPr>
      </w:pPr>
      <w:r w:rsidRPr="00970B9B">
        <w:rPr>
          <w:szCs w:val="22"/>
        </w:rPr>
        <w:t>* * * * *</w:t>
      </w:r>
    </w:p>
    <w:p w14:paraId="10282F56" w14:textId="77777777" w:rsidR="00C859EF" w:rsidRPr="00970B9B" w:rsidRDefault="00C859EF" w:rsidP="00556FFB">
      <w:pPr>
        <w:widowControl/>
        <w:suppressAutoHyphens/>
        <w:spacing w:after="120"/>
        <w:ind w:firstLine="360"/>
        <w:rPr>
          <w:bCs/>
          <w:szCs w:val="22"/>
        </w:rPr>
      </w:pPr>
      <w:r w:rsidRPr="00970B9B">
        <w:rPr>
          <w:szCs w:val="22"/>
        </w:rPr>
        <w:t xml:space="preserve">(k) </w:t>
      </w:r>
      <w:r w:rsidRPr="00970B9B">
        <w:rPr>
          <w:szCs w:val="22"/>
          <w:u w:val="single"/>
        </w:rPr>
        <w:t>600 MHz band</w:t>
      </w:r>
      <w:r w:rsidRPr="00402482">
        <w:rPr>
          <w:szCs w:val="22"/>
        </w:rPr>
        <w:t>.</w:t>
      </w:r>
      <w:r w:rsidRPr="00970B9B">
        <w:rPr>
          <w:szCs w:val="22"/>
        </w:rPr>
        <w:t xml:space="preserve">  Initial authorizations for the 600 MHz band will be based on Partial Economic Areas (PEAs)</w:t>
      </w:r>
      <w:r w:rsidRPr="00970B9B">
        <w:rPr>
          <w:i/>
          <w:szCs w:val="22"/>
        </w:rPr>
        <w:t xml:space="preserve">, </w:t>
      </w:r>
      <w:r w:rsidRPr="00970B9B">
        <w:rPr>
          <w:szCs w:val="22"/>
        </w:rPr>
        <w:t>as specified in §</w:t>
      </w:r>
      <w:r>
        <w:rPr>
          <w:szCs w:val="22"/>
        </w:rPr>
        <w:t xml:space="preserve"> </w:t>
      </w:r>
      <w:r w:rsidRPr="00970B9B">
        <w:rPr>
          <w:szCs w:val="22"/>
        </w:rPr>
        <w:t>27.6(1</w:t>
      </w:r>
      <w:r w:rsidRPr="00203180">
        <w:rPr>
          <w:szCs w:val="22"/>
        </w:rPr>
        <w:t xml:space="preserve">), and, shall be paired channels that each consist of a 5 megahertz channel block </w:t>
      </w:r>
      <w:r>
        <w:rPr>
          <w:szCs w:val="22"/>
        </w:rPr>
        <w:t>in the</w:t>
      </w:r>
      <w:r w:rsidRPr="00203180">
        <w:rPr>
          <w:szCs w:val="22"/>
        </w:rPr>
        <w:t xml:space="preserve"> 600 MHz downlink band</w:t>
      </w:r>
      <w:r>
        <w:rPr>
          <w:szCs w:val="22"/>
        </w:rPr>
        <w:t xml:space="preserve"> (617</w:t>
      </w:r>
      <w:r w:rsidRPr="00DE3EB5">
        <w:rPr>
          <w:szCs w:val="22"/>
        </w:rPr>
        <w:t>-</w:t>
      </w:r>
      <w:r>
        <w:rPr>
          <w:szCs w:val="22"/>
        </w:rPr>
        <w:t>652</w:t>
      </w:r>
      <w:r w:rsidRPr="00DE3EB5">
        <w:rPr>
          <w:szCs w:val="22"/>
        </w:rPr>
        <w:t xml:space="preserve"> MHz</w:t>
      </w:r>
      <w:r>
        <w:rPr>
          <w:szCs w:val="22"/>
        </w:rPr>
        <w:t>)</w:t>
      </w:r>
      <w:r w:rsidRPr="00203180">
        <w:rPr>
          <w:szCs w:val="22"/>
        </w:rPr>
        <w:t xml:space="preserve">, paired with a 5 megahertz channel block </w:t>
      </w:r>
      <w:r>
        <w:rPr>
          <w:szCs w:val="22"/>
        </w:rPr>
        <w:t xml:space="preserve">in the </w:t>
      </w:r>
      <w:r w:rsidRPr="00203180">
        <w:rPr>
          <w:szCs w:val="22"/>
        </w:rPr>
        <w:t>600 MHz uplink band</w:t>
      </w:r>
      <w:r>
        <w:rPr>
          <w:szCs w:val="22"/>
        </w:rPr>
        <w:t xml:space="preserve"> (663</w:t>
      </w:r>
      <w:r w:rsidRPr="00DE3EB5">
        <w:rPr>
          <w:szCs w:val="22"/>
        </w:rPr>
        <w:t>-</w:t>
      </w:r>
      <w:r>
        <w:rPr>
          <w:szCs w:val="22"/>
        </w:rPr>
        <w:t>698</w:t>
      </w:r>
      <w:r w:rsidRPr="00DE3EB5">
        <w:rPr>
          <w:szCs w:val="22"/>
        </w:rPr>
        <w:t xml:space="preserve"> MHz</w:t>
      </w:r>
      <w:r w:rsidRPr="00C859EF">
        <w:rPr>
          <w:szCs w:val="22"/>
        </w:rPr>
        <w:t>)</w:t>
      </w:r>
      <w:r w:rsidR="00B13B3D">
        <w:rPr>
          <w:szCs w:val="22"/>
        </w:rPr>
        <w:t>,</w:t>
      </w:r>
      <w:r w:rsidRPr="00C859EF">
        <w:rPr>
          <w:szCs w:val="22"/>
        </w:rPr>
        <w:t xml:space="preserve"> </w:t>
      </w:r>
      <w:r w:rsidRPr="00C859EF">
        <w:rPr>
          <w:bCs/>
        </w:rPr>
        <w:t>based on the frequenc</w:t>
      </w:r>
      <w:r>
        <w:rPr>
          <w:bCs/>
        </w:rPr>
        <w:t>y blocks specified in § 27.5(l)</w:t>
      </w:r>
      <w:r w:rsidRPr="00970B9B">
        <w:rPr>
          <w:szCs w:val="22"/>
        </w:rPr>
        <w:t>.</w:t>
      </w:r>
    </w:p>
    <w:sectPr w:rsidR="00C859EF" w:rsidRPr="00970B9B" w:rsidSect="00402482">
      <w:headerReference w:type="default" r:id="rId16"/>
      <w:footerReference w:type="even" r:id="rId17"/>
      <w:footerReference w:type="default" r:id="rId18"/>
      <w:headerReference w:type="first" r:id="rId19"/>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F3464" w14:textId="77777777" w:rsidR="00FB7BA7" w:rsidRDefault="00FB7BA7">
      <w:pPr>
        <w:spacing w:line="20" w:lineRule="exact"/>
      </w:pPr>
    </w:p>
  </w:endnote>
  <w:endnote w:type="continuationSeparator" w:id="0">
    <w:p w14:paraId="188B0A5D" w14:textId="77777777" w:rsidR="00FB7BA7" w:rsidRDefault="00FB7BA7">
      <w:r>
        <w:t xml:space="preserve"> </w:t>
      </w:r>
    </w:p>
  </w:endnote>
  <w:endnote w:type="continuationNotice" w:id="1">
    <w:p w14:paraId="48BC95EF" w14:textId="77777777" w:rsidR="00FB7BA7" w:rsidRDefault="00FB7B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AEE56" w14:textId="77777777" w:rsidR="00B44640" w:rsidRDefault="00B44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441626"/>
      <w:docPartObj>
        <w:docPartGallery w:val="Page Numbers (Bottom of Page)"/>
        <w:docPartUnique/>
      </w:docPartObj>
    </w:sdtPr>
    <w:sdtEndPr>
      <w:rPr>
        <w:noProof/>
      </w:rPr>
    </w:sdtEndPr>
    <w:sdtContent>
      <w:p w14:paraId="710319F1" w14:textId="38B31832" w:rsidR="000F522E" w:rsidRPr="002D543D" w:rsidRDefault="000F522E" w:rsidP="002D543D">
        <w:pPr>
          <w:pStyle w:val="Footer"/>
          <w:jc w:val="center"/>
        </w:pPr>
        <w:r>
          <w:fldChar w:fldCharType="begin"/>
        </w:r>
        <w:r>
          <w:instrText xml:space="preserve"> PAGE   \* MERGEFORMAT </w:instrText>
        </w:r>
        <w:r>
          <w:fldChar w:fldCharType="separate"/>
        </w:r>
        <w:r w:rsidR="000076C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009E5" w14:textId="77777777" w:rsidR="000F522E" w:rsidRPr="002E1664" w:rsidRDefault="000F522E" w:rsidP="002E1664">
    <w:pPr>
      <w:pStyle w:val="Footer"/>
      <w:jc w:val="cen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A653" w14:textId="77777777" w:rsidR="000F522E" w:rsidRDefault="000F522E" w:rsidP="0055614C">
    <w:pPr>
      <w:pStyle w:val="Footer"/>
      <w:framePr w:wrap="around" w:vAnchor="text" w:hAnchor="margin" w:xAlign="center" w:y="1"/>
    </w:pPr>
    <w:r>
      <w:fldChar w:fldCharType="begin"/>
    </w:r>
    <w:r>
      <w:instrText xml:space="preserve">PAGE  </w:instrText>
    </w:r>
    <w:r>
      <w:fldChar w:fldCharType="end"/>
    </w:r>
  </w:p>
  <w:p w14:paraId="03CF735B" w14:textId="77777777" w:rsidR="000F522E" w:rsidRDefault="000F52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B24C5" w14:textId="21BEDBA9" w:rsidR="000F522E" w:rsidRDefault="000F522E" w:rsidP="0055614C">
    <w:pPr>
      <w:pStyle w:val="Footer"/>
      <w:framePr w:wrap="around" w:vAnchor="text" w:hAnchor="margin" w:xAlign="center" w:y="1"/>
    </w:pPr>
    <w:r>
      <w:fldChar w:fldCharType="begin"/>
    </w:r>
    <w:r>
      <w:instrText xml:space="preserve">PAGE  </w:instrText>
    </w:r>
    <w:r>
      <w:fldChar w:fldCharType="separate"/>
    </w:r>
    <w:r w:rsidR="004F1931">
      <w:rPr>
        <w:noProof/>
      </w:rPr>
      <w:t>10</w:t>
    </w:r>
    <w:r>
      <w:fldChar w:fldCharType="end"/>
    </w:r>
  </w:p>
  <w:p w14:paraId="798E7068" w14:textId="77777777" w:rsidR="000F522E" w:rsidRDefault="000F522E">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C02ED" w14:textId="77777777" w:rsidR="00FB7BA7" w:rsidRDefault="00FB7BA7">
      <w:r>
        <w:separator/>
      </w:r>
    </w:p>
  </w:footnote>
  <w:footnote w:type="continuationSeparator" w:id="0">
    <w:p w14:paraId="3FC8EB08" w14:textId="77777777" w:rsidR="00FB7BA7" w:rsidRDefault="00FB7BA7" w:rsidP="00C721AC">
      <w:pPr>
        <w:spacing w:before="120"/>
        <w:rPr>
          <w:sz w:val="20"/>
        </w:rPr>
      </w:pPr>
      <w:r>
        <w:rPr>
          <w:sz w:val="20"/>
        </w:rPr>
        <w:t xml:space="preserve">(Continued from previous page)  </w:t>
      </w:r>
      <w:r>
        <w:rPr>
          <w:sz w:val="20"/>
        </w:rPr>
        <w:separator/>
      </w:r>
    </w:p>
  </w:footnote>
  <w:footnote w:type="continuationNotice" w:id="1">
    <w:p w14:paraId="43BE7665" w14:textId="77777777" w:rsidR="00FB7BA7" w:rsidRDefault="00FB7BA7" w:rsidP="00C721AC">
      <w:pPr>
        <w:jc w:val="right"/>
        <w:rPr>
          <w:sz w:val="20"/>
        </w:rPr>
      </w:pPr>
      <w:r>
        <w:rPr>
          <w:sz w:val="20"/>
        </w:rPr>
        <w:t>(continued….)</w:t>
      </w:r>
    </w:p>
  </w:footnote>
  <w:footnote w:id="2">
    <w:p w14:paraId="1822AA1E" w14:textId="4950A074" w:rsidR="000F522E" w:rsidRDefault="000F522E" w:rsidP="00DE115F">
      <w:pPr>
        <w:pStyle w:val="FootnoteText"/>
      </w:pPr>
      <w:r>
        <w:rPr>
          <w:rStyle w:val="FootnoteReference"/>
        </w:rPr>
        <w:footnoteRef/>
      </w:r>
      <w:r>
        <w:t xml:space="preserve"> The incentive auction was designated as Auction 1000.  Further information on the auction is available on the FCC’s auctions website, </w:t>
      </w:r>
      <w:hyperlink r:id="rId1" w:history="1">
        <w:r w:rsidRPr="00143844">
          <w:rPr>
            <w:rStyle w:val="Hyperlink"/>
          </w:rPr>
          <w:t>https://www.fcc.gov/wireless/auction-1000</w:t>
        </w:r>
      </w:hyperlink>
      <w:r>
        <w:t>.</w:t>
      </w:r>
    </w:p>
  </w:footnote>
  <w:footnote w:id="3">
    <w:p w14:paraId="04E5095C" w14:textId="77777777" w:rsidR="000F522E" w:rsidRDefault="000F522E" w:rsidP="00DE115F">
      <w:pPr>
        <w:pStyle w:val="FootnoteText"/>
      </w:pPr>
      <w:r>
        <w:rPr>
          <w:rStyle w:val="FootnoteReference"/>
        </w:rPr>
        <w:footnoteRef/>
      </w:r>
      <w:r>
        <w:t xml:space="preserve"> </w:t>
      </w:r>
      <w:r w:rsidRPr="002441B6">
        <w:rPr>
          <w:i/>
        </w:rPr>
        <w:t>Expanding the Economic and Innovation Opportunities of Spectrum Through Incentive Auctions</w:t>
      </w:r>
      <w:r w:rsidRPr="002441B6">
        <w:t>, GN Docket No.</w:t>
      </w:r>
      <w:r w:rsidR="003C506C">
        <w:t> </w:t>
      </w:r>
      <w:r w:rsidRPr="002441B6">
        <w:t>12-268, Report and Order, 29 FCC Rcd 6567</w:t>
      </w:r>
      <w:r>
        <w:t xml:space="preserve"> </w:t>
      </w:r>
      <w:r w:rsidRPr="002441B6">
        <w:t>(2014) (</w:t>
      </w:r>
      <w:r w:rsidRPr="002441B6">
        <w:rPr>
          <w:i/>
        </w:rPr>
        <w:t>Incentive Auction R&amp;O</w:t>
      </w:r>
      <w:r>
        <w:t>).</w:t>
      </w:r>
    </w:p>
  </w:footnote>
  <w:footnote w:id="4">
    <w:p w14:paraId="61A4B455" w14:textId="77777777" w:rsidR="000F522E" w:rsidRDefault="000F522E" w:rsidP="00DE115F">
      <w:pPr>
        <w:pStyle w:val="FootnoteText"/>
      </w:pPr>
      <w:r>
        <w:rPr>
          <w:rStyle w:val="FootnoteReference"/>
        </w:rPr>
        <w:footnoteRef/>
      </w:r>
      <w:r>
        <w:t xml:space="preserve"> </w:t>
      </w:r>
      <w:r>
        <w:rPr>
          <w:i/>
        </w:rPr>
        <w:t>Id.</w:t>
      </w:r>
      <w:r w:rsidRPr="002441B6">
        <w:t xml:space="preserve"> </w:t>
      </w:r>
      <w:r>
        <w:t xml:space="preserve">at 6706, para. 319, 6914 </w:t>
      </w:r>
      <w:r w:rsidRPr="002441B6">
        <w:t>(</w:t>
      </w:r>
      <w:r>
        <w:t>Allocations Table).</w:t>
      </w:r>
    </w:p>
  </w:footnote>
  <w:footnote w:id="5">
    <w:p w14:paraId="06A71DA3" w14:textId="77777777" w:rsidR="000F522E" w:rsidRDefault="000F522E">
      <w:pPr>
        <w:pStyle w:val="FootnoteText"/>
      </w:pPr>
      <w:r>
        <w:rPr>
          <w:rStyle w:val="FootnoteReference"/>
        </w:rPr>
        <w:footnoteRef/>
      </w:r>
      <w:r>
        <w:t xml:space="preserve"> </w:t>
      </w:r>
      <w:r>
        <w:rPr>
          <w:i/>
        </w:rPr>
        <w:t xml:space="preserve">Id. </w:t>
      </w:r>
      <w:r w:rsidRPr="00B51167">
        <w:t>at</w:t>
      </w:r>
      <w:r w:rsidRPr="00B51167">
        <w:rPr>
          <w:i/>
        </w:rPr>
        <w:t xml:space="preserve"> </w:t>
      </w:r>
      <w:r w:rsidRPr="00B51167">
        <w:t>6585-6595, paras. 45-67</w:t>
      </w:r>
      <w:r>
        <w:t>.</w:t>
      </w:r>
    </w:p>
  </w:footnote>
  <w:footnote w:id="6">
    <w:p w14:paraId="5428BA40" w14:textId="77777777" w:rsidR="000F522E" w:rsidRPr="006C0585" w:rsidRDefault="000F522E">
      <w:pPr>
        <w:pStyle w:val="FootnoteText"/>
      </w:pPr>
      <w:r>
        <w:rPr>
          <w:rStyle w:val="FootnoteReference"/>
        </w:rPr>
        <w:footnoteRef/>
      </w:r>
      <w:r>
        <w:t xml:space="preserve"> </w:t>
      </w:r>
      <w:r>
        <w:rPr>
          <w:i/>
        </w:rPr>
        <w:t>Id.</w:t>
      </w:r>
      <w:r>
        <w:t xml:space="preserve"> </w:t>
      </w:r>
      <w:r w:rsidRPr="00B51167">
        <w:t>at 6707, para. 321</w:t>
      </w:r>
      <w:r>
        <w:t>.</w:t>
      </w:r>
    </w:p>
  </w:footnote>
  <w:footnote w:id="7">
    <w:p w14:paraId="08DA69F0" w14:textId="4C3A88A0" w:rsidR="00F51CA5" w:rsidRDefault="00F51CA5">
      <w:pPr>
        <w:pStyle w:val="FootnoteText"/>
      </w:pPr>
      <w:r>
        <w:rPr>
          <w:rStyle w:val="FootnoteReference"/>
        </w:rPr>
        <w:footnoteRef/>
      </w:r>
      <w:r>
        <w:t xml:space="preserve"> </w:t>
      </w:r>
      <w:r>
        <w:rPr>
          <w:i/>
        </w:rPr>
        <w:t>Id.</w:t>
      </w:r>
      <w:r>
        <w:t xml:space="preserve"> </w:t>
      </w:r>
      <w:r w:rsidRPr="00B51167">
        <w:t>at 6</w:t>
      </w:r>
      <w:r>
        <w:t>816-18</w:t>
      </w:r>
      <w:r w:rsidRPr="00B51167">
        <w:t xml:space="preserve">, </w:t>
      </w:r>
      <w:r>
        <w:t>App. A (§§ 27.1, 27.5, 27.6, and 27.11).</w:t>
      </w:r>
    </w:p>
  </w:footnote>
  <w:footnote w:id="8">
    <w:p w14:paraId="397E0064" w14:textId="77777777" w:rsidR="000F522E" w:rsidRDefault="000F522E">
      <w:pPr>
        <w:pStyle w:val="FootnoteText"/>
      </w:pPr>
      <w:r>
        <w:rPr>
          <w:rStyle w:val="FootnoteReference"/>
        </w:rPr>
        <w:footnoteRef/>
      </w:r>
      <w:r>
        <w:t xml:space="preserve"> </w:t>
      </w:r>
      <w:r w:rsidRPr="00DB6D13">
        <w:rPr>
          <w:i/>
        </w:rPr>
        <w:t>Incentive Auction Closing and Channel Reassignment Public Notice</w:t>
      </w:r>
      <w:r>
        <w:t>, AU Docket No. 14-252 GN Docket No. 12</w:t>
      </w:r>
      <w:r>
        <w:noBreakHyphen/>
        <w:t>268, WT Docket No. 12-269, and MB Docket No. 16-306, Public Notice, 32 FCC Rcd 2786 (2017) (</w:t>
      </w:r>
      <w:r>
        <w:rPr>
          <w:i/>
        </w:rPr>
        <w:t>Closing and Channel Reassignment Public Notice</w:t>
      </w:r>
      <w:r>
        <w:t>).</w:t>
      </w:r>
    </w:p>
  </w:footnote>
  <w:footnote w:id="9">
    <w:p w14:paraId="31E1DFAF" w14:textId="77777777" w:rsidR="000F522E" w:rsidRPr="001C3678" w:rsidRDefault="000F522E">
      <w:pPr>
        <w:pStyle w:val="FootnoteText"/>
      </w:pPr>
      <w:r>
        <w:rPr>
          <w:rStyle w:val="FootnoteReference"/>
        </w:rPr>
        <w:footnoteRef/>
      </w:r>
      <w:r>
        <w:t xml:space="preserve"> </w:t>
      </w:r>
      <w:r>
        <w:rPr>
          <w:i/>
        </w:rPr>
        <w:t>Id.</w:t>
      </w:r>
      <w:r>
        <w:t xml:space="preserve"> at 2793, para.15.  </w:t>
      </w:r>
      <w:r>
        <w:rPr>
          <w:i/>
        </w:rPr>
        <w:t xml:space="preserve">See </w:t>
      </w:r>
      <w:r>
        <w:t>47 CFR §§ 27.4 (defining the “600 MHz service” as a radiocommunication service licensed for the 600 MHz band frequencies specified in Section 27.5</w:t>
      </w:r>
      <w:r w:rsidRPr="002531E8">
        <w:t>(l)</w:t>
      </w:r>
      <w:r>
        <w:t xml:space="preserve"> of the Part 27 rules) and 27.5(l) (defining the “600 MHz band”).</w:t>
      </w:r>
    </w:p>
  </w:footnote>
  <w:footnote w:id="10">
    <w:p w14:paraId="414F10DE" w14:textId="77777777" w:rsidR="000F522E" w:rsidRPr="00B51912" w:rsidRDefault="000F522E">
      <w:pPr>
        <w:pStyle w:val="FootnoteText"/>
      </w:pPr>
      <w:r>
        <w:rPr>
          <w:rStyle w:val="FootnoteReference"/>
        </w:rPr>
        <w:footnoteRef/>
      </w:r>
      <w:r>
        <w:t xml:space="preserve"> </w:t>
      </w:r>
      <w:r>
        <w:rPr>
          <w:i/>
        </w:rPr>
        <w:t>C</w:t>
      </w:r>
      <w:r w:rsidRPr="00AD5200">
        <w:rPr>
          <w:i/>
        </w:rPr>
        <w:t xml:space="preserve">losing </w:t>
      </w:r>
      <w:r>
        <w:rPr>
          <w:i/>
        </w:rPr>
        <w:t xml:space="preserve">and Channel Reassignment </w:t>
      </w:r>
      <w:r w:rsidRPr="00AD5200">
        <w:rPr>
          <w:i/>
        </w:rPr>
        <w:t>Public Notice</w:t>
      </w:r>
      <w:r>
        <w:t>, 32 FCC Rcd at 2793, paras. 15-16.</w:t>
      </w:r>
    </w:p>
  </w:footnote>
  <w:footnote w:id="11">
    <w:p w14:paraId="1146FBC1" w14:textId="77777777" w:rsidR="000F522E" w:rsidRPr="003822D6" w:rsidRDefault="000F522E">
      <w:pPr>
        <w:pStyle w:val="FootnoteText"/>
      </w:pPr>
      <w:r>
        <w:rPr>
          <w:rStyle w:val="FootnoteReference"/>
        </w:rPr>
        <w:footnoteRef/>
      </w:r>
      <w:r>
        <w:t xml:space="preserve"> </w:t>
      </w:r>
      <w:r w:rsidRPr="00187CAE">
        <w:t>47 CFR § 27.4 (defining “</w:t>
      </w:r>
      <w:r w:rsidRPr="002E047F">
        <w:t>post-auction transition p</w:t>
      </w:r>
      <w:r w:rsidRPr="002E075A">
        <w:t>eriod</w:t>
      </w:r>
      <w:r w:rsidRPr="00773A05">
        <w:t xml:space="preserve">” as the </w:t>
      </w:r>
      <w:r w:rsidRPr="00187CAE">
        <w:rPr>
          <w:color w:val="212121"/>
        </w:rPr>
        <w:t xml:space="preserve">39–month period commencing upon the public release of the </w:t>
      </w:r>
      <w:r w:rsidRPr="00187CAE">
        <w:rPr>
          <w:i/>
        </w:rPr>
        <w:t xml:space="preserve">Closing </w:t>
      </w:r>
      <w:r w:rsidRPr="002E047F">
        <w:rPr>
          <w:i/>
        </w:rPr>
        <w:t xml:space="preserve">and Channel Reassignment </w:t>
      </w:r>
      <w:r w:rsidRPr="002E075A">
        <w:rPr>
          <w:i/>
        </w:rPr>
        <w:t>Public Notice</w:t>
      </w:r>
      <w:r w:rsidRPr="00773A05">
        <w:t xml:space="preserve">); </w:t>
      </w:r>
      <w:r w:rsidRPr="00773A05">
        <w:rPr>
          <w:i/>
        </w:rPr>
        <w:t xml:space="preserve">Closing and Channel Reassignment </w:t>
      </w:r>
      <w:r w:rsidRPr="00120583">
        <w:rPr>
          <w:i/>
        </w:rPr>
        <w:t>Public Notice</w:t>
      </w:r>
      <w:r w:rsidRPr="00120583">
        <w:t xml:space="preserve">, </w:t>
      </w:r>
      <w:r>
        <w:t>32 FCC Rcd at 2789, para. 1, 2807, para. 68.</w:t>
      </w:r>
      <w:r w:rsidRPr="0006506F">
        <w:t xml:space="preserve"> </w:t>
      </w:r>
      <w:r>
        <w:t xml:space="preserve"> By no later than the end of this transition period, all television stations assigned to new channels must complete construction of their post-auction channel facilities, notify viewers of their impending channel move, commence operation on their post-auction channel, and cease operation on their pre-auction channel. </w:t>
      </w:r>
      <w:r>
        <w:rPr>
          <w:i/>
        </w:rPr>
        <w:t xml:space="preserve">Id. </w:t>
      </w:r>
      <w:r>
        <w:t>at 2807, para. 68.</w:t>
      </w:r>
    </w:p>
  </w:footnote>
  <w:footnote w:id="12">
    <w:p w14:paraId="6B34CC30" w14:textId="77777777" w:rsidR="000F522E" w:rsidRDefault="000F522E">
      <w:pPr>
        <w:pStyle w:val="FootnoteText"/>
      </w:pPr>
      <w:r>
        <w:rPr>
          <w:rStyle w:val="FootnoteReference"/>
        </w:rPr>
        <w:footnoteRef/>
      </w:r>
      <w:r>
        <w:t xml:space="preserve"> </w:t>
      </w:r>
      <w:r>
        <w:rPr>
          <w:i/>
        </w:rPr>
        <w:t>See The Incentive Auction Task Force and Media Bureau Announce Procedures for Low Power Television, Television Translator and Replacement Translator Stations During the Post-Incentive Auction Transition</w:t>
      </w:r>
      <w:r>
        <w:t xml:space="preserve">, Public Notice, DA 17-442 at 10, para. 23 (rel. May 12, 2017); </w:t>
      </w:r>
      <w:r>
        <w:rPr>
          <w:i/>
        </w:rPr>
        <w:t>see also</w:t>
      </w:r>
      <w:r>
        <w:t xml:space="preserve"> </w:t>
      </w:r>
      <w:r>
        <w:rPr>
          <w:rStyle w:val="Emphasis"/>
        </w:rPr>
        <w:t>Incentive Auction Closing and Channel Reassignment Public Notice</w:t>
      </w:r>
      <w:r>
        <w:rPr>
          <w:rStyle w:val="Emphasis"/>
          <w:i w:val="0"/>
        </w:rPr>
        <w:t xml:space="preserve">, </w:t>
      </w:r>
      <w:r>
        <w:t>32 FCC Rcd at 2793, para. 15.</w:t>
      </w:r>
    </w:p>
  </w:footnote>
  <w:footnote w:id="13">
    <w:p w14:paraId="638A4CAA" w14:textId="77777777" w:rsidR="000F522E" w:rsidRDefault="000F522E">
      <w:pPr>
        <w:pStyle w:val="FootnoteText"/>
      </w:pPr>
      <w:r>
        <w:rPr>
          <w:rStyle w:val="FootnoteReference"/>
        </w:rPr>
        <w:footnoteRef/>
      </w:r>
      <w:r>
        <w:t xml:space="preserve"> </w:t>
      </w:r>
      <w:r w:rsidRPr="0037549A">
        <w:rPr>
          <w:i/>
        </w:rPr>
        <w:t>See infra</w:t>
      </w:r>
      <w:r>
        <w:t xml:space="preserve"> para. 5.</w:t>
      </w:r>
    </w:p>
  </w:footnote>
  <w:footnote w:id="14">
    <w:p w14:paraId="4BAC0015" w14:textId="76A216CF" w:rsidR="00E0407F" w:rsidRDefault="00E0407F">
      <w:pPr>
        <w:pStyle w:val="FootnoteText"/>
      </w:pPr>
      <w:r>
        <w:rPr>
          <w:rStyle w:val="FootnoteReference"/>
        </w:rPr>
        <w:footnoteRef/>
      </w:r>
      <w:r>
        <w:t xml:space="preserve"> </w:t>
      </w:r>
      <w:r w:rsidR="006347FC">
        <w:t>Specifically</w:t>
      </w:r>
      <w:r w:rsidR="00DE11DF">
        <w:t>,</w:t>
      </w:r>
      <w:r w:rsidR="00B36276">
        <w:t xml:space="preserve"> licensees of full power, Class A</w:t>
      </w:r>
      <w:r w:rsidR="00967349">
        <w:t xml:space="preserve"> television</w:t>
      </w:r>
      <w:r w:rsidR="00B36276">
        <w:t xml:space="preserve">, LPTV, and </w:t>
      </w:r>
      <w:r>
        <w:t xml:space="preserve">TV </w:t>
      </w:r>
      <w:r w:rsidR="00B36276">
        <w:t>translator s</w:t>
      </w:r>
      <w:r>
        <w:t>tations operating in the 614</w:t>
      </w:r>
      <w:r w:rsidR="006347FC">
        <w:noBreakHyphen/>
      </w:r>
      <w:r>
        <w:t>698 MHz ban</w:t>
      </w:r>
      <w:r w:rsidR="00B36276">
        <w:t xml:space="preserve">d </w:t>
      </w:r>
      <w:r w:rsidR="002A7F15">
        <w:t>are authorized to</w:t>
      </w:r>
      <w:r w:rsidR="00B36276">
        <w:t xml:space="preserve"> provide the following services until</w:t>
      </w:r>
      <w:r w:rsidR="001C1A9B">
        <w:t xml:space="preserve"> the conclusion of the post-auction transition period (i.e., J</w:t>
      </w:r>
      <w:r w:rsidR="00B36276">
        <w:t>uly 13, 2020</w:t>
      </w:r>
      <w:r w:rsidR="001C1A9B">
        <w:t>)</w:t>
      </w:r>
      <w:r w:rsidR="000E709A">
        <w:t>:</w:t>
      </w:r>
      <w:r>
        <w:t xml:space="preserve"> </w:t>
      </w:r>
      <w:r w:rsidR="002A7F15">
        <w:t xml:space="preserve"> </w:t>
      </w:r>
      <w:r w:rsidR="00B36276">
        <w:t>Per footnote NG5, TV broadcast licensees and permittees are permitted to use subcarriers on a secondary basis for both broadcast and non-broadcast purposes.  Per footnote NG14, TV broadcast stations may use a portion of the television vertical blanking interval for the transmission of telecommunications signals, on the condition that harmful interference will not be caused to the reception of primary services, and that such telecommunications services must accept any interference caused by primary services operating in these bands.  Per footnote 149, the 614</w:t>
      </w:r>
      <w:r w:rsidR="00B36276">
        <w:noBreakHyphen/>
        <w:t xml:space="preserve">698 MHz band is also allocated to the fixed service to permit subscription television operations in accordance with 47 CFR part 73.  After </w:t>
      </w:r>
      <w:r w:rsidR="001C1A9B">
        <w:t>July 13, 2020,</w:t>
      </w:r>
      <w:r>
        <w:t xml:space="preserve"> only LPTV and </w:t>
      </w:r>
      <w:r w:rsidR="001C1A9B">
        <w:t xml:space="preserve">TV </w:t>
      </w:r>
      <w:r>
        <w:t>translator stations will operate in the band, and thus the</w:t>
      </w:r>
      <w:r w:rsidR="003E1A7F">
        <w:t>se</w:t>
      </w:r>
      <w:r>
        <w:t xml:space="preserve"> </w:t>
      </w:r>
      <w:r w:rsidR="003E1A7F">
        <w:t xml:space="preserve">footnotes </w:t>
      </w:r>
      <w:r w:rsidR="00967349">
        <w:t xml:space="preserve">will be </w:t>
      </w:r>
      <w:r w:rsidR="000E709A">
        <w:t xml:space="preserve">applicable only </w:t>
      </w:r>
      <w:r w:rsidR="003E1A7F">
        <w:t>to th</w:t>
      </w:r>
      <w:r w:rsidR="006347FC">
        <w:t xml:space="preserve">ose </w:t>
      </w:r>
      <w:r w:rsidR="000E709A">
        <w:t>stations</w:t>
      </w:r>
      <w:r w:rsidR="003E1A7F">
        <w:t>.</w:t>
      </w:r>
    </w:p>
  </w:footnote>
  <w:footnote w:id="15">
    <w:p w14:paraId="208BF5CE" w14:textId="77777777" w:rsidR="000F522E" w:rsidRDefault="000F522E">
      <w:pPr>
        <w:pStyle w:val="FootnoteText"/>
      </w:pPr>
      <w:r>
        <w:rPr>
          <w:rStyle w:val="FootnoteReference"/>
        </w:rPr>
        <w:footnoteRef/>
      </w:r>
      <w:r>
        <w:t xml:space="preserve"> </w:t>
      </w:r>
      <w:r>
        <w:rPr>
          <w:i/>
        </w:rPr>
        <w:t xml:space="preserve">See </w:t>
      </w:r>
      <w:r>
        <w:t xml:space="preserve">Section 27.1310 of the Commission’s rules, 47 CFR § 27.1310 (setting forth procedures for operations under Part 27 of the rules during the transition); Sections 15.236, 15.707, 15.713, 47 CFR §§ 15.236, 15.707, 15.713 (setting forth procedures for operations under Part 15 of the rules during and after the transition); Section 73.3700, 47 CFR § 73.3700 (setting forth procedures for operations under Part 73 of the rules during and after the transition); Sections 74.602, 74.802, and 74.870, 47 CFR §§ 74.602, 74.802, 74.870 (setting forth procedures for operations under Part 74 during and after the transition).  </w:t>
      </w:r>
      <w:r>
        <w:rPr>
          <w:i/>
        </w:rPr>
        <w:t xml:space="preserve">See also </w:t>
      </w:r>
      <w:r w:rsidRPr="0021222F">
        <w:rPr>
          <w:i/>
        </w:rPr>
        <w:t>Expanding the Economic and Innovative Opportunities of Spectrum Through Incentive Auctions</w:t>
      </w:r>
      <w:r>
        <w:t xml:space="preserve">, Third Report and Order and First Order on Reconsideration, 30 FCC Rcd 12049 (2015); </w:t>
      </w:r>
      <w:r>
        <w:rPr>
          <w:i/>
        </w:rPr>
        <w:t>Amendment of Part 15 of the Commission’s Rules for Unlicensed Operations in the Television Bands, Repurposed 600 MHz Band, 600 MHz Guard Bands and Duplex Gap, and Channel 37</w:t>
      </w:r>
      <w:r>
        <w:t>, GN Docket No. 12-268 and ET Docket No. 14-165, Report and Order, 30 FCC Rcd 9551 (2015) (</w:t>
      </w:r>
      <w:r>
        <w:rPr>
          <w:i/>
        </w:rPr>
        <w:t>Part 15 R&amp;O</w:t>
      </w:r>
      <w:r>
        <w:t>).</w:t>
      </w:r>
    </w:p>
  </w:footnote>
  <w:footnote w:id="16">
    <w:p w14:paraId="3461A0F3" w14:textId="77777777" w:rsidR="000F522E" w:rsidRDefault="000F522E">
      <w:pPr>
        <w:pStyle w:val="FootnoteText"/>
      </w:pPr>
      <w:r>
        <w:rPr>
          <w:rStyle w:val="FootnoteReference"/>
        </w:rPr>
        <w:footnoteRef/>
      </w:r>
      <w:r>
        <w:t xml:space="preserve"> As defined in Section 73.3700(a)(15) of the Commission’s rules, a “transitioning station” means a reassigned station, UHF-to-VHF station, High-VHF-to-Low-VHF station, license relinquishment station, or a channel sharee or sharer station.  These transitioning station types are defined in Section 73.3700(a)(3)-(4), (6)-(7), (12), and (17).  As set forth in Section 73.3700(b)(4)(i)-(iii), the licensee of a license relinquishment station must comply with the notification and cancellation procedures in Section 73.1750, and terminate operations on its pre-auction channel within three months of the date that the licensee receives its incentive payment; the licensee of a channel sharee station and the licensee of a license relinquishment station that has indicated an intent to enter into a post-auction channel sharing agreement must comply with the notification and cancellation procedures in Section 73.1750 and terminate operations on its pre-auction channel within six months of the date that the licensee receives its incentive payment; and all reassigned stations, UHF-to-VHF stations, and High-VHF-to-Low-VHF stations must cease operating on their pre-auction channel once such station begins operating on its post-auction channel or by the deadline specified in its construction permit for its post-auction channel, whichever occurs earlier, and in no event later than July 13, 2020.  47 CFR §§ 73.3700(a)(3)-(4), (6)-(7), (12), (15), and (17); (b)(4)(i)-(iii).</w:t>
      </w:r>
    </w:p>
  </w:footnote>
  <w:footnote w:id="17">
    <w:p w14:paraId="20685E33" w14:textId="181773A5" w:rsidR="000F522E" w:rsidRDefault="000F522E">
      <w:pPr>
        <w:pStyle w:val="FootnoteText"/>
      </w:pPr>
      <w:r>
        <w:rPr>
          <w:rStyle w:val="FootnoteReference"/>
        </w:rPr>
        <w:footnoteRef/>
      </w:r>
      <w:r>
        <w:t xml:space="preserve"> Under the Commission’s rules, stations of a secondary service shall not cause harmful interference to and cannot claim protection from stations of primary services to which frequencies are already assigned or to which frequencies may be assigned at a later date; </w:t>
      </w:r>
      <w:r w:rsidR="008975FF">
        <w:t xml:space="preserve">and </w:t>
      </w:r>
      <w:r>
        <w:t>can claim protection from stations of the same or other secondary service(s) to which frequencies may be assigned at a later date.  47 CFR § 2.105(c)(2)(i)-(iii).</w:t>
      </w:r>
    </w:p>
  </w:footnote>
  <w:footnote w:id="18">
    <w:p w14:paraId="5EF28EC9" w14:textId="77777777" w:rsidR="000F522E" w:rsidRPr="00630B13" w:rsidRDefault="000F522E">
      <w:pPr>
        <w:pStyle w:val="FootnoteText"/>
      </w:pPr>
      <w:r>
        <w:rPr>
          <w:rStyle w:val="FootnoteReference"/>
        </w:rPr>
        <w:footnoteRef/>
      </w:r>
      <w:r>
        <w:t xml:space="preserve"> </w:t>
      </w:r>
      <w:r w:rsidRPr="00556E47">
        <w:t>Specifically</w:t>
      </w:r>
      <w:r w:rsidRPr="00250722">
        <w:t xml:space="preserve">, </w:t>
      </w:r>
      <w:r>
        <w:t xml:space="preserve">during the post-auction transition period, </w:t>
      </w:r>
      <w:r w:rsidRPr="00250722">
        <w:t xml:space="preserve">LPTV and TV translator stations may </w:t>
      </w:r>
      <w:r>
        <w:t xml:space="preserve">continue to </w:t>
      </w:r>
      <w:r w:rsidRPr="00250722">
        <w:t>operate on</w:t>
      </w:r>
      <w:r>
        <w:t xml:space="preserve"> frequencies in the 614-698 MHz band </w:t>
      </w:r>
      <w:r w:rsidRPr="00250722">
        <w:t xml:space="preserve">until a </w:t>
      </w:r>
      <w:r>
        <w:t xml:space="preserve">600 MHz service wireless </w:t>
      </w:r>
      <w:r w:rsidRPr="00250722">
        <w:t xml:space="preserve">licensee </w:t>
      </w:r>
      <w:r>
        <w:t>operating in the 600 MHz band (comprised of a downlink band at 617-652 MHz and an u</w:t>
      </w:r>
      <w:r>
        <w:rPr>
          <w:snapToGrid w:val="0"/>
          <w:szCs w:val="22"/>
        </w:rPr>
        <w:t xml:space="preserve">plink band at 663-698 MHz) commences operation or conducts first field application (FFA) testing, provided that the 600 MHz service wireless licensee has notified the stations in advance that their continued operations are likely to cause harmful interference to the 600 MHz service wireless licensee’s operations.  </w:t>
      </w:r>
      <w:r>
        <w:t xml:space="preserve">LPTV and TV translators also may continue to operate in the 600 MHz band </w:t>
      </w:r>
      <w:r w:rsidRPr="00556FFB">
        <w:t>afte</w:t>
      </w:r>
      <w:r w:rsidRPr="003477FC">
        <w:t>r</w:t>
      </w:r>
      <w:r>
        <w:t xml:space="preserve"> the end of the post-auction transition period until such time as a 600 MHz service wireless licensee commences operation or conducts FFA testing and has provided the requisite notification set forth in </w:t>
      </w:r>
      <w:r w:rsidRPr="00250722">
        <w:t>§ 73.3700(g)(4)(i)-(</w:t>
      </w:r>
      <w:r>
        <w:t>v</w:t>
      </w:r>
      <w:r w:rsidRPr="00250722">
        <w:t>)</w:t>
      </w:r>
      <w:r>
        <w:t xml:space="preserve">.  </w:t>
      </w:r>
      <w:r>
        <w:rPr>
          <w:i/>
        </w:rPr>
        <w:t xml:space="preserve">See </w:t>
      </w:r>
      <w:r>
        <w:t xml:space="preserve">47 CFR </w:t>
      </w:r>
      <w:r w:rsidRPr="00250722">
        <w:t>§ 73.3700(g)(4)(i)-(</w:t>
      </w:r>
      <w:r>
        <w:t>v</w:t>
      </w:r>
      <w:r w:rsidRPr="00250722">
        <w:t>)</w:t>
      </w:r>
      <w:r>
        <w:t>.</w:t>
      </w:r>
      <w:r>
        <w:rPr>
          <w:i/>
        </w:rPr>
        <w:t xml:space="preserve">  See also </w:t>
      </w:r>
      <w:r>
        <w:rPr>
          <w:i/>
          <w:snapToGrid w:val="0"/>
        </w:rPr>
        <w:t>Incentive Auction R&amp;O</w:t>
      </w:r>
      <w:r>
        <w:rPr>
          <w:snapToGrid w:val="0"/>
        </w:rPr>
        <w:t xml:space="preserve">, 29 FCC Rcd at 6841-42, paras. 668-71, 6840 n.1863 (subsequent history omitted); </w:t>
      </w:r>
      <w:r w:rsidRPr="002441B6">
        <w:rPr>
          <w:i/>
        </w:rPr>
        <w:t>Expanding the Economic and Innovation Opportunities of Spectrum Through Incentive Auctions</w:t>
      </w:r>
      <w:r w:rsidRPr="002441B6">
        <w:t xml:space="preserve">, GN Docket No. 12-268, Report and Order, </w:t>
      </w:r>
      <w:r>
        <w:t xml:space="preserve">30 FCC </w:t>
      </w:r>
      <w:r>
        <w:rPr>
          <w:snapToGrid w:val="0"/>
        </w:rPr>
        <w:t>Rcd 12025, 12028-29, 12034-12035, paras.</w:t>
      </w:r>
      <w:r w:rsidR="003477FC">
        <w:rPr>
          <w:snapToGrid w:val="0"/>
        </w:rPr>
        <w:t> </w:t>
      </w:r>
      <w:r>
        <w:rPr>
          <w:snapToGrid w:val="0"/>
        </w:rPr>
        <w:t>7, 19-20 (2015) (defining the term “commence operations” and creating a limited exception for FAA testing) (</w:t>
      </w:r>
      <w:r>
        <w:rPr>
          <w:i/>
          <w:snapToGrid w:val="0"/>
        </w:rPr>
        <w:t>Commencing Operations R&amp;O</w:t>
      </w:r>
      <w:r>
        <w:rPr>
          <w:snapToGrid w:val="0"/>
        </w:rPr>
        <w:t xml:space="preserve">).  Finally, </w:t>
      </w:r>
      <w:r>
        <w:t xml:space="preserve">LPTV and TV translator stations must cease operations in the 600 MHz guard band (614-617 MHz) and the 600 MHz duplex gap (652-663 MHz) no later than the end of the post-auction transition period (i.e., July 13, 2020).  47 CFR </w:t>
      </w:r>
      <w:r w:rsidRPr="00250722">
        <w:t>§ 73.3700(g)(4)(</w:t>
      </w:r>
      <w:r>
        <w:t>v</w:t>
      </w:r>
      <w:r w:rsidRPr="00250722">
        <w:t>)</w:t>
      </w:r>
      <w:r>
        <w:t xml:space="preserve">; </w:t>
      </w:r>
      <w:r>
        <w:rPr>
          <w:i/>
        </w:rPr>
        <w:t>see also</w:t>
      </w:r>
      <w:r>
        <w:t xml:space="preserve"> </w:t>
      </w:r>
      <w:r>
        <w:rPr>
          <w:i/>
        </w:rPr>
        <w:t>Incentive Auction R&amp;O</w:t>
      </w:r>
      <w:r>
        <w:t>, 29 FCC Rcd at 6840, para. 669.</w:t>
      </w:r>
    </w:p>
  </w:footnote>
  <w:footnote w:id="19">
    <w:p w14:paraId="1A5CA112" w14:textId="77777777" w:rsidR="000F522E" w:rsidRDefault="000F522E">
      <w:pPr>
        <w:pStyle w:val="FootnoteText"/>
      </w:pPr>
      <w:r>
        <w:rPr>
          <w:rStyle w:val="FootnoteReference"/>
        </w:rPr>
        <w:footnoteRef/>
      </w:r>
      <w:r w:rsidRPr="00250722">
        <w:t xml:space="preserve"> </w:t>
      </w:r>
      <w:r>
        <w:t xml:space="preserve">Specifically, BAS operations </w:t>
      </w:r>
      <w:r w:rsidRPr="00250722">
        <w:t xml:space="preserve">may continue </w:t>
      </w:r>
      <w:r>
        <w:t>in</w:t>
      </w:r>
      <w:r w:rsidRPr="00250722">
        <w:t xml:space="preserve"> </w:t>
      </w:r>
      <w:r>
        <w:t xml:space="preserve">the 614-698 MHz band </w:t>
      </w:r>
      <w:r w:rsidRPr="00250722">
        <w:t xml:space="preserve">on a secondary basis until </w:t>
      </w:r>
      <w:r>
        <w:t>the end of the post-auction transition (i.e., July 13, 2020)</w:t>
      </w:r>
      <w:r w:rsidRPr="00250722">
        <w:t xml:space="preserve">, unless </w:t>
      </w:r>
      <w:r>
        <w:t xml:space="preserve">they must cease operations at an earlier date because </w:t>
      </w:r>
      <w:r w:rsidRPr="00250722">
        <w:t xml:space="preserve">a </w:t>
      </w:r>
      <w:r>
        <w:t>600 MHz service</w:t>
      </w:r>
      <w:r w:rsidRPr="00250722">
        <w:t xml:space="preserve"> </w:t>
      </w:r>
      <w:r>
        <w:t xml:space="preserve">wireless </w:t>
      </w:r>
      <w:r w:rsidRPr="00250722">
        <w:t xml:space="preserve">licensee </w:t>
      </w:r>
      <w:r>
        <w:t xml:space="preserve">commences operation or conducts FFA testing and has provided </w:t>
      </w:r>
      <w:r w:rsidRPr="00250722">
        <w:t>such stations</w:t>
      </w:r>
      <w:r>
        <w:t xml:space="preserve"> the requisite notification.  47 CFR </w:t>
      </w:r>
      <w:r w:rsidRPr="00250722">
        <w:t>§ 74.602(h)(5)(</w:t>
      </w:r>
      <w:r>
        <w:t>i)-(iii</w:t>
      </w:r>
      <w:r w:rsidRPr="00250722">
        <w:t>)</w:t>
      </w:r>
      <w:r>
        <w:t xml:space="preserve">, (6); </w:t>
      </w:r>
      <w:r w:rsidRPr="003B7B63">
        <w:rPr>
          <w:i/>
        </w:rPr>
        <w:t>s</w:t>
      </w:r>
      <w:r w:rsidRPr="00556E47">
        <w:rPr>
          <w:i/>
        </w:rPr>
        <w:t xml:space="preserve">ee </w:t>
      </w:r>
      <w:r>
        <w:rPr>
          <w:i/>
        </w:rPr>
        <w:t xml:space="preserve">also </w:t>
      </w:r>
      <w:r w:rsidRPr="00556E47">
        <w:rPr>
          <w:i/>
        </w:rPr>
        <w:t>Incentive Auction R&amp;O</w:t>
      </w:r>
      <w:r w:rsidRPr="00556E47">
        <w:t>, 29 FCC Rcd at 6841</w:t>
      </w:r>
      <w:r>
        <w:t>-42</w:t>
      </w:r>
      <w:r w:rsidRPr="00556E47">
        <w:t>, paras.</w:t>
      </w:r>
      <w:r w:rsidR="003C506C">
        <w:t> </w:t>
      </w:r>
      <w:r w:rsidRPr="00556E47">
        <w:t>674-676</w:t>
      </w:r>
      <w:r>
        <w:t>.</w:t>
      </w:r>
    </w:p>
  </w:footnote>
  <w:footnote w:id="20">
    <w:p w14:paraId="6E9BE02A" w14:textId="77777777" w:rsidR="000F522E" w:rsidRPr="00DA693D" w:rsidRDefault="000F522E">
      <w:pPr>
        <w:pStyle w:val="FootnoteText"/>
      </w:pPr>
      <w:r>
        <w:rPr>
          <w:rStyle w:val="FootnoteReference"/>
        </w:rPr>
        <w:footnoteRef/>
      </w:r>
      <w:r>
        <w:t xml:space="preserve"> As a general condition of </w:t>
      </w:r>
      <w:r w:rsidRPr="00DA693D">
        <w:t>operation</w:t>
      </w:r>
      <w:r w:rsidRPr="00402482">
        <w:rPr>
          <w:snapToGrid w:val="0"/>
          <w:kern w:val="28"/>
        </w:rPr>
        <w:t xml:space="preserve">, Part 15 devices may not cause harmful interference to authorized services, must accept interference that may be caused by the operation of an authorized radio station, another intentional or unintentional radiator, industrial, scientific, and medical (ISM) equipment, or an incidental radiator, and, if causing harmful interference, must cease operation upon notification by the Commission.  </w:t>
      </w:r>
      <w:r w:rsidRPr="00402482">
        <w:rPr>
          <w:i/>
          <w:snapToGrid w:val="0"/>
          <w:kern w:val="28"/>
        </w:rPr>
        <w:t>See</w:t>
      </w:r>
      <w:r w:rsidRPr="00402482">
        <w:rPr>
          <w:snapToGrid w:val="0"/>
          <w:kern w:val="28"/>
        </w:rPr>
        <w:t xml:space="preserve"> 47 C.F.R. § 15.5(b) and (c).</w:t>
      </w:r>
    </w:p>
  </w:footnote>
  <w:footnote w:id="21">
    <w:p w14:paraId="6CF3A709" w14:textId="77777777" w:rsidR="000F522E" w:rsidRDefault="000F522E">
      <w:pPr>
        <w:spacing w:after="120"/>
      </w:pPr>
      <w:r>
        <w:rPr>
          <w:rStyle w:val="FootnoteReference"/>
        </w:rPr>
        <w:footnoteRef/>
      </w:r>
      <w:r>
        <w:t xml:space="preserve"> </w:t>
      </w:r>
      <w:r w:rsidRPr="001B6BDE">
        <w:rPr>
          <w:sz w:val="20"/>
        </w:rPr>
        <w:t xml:space="preserve">Specifically, </w:t>
      </w:r>
      <w:r>
        <w:rPr>
          <w:sz w:val="20"/>
        </w:rPr>
        <w:t xml:space="preserve">until the end of the post-auction transition period (i.e., </w:t>
      </w:r>
      <w:r w:rsidRPr="001B6BDE">
        <w:rPr>
          <w:sz w:val="20"/>
        </w:rPr>
        <w:t>July 13, 2020</w:t>
      </w:r>
      <w:r>
        <w:rPr>
          <w:sz w:val="20"/>
        </w:rPr>
        <w:t>)</w:t>
      </w:r>
      <w:r w:rsidRPr="001B6BDE">
        <w:rPr>
          <w:sz w:val="20"/>
        </w:rPr>
        <w:t>, LPAS</w:t>
      </w:r>
      <w:r>
        <w:rPr>
          <w:sz w:val="20"/>
        </w:rPr>
        <w:t xml:space="preserve"> </w:t>
      </w:r>
      <w:r w:rsidRPr="001B6BDE">
        <w:rPr>
          <w:sz w:val="20"/>
        </w:rPr>
        <w:t>and WA</w:t>
      </w:r>
      <w:r>
        <w:rPr>
          <w:sz w:val="20"/>
        </w:rPr>
        <w:t>V</w:t>
      </w:r>
      <w:r w:rsidRPr="001B6BDE">
        <w:rPr>
          <w:sz w:val="20"/>
        </w:rPr>
        <w:t xml:space="preserve">Ds may </w:t>
      </w:r>
      <w:r>
        <w:rPr>
          <w:sz w:val="20"/>
        </w:rPr>
        <w:t xml:space="preserve">be </w:t>
      </w:r>
      <w:r w:rsidRPr="001B6BDE">
        <w:rPr>
          <w:sz w:val="20"/>
        </w:rPr>
        <w:t>operate</w:t>
      </w:r>
      <w:r>
        <w:rPr>
          <w:sz w:val="20"/>
        </w:rPr>
        <w:t>d</w:t>
      </w:r>
      <w:r w:rsidRPr="001B6BDE">
        <w:rPr>
          <w:sz w:val="20"/>
        </w:rPr>
        <w:t xml:space="preserve"> on a secondary basis</w:t>
      </w:r>
      <w:r>
        <w:rPr>
          <w:sz w:val="20"/>
        </w:rPr>
        <w:t xml:space="preserve"> with respect</w:t>
      </w:r>
      <w:r w:rsidRPr="001B6BDE">
        <w:rPr>
          <w:sz w:val="20"/>
        </w:rPr>
        <w:t xml:space="preserve"> to </w:t>
      </w:r>
      <w:r>
        <w:rPr>
          <w:sz w:val="20"/>
        </w:rPr>
        <w:t>the incumbent broadcast licensee operations before they transition out of the 614-698 MHz band</w:t>
      </w:r>
      <w:r w:rsidRPr="00B41BCB">
        <w:rPr>
          <w:sz w:val="20"/>
        </w:rPr>
        <w:t xml:space="preserve"> </w:t>
      </w:r>
      <w:r>
        <w:rPr>
          <w:sz w:val="20"/>
        </w:rPr>
        <w:t xml:space="preserve">and with respect to the 600 MHz service wireless </w:t>
      </w:r>
      <w:r w:rsidRPr="001B6BDE">
        <w:rPr>
          <w:sz w:val="20"/>
        </w:rPr>
        <w:t>licensees</w:t>
      </w:r>
      <w:r>
        <w:rPr>
          <w:sz w:val="20"/>
        </w:rPr>
        <w:t xml:space="preserve">’ operations in the 600 MHz band, and </w:t>
      </w:r>
      <w:r w:rsidRPr="001B6BDE">
        <w:rPr>
          <w:sz w:val="20"/>
        </w:rPr>
        <w:t>unlicensed wireless microphones may operate on a non</w:t>
      </w:r>
      <w:r w:rsidRPr="001B6BDE">
        <w:rPr>
          <w:sz w:val="20"/>
        </w:rPr>
        <w:noBreakHyphen/>
        <w:t xml:space="preserve">interference basis </w:t>
      </w:r>
      <w:r>
        <w:rPr>
          <w:sz w:val="20"/>
        </w:rPr>
        <w:t xml:space="preserve">to other incumbent broadcast or 600 MHz service wireless licensees’ operations in the 614-698 MHz band, under the applicable technical and operations rules.  47 CFR §§ 74.802(a)(1), (f); § 74.870(i); § 15.236(c)(1)-(2).  Further, LPAS, WAVD, and unlicensed wireless microphone operations are required to cease on frequencies in areas </w:t>
      </w:r>
      <w:r w:rsidRPr="001B6BDE">
        <w:rPr>
          <w:sz w:val="20"/>
        </w:rPr>
        <w:t xml:space="preserve">where </w:t>
      </w:r>
      <w:r>
        <w:rPr>
          <w:sz w:val="20"/>
        </w:rPr>
        <w:t xml:space="preserve">600 MHz service wireless </w:t>
      </w:r>
      <w:r w:rsidRPr="001B6BDE">
        <w:rPr>
          <w:sz w:val="20"/>
        </w:rPr>
        <w:t>licensees commence operations</w:t>
      </w:r>
      <w:r>
        <w:rPr>
          <w:sz w:val="20"/>
        </w:rPr>
        <w:t xml:space="preserve"> or conduct FFA testing.  47 CFR </w:t>
      </w:r>
      <w:r w:rsidRPr="001B6BDE">
        <w:rPr>
          <w:sz w:val="20"/>
        </w:rPr>
        <w:t xml:space="preserve">§§ 74.802(f), </w:t>
      </w:r>
      <w:r>
        <w:rPr>
          <w:sz w:val="20"/>
        </w:rPr>
        <w:t xml:space="preserve">74.870(i), </w:t>
      </w:r>
      <w:r w:rsidRPr="001B6BDE">
        <w:rPr>
          <w:sz w:val="20"/>
        </w:rPr>
        <w:t>15.236(c)(2)</w:t>
      </w:r>
      <w:r>
        <w:rPr>
          <w:sz w:val="20"/>
        </w:rPr>
        <w:t xml:space="preserve">; </w:t>
      </w:r>
      <w:r>
        <w:rPr>
          <w:i/>
          <w:sz w:val="20"/>
        </w:rPr>
        <w:t>see also</w:t>
      </w:r>
      <w:r>
        <w:t xml:space="preserve"> </w:t>
      </w:r>
      <w:r>
        <w:rPr>
          <w:i/>
          <w:sz w:val="20"/>
        </w:rPr>
        <w:t>Part 15 R&amp;O</w:t>
      </w:r>
      <w:r>
        <w:rPr>
          <w:sz w:val="20"/>
        </w:rPr>
        <w:t xml:space="preserve">, </w:t>
      </w:r>
      <w:r w:rsidRPr="00546C67">
        <w:rPr>
          <w:sz w:val="20"/>
        </w:rPr>
        <w:t>30</w:t>
      </w:r>
      <w:r w:rsidRPr="001B6BDE">
        <w:rPr>
          <w:sz w:val="20"/>
        </w:rPr>
        <w:t xml:space="preserve"> FCC Rcd </w:t>
      </w:r>
      <w:r>
        <w:rPr>
          <w:sz w:val="20"/>
        </w:rPr>
        <w:t xml:space="preserve">at 9630-31, para. 192, 9659, para. 263; </w:t>
      </w:r>
      <w:r>
        <w:rPr>
          <w:i/>
          <w:sz w:val="20"/>
        </w:rPr>
        <w:t>Commencing Operations R&amp;O</w:t>
      </w:r>
      <w:r>
        <w:rPr>
          <w:sz w:val="20"/>
        </w:rPr>
        <w:t xml:space="preserve">, 30 FCC 12025.  After the end of the transition period (i.e., after </w:t>
      </w:r>
      <w:r w:rsidRPr="001B6BDE">
        <w:rPr>
          <w:sz w:val="20"/>
        </w:rPr>
        <w:t>July 13, 2020</w:t>
      </w:r>
      <w:r>
        <w:rPr>
          <w:sz w:val="20"/>
        </w:rPr>
        <w:t>)</w:t>
      </w:r>
      <w:r w:rsidRPr="001B6BDE">
        <w:rPr>
          <w:sz w:val="20"/>
        </w:rPr>
        <w:t>, LPAS operat</w:t>
      </w:r>
      <w:r>
        <w:rPr>
          <w:sz w:val="20"/>
        </w:rPr>
        <w:t xml:space="preserve">ions are permitted </w:t>
      </w:r>
      <w:r w:rsidRPr="001B6BDE">
        <w:rPr>
          <w:sz w:val="20"/>
        </w:rPr>
        <w:t xml:space="preserve">only on </w:t>
      </w:r>
      <w:r>
        <w:rPr>
          <w:sz w:val="20"/>
        </w:rPr>
        <w:t xml:space="preserve">specified </w:t>
      </w:r>
      <w:r w:rsidRPr="001B6BDE">
        <w:rPr>
          <w:sz w:val="20"/>
        </w:rPr>
        <w:t xml:space="preserve">frequencies in the </w:t>
      </w:r>
      <w:r>
        <w:rPr>
          <w:sz w:val="20"/>
        </w:rPr>
        <w:t>600 MHz duplex gap (specifically</w:t>
      </w:r>
      <w:r w:rsidRPr="001B6BDE">
        <w:rPr>
          <w:sz w:val="20"/>
        </w:rPr>
        <w:t xml:space="preserve"> 653-657 MHz</w:t>
      </w:r>
      <w:r>
        <w:rPr>
          <w:sz w:val="20"/>
        </w:rPr>
        <w:t xml:space="preserve">), </w:t>
      </w:r>
      <w:r w:rsidRPr="001B6BDE">
        <w:rPr>
          <w:sz w:val="20"/>
        </w:rPr>
        <w:t xml:space="preserve">unlicensed wireless microphones </w:t>
      </w:r>
      <w:r>
        <w:rPr>
          <w:sz w:val="20"/>
        </w:rPr>
        <w:t>operations are permitted</w:t>
      </w:r>
      <w:r w:rsidRPr="001B6BDE">
        <w:rPr>
          <w:sz w:val="20"/>
        </w:rPr>
        <w:t xml:space="preserve"> only on </w:t>
      </w:r>
      <w:r>
        <w:rPr>
          <w:sz w:val="20"/>
        </w:rPr>
        <w:t xml:space="preserve">specified </w:t>
      </w:r>
      <w:r w:rsidRPr="001B6BDE">
        <w:rPr>
          <w:sz w:val="20"/>
        </w:rPr>
        <w:t xml:space="preserve">frequencies in the </w:t>
      </w:r>
      <w:r>
        <w:rPr>
          <w:sz w:val="20"/>
        </w:rPr>
        <w:t xml:space="preserve">600 MHz guard band (specifically </w:t>
      </w:r>
      <w:r w:rsidRPr="001B6BDE">
        <w:rPr>
          <w:sz w:val="20"/>
        </w:rPr>
        <w:t>614-616 MHz</w:t>
      </w:r>
      <w:r>
        <w:rPr>
          <w:sz w:val="20"/>
        </w:rPr>
        <w:t xml:space="preserve">) and the 600 MHz duplex gap (specifically 657-663 MHz), and </w:t>
      </w:r>
      <w:r w:rsidRPr="001B6BDE">
        <w:rPr>
          <w:sz w:val="20"/>
        </w:rPr>
        <w:t>WA</w:t>
      </w:r>
      <w:r>
        <w:rPr>
          <w:sz w:val="20"/>
        </w:rPr>
        <w:t>V</w:t>
      </w:r>
      <w:r w:rsidRPr="001B6BDE">
        <w:rPr>
          <w:sz w:val="20"/>
        </w:rPr>
        <w:t>D</w:t>
      </w:r>
      <w:r>
        <w:rPr>
          <w:sz w:val="20"/>
        </w:rPr>
        <w:t xml:space="preserve"> operation</w:t>
      </w:r>
      <w:r w:rsidRPr="001B6BDE">
        <w:rPr>
          <w:sz w:val="20"/>
        </w:rPr>
        <w:t xml:space="preserve">s </w:t>
      </w:r>
      <w:r>
        <w:rPr>
          <w:sz w:val="20"/>
        </w:rPr>
        <w:t>must cease in</w:t>
      </w:r>
      <w:r w:rsidRPr="001B6BDE">
        <w:rPr>
          <w:sz w:val="20"/>
        </w:rPr>
        <w:t xml:space="preserve"> the 614-698 MHz band</w:t>
      </w:r>
      <w:r>
        <w:rPr>
          <w:sz w:val="20"/>
        </w:rPr>
        <w:t>.</w:t>
      </w:r>
      <w:r w:rsidRPr="001B6BDE">
        <w:rPr>
          <w:sz w:val="20"/>
        </w:rPr>
        <w:t xml:space="preserve"> </w:t>
      </w:r>
      <w:r>
        <w:rPr>
          <w:sz w:val="20"/>
        </w:rPr>
        <w:t xml:space="preserve"> 47 CFR</w:t>
      </w:r>
      <w:r w:rsidRPr="001B6BDE">
        <w:rPr>
          <w:sz w:val="20"/>
        </w:rPr>
        <w:t xml:space="preserve"> §§ 74.802(a)(2)</w:t>
      </w:r>
      <w:r>
        <w:rPr>
          <w:sz w:val="20"/>
        </w:rPr>
        <w:t xml:space="preserve"> and (f), </w:t>
      </w:r>
      <w:r w:rsidRPr="001B6BDE">
        <w:rPr>
          <w:sz w:val="20"/>
        </w:rPr>
        <w:t>15.236(c)(3)-(5)</w:t>
      </w:r>
      <w:r>
        <w:rPr>
          <w:sz w:val="20"/>
        </w:rPr>
        <w:t>,</w:t>
      </w:r>
      <w:r w:rsidRPr="001B6BDE">
        <w:rPr>
          <w:sz w:val="20"/>
        </w:rPr>
        <w:t xml:space="preserve"> 74.870(c)(1)-(2)</w:t>
      </w:r>
      <w:r>
        <w:rPr>
          <w:sz w:val="20"/>
        </w:rPr>
        <w:t xml:space="preserve"> and (i).</w:t>
      </w:r>
    </w:p>
  </w:footnote>
  <w:footnote w:id="22">
    <w:p w14:paraId="5A5C072B" w14:textId="77777777" w:rsidR="000F522E" w:rsidRDefault="000F522E">
      <w:pPr>
        <w:pStyle w:val="FootnoteText"/>
      </w:pPr>
      <w:r>
        <w:rPr>
          <w:rStyle w:val="FootnoteReference"/>
        </w:rPr>
        <w:footnoteRef/>
      </w:r>
      <w:r>
        <w:t xml:space="preserve"> Until the end of the post-auction transition period (i.e., July 13, 2020), unlicensed white space devices </w:t>
      </w:r>
      <w:r w:rsidRPr="001B6BDE">
        <w:t xml:space="preserve">may </w:t>
      </w:r>
      <w:r>
        <w:t xml:space="preserve">be </w:t>
      </w:r>
      <w:r w:rsidRPr="001B6BDE">
        <w:t>operate</w:t>
      </w:r>
      <w:r>
        <w:t>d</w:t>
      </w:r>
      <w:r w:rsidRPr="001B6BDE">
        <w:t xml:space="preserve"> </w:t>
      </w:r>
      <w:r>
        <w:t xml:space="preserve">in the 614-698 MHz band on a non-interference basis with respect both to broadcast licensee and 600 MHz service wireless licensee operations </w:t>
      </w:r>
      <w:r w:rsidRPr="001B6BDE">
        <w:rPr>
          <w:color w:val="000000"/>
          <w:shd w:val="clear" w:color="auto" w:fill="FFFFFF"/>
        </w:rPr>
        <w:t xml:space="preserve">(subject to </w:t>
      </w:r>
      <w:r>
        <w:rPr>
          <w:color w:val="000000"/>
          <w:shd w:val="clear" w:color="auto" w:fill="FFFFFF"/>
        </w:rPr>
        <w:t xml:space="preserve">the respective </w:t>
      </w:r>
      <w:r w:rsidRPr="001B6BDE">
        <w:rPr>
          <w:color w:val="000000"/>
          <w:shd w:val="clear" w:color="auto" w:fill="FFFFFF"/>
        </w:rPr>
        <w:t xml:space="preserve">applicable interference protection requirements) </w:t>
      </w:r>
      <w:r>
        <w:rPr>
          <w:color w:val="000000"/>
          <w:shd w:val="clear" w:color="auto" w:fill="FFFFFF"/>
        </w:rPr>
        <w:t xml:space="preserve">in the 614-698 MHz band.  Further, both during the post-auction transition period and at any time thereafter, white space devices may operate in the 600 MHz band (i.e., 617-652 MHz and 663-698 MHz) except in those </w:t>
      </w:r>
      <w:r w:rsidRPr="001B6BDE">
        <w:t xml:space="preserve">areas where </w:t>
      </w:r>
      <w:r>
        <w:t xml:space="preserve">600 MHz service wireless </w:t>
      </w:r>
      <w:r w:rsidRPr="001B6BDE">
        <w:t>licensees commence operations</w:t>
      </w:r>
      <w:r>
        <w:t xml:space="preserve"> or conduct FFA testing and have provided the requisite notice to a white space database administrator.  47 CFR §§ </w:t>
      </w:r>
      <w:r w:rsidRPr="001B6BDE">
        <w:t>15.707(a)</w:t>
      </w:r>
      <w:r>
        <w:t xml:space="preserve">(1) and </w:t>
      </w:r>
      <w:r w:rsidRPr="001B6BDE">
        <w:t>(5)</w:t>
      </w:r>
      <w:r>
        <w:t xml:space="preserve">, 15.713(b)(2)(iv); </w:t>
      </w:r>
      <w:r>
        <w:rPr>
          <w:i/>
        </w:rPr>
        <w:t>see also Incentive Auction R&amp;O</w:t>
      </w:r>
      <w:r>
        <w:t xml:space="preserve">, 29 FCC Rcd at 6843-43, para. 677 (white space devices can continue to operate under Part 15 rules in the spectrum that remains allocated and assigned for broadcast television following the incentive auction), 29 FCC Rcd at 6843-44, para. 680 (in order to preclude white space device operations in areas where a 600 MHz service licensee commences its operations, a 600 MHz service wireless licensee can notify any white space database when and where it intends to commence operations).  After the end of the transition period, white space devices also </w:t>
      </w:r>
      <w:r w:rsidRPr="001B6BDE">
        <w:t xml:space="preserve">may operate on </w:t>
      </w:r>
      <w:r>
        <w:t xml:space="preserve">specific </w:t>
      </w:r>
      <w:r w:rsidRPr="001B6BDE">
        <w:t xml:space="preserve">frequencies in the </w:t>
      </w:r>
      <w:r>
        <w:t xml:space="preserve">600 MHz duplex gap (specifically </w:t>
      </w:r>
      <w:r w:rsidRPr="001B6BDE">
        <w:t>657-663 MHz</w:t>
      </w:r>
      <w:r>
        <w:t>).  47 CFR § 15.707(a)(4).</w:t>
      </w:r>
    </w:p>
  </w:footnote>
  <w:footnote w:id="23">
    <w:p w14:paraId="178BE30D" w14:textId="77777777" w:rsidR="000F522E" w:rsidRPr="00F51A1E" w:rsidRDefault="000F522E">
      <w:pPr>
        <w:pStyle w:val="FootnoteText"/>
      </w:pPr>
      <w:r>
        <w:rPr>
          <w:rStyle w:val="FootnoteReference"/>
        </w:rPr>
        <w:footnoteRef/>
      </w:r>
      <w:r>
        <w:t xml:space="preserve"> </w:t>
      </w:r>
      <w:r>
        <w:rPr>
          <w:i/>
        </w:rPr>
        <w:t xml:space="preserve">See </w:t>
      </w:r>
      <w:r>
        <w:t>47 CFR § 27.4 (defining the “600 MHz service” as a radiocommunication service licensed for the frequencies specified in Section 27.5(l) of the Commission’s Part 27 rules for Wireless Communications Services).</w:t>
      </w:r>
    </w:p>
  </w:footnote>
  <w:footnote w:id="24">
    <w:p w14:paraId="6C9228CF" w14:textId="009DC850" w:rsidR="000F522E" w:rsidRDefault="000F522E">
      <w:pPr>
        <w:pStyle w:val="FootnoteText"/>
      </w:pPr>
      <w:r>
        <w:rPr>
          <w:rStyle w:val="FootnoteReference"/>
        </w:rPr>
        <w:footnoteRef/>
      </w:r>
      <w:r>
        <w:t xml:space="preserve"> </w:t>
      </w:r>
      <w:r w:rsidRPr="00445755">
        <w:rPr>
          <w:i/>
        </w:rPr>
        <w:t>See W</w:t>
      </w:r>
      <w:r>
        <w:rPr>
          <w:i/>
        </w:rPr>
        <w:t xml:space="preserve">ireless </w:t>
      </w:r>
      <w:r w:rsidRPr="00445755">
        <w:rPr>
          <w:i/>
        </w:rPr>
        <w:t>T</w:t>
      </w:r>
      <w:r>
        <w:rPr>
          <w:i/>
        </w:rPr>
        <w:t xml:space="preserve">elecommunications </w:t>
      </w:r>
      <w:r w:rsidRPr="00445755">
        <w:rPr>
          <w:i/>
        </w:rPr>
        <w:t>B</w:t>
      </w:r>
      <w:r>
        <w:rPr>
          <w:i/>
        </w:rPr>
        <w:t>ureau</w:t>
      </w:r>
      <w:r w:rsidRPr="00445755">
        <w:rPr>
          <w:i/>
        </w:rPr>
        <w:t xml:space="preserve"> Provides Details about Partial Economic Areas</w:t>
      </w:r>
      <w:r>
        <w:t xml:space="preserve">, Public Notice, GN Docket No. 12-268, DA 14-759, released June 2, 2015 (available at </w:t>
      </w:r>
      <w:hyperlink r:id="rId2" w:history="1">
        <w:r w:rsidRPr="00143844">
          <w:rPr>
            <w:rStyle w:val="Hyperlink"/>
          </w:rPr>
          <w:t>https://www.fcc.gov/document/wtb-provides-details-about-partial-economic-areas</w:t>
        </w:r>
      </w:hyperlink>
      <w:r>
        <w:t>).  For the map of “FCC Partial Economic Area (PEA) Boundaries,”</w:t>
      </w:r>
      <w:r w:rsidRPr="00445755">
        <w:rPr>
          <w:i/>
        </w:rPr>
        <w:t xml:space="preserve"> see</w:t>
      </w:r>
      <w:r>
        <w:t xml:space="preserve"> </w:t>
      </w:r>
      <w:hyperlink r:id="rId3" w:history="1">
        <w:r w:rsidRPr="00143844">
          <w:rPr>
            <w:rStyle w:val="Hyperlink"/>
          </w:rPr>
          <w:t>https://apps.fcc.gov/edocs_public/attachmatch/DA-14-759A4.pdf</w:t>
        </w:r>
      </w:hyperlink>
      <w:r>
        <w:t>.</w:t>
      </w:r>
    </w:p>
  </w:footnote>
  <w:footnote w:id="25">
    <w:p w14:paraId="3E348B27" w14:textId="77777777" w:rsidR="000F522E" w:rsidRDefault="000F522E">
      <w:pPr>
        <w:pStyle w:val="FootnoteText"/>
      </w:pPr>
      <w:r>
        <w:rPr>
          <w:rStyle w:val="FootnoteReference"/>
        </w:rPr>
        <w:footnoteRef/>
      </w:r>
      <w:r>
        <w:t xml:space="preserve"> </w:t>
      </w:r>
      <w:r>
        <w:rPr>
          <w:i/>
          <w:szCs w:val="22"/>
        </w:rPr>
        <w:t>See</w:t>
      </w:r>
      <w:r>
        <w:rPr>
          <w:szCs w:val="22"/>
        </w:rPr>
        <w:t xml:space="preserve"> 5 U.S.C. § 553(b)(B)</w:t>
      </w:r>
      <w:r w:rsidRPr="00843880">
        <w:t xml:space="preserve"> </w:t>
      </w:r>
      <w:r>
        <w:t>(</w:t>
      </w:r>
      <w:r w:rsidRPr="00DE4CCF">
        <w:t>providing that notice and comment requirement of the Administrative Procedure Act does not apply when agency “for good cause finds . . . that notice and public procedure [for rulemaking action] are impracticable, unnecessary, or contrary to the public interest</w:t>
      </w:r>
      <w:r>
        <w:t>”</w:t>
      </w:r>
      <w:r>
        <w:rPr>
          <w:szCs w:val="22"/>
        </w:rPr>
        <w:t xml:space="preserve">).  </w:t>
      </w:r>
    </w:p>
  </w:footnote>
  <w:footnote w:id="26">
    <w:p w14:paraId="00CB3E0C" w14:textId="77777777" w:rsidR="000F522E" w:rsidRPr="00DE61FF" w:rsidRDefault="000F522E">
      <w:pPr>
        <w:pStyle w:val="FootnoteText"/>
      </w:pPr>
      <w:r>
        <w:rPr>
          <w:rStyle w:val="FootnoteReference"/>
        </w:rPr>
        <w:footnoteRef/>
      </w:r>
      <w:r>
        <w:t xml:space="preserve"> </w:t>
      </w:r>
      <w:r>
        <w:rPr>
          <w:i/>
        </w:rPr>
        <w:t xml:space="preserve">See, e.g., </w:t>
      </w:r>
      <w:r w:rsidRPr="00187CAE">
        <w:t>47 CFR § 27.4 (defining “</w:t>
      </w:r>
      <w:r w:rsidRPr="002E047F">
        <w:t>post-auction transition p</w:t>
      </w:r>
      <w:r w:rsidRPr="002E075A">
        <w:t>eriod</w:t>
      </w:r>
      <w:r w:rsidRPr="00C527BC">
        <w:t xml:space="preserve">” as the </w:t>
      </w:r>
      <w:r w:rsidRPr="00187CAE">
        <w:rPr>
          <w:color w:val="212121"/>
        </w:rPr>
        <w:t xml:space="preserve">39–month period commencing upon the public release of the </w:t>
      </w:r>
      <w:r w:rsidRPr="00187CAE">
        <w:rPr>
          <w:i/>
        </w:rPr>
        <w:t xml:space="preserve">Closing </w:t>
      </w:r>
      <w:r w:rsidRPr="002E047F">
        <w:rPr>
          <w:i/>
        </w:rPr>
        <w:t xml:space="preserve">and Channel Reassignment </w:t>
      </w:r>
      <w:r w:rsidRPr="002E075A">
        <w:rPr>
          <w:i/>
        </w:rPr>
        <w:t>Public Notice</w:t>
      </w:r>
      <w:r w:rsidRPr="00C527BC">
        <w:t xml:space="preserve">); </w:t>
      </w:r>
      <w:r w:rsidRPr="00FE1028">
        <w:rPr>
          <w:i/>
        </w:rPr>
        <w:t>Incentive Auction R&amp;O</w:t>
      </w:r>
      <w:r>
        <w:t xml:space="preserve">, 29 FCC Rcd 6567, para. 47 (setting forth the particular 600 MHz Band Plan that would result if 84 megahertz of spectrum were cleared as a result of the incentive auction). </w:t>
      </w:r>
    </w:p>
  </w:footnote>
  <w:footnote w:id="27">
    <w:p w14:paraId="101814E6" w14:textId="77777777" w:rsidR="000F522E" w:rsidRDefault="000F522E">
      <w:pPr>
        <w:pStyle w:val="FootnoteText"/>
      </w:pPr>
      <w:r>
        <w:rPr>
          <w:rStyle w:val="FootnoteReference"/>
        </w:rPr>
        <w:footnoteRef/>
      </w:r>
      <w:r>
        <w:t xml:space="preserve"> </w:t>
      </w:r>
      <w:r>
        <w:rPr>
          <w:i/>
          <w:szCs w:val="22"/>
        </w:rPr>
        <w:t>See</w:t>
      </w:r>
      <w:r>
        <w:rPr>
          <w:szCs w:val="22"/>
        </w:rPr>
        <w:t xml:space="preserve"> 5 U.S.C. § 553(b)(B); </w:t>
      </w:r>
      <w:r>
        <w:rPr>
          <w:i/>
          <w:iCs/>
          <w:color w:val="000000"/>
        </w:rPr>
        <w:t>Utility Solid Waste Activities Group v. EPA</w:t>
      </w:r>
      <w:r>
        <w:rPr>
          <w:color w:val="000000"/>
        </w:rPr>
        <w:t>, 236 F.3d 749, 755 (D.C. Cir., 2001) (citing</w:t>
      </w:r>
      <w:r>
        <w:rPr>
          <w:i/>
          <w:iCs/>
          <w:color w:val="000000"/>
        </w:rPr>
        <w:t xml:space="preserve"> Texaco v. FPC</w:t>
      </w:r>
      <w:r>
        <w:rPr>
          <w:color w:val="000000"/>
        </w:rPr>
        <w:t>, 412 F.2d 740, 743 (3d Cir. 1969)).</w:t>
      </w:r>
    </w:p>
  </w:footnote>
  <w:footnote w:id="28">
    <w:p w14:paraId="06E67A6D" w14:textId="77777777" w:rsidR="000F522E" w:rsidRPr="00EE191C" w:rsidRDefault="000F522E">
      <w:pPr>
        <w:pStyle w:val="FootnoteText"/>
      </w:pPr>
      <w:r w:rsidRPr="002441B6">
        <w:rPr>
          <w:rStyle w:val="FootnoteReference"/>
        </w:rPr>
        <w:footnoteRef/>
      </w:r>
      <w:r w:rsidRPr="002441B6">
        <w:t xml:space="preserve"> </w:t>
      </w:r>
      <w:r w:rsidRPr="002441B6">
        <w:rPr>
          <w:i/>
        </w:rPr>
        <w:t>Incentive Auction R&amp;O</w:t>
      </w:r>
      <w:r w:rsidRPr="002441B6">
        <w:t>, 29 FCC</w:t>
      </w:r>
      <w:r>
        <w:t xml:space="preserve"> Rcd at 6707, para. 321 (delegating to the Chief of the Office of Engineering and Technology the authority to take such actions as are necessary to modify the Allocations Table to be consistent with the outcome of the incentive auction).</w:t>
      </w:r>
    </w:p>
  </w:footnote>
  <w:footnote w:id="29">
    <w:p w14:paraId="52F34F6C" w14:textId="77777777" w:rsidR="000F522E" w:rsidRDefault="000F522E">
      <w:pPr>
        <w:pStyle w:val="FootnoteText"/>
      </w:pPr>
      <w:r>
        <w:rPr>
          <w:rStyle w:val="FootnoteReference"/>
        </w:rPr>
        <w:footnoteRef/>
      </w:r>
      <w:r>
        <w:t xml:space="preserve"> </w:t>
      </w:r>
      <w:r>
        <w:rPr>
          <w:spacing w:val="-3"/>
          <w:szCs w:val="22"/>
        </w:rPr>
        <w:t>47 CFR §§ 0.31, 0.131, 0.241 and 0.331.</w:t>
      </w:r>
    </w:p>
  </w:footnote>
  <w:footnote w:id="30">
    <w:p w14:paraId="5B3ABDAF" w14:textId="77777777" w:rsidR="000F522E" w:rsidRDefault="000F522E">
      <w:pPr>
        <w:pStyle w:val="FootnoteText"/>
        <w:rPr>
          <w:szCs w:val="22"/>
        </w:rPr>
      </w:pPr>
      <w:r>
        <w:rPr>
          <w:rStyle w:val="FootnoteReference"/>
          <w:szCs w:val="22"/>
        </w:rPr>
        <w:footnoteRef/>
      </w:r>
      <w:r>
        <w:rPr>
          <w:szCs w:val="22"/>
        </w:rPr>
        <w:t xml:space="preserve"> 5 U.S.C. §§ 601, </w:t>
      </w:r>
      <w:r>
        <w:rPr>
          <w:i/>
          <w:szCs w:val="22"/>
        </w:rPr>
        <w:t>et seq</w:t>
      </w:r>
      <w:r>
        <w:rPr>
          <w:szCs w:val="22"/>
        </w:rPr>
        <w:t>.</w:t>
      </w:r>
    </w:p>
  </w:footnote>
  <w:footnote w:id="31">
    <w:p w14:paraId="778BC3D4" w14:textId="77777777" w:rsidR="000F522E" w:rsidRDefault="000F522E">
      <w:pPr>
        <w:pStyle w:val="FootnoteText"/>
        <w:rPr>
          <w:szCs w:val="22"/>
        </w:rPr>
      </w:pPr>
      <w:r>
        <w:rPr>
          <w:rStyle w:val="FootnoteReference"/>
          <w:szCs w:val="22"/>
        </w:rPr>
        <w:footnoteRef/>
      </w:r>
      <w:r>
        <w:rPr>
          <w:szCs w:val="22"/>
        </w:rPr>
        <w:t xml:space="preserve"> </w:t>
      </w:r>
      <w:r>
        <w:rPr>
          <w:i/>
          <w:szCs w:val="22"/>
        </w:rPr>
        <w:t>See</w:t>
      </w:r>
      <w:r>
        <w:rPr>
          <w:szCs w:val="22"/>
        </w:rPr>
        <w:t xml:space="preserve"> Pub. L. No. 104-13, 44 U.S.C. </w:t>
      </w:r>
      <w:r>
        <w:rPr>
          <w:rStyle w:val="documentbody"/>
          <w:szCs w:val="22"/>
        </w:rPr>
        <w:t>§</w:t>
      </w:r>
      <w:r>
        <w:rPr>
          <w:szCs w:val="22"/>
        </w:rPr>
        <w:t>§</w:t>
      </w:r>
      <w:r>
        <w:rPr>
          <w:rStyle w:val="documentbody"/>
          <w:szCs w:val="22"/>
        </w:rPr>
        <w:t xml:space="preserve"> </w:t>
      </w:r>
      <w:r>
        <w:rPr>
          <w:szCs w:val="22"/>
        </w:rPr>
        <w:t xml:space="preserve">3501, </w:t>
      </w:r>
      <w:r>
        <w:rPr>
          <w:i/>
          <w:szCs w:val="22"/>
        </w:rPr>
        <w:t>et seq</w:t>
      </w:r>
      <w:r>
        <w:rPr>
          <w:szCs w:val="22"/>
        </w:rPr>
        <w:t>.</w:t>
      </w:r>
    </w:p>
  </w:footnote>
  <w:footnote w:id="32">
    <w:p w14:paraId="47E49360" w14:textId="77777777" w:rsidR="000F522E" w:rsidRDefault="000F522E">
      <w:pPr>
        <w:pStyle w:val="FootnoteText"/>
        <w:rPr>
          <w:szCs w:val="22"/>
        </w:rPr>
      </w:pPr>
      <w:r>
        <w:rPr>
          <w:rStyle w:val="FootnoteReference"/>
          <w:szCs w:val="22"/>
        </w:rPr>
        <w:footnoteRef/>
      </w:r>
      <w:r>
        <w:rPr>
          <w:szCs w:val="22"/>
        </w:rPr>
        <w:t xml:space="preserve"> </w:t>
      </w:r>
      <w:r>
        <w:rPr>
          <w:rStyle w:val="documentbody"/>
          <w:i/>
          <w:szCs w:val="22"/>
        </w:rPr>
        <w:t>See</w:t>
      </w:r>
      <w:r>
        <w:rPr>
          <w:rStyle w:val="documentbody"/>
          <w:szCs w:val="22"/>
        </w:rPr>
        <w:t xml:space="preserve"> Pub. L. No. 107-198, 44 U.S.C. § 3506(c)(4).</w:t>
      </w:r>
    </w:p>
  </w:footnote>
  <w:footnote w:id="33">
    <w:p w14:paraId="26F6B15A" w14:textId="77777777" w:rsidR="000F522E" w:rsidRDefault="000F522E">
      <w:pPr>
        <w:pStyle w:val="FootnoteText"/>
        <w:rPr>
          <w:szCs w:val="22"/>
        </w:rPr>
      </w:pPr>
      <w:r>
        <w:rPr>
          <w:rStyle w:val="FootnoteReference"/>
          <w:szCs w:val="22"/>
        </w:rPr>
        <w:footnoteRef/>
      </w:r>
      <w:r>
        <w:rPr>
          <w:szCs w:val="22"/>
        </w:rPr>
        <w:t xml:space="preserve"> </w:t>
      </w:r>
      <w:r>
        <w:rPr>
          <w:rStyle w:val="documentbody"/>
          <w:i/>
          <w:szCs w:val="22"/>
        </w:rPr>
        <w:t>See</w:t>
      </w:r>
      <w:r>
        <w:rPr>
          <w:rStyle w:val="documentbody"/>
          <w:szCs w:val="22"/>
        </w:rPr>
        <w:t xml:space="preserve"> 5 U.S.C. § 801(a)(1)(A).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DC86B" w14:textId="77777777" w:rsidR="00B44640" w:rsidRDefault="00B44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03C5" w14:textId="26D70592" w:rsidR="000F522E" w:rsidRDefault="000F522E" w:rsidP="00956B0A">
    <w:pPr>
      <w:pStyle w:val="Header"/>
    </w:pPr>
    <w:r>
      <w:rPr>
        <w:noProof/>
      </w:rPr>
      <mc:AlternateContent>
        <mc:Choice Requires="wps">
          <w:drawing>
            <wp:anchor distT="0" distB="0" distL="114300" distR="114300" simplePos="0" relativeHeight="251662336" behindDoc="1" locked="0" layoutInCell="0" allowOverlap="1" wp14:anchorId="124B5883" wp14:editId="6F8F55D4">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704354"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17-</w:t>
    </w:r>
    <w:r w:rsidR="007D393E">
      <w:rPr>
        <w:spacing w:val="-2"/>
      </w:rPr>
      <w:t>887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8ADD3" w14:textId="3C5B70C3" w:rsidR="000F522E" w:rsidRDefault="000F522E" w:rsidP="00956B0A">
    <w:pPr>
      <w:pStyle w:val="Header"/>
    </w:pPr>
    <w:r>
      <w:rPr>
        <w:noProof/>
      </w:rPr>
      <mc:AlternateContent>
        <mc:Choice Requires="wps">
          <w:drawing>
            <wp:anchor distT="0" distB="0" distL="114300" distR="114300" simplePos="0" relativeHeight="251660288" behindDoc="1" locked="0" layoutInCell="0" allowOverlap="1" wp14:anchorId="68DCA7B7" wp14:editId="741B0180">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5E2833"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A30152">
      <w:rPr>
        <w:spacing w:val="-2"/>
      </w:rPr>
      <w:t>DA 17-887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07C7B" w14:textId="77777777" w:rsidR="000F522E" w:rsidRPr="002D543D" w:rsidRDefault="000F522E" w:rsidP="00956B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77B19" w14:textId="541A5556" w:rsidR="000F522E" w:rsidRPr="002D543D" w:rsidRDefault="000F522E" w:rsidP="00956B0A">
    <w:pPr>
      <w:pStyle w:val="Header"/>
    </w:pPr>
    <w:r>
      <w:rPr>
        <w:noProof/>
      </w:rPr>
      <mc:AlternateContent>
        <mc:Choice Requires="wps">
          <w:drawing>
            <wp:anchor distT="0" distB="0" distL="114300" distR="114300" simplePos="0" relativeHeight="251664384" behindDoc="1" locked="0" layoutInCell="0" allowOverlap="1" wp14:anchorId="4B158C87" wp14:editId="14BCE8CB">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DC7E77"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4F1931">
      <w:rPr>
        <w:spacing w:val="-2"/>
      </w:rPr>
      <w:t>DA 17-887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8660D" w14:textId="77777777" w:rsidR="000F522E" w:rsidRDefault="000F522E" w:rsidP="00956B0A">
    <w:pPr>
      <w:pStyle w:val="Header"/>
    </w:pPr>
    <w:r>
      <w:rPr>
        <w:noProof/>
      </w:rPr>
      <mc:AlternateContent>
        <mc:Choice Requires="wps">
          <w:drawing>
            <wp:anchor distT="0" distB="0" distL="114300" distR="114300" simplePos="0" relativeHeight="251658240" behindDoc="1" locked="0" layoutInCell="0" allowOverlap="1" wp14:anchorId="2E3B6DBE" wp14:editId="38EDDC2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3CBFA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17-xxx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7C107D"/>
    <w:multiLevelType w:val="hybridMultilevel"/>
    <w:tmpl w:val="B422272C"/>
    <w:lvl w:ilvl="0" w:tplc="46E2AC8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5C8149F"/>
    <w:multiLevelType w:val="hybridMultilevel"/>
    <w:tmpl w:val="88C8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5B1B29"/>
    <w:multiLevelType w:val="hybridMultilevel"/>
    <w:tmpl w:val="7688B8DE"/>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25529B8"/>
    <w:multiLevelType w:val="hybridMultilevel"/>
    <w:tmpl w:val="37D4383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3CB2EF2A"/>
    <w:lvl w:ilvl="0">
      <w:start w:val="1"/>
      <w:numFmt w:val="decimal"/>
      <w:pStyle w:val="ParaNum"/>
      <w:lvlText w:val="%1."/>
      <w:lvlJc w:val="left"/>
      <w:pPr>
        <w:tabs>
          <w:tab w:val="num" w:pos="1080"/>
        </w:tabs>
        <w:ind w:left="0" w:firstLine="720"/>
      </w:pPr>
      <w:rPr>
        <w:rFonts w:hint="default"/>
      </w:rPr>
    </w:lvl>
  </w:abstractNum>
  <w:abstractNum w:abstractNumId="11">
    <w:nsid w:val="6BE27A1A"/>
    <w:multiLevelType w:val="hybridMultilevel"/>
    <w:tmpl w:val="8B8A9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F645C"/>
    <w:multiLevelType w:val="hybridMultilevel"/>
    <w:tmpl w:val="7C94A396"/>
    <w:lvl w:ilvl="0" w:tplc="46E2AC88">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33A45C9"/>
    <w:multiLevelType w:val="hybridMultilevel"/>
    <w:tmpl w:val="37D4383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E6075AD"/>
    <w:multiLevelType w:val="hybridMultilevel"/>
    <w:tmpl w:val="476683F6"/>
    <w:lvl w:ilvl="0" w:tplc="46E2AC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3"/>
  </w:num>
  <w:num w:numId="6">
    <w:abstractNumId w:val="0"/>
  </w:num>
  <w:num w:numId="7">
    <w:abstractNumId w:val="6"/>
  </w:num>
  <w:num w:numId="8">
    <w:abstractNumId w:val="11"/>
  </w:num>
  <w:num w:numId="9">
    <w:abstractNumId w:val="1"/>
  </w:num>
  <w:num w:numId="10">
    <w:abstractNumId w:val="14"/>
  </w:num>
  <w:num w:numId="11">
    <w:abstractNumId w:val="12"/>
  </w:num>
  <w:num w:numId="12">
    <w:abstractNumId w:val="13"/>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10"/>
    <w:lvlOverride w:ilvl="0">
      <w:startOverride w:val="3"/>
    </w:lvlOverride>
  </w:num>
  <w:num w:numId="17">
    <w:abstractNumId w:val="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E3"/>
    <w:rsid w:val="000076CD"/>
    <w:rsid w:val="00011B57"/>
    <w:rsid w:val="00017CBF"/>
    <w:rsid w:val="0002112E"/>
    <w:rsid w:val="0002558C"/>
    <w:rsid w:val="0002769C"/>
    <w:rsid w:val="00030685"/>
    <w:rsid w:val="000338AC"/>
    <w:rsid w:val="00036039"/>
    <w:rsid w:val="00037F90"/>
    <w:rsid w:val="000422BD"/>
    <w:rsid w:val="000471CE"/>
    <w:rsid w:val="000547F1"/>
    <w:rsid w:val="00054907"/>
    <w:rsid w:val="00055DF5"/>
    <w:rsid w:val="00057B24"/>
    <w:rsid w:val="00061E4C"/>
    <w:rsid w:val="0006506F"/>
    <w:rsid w:val="000744C9"/>
    <w:rsid w:val="00077008"/>
    <w:rsid w:val="00086A2B"/>
    <w:rsid w:val="0008723C"/>
    <w:rsid w:val="000875BF"/>
    <w:rsid w:val="00091D93"/>
    <w:rsid w:val="00096D8C"/>
    <w:rsid w:val="00097074"/>
    <w:rsid w:val="00097FCD"/>
    <w:rsid w:val="000B2369"/>
    <w:rsid w:val="000B2644"/>
    <w:rsid w:val="000C0B65"/>
    <w:rsid w:val="000C2334"/>
    <w:rsid w:val="000C35C3"/>
    <w:rsid w:val="000D389B"/>
    <w:rsid w:val="000D3D39"/>
    <w:rsid w:val="000D7DED"/>
    <w:rsid w:val="000E05FE"/>
    <w:rsid w:val="000E07FE"/>
    <w:rsid w:val="000E36E6"/>
    <w:rsid w:val="000E3D42"/>
    <w:rsid w:val="000E709A"/>
    <w:rsid w:val="000E74C0"/>
    <w:rsid w:val="000F2904"/>
    <w:rsid w:val="000F2D56"/>
    <w:rsid w:val="000F522E"/>
    <w:rsid w:val="00103746"/>
    <w:rsid w:val="0010525F"/>
    <w:rsid w:val="001111FC"/>
    <w:rsid w:val="0011217F"/>
    <w:rsid w:val="00115683"/>
    <w:rsid w:val="00117CAA"/>
    <w:rsid w:val="00120583"/>
    <w:rsid w:val="00122BD5"/>
    <w:rsid w:val="00125B64"/>
    <w:rsid w:val="00133F79"/>
    <w:rsid w:val="0014316C"/>
    <w:rsid w:val="00150417"/>
    <w:rsid w:val="00151B70"/>
    <w:rsid w:val="001559E5"/>
    <w:rsid w:val="00155CD1"/>
    <w:rsid w:val="00155D4E"/>
    <w:rsid w:val="00157C77"/>
    <w:rsid w:val="001615BA"/>
    <w:rsid w:val="00161EE7"/>
    <w:rsid w:val="00162622"/>
    <w:rsid w:val="00167B66"/>
    <w:rsid w:val="00171F7E"/>
    <w:rsid w:val="001757C3"/>
    <w:rsid w:val="00181020"/>
    <w:rsid w:val="00182E1A"/>
    <w:rsid w:val="00184197"/>
    <w:rsid w:val="00184438"/>
    <w:rsid w:val="001862AC"/>
    <w:rsid w:val="00187CAE"/>
    <w:rsid w:val="0019131D"/>
    <w:rsid w:val="00193135"/>
    <w:rsid w:val="00193FBC"/>
    <w:rsid w:val="00194A66"/>
    <w:rsid w:val="00197073"/>
    <w:rsid w:val="001A259A"/>
    <w:rsid w:val="001A3529"/>
    <w:rsid w:val="001A3DBA"/>
    <w:rsid w:val="001A5BBC"/>
    <w:rsid w:val="001B1E16"/>
    <w:rsid w:val="001B59CC"/>
    <w:rsid w:val="001B6F1F"/>
    <w:rsid w:val="001C1A9B"/>
    <w:rsid w:val="001C3678"/>
    <w:rsid w:val="001D004F"/>
    <w:rsid w:val="001D0B76"/>
    <w:rsid w:val="001D49F6"/>
    <w:rsid w:val="001D6BCF"/>
    <w:rsid w:val="001D6E4B"/>
    <w:rsid w:val="001E01CA"/>
    <w:rsid w:val="001E348E"/>
    <w:rsid w:val="001E6E49"/>
    <w:rsid w:val="001F6D1B"/>
    <w:rsid w:val="00203F23"/>
    <w:rsid w:val="00205D8A"/>
    <w:rsid w:val="002071B7"/>
    <w:rsid w:val="00211A08"/>
    <w:rsid w:val="002203E7"/>
    <w:rsid w:val="002408E3"/>
    <w:rsid w:val="0024671F"/>
    <w:rsid w:val="00250722"/>
    <w:rsid w:val="00250957"/>
    <w:rsid w:val="002531E8"/>
    <w:rsid w:val="00253DD4"/>
    <w:rsid w:val="0025488E"/>
    <w:rsid w:val="00255565"/>
    <w:rsid w:val="00260D7B"/>
    <w:rsid w:val="00261839"/>
    <w:rsid w:val="00263CEF"/>
    <w:rsid w:val="002657A7"/>
    <w:rsid w:val="002700C3"/>
    <w:rsid w:val="0027026B"/>
    <w:rsid w:val="002713E5"/>
    <w:rsid w:val="00273519"/>
    <w:rsid w:val="00275CF5"/>
    <w:rsid w:val="00282857"/>
    <w:rsid w:val="00282DA9"/>
    <w:rsid w:val="0028301F"/>
    <w:rsid w:val="0028309F"/>
    <w:rsid w:val="00283726"/>
    <w:rsid w:val="0028417C"/>
    <w:rsid w:val="002845EA"/>
    <w:rsid w:val="00285017"/>
    <w:rsid w:val="00294376"/>
    <w:rsid w:val="002A0FAF"/>
    <w:rsid w:val="002A2D2E"/>
    <w:rsid w:val="002A2E70"/>
    <w:rsid w:val="002A4F12"/>
    <w:rsid w:val="002A622C"/>
    <w:rsid w:val="002A658C"/>
    <w:rsid w:val="002A7F15"/>
    <w:rsid w:val="002C00E8"/>
    <w:rsid w:val="002C0E12"/>
    <w:rsid w:val="002C5BEC"/>
    <w:rsid w:val="002D1401"/>
    <w:rsid w:val="002D2761"/>
    <w:rsid w:val="002D48D4"/>
    <w:rsid w:val="002D543D"/>
    <w:rsid w:val="002D5AA2"/>
    <w:rsid w:val="002E047F"/>
    <w:rsid w:val="002E075A"/>
    <w:rsid w:val="002E10F5"/>
    <w:rsid w:val="002E1664"/>
    <w:rsid w:val="002E588C"/>
    <w:rsid w:val="002F0908"/>
    <w:rsid w:val="002F45FF"/>
    <w:rsid w:val="002F592E"/>
    <w:rsid w:val="00304204"/>
    <w:rsid w:val="0030467B"/>
    <w:rsid w:val="00305E7B"/>
    <w:rsid w:val="00306E5D"/>
    <w:rsid w:val="00310668"/>
    <w:rsid w:val="003175B0"/>
    <w:rsid w:val="0032055B"/>
    <w:rsid w:val="00321936"/>
    <w:rsid w:val="00321CB8"/>
    <w:rsid w:val="00325FC3"/>
    <w:rsid w:val="00331EAE"/>
    <w:rsid w:val="003367F4"/>
    <w:rsid w:val="00336D42"/>
    <w:rsid w:val="00342181"/>
    <w:rsid w:val="00343749"/>
    <w:rsid w:val="0034577B"/>
    <w:rsid w:val="003477FC"/>
    <w:rsid w:val="00351D50"/>
    <w:rsid w:val="0035289C"/>
    <w:rsid w:val="00360CD9"/>
    <w:rsid w:val="00362FD6"/>
    <w:rsid w:val="003646ED"/>
    <w:rsid w:val="003649F1"/>
    <w:rsid w:val="003660ED"/>
    <w:rsid w:val="00370257"/>
    <w:rsid w:val="00373427"/>
    <w:rsid w:val="0037549A"/>
    <w:rsid w:val="003776E9"/>
    <w:rsid w:val="00377E18"/>
    <w:rsid w:val="003822D6"/>
    <w:rsid w:val="00382928"/>
    <w:rsid w:val="003900B3"/>
    <w:rsid w:val="003901E4"/>
    <w:rsid w:val="003B0550"/>
    <w:rsid w:val="003B4129"/>
    <w:rsid w:val="003B5BEC"/>
    <w:rsid w:val="003B694F"/>
    <w:rsid w:val="003B7B63"/>
    <w:rsid w:val="003C3301"/>
    <w:rsid w:val="003C506C"/>
    <w:rsid w:val="003D1446"/>
    <w:rsid w:val="003D2433"/>
    <w:rsid w:val="003D6AB4"/>
    <w:rsid w:val="003D7DC3"/>
    <w:rsid w:val="003E00E1"/>
    <w:rsid w:val="003E1A7F"/>
    <w:rsid w:val="003E595C"/>
    <w:rsid w:val="003E69A8"/>
    <w:rsid w:val="003F0040"/>
    <w:rsid w:val="003F171C"/>
    <w:rsid w:val="003F635A"/>
    <w:rsid w:val="00402482"/>
    <w:rsid w:val="00405598"/>
    <w:rsid w:val="00407CD9"/>
    <w:rsid w:val="00410267"/>
    <w:rsid w:val="00410349"/>
    <w:rsid w:val="00410C89"/>
    <w:rsid w:val="00412FC5"/>
    <w:rsid w:val="004142E3"/>
    <w:rsid w:val="00415254"/>
    <w:rsid w:val="00415B97"/>
    <w:rsid w:val="00415E9B"/>
    <w:rsid w:val="00416BEC"/>
    <w:rsid w:val="004202F4"/>
    <w:rsid w:val="00421AD2"/>
    <w:rsid w:val="00422276"/>
    <w:rsid w:val="00422B14"/>
    <w:rsid w:val="004242F1"/>
    <w:rsid w:val="004456BA"/>
    <w:rsid w:val="00445755"/>
    <w:rsid w:val="00445A00"/>
    <w:rsid w:val="00451B0F"/>
    <w:rsid w:val="004556B8"/>
    <w:rsid w:val="00457D23"/>
    <w:rsid w:val="00461CBC"/>
    <w:rsid w:val="00462DA2"/>
    <w:rsid w:val="00467337"/>
    <w:rsid w:val="00471822"/>
    <w:rsid w:val="00473E4E"/>
    <w:rsid w:val="00476CBA"/>
    <w:rsid w:val="00482E39"/>
    <w:rsid w:val="00487854"/>
    <w:rsid w:val="00491301"/>
    <w:rsid w:val="00492825"/>
    <w:rsid w:val="0049474F"/>
    <w:rsid w:val="004A31BB"/>
    <w:rsid w:val="004A3EDA"/>
    <w:rsid w:val="004A5197"/>
    <w:rsid w:val="004A5E50"/>
    <w:rsid w:val="004A702E"/>
    <w:rsid w:val="004B15A9"/>
    <w:rsid w:val="004B1C23"/>
    <w:rsid w:val="004B38FE"/>
    <w:rsid w:val="004B3CF1"/>
    <w:rsid w:val="004B46DB"/>
    <w:rsid w:val="004C2EE3"/>
    <w:rsid w:val="004D39C0"/>
    <w:rsid w:val="004E0910"/>
    <w:rsid w:val="004E2058"/>
    <w:rsid w:val="004E2EC2"/>
    <w:rsid w:val="004E4A22"/>
    <w:rsid w:val="004E7EBE"/>
    <w:rsid w:val="004F1931"/>
    <w:rsid w:val="004F221A"/>
    <w:rsid w:val="004F22BE"/>
    <w:rsid w:val="004F3828"/>
    <w:rsid w:val="004F5905"/>
    <w:rsid w:val="00510031"/>
    <w:rsid w:val="00511968"/>
    <w:rsid w:val="005156E9"/>
    <w:rsid w:val="005206AE"/>
    <w:rsid w:val="00525F70"/>
    <w:rsid w:val="005263B4"/>
    <w:rsid w:val="00534DB2"/>
    <w:rsid w:val="00541F9D"/>
    <w:rsid w:val="00546C67"/>
    <w:rsid w:val="00551EB1"/>
    <w:rsid w:val="005524EB"/>
    <w:rsid w:val="0055614C"/>
    <w:rsid w:val="00556E47"/>
    <w:rsid w:val="00556FFB"/>
    <w:rsid w:val="0055712F"/>
    <w:rsid w:val="005622B9"/>
    <w:rsid w:val="00562743"/>
    <w:rsid w:val="0056656E"/>
    <w:rsid w:val="00566C38"/>
    <w:rsid w:val="00577DAB"/>
    <w:rsid w:val="00585CE7"/>
    <w:rsid w:val="0058676C"/>
    <w:rsid w:val="00587799"/>
    <w:rsid w:val="00587F89"/>
    <w:rsid w:val="00590EF0"/>
    <w:rsid w:val="005914A4"/>
    <w:rsid w:val="00592657"/>
    <w:rsid w:val="00592AA8"/>
    <w:rsid w:val="0059341E"/>
    <w:rsid w:val="00597C68"/>
    <w:rsid w:val="00597CAB"/>
    <w:rsid w:val="005A4814"/>
    <w:rsid w:val="005A5FAE"/>
    <w:rsid w:val="005A616B"/>
    <w:rsid w:val="005B14F2"/>
    <w:rsid w:val="005B2B73"/>
    <w:rsid w:val="005B459F"/>
    <w:rsid w:val="005B60B3"/>
    <w:rsid w:val="005C4B3B"/>
    <w:rsid w:val="005C4EF8"/>
    <w:rsid w:val="005C79EC"/>
    <w:rsid w:val="005D4E08"/>
    <w:rsid w:val="005D73B3"/>
    <w:rsid w:val="005E14C2"/>
    <w:rsid w:val="005E1F44"/>
    <w:rsid w:val="005E2224"/>
    <w:rsid w:val="005F07D1"/>
    <w:rsid w:val="005F1E0F"/>
    <w:rsid w:val="005F417B"/>
    <w:rsid w:val="005F6B4D"/>
    <w:rsid w:val="00602DF3"/>
    <w:rsid w:val="00603C5F"/>
    <w:rsid w:val="006064C9"/>
    <w:rsid w:val="00607686"/>
    <w:rsid w:val="00607BA5"/>
    <w:rsid w:val="00610E49"/>
    <w:rsid w:val="0061180A"/>
    <w:rsid w:val="00612167"/>
    <w:rsid w:val="006121D0"/>
    <w:rsid w:val="00620E97"/>
    <w:rsid w:val="00620F79"/>
    <w:rsid w:val="00621F72"/>
    <w:rsid w:val="00623DC1"/>
    <w:rsid w:val="00626EB6"/>
    <w:rsid w:val="00627807"/>
    <w:rsid w:val="00630B13"/>
    <w:rsid w:val="00630D9D"/>
    <w:rsid w:val="006338C5"/>
    <w:rsid w:val="006347FC"/>
    <w:rsid w:val="00636129"/>
    <w:rsid w:val="00636939"/>
    <w:rsid w:val="00643F57"/>
    <w:rsid w:val="00647D5A"/>
    <w:rsid w:val="0065356A"/>
    <w:rsid w:val="00655D03"/>
    <w:rsid w:val="006614DE"/>
    <w:rsid w:val="006676A4"/>
    <w:rsid w:val="006701D7"/>
    <w:rsid w:val="00670928"/>
    <w:rsid w:val="00670B0F"/>
    <w:rsid w:val="00670EE1"/>
    <w:rsid w:val="00671120"/>
    <w:rsid w:val="00674386"/>
    <w:rsid w:val="00674DCB"/>
    <w:rsid w:val="0067644A"/>
    <w:rsid w:val="00680C2B"/>
    <w:rsid w:val="00683388"/>
    <w:rsid w:val="00683F84"/>
    <w:rsid w:val="006859A4"/>
    <w:rsid w:val="006943C0"/>
    <w:rsid w:val="00694D74"/>
    <w:rsid w:val="006A216E"/>
    <w:rsid w:val="006A6A81"/>
    <w:rsid w:val="006B05C8"/>
    <w:rsid w:val="006B05EF"/>
    <w:rsid w:val="006B0D99"/>
    <w:rsid w:val="006B6A1E"/>
    <w:rsid w:val="006B6D84"/>
    <w:rsid w:val="006B7C35"/>
    <w:rsid w:val="006C0585"/>
    <w:rsid w:val="006C0BB8"/>
    <w:rsid w:val="006C319E"/>
    <w:rsid w:val="006C3E4B"/>
    <w:rsid w:val="006C6CB8"/>
    <w:rsid w:val="006D1A13"/>
    <w:rsid w:val="006D253D"/>
    <w:rsid w:val="006D27AC"/>
    <w:rsid w:val="006D4C32"/>
    <w:rsid w:val="006E7C9A"/>
    <w:rsid w:val="006F7393"/>
    <w:rsid w:val="006F7B52"/>
    <w:rsid w:val="00701CAD"/>
    <w:rsid w:val="0070224F"/>
    <w:rsid w:val="00703254"/>
    <w:rsid w:val="0070383E"/>
    <w:rsid w:val="007049C2"/>
    <w:rsid w:val="00704FBA"/>
    <w:rsid w:val="00710BC5"/>
    <w:rsid w:val="007115F7"/>
    <w:rsid w:val="007119C7"/>
    <w:rsid w:val="00721864"/>
    <w:rsid w:val="00730466"/>
    <w:rsid w:val="007306EE"/>
    <w:rsid w:val="00742CB5"/>
    <w:rsid w:val="00743DF7"/>
    <w:rsid w:val="00744FD1"/>
    <w:rsid w:val="0074553E"/>
    <w:rsid w:val="00746235"/>
    <w:rsid w:val="007478A2"/>
    <w:rsid w:val="0075399C"/>
    <w:rsid w:val="00763149"/>
    <w:rsid w:val="00772A08"/>
    <w:rsid w:val="00773A05"/>
    <w:rsid w:val="007761EF"/>
    <w:rsid w:val="00782A68"/>
    <w:rsid w:val="007843C7"/>
    <w:rsid w:val="00785689"/>
    <w:rsid w:val="00795887"/>
    <w:rsid w:val="0079754B"/>
    <w:rsid w:val="007A1E6D"/>
    <w:rsid w:val="007A3D3E"/>
    <w:rsid w:val="007A3F88"/>
    <w:rsid w:val="007B0EB2"/>
    <w:rsid w:val="007B2E8B"/>
    <w:rsid w:val="007B3375"/>
    <w:rsid w:val="007B3BA6"/>
    <w:rsid w:val="007B5C88"/>
    <w:rsid w:val="007D0A65"/>
    <w:rsid w:val="007D17A3"/>
    <w:rsid w:val="007D2F5F"/>
    <w:rsid w:val="007D393E"/>
    <w:rsid w:val="007D45D7"/>
    <w:rsid w:val="007E2097"/>
    <w:rsid w:val="007F6D94"/>
    <w:rsid w:val="008050E2"/>
    <w:rsid w:val="0080510E"/>
    <w:rsid w:val="00805BD7"/>
    <w:rsid w:val="008066D6"/>
    <w:rsid w:val="008073ED"/>
    <w:rsid w:val="00810B6F"/>
    <w:rsid w:val="00820293"/>
    <w:rsid w:val="00822CE0"/>
    <w:rsid w:val="00826F74"/>
    <w:rsid w:val="00832255"/>
    <w:rsid w:val="008330B2"/>
    <w:rsid w:val="00841672"/>
    <w:rsid w:val="00841AB1"/>
    <w:rsid w:val="00843880"/>
    <w:rsid w:val="008446C0"/>
    <w:rsid w:val="00845067"/>
    <w:rsid w:val="00846643"/>
    <w:rsid w:val="00850225"/>
    <w:rsid w:val="00851110"/>
    <w:rsid w:val="0085553D"/>
    <w:rsid w:val="00857891"/>
    <w:rsid w:val="008617D9"/>
    <w:rsid w:val="008670BB"/>
    <w:rsid w:val="0086776B"/>
    <w:rsid w:val="0087733F"/>
    <w:rsid w:val="00880846"/>
    <w:rsid w:val="00881419"/>
    <w:rsid w:val="008923EE"/>
    <w:rsid w:val="008975FF"/>
    <w:rsid w:val="008A1FE1"/>
    <w:rsid w:val="008B1B76"/>
    <w:rsid w:val="008B273F"/>
    <w:rsid w:val="008B2F7A"/>
    <w:rsid w:val="008C0B47"/>
    <w:rsid w:val="008C1A6E"/>
    <w:rsid w:val="008C5B6B"/>
    <w:rsid w:val="008C68F1"/>
    <w:rsid w:val="008C6A61"/>
    <w:rsid w:val="008D1440"/>
    <w:rsid w:val="008D7B50"/>
    <w:rsid w:val="008E3273"/>
    <w:rsid w:val="008E7E94"/>
    <w:rsid w:val="008F2FAB"/>
    <w:rsid w:val="008F35ED"/>
    <w:rsid w:val="008F5503"/>
    <w:rsid w:val="008F5A47"/>
    <w:rsid w:val="00900258"/>
    <w:rsid w:val="00901062"/>
    <w:rsid w:val="00904BBB"/>
    <w:rsid w:val="00907D19"/>
    <w:rsid w:val="009104FD"/>
    <w:rsid w:val="009105C4"/>
    <w:rsid w:val="009151F7"/>
    <w:rsid w:val="00921448"/>
    <w:rsid w:val="00921803"/>
    <w:rsid w:val="0092182F"/>
    <w:rsid w:val="009229F6"/>
    <w:rsid w:val="00925FC5"/>
    <w:rsid w:val="00926503"/>
    <w:rsid w:val="00927D99"/>
    <w:rsid w:val="009325B5"/>
    <w:rsid w:val="00943E0E"/>
    <w:rsid w:val="00953092"/>
    <w:rsid w:val="00954D93"/>
    <w:rsid w:val="00956B0A"/>
    <w:rsid w:val="00957B4F"/>
    <w:rsid w:val="009631D5"/>
    <w:rsid w:val="00964E1F"/>
    <w:rsid w:val="00967349"/>
    <w:rsid w:val="00967EAD"/>
    <w:rsid w:val="00971B24"/>
    <w:rsid w:val="009726D8"/>
    <w:rsid w:val="009728B1"/>
    <w:rsid w:val="00973680"/>
    <w:rsid w:val="0097549D"/>
    <w:rsid w:val="00977685"/>
    <w:rsid w:val="009778A1"/>
    <w:rsid w:val="009915E7"/>
    <w:rsid w:val="00991C49"/>
    <w:rsid w:val="0099561C"/>
    <w:rsid w:val="00997CC7"/>
    <w:rsid w:val="00997E2B"/>
    <w:rsid w:val="009A534B"/>
    <w:rsid w:val="009A54C2"/>
    <w:rsid w:val="009A6DF2"/>
    <w:rsid w:val="009B061D"/>
    <w:rsid w:val="009B1C8A"/>
    <w:rsid w:val="009B4428"/>
    <w:rsid w:val="009C3882"/>
    <w:rsid w:val="009C3DCC"/>
    <w:rsid w:val="009E146E"/>
    <w:rsid w:val="009E50E0"/>
    <w:rsid w:val="009F0851"/>
    <w:rsid w:val="009F678B"/>
    <w:rsid w:val="009F7648"/>
    <w:rsid w:val="009F76DB"/>
    <w:rsid w:val="00A005CA"/>
    <w:rsid w:val="00A011AD"/>
    <w:rsid w:val="00A06711"/>
    <w:rsid w:val="00A067A7"/>
    <w:rsid w:val="00A10E34"/>
    <w:rsid w:val="00A114E8"/>
    <w:rsid w:val="00A122FD"/>
    <w:rsid w:val="00A23791"/>
    <w:rsid w:val="00A268A6"/>
    <w:rsid w:val="00A30152"/>
    <w:rsid w:val="00A32C3B"/>
    <w:rsid w:val="00A3652E"/>
    <w:rsid w:val="00A41CDC"/>
    <w:rsid w:val="00A45F4F"/>
    <w:rsid w:val="00A600A9"/>
    <w:rsid w:val="00A62619"/>
    <w:rsid w:val="00A65EA1"/>
    <w:rsid w:val="00A7315E"/>
    <w:rsid w:val="00A74304"/>
    <w:rsid w:val="00A83E1F"/>
    <w:rsid w:val="00A846E3"/>
    <w:rsid w:val="00A84DA4"/>
    <w:rsid w:val="00A951F9"/>
    <w:rsid w:val="00A95890"/>
    <w:rsid w:val="00AA006F"/>
    <w:rsid w:val="00AA55B7"/>
    <w:rsid w:val="00AA5B9E"/>
    <w:rsid w:val="00AB125F"/>
    <w:rsid w:val="00AB2407"/>
    <w:rsid w:val="00AB3DDA"/>
    <w:rsid w:val="00AB53DF"/>
    <w:rsid w:val="00AC0D56"/>
    <w:rsid w:val="00AC3633"/>
    <w:rsid w:val="00AC7AAA"/>
    <w:rsid w:val="00AD5200"/>
    <w:rsid w:val="00AD6D58"/>
    <w:rsid w:val="00AE36A3"/>
    <w:rsid w:val="00AE602D"/>
    <w:rsid w:val="00B04857"/>
    <w:rsid w:val="00B07E5C"/>
    <w:rsid w:val="00B11DF7"/>
    <w:rsid w:val="00B13B3D"/>
    <w:rsid w:val="00B15070"/>
    <w:rsid w:val="00B24F85"/>
    <w:rsid w:val="00B278D4"/>
    <w:rsid w:val="00B32438"/>
    <w:rsid w:val="00B324C7"/>
    <w:rsid w:val="00B36276"/>
    <w:rsid w:val="00B41BCB"/>
    <w:rsid w:val="00B44640"/>
    <w:rsid w:val="00B450AE"/>
    <w:rsid w:val="00B51167"/>
    <w:rsid w:val="00B51912"/>
    <w:rsid w:val="00B556E7"/>
    <w:rsid w:val="00B56E0C"/>
    <w:rsid w:val="00B579B8"/>
    <w:rsid w:val="00B75FA4"/>
    <w:rsid w:val="00B771B5"/>
    <w:rsid w:val="00B811F7"/>
    <w:rsid w:val="00B869CF"/>
    <w:rsid w:val="00B9243E"/>
    <w:rsid w:val="00BA1439"/>
    <w:rsid w:val="00BA27DE"/>
    <w:rsid w:val="00BA3D60"/>
    <w:rsid w:val="00BA4458"/>
    <w:rsid w:val="00BA5DC6"/>
    <w:rsid w:val="00BA6196"/>
    <w:rsid w:val="00BB4DBD"/>
    <w:rsid w:val="00BC6D8C"/>
    <w:rsid w:val="00BC6FE0"/>
    <w:rsid w:val="00BD3DE2"/>
    <w:rsid w:val="00BD44AD"/>
    <w:rsid w:val="00BD4A51"/>
    <w:rsid w:val="00BD6525"/>
    <w:rsid w:val="00BE1524"/>
    <w:rsid w:val="00BE3A63"/>
    <w:rsid w:val="00BE4753"/>
    <w:rsid w:val="00BE707D"/>
    <w:rsid w:val="00BF0F21"/>
    <w:rsid w:val="00C00C39"/>
    <w:rsid w:val="00C01FDF"/>
    <w:rsid w:val="00C03055"/>
    <w:rsid w:val="00C05B69"/>
    <w:rsid w:val="00C07109"/>
    <w:rsid w:val="00C076C8"/>
    <w:rsid w:val="00C1173D"/>
    <w:rsid w:val="00C121F5"/>
    <w:rsid w:val="00C170D0"/>
    <w:rsid w:val="00C239F3"/>
    <w:rsid w:val="00C23BB1"/>
    <w:rsid w:val="00C255CC"/>
    <w:rsid w:val="00C26D3D"/>
    <w:rsid w:val="00C26D7C"/>
    <w:rsid w:val="00C32591"/>
    <w:rsid w:val="00C34006"/>
    <w:rsid w:val="00C349A2"/>
    <w:rsid w:val="00C4117F"/>
    <w:rsid w:val="00C426B1"/>
    <w:rsid w:val="00C42A64"/>
    <w:rsid w:val="00C4382F"/>
    <w:rsid w:val="00C444F5"/>
    <w:rsid w:val="00C46087"/>
    <w:rsid w:val="00C500DF"/>
    <w:rsid w:val="00C531F4"/>
    <w:rsid w:val="00C54335"/>
    <w:rsid w:val="00C57F30"/>
    <w:rsid w:val="00C6101F"/>
    <w:rsid w:val="00C613D5"/>
    <w:rsid w:val="00C62A0C"/>
    <w:rsid w:val="00C64C40"/>
    <w:rsid w:val="00C65329"/>
    <w:rsid w:val="00C66160"/>
    <w:rsid w:val="00C721AC"/>
    <w:rsid w:val="00C859EF"/>
    <w:rsid w:val="00C90D6A"/>
    <w:rsid w:val="00C91319"/>
    <w:rsid w:val="00C97150"/>
    <w:rsid w:val="00CA2121"/>
    <w:rsid w:val="00CA247E"/>
    <w:rsid w:val="00CA4CF2"/>
    <w:rsid w:val="00CB4321"/>
    <w:rsid w:val="00CB4CCE"/>
    <w:rsid w:val="00CB65F1"/>
    <w:rsid w:val="00CB6625"/>
    <w:rsid w:val="00CB75C6"/>
    <w:rsid w:val="00CC16D6"/>
    <w:rsid w:val="00CC2779"/>
    <w:rsid w:val="00CC72B6"/>
    <w:rsid w:val="00CD2E05"/>
    <w:rsid w:val="00CD3C2D"/>
    <w:rsid w:val="00CE01A9"/>
    <w:rsid w:val="00CE0416"/>
    <w:rsid w:val="00CE2973"/>
    <w:rsid w:val="00CE4CA1"/>
    <w:rsid w:val="00CF08A1"/>
    <w:rsid w:val="00CF657D"/>
    <w:rsid w:val="00CF7B6A"/>
    <w:rsid w:val="00D0218D"/>
    <w:rsid w:val="00D25FB5"/>
    <w:rsid w:val="00D30CBC"/>
    <w:rsid w:val="00D31102"/>
    <w:rsid w:val="00D37ACF"/>
    <w:rsid w:val="00D427CA"/>
    <w:rsid w:val="00D432EE"/>
    <w:rsid w:val="00D44223"/>
    <w:rsid w:val="00D470D9"/>
    <w:rsid w:val="00D47672"/>
    <w:rsid w:val="00D53C07"/>
    <w:rsid w:val="00D54EAA"/>
    <w:rsid w:val="00D61FBB"/>
    <w:rsid w:val="00D62637"/>
    <w:rsid w:val="00D64282"/>
    <w:rsid w:val="00D668DF"/>
    <w:rsid w:val="00D675B6"/>
    <w:rsid w:val="00D75402"/>
    <w:rsid w:val="00D7550D"/>
    <w:rsid w:val="00D76885"/>
    <w:rsid w:val="00D81700"/>
    <w:rsid w:val="00D82CF3"/>
    <w:rsid w:val="00D8374E"/>
    <w:rsid w:val="00D87110"/>
    <w:rsid w:val="00D93063"/>
    <w:rsid w:val="00D9405A"/>
    <w:rsid w:val="00D943A7"/>
    <w:rsid w:val="00D96706"/>
    <w:rsid w:val="00DA1257"/>
    <w:rsid w:val="00DA2529"/>
    <w:rsid w:val="00DA2D9C"/>
    <w:rsid w:val="00DA5893"/>
    <w:rsid w:val="00DA6598"/>
    <w:rsid w:val="00DA693D"/>
    <w:rsid w:val="00DB130A"/>
    <w:rsid w:val="00DB2E83"/>
    <w:rsid w:val="00DB2EBB"/>
    <w:rsid w:val="00DB6D13"/>
    <w:rsid w:val="00DC10A1"/>
    <w:rsid w:val="00DC29F9"/>
    <w:rsid w:val="00DC655F"/>
    <w:rsid w:val="00DC68A3"/>
    <w:rsid w:val="00DD0B59"/>
    <w:rsid w:val="00DD167D"/>
    <w:rsid w:val="00DD2A37"/>
    <w:rsid w:val="00DD7EBD"/>
    <w:rsid w:val="00DE115F"/>
    <w:rsid w:val="00DE11DF"/>
    <w:rsid w:val="00DE1E92"/>
    <w:rsid w:val="00DE3EA6"/>
    <w:rsid w:val="00DE48BE"/>
    <w:rsid w:val="00DE4E48"/>
    <w:rsid w:val="00DE7B2E"/>
    <w:rsid w:val="00DF12EC"/>
    <w:rsid w:val="00DF5728"/>
    <w:rsid w:val="00DF62B6"/>
    <w:rsid w:val="00E0407F"/>
    <w:rsid w:val="00E07225"/>
    <w:rsid w:val="00E104ED"/>
    <w:rsid w:val="00E106C1"/>
    <w:rsid w:val="00E1370A"/>
    <w:rsid w:val="00E2152D"/>
    <w:rsid w:val="00E367D6"/>
    <w:rsid w:val="00E45D1B"/>
    <w:rsid w:val="00E47E23"/>
    <w:rsid w:val="00E50172"/>
    <w:rsid w:val="00E5133A"/>
    <w:rsid w:val="00E5409F"/>
    <w:rsid w:val="00E57E7D"/>
    <w:rsid w:val="00E6355C"/>
    <w:rsid w:val="00E65236"/>
    <w:rsid w:val="00E662A4"/>
    <w:rsid w:val="00E77BEB"/>
    <w:rsid w:val="00E816D1"/>
    <w:rsid w:val="00E93D8B"/>
    <w:rsid w:val="00E966C8"/>
    <w:rsid w:val="00E96D8F"/>
    <w:rsid w:val="00EA3FE2"/>
    <w:rsid w:val="00EB099B"/>
    <w:rsid w:val="00EB0FA7"/>
    <w:rsid w:val="00EB23F7"/>
    <w:rsid w:val="00EB4421"/>
    <w:rsid w:val="00EB4EEC"/>
    <w:rsid w:val="00EB556B"/>
    <w:rsid w:val="00EB6B49"/>
    <w:rsid w:val="00EC23B8"/>
    <w:rsid w:val="00EC256B"/>
    <w:rsid w:val="00EC475F"/>
    <w:rsid w:val="00EC592C"/>
    <w:rsid w:val="00ED3ABC"/>
    <w:rsid w:val="00EE0129"/>
    <w:rsid w:val="00EE191C"/>
    <w:rsid w:val="00EE213E"/>
    <w:rsid w:val="00EE3306"/>
    <w:rsid w:val="00EE3409"/>
    <w:rsid w:val="00EE3867"/>
    <w:rsid w:val="00EE6302"/>
    <w:rsid w:val="00EE6488"/>
    <w:rsid w:val="00EE7E58"/>
    <w:rsid w:val="00EF30FF"/>
    <w:rsid w:val="00EF4053"/>
    <w:rsid w:val="00EF6D1C"/>
    <w:rsid w:val="00F00457"/>
    <w:rsid w:val="00F0116B"/>
    <w:rsid w:val="00F01B28"/>
    <w:rsid w:val="00F021FA"/>
    <w:rsid w:val="00F02D7C"/>
    <w:rsid w:val="00F02F8A"/>
    <w:rsid w:val="00F064C6"/>
    <w:rsid w:val="00F06EC3"/>
    <w:rsid w:val="00F10687"/>
    <w:rsid w:val="00F2234D"/>
    <w:rsid w:val="00F259D3"/>
    <w:rsid w:val="00F30030"/>
    <w:rsid w:val="00F35C19"/>
    <w:rsid w:val="00F43047"/>
    <w:rsid w:val="00F43894"/>
    <w:rsid w:val="00F47F54"/>
    <w:rsid w:val="00F51A1E"/>
    <w:rsid w:val="00F51CA5"/>
    <w:rsid w:val="00F524C9"/>
    <w:rsid w:val="00F540B9"/>
    <w:rsid w:val="00F54969"/>
    <w:rsid w:val="00F549EF"/>
    <w:rsid w:val="00F62E97"/>
    <w:rsid w:val="00F6319C"/>
    <w:rsid w:val="00F64209"/>
    <w:rsid w:val="00F77004"/>
    <w:rsid w:val="00F861B4"/>
    <w:rsid w:val="00F86363"/>
    <w:rsid w:val="00F91987"/>
    <w:rsid w:val="00F93A2D"/>
    <w:rsid w:val="00F93BF5"/>
    <w:rsid w:val="00F94BD8"/>
    <w:rsid w:val="00FA59A7"/>
    <w:rsid w:val="00FB06BB"/>
    <w:rsid w:val="00FB0B1A"/>
    <w:rsid w:val="00FB57A6"/>
    <w:rsid w:val="00FB6ECE"/>
    <w:rsid w:val="00FB7BA7"/>
    <w:rsid w:val="00FC3079"/>
    <w:rsid w:val="00FC35C4"/>
    <w:rsid w:val="00FD1593"/>
    <w:rsid w:val="00FD1C34"/>
    <w:rsid w:val="00FD28AD"/>
    <w:rsid w:val="00FD4C66"/>
    <w:rsid w:val="00FE04A7"/>
    <w:rsid w:val="00FE1028"/>
    <w:rsid w:val="00FE71F8"/>
    <w:rsid w:val="00FF0077"/>
    <w:rsid w:val="00FF2B0F"/>
    <w:rsid w:val="00FF5F4B"/>
    <w:rsid w:val="00FF6598"/>
    <w:rsid w:val="00FF74F5"/>
    <w:rsid w:val="00F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FB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autoRedefine/>
    <w:qFormat/>
    <w:rsid w:val="00097FCD"/>
    <w:pPr>
      <w:keepNext/>
      <w:shd w:val="clear" w:color="auto" w:fill="FFFFFF"/>
      <w:outlineLvl w:val="1"/>
    </w:pPr>
    <w:rPr>
      <w:color w:val="000000"/>
      <w:sz w:val="20"/>
      <w:shd w:val="clear" w:color="auto" w:fill="FFFFFF"/>
    </w:rPr>
  </w:style>
  <w:style w:type="paragraph" w:styleId="Heading3">
    <w:name w:val="heading 3"/>
    <w:aliases w:val="3,Titre 3,1,31,Titre 31,??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Footnote Text Char Char Char Char1 Char,Footnote Text Char1 Char Char Char Char Char,Footnote Text Char6,Footnote Text Char Char2,f"/>
    <w:link w:val="FootnoteTextChar"/>
    <w:qFormat/>
    <w:rsid w:val="000E3D42"/>
    <w:pPr>
      <w:spacing w:after="120"/>
    </w:pPr>
  </w:style>
  <w:style w:type="character" w:styleId="FootnoteReference">
    <w:name w:val="footnote reference"/>
    <w:aliases w:val="Style 124,Appel note de bas de p,Style 12,(NECG) Footnote Reference,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956B0A"/>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2D48D4"/>
    <w:pPr>
      <w:widowControl/>
      <w:ind w:left="720"/>
    </w:pPr>
    <w:rPr>
      <w:rFonts w:asciiTheme="minorHAnsi" w:eastAsiaTheme="minorHAnsi" w:hAnsiTheme="minorHAnsi" w:cstheme="minorBidi"/>
      <w:snapToGrid/>
      <w:kern w:val="0"/>
      <w:szCs w:val="22"/>
    </w:rPr>
  </w:style>
  <w:style w:type="character" w:customStyle="1" w:styleId="ParaNumChar1">
    <w:name w:val="ParaNum Char1"/>
    <w:link w:val="ParaNum"/>
    <w:rsid w:val="002D48D4"/>
    <w:rPr>
      <w:snapToGrid w:val="0"/>
      <w:kern w:val="28"/>
      <w:sz w:val="22"/>
    </w:rPr>
  </w:style>
  <w:style w:type="paragraph" w:customStyle="1" w:styleId="Note">
    <w:name w:val="Note"/>
    <w:basedOn w:val="Normal"/>
    <w:link w:val="NoteChar"/>
    <w:rsid w:val="002D48D4"/>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2D48D4"/>
    <w:rPr>
      <w:snapToGrid w:val="0"/>
      <w:kern w:val="28"/>
      <w:sz w:val="24"/>
      <w:lang w:val="en-GB"/>
    </w:rPr>
  </w:style>
  <w:style w:type="character" w:customStyle="1" w:styleId="FootnoteTextChar">
    <w:name w:val="Footnote Text Char"/>
    <w:aliases w:val="Footnote Text Char1 Char Char,Footnote Text Char Char Char Char,Footnote Text Char1 Char Char Char Char,Footnote Text Char Char Char Char1 Char Char,Footnote Text Char1 Char Char Char Char Char Char,Footnote Text Char6 Char,f Char"/>
    <w:link w:val="FootnoteText"/>
    <w:rsid w:val="002D48D4"/>
  </w:style>
  <w:style w:type="character" w:customStyle="1" w:styleId="FooterChar">
    <w:name w:val="Footer Char"/>
    <w:basedOn w:val="DefaultParagraphFont"/>
    <w:link w:val="Footer"/>
    <w:uiPriority w:val="99"/>
    <w:rsid w:val="002D48D4"/>
    <w:rPr>
      <w:snapToGrid w:val="0"/>
      <w:kern w:val="28"/>
      <w:sz w:val="22"/>
    </w:rPr>
  </w:style>
  <w:style w:type="paragraph" w:styleId="NormalWeb">
    <w:name w:val="Normal (Web)"/>
    <w:basedOn w:val="Normal"/>
    <w:uiPriority w:val="99"/>
    <w:rsid w:val="00C859EF"/>
    <w:pPr>
      <w:widowControl/>
      <w:spacing w:before="100" w:beforeAutospacing="1" w:after="100" w:afterAutospacing="1"/>
    </w:pPr>
    <w:rPr>
      <w:snapToGrid/>
      <w:kern w:val="0"/>
      <w:sz w:val="24"/>
      <w:szCs w:val="24"/>
    </w:rPr>
  </w:style>
  <w:style w:type="character" w:customStyle="1" w:styleId="ParaNumChar">
    <w:name w:val="ParaNum Char"/>
    <w:locked/>
    <w:rsid w:val="00525F70"/>
    <w:rPr>
      <w:snapToGrid w:val="0"/>
      <w:kern w:val="28"/>
      <w:sz w:val="22"/>
    </w:rPr>
  </w:style>
  <w:style w:type="character" w:customStyle="1" w:styleId="apple-converted-space">
    <w:name w:val="apple-converted-space"/>
    <w:basedOn w:val="DefaultParagraphFont"/>
    <w:rsid w:val="004202F4"/>
  </w:style>
  <w:style w:type="table" w:styleId="TableGrid">
    <w:name w:val="Table Grid"/>
    <w:basedOn w:val="TableNormal"/>
    <w:rsid w:val="00795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0">
    <w:name w:val="note"/>
    <w:basedOn w:val="Normal"/>
    <w:rsid w:val="00F064C6"/>
    <w:pPr>
      <w:widowControl/>
      <w:spacing w:before="100" w:beforeAutospacing="1" w:after="100" w:afterAutospacing="1"/>
    </w:pPr>
    <w:rPr>
      <w:snapToGrid/>
      <w:kern w:val="0"/>
      <w:sz w:val="24"/>
      <w:szCs w:val="24"/>
    </w:rPr>
  </w:style>
  <w:style w:type="character" w:styleId="FollowedHyperlink">
    <w:name w:val="FollowedHyperlink"/>
    <w:basedOn w:val="DefaultParagraphFont"/>
    <w:rsid w:val="00B51912"/>
    <w:rPr>
      <w:color w:val="954F72" w:themeColor="followedHyperlink"/>
      <w:u w:val="single"/>
    </w:rPr>
  </w:style>
  <w:style w:type="paragraph" w:styleId="BalloonText">
    <w:name w:val="Balloon Text"/>
    <w:basedOn w:val="Normal"/>
    <w:link w:val="BalloonTextChar"/>
    <w:rsid w:val="00057B24"/>
    <w:rPr>
      <w:rFonts w:ascii="Segoe UI" w:hAnsi="Segoe UI" w:cs="Segoe UI"/>
      <w:sz w:val="18"/>
      <w:szCs w:val="18"/>
    </w:rPr>
  </w:style>
  <w:style w:type="character" w:customStyle="1" w:styleId="BalloonTextChar">
    <w:name w:val="Balloon Text Char"/>
    <w:basedOn w:val="DefaultParagraphFont"/>
    <w:link w:val="BalloonText"/>
    <w:rsid w:val="00057B24"/>
    <w:rPr>
      <w:rFonts w:ascii="Segoe UI" w:hAnsi="Segoe UI" w:cs="Segoe UI"/>
      <w:snapToGrid w:val="0"/>
      <w:kern w:val="28"/>
      <w:sz w:val="18"/>
      <w:szCs w:val="18"/>
    </w:rPr>
  </w:style>
  <w:style w:type="paragraph" w:styleId="Revision">
    <w:name w:val="Revision"/>
    <w:hidden/>
    <w:uiPriority w:val="99"/>
    <w:semiHidden/>
    <w:rsid w:val="009325B5"/>
    <w:rPr>
      <w:snapToGrid w:val="0"/>
      <w:kern w:val="28"/>
      <w:sz w:val="22"/>
    </w:rPr>
  </w:style>
  <w:style w:type="character" w:styleId="CommentReference">
    <w:name w:val="annotation reference"/>
    <w:basedOn w:val="DefaultParagraphFont"/>
    <w:rsid w:val="00D8374E"/>
    <w:rPr>
      <w:sz w:val="16"/>
      <w:szCs w:val="16"/>
    </w:rPr>
  </w:style>
  <w:style w:type="paragraph" w:styleId="CommentText">
    <w:name w:val="annotation text"/>
    <w:basedOn w:val="Normal"/>
    <w:link w:val="CommentTextChar"/>
    <w:rsid w:val="00D8374E"/>
    <w:rPr>
      <w:sz w:val="20"/>
    </w:rPr>
  </w:style>
  <w:style w:type="character" w:customStyle="1" w:styleId="CommentTextChar">
    <w:name w:val="Comment Text Char"/>
    <w:basedOn w:val="DefaultParagraphFont"/>
    <w:link w:val="CommentText"/>
    <w:rsid w:val="00D8374E"/>
    <w:rPr>
      <w:snapToGrid w:val="0"/>
      <w:kern w:val="28"/>
    </w:rPr>
  </w:style>
  <w:style w:type="paragraph" w:styleId="CommentSubject">
    <w:name w:val="annotation subject"/>
    <w:basedOn w:val="CommentText"/>
    <w:next w:val="CommentText"/>
    <w:link w:val="CommentSubjectChar"/>
    <w:rsid w:val="00D8374E"/>
    <w:rPr>
      <w:b/>
      <w:bCs/>
    </w:rPr>
  </w:style>
  <w:style w:type="character" w:customStyle="1" w:styleId="CommentSubjectChar">
    <w:name w:val="Comment Subject Char"/>
    <w:basedOn w:val="CommentTextChar"/>
    <w:link w:val="CommentSubject"/>
    <w:rsid w:val="00D8374E"/>
    <w:rPr>
      <w:b/>
      <w:bCs/>
      <w:snapToGrid w:val="0"/>
      <w:kern w:val="28"/>
    </w:rPr>
  </w:style>
  <w:style w:type="character" w:styleId="Emphasis">
    <w:name w:val="Emphasis"/>
    <w:basedOn w:val="DefaultParagraphFont"/>
    <w:uiPriority w:val="20"/>
    <w:qFormat/>
    <w:rsid w:val="00742CB5"/>
    <w:rPr>
      <w:i/>
      <w:iCs/>
    </w:rPr>
  </w:style>
  <w:style w:type="character" w:customStyle="1" w:styleId="FootnoteTextChar2">
    <w:name w:val="Footnote Text Char2"/>
    <w:aliases w:val="ALTS FOOTNOTE Char1 Char,fn Char1 Char,ALTS FOOTNOTE Char Char Char,fn Char Char Char,Footnote Text Char Char Char Char Char"/>
    <w:basedOn w:val="DefaultParagraphFont"/>
    <w:semiHidden/>
    <w:locked/>
    <w:rsid w:val="009151F7"/>
    <w:rPr>
      <w:rFonts w:ascii="Times New Roman" w:eastAsia="Times New Roman" w:hAnsi="Times New Roman" w:cs="Times New Roman"/>
      <w:sz w:val="20"/>
      <w:szCs w:val="20"/>
      <w:lang w:eastAsia="ja-JP"/>
    </w:rPr>
  </w:style>
  <w:style w:type="character" w:customStyle="1" w:styleId="documentbody">
    <w:name w:val="documentbody"/>
    <w:basedOn w:val="DefaultParagraphFont"/>
    <w:rsid w:val="009151F7"/>
  </w:style>
  <w:style w:type="character" w:customStyle="1" w:styleId="cosearchterm">
    <w:name w:val="co_searchterm"/>
    <w:basedOn w:val="DefaultParagraphFont"/>
    <w:rsid w:val="00EB4421"/>
  </w:style>
  <w:style w:type="character" w:customStyle="1" w:styleId="counderline">
    <w:name w:val="co_underline"/>
    <w:basedOn w:val="DefaultParagraphFont"/>
    <w:rsid w:val="00EB4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autoRedefine/>
    <w:qFormat/>
    <w:rsid w:val="00097FCD"/>
    <w:pPr>
      <w:keepNext/>
      <w:shd w:val="clear" w:color="auto" w:fill="FFFFFF"/>
      <w:outlineLvl w:val="1"/>
    </w:pPr>
    <w:rPr>
      <w:color w:val="000000"/>
      <w:sz w:val="20"/>
      <w:shd w:val="clear" w:color="auto" w:fill="FFFFFF"/>
    </w:rPr>
  </w:style>
  <w:style w:type="paragraph" w:styleId="Heading3">
    <w:name w:val="heading 3"/>
    <w:aliases w:val="3,Titre 3,1,31,Titre 31,??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Footnote Text Char Char Char Char1 Char,Footnote Text Char1 Char Char Char Char Char,Footnote Text Char6,Footnote Text Char Char2,f"/>
    <w:link w:val="FootnoteTextChar"/>
    <w:qFormat/>
    <w:rsid w:val="000E3D42"/>
    <w:pPr>
      <w:spacing w:after="120"/>
    </w:pPr>
  </w:style>
  <w:style w:type="character" w:styleId="FootnoteReference">
    <w:name w:val="footnote reference"/>
    <w:aliases w:val="Style 124,Appel note de bas de p,Style 12,(NECG) Footnote Reference,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956B0A"/>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2D48D4"/>
    <w:pPr>
      <w:widowControl/>
      <w:ind w:left="720"/>
    </w:pPr>
    <w:rPr>
      <w:rFonts w:asciiTheme="minorHAnsi" w:eastAsiaTheme="minorHAnsi" w:hAnsiTheme="minorHAnsi" w:cstheme="minorBidi"/>
      <w:snapToGrid/>
      <w:kern w:val="0"/>
      <w:szCs w:val="22"/>
    </w:rPr>
  </w:style>
  <w:style w:type="character" w:customStyle="1" w:styleId="ParaNumChar1">
    <w:name w:val="ParaNum Char1"/>
    <w:link w:val="ParaNum"/>
    <w:rsid w:val="002D48D4"/>
    <w:rPr>
      <w:snapToGrid w:val="0"/>
      <w:kern w:val="28"/>
      <w:sz w:val="22"/>
    </w:rPr>
  </w:style>
  <w:style w:type="paragraph" w:customStyle="1" w:styleId="Note">
    <w:name w:val="Note"/>
    <w:basedOn w:val="Normal"/>
    <w:link w:val="NoteChar"/>
    <w:rsid w:val="002D48D4"/>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2D48D4"/>
    <w:rPr>
      <w:snapToGrid w:val="0"/>
      <w:kern w:val="28"/>
      <w:sz w:val="24"/>
      <w:lang w:val="en-GB"/>
    </w:rPr>
  </w:style>
  <w:style w:type="character" w:customStyle="1" w:styleId="FootnoteTextChar">
    <w:name w:val="Footnote Text Char"/>
    <w:aliases w:val="Footnote Text Char1 Char Char,Footnote Text Char Char Char Char,Footnote Text Char1 Char Char Char Char,Footnote Text Char Char Char Char1 Char Char,Footnote Text Char1 Char Char Char Char Char Char,Footnote Text Char6 Char,f Char"/>
    <w:link w:val="FootnoteText"/>
    <w:rsid w:val="002D48D4"/>
  </w:style>
  <w:style w:type="character" w:customStyle="1" w:styleId="FooterChar">
    <w:name w:val="Footer Char"/>
    <w:basedOn w:val="DefaultParagraphFont"/>
    <w:link w:val="Footer"/>
    <w:uiPriority w:val="99"/>
    <w:rsid w:val="002D48D4"/>
    <w:rPr>
      <w:snapToGrid w:val="0"/>
      <w:kern w:val="28"/>
      <w:sz w:val="22"/>
    </w:rPr>
  </w:style>
  <w:style w:type="paragraph" w:styleId="NormalWeb">
    <w:name w:val="Normal (Web)"/>
    <w:basedOn w:val="Normal"/>
    <w:uiPriority w:val="99"/>
    <w:rsid w:val="00C859EF"/>
    <w:pPr>
      <w:widowControl/>
      <w:spacing w:before="100" w:beforeAutospacing="1" w:after="100" w:afterAutospacing="1"/>
    </w:pPr>
    <w:rPr>
      <w:snapToGrid/>
      <w:kern w:val="0"/>
      <w:sz w:val="24"/>
      <w:szCs w:val="24"/>
    </w:rPr>
  </w:style>
  <w:style w:type="character" w:customStyle="1" w:styleId="ParaNumChar">
    <w:name w:val="ParaNum Char"/>
    <w:locked/>
    <w:rsid w:val="00525F70"/>
    <w:rPr>
      <w:snapToGrid w:val="0"/>
      <w:kern w:val="28"/>
      <w:sz w:val="22"/>
    </w:rPr>
  </w:style>
  <w:style w:type="character" w:customStyle="1" w:styleId="apple-converted-space">
    <w:name w:val="apple-converted-space"/>
    <w:basedOn w:val="DefaultParagraphFont"/>
    <w:rsid w:val="004202F4"/>
  </w:style>
  <w:style w:type="table" w:styleId="TableGrid">
    <w:name w:val="Table Grid"/>
    <w:basedOn w:val="TableNormal"/>
    <w:rsid w:val="00795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0">
    <w:name w:val="note"/>
    <w:basedOn w:val="Normal"/>
    <w:rsid w:val="00F064C6"/>
    <w:pPr>
      <w:widowControl/>
      <w:spacing w:before="100" w:beforeAutospacing="1" w:after="100" w:afterAutospacing="1"/>
    </w:pPr>
    <w:rPr>
      <w:snapToGrid/>
      <w:kern w:val="0"/>
      <w:sz w:val="24"/>
      <w:szCs w:val="24"/>
    </w:rPr>
  </w:style>
  <w:style w:type="character" w:styleId="FollowedHyperlink">
    <w:name w:val="FollowedHyperlink"/>
    <w:basedOn w:val="DefaultParagraphFont"/>
    <w:rsid w:val="00B51912"/>
    <w:rPr>
      <w:color w:val="954F72" w:themeColor="followedHyperlink"/>
      <w:u w:val="single"/>
    </w:rPr>
  </w:style>
  <w:style w:type="paragraph" w:styleId="BalloonText">
    <w:name w:val="Balloon Text"/>
    <w:basedOn w:val="Normal"/>
    <w:link w:val="BalloonTextChar"/>
    <w:rsid w:val="00057B24"/>
    <w:rPr>
      <w:rFonts w:ascii="Segoe UI" w:hAnsi="Segoe UI" w:cs="Segoe UI"/>
      <w:sz w:val="18"/>
      <w:szCs w:val="18"/>
    </w:rPr>
  </w:style>
  <w:style w:type="character" w:customStyle="1" w:styleId="BalloonTextChar">
    <w:name w:val="Balloon Text Char"/>
    <w:basedOn w:val="DefaultParagraphFont"/>
    <w:link w:val="BalloonText"/>
    <w:rsid w:val="00057B24"/>
    <w:rPr>
      <w:rFonts w:ascii="Segoe UI" w:hAnsi="Segoe UI" w:cs="Segoe UI"/>
      <w:snapToGrid w:val="0"/>
      <w:kern w:val="28"/>
      <w:sz w:val="18"/>
      <w:szCs w:val="18"/>
    </w:rPr>
  </w:style>
  <w:style w:type="paragraph" w:styleId="Revision">
    <w:name w:val="Revision"/>
    <w:hidden/>
    <w:uiPriority w:val="99"/>
    <w:semiHidden/>
    <w:rsid w:val="009325B5"/>
    <w:rPr>
      <w:snapToGrid w:val="0"/>
      <w:kern w:val="28"/>
      <w:sz w:val="22"/>
    </w:rPr>
  </w:style>
  <w:style w:type="character" w:styleId="CommentReference">
    <w:name w:val="annotation reference"/>
    <w:basedOn w:val="DefaultParagraphFont"/>
    <w:rsid w:val="00D8374E"/>
    <w:rPr>
      <w:sz w:val="16"/>
      <w:szCs w:val="16"/>
    </w:rPr>
  </w:style>
  <w:style w:type="paragraph" w:styleId="CommentText">
    <w:name w:val="annotation text"/>
    <w:basedOn w:val="Normal"/>
    <w:link w:val="CommentTextChar"/>
    <w:rsid w:val="00D8374E"/>
    <w:rPr>
      <w:sz w:val="20"/>
    </w:rPr>
  </w:style>
  <w:style w:type="character" w:customStyle="1" w:styleId="CommentTextChar">
    <w:name w:val="Comment Text Char"/>
    <w:basedOn w:val="DefaultParagraphFont"/>
    <w:link w:val="CommentText"/>
    <w:rsid w:val="00D8374E"/>
    <w:rPr>
      <w:snapToGrid w:val="0"/>
      <w:kern w:val="28"/>
    </w:rPr>
  </w:style>
  <w:style w:type="paragraph" w:styleId="CommentSubject">
    <w:name w:val="annotation subject"/>
    <w:basedOn w:val="CommentText"/>
    <w:next w:val="CommentText"/>
    <w:link w:val="CommentSubjectChar"/>
    <w:rsid w:val="00D8374E"/>
    <w:rPr>
      <w:b/>
      <w:bCs/>
    </w:rPr>
  </w:style>
  <w:style w:type="character" w:customStyle="1" w:styleId="CommentSubjectChar">
    <w:name w:val="Comment Subject Char"/>
    <w:basedOn w:val="CommentTextChar"/>
    <w:link w:val="CommentSubject"/>
    <w:rsid w:val="00D8374E"/>
    <w:rPr>
      <w:b/>
      <w:bCs/>
      <w:snapToGrid w:val="0"/>
      <w:kern w:val="28"/>
    </w:rPr>
  </w:style>
  <w:style w:type="character" w:styleId="Emphasis">
    <w:name w:val="Emphasis"/>
    <w:basedOn w:val="DefaultParagraphFont"/>
    <w:uiPriority w:val="20"/>
    <w:qFormat/>
    <w:rsid w:val="00742CB5"/>
    <w:rPr>
      <w:i/>
      <w:iCs/>
    </w:rPr>
  </w:style>
  <w:style w:type="character" w:customStyle="1" w:styleId="FootnoteTextChar2">
    <w:name w:val="Footnote Text Char2"/>
    <w:aliases w:val="ALTS FOOTNOTE Char1 Char,fn Char1 Char,ALTS FOOTNOTE Char Char Char,fn Char Char Char,Footnote Text Char Char Char Char Char"/>
    <w:basedOn w:val="DefaultParagraphFont"/>
    <w:semiHidden/>
    <w:locked/>
    <w:rsid w:val="009151F7"/>
    <w:rPr>
      <w:rFonts w:ascii="Times New Roman" w:eastAsia="Times New Roman" w:hAnsi="Times New Roman" w:cs="Times New Roman"/>
      <w:sz w:val="20"/>
      <w:szCs w:val="20"/>
      <w:lang w:eastAsia="ja-JP"/>
    </w:rPr>
  </w:style>
  <w:style w:type="character" w:customStyle="1" w:styleId="documentbody">
    <w:name w:val="documentbody"/>
    <w:basedOn w:val="DefaultParagraphFont"/>
    <w:rsid w:val="009151F7"/>
  </w:style>
  <w:style w:type="character" w:customStyle="1" w:styleId="cosearchterm">
    <w:name w:val="co_searchterm"/>
    <w:basedOn w:val="DefaultParagraphFont"/>
    <w:rsid w:val="00EB4421"/>
  </w:style>
  <w:style w:type="character" w:customStyle="1" w:styleId="counderline">
    <w:name w:val="co_underline"/>
    <w:basedOn w:val="DefaultParagraphFont"/>
    <w:rsid w:val="00EB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070">
      <w:bodyDiv w:val="1"/>
      <w:marLeft w:val="0"/>
      <w:marRight w:val="0"/>
      <w:marTop w:val="0"/>
      <w:marBottom w:val="0"/>
      <w:divBdr>
        <w:top w:val="none" w:sz="0" w:space="0" w:color="auto"/>
        <w:left w:val="none" w:sz="0" w:space="0" w:color="auto"/>
        <w:bottom w:val="none" w:sz="0" w:space="0" w:color="auto"/>
        <w:right w:val="none" w:sz="0" w:space="0" w:color="auto"/>
      </w:divBdr>
    </w:div>
    <w:div w:id="239095673">
      <w:bodyDiv w:val="1"/>
      <w:marLeft w:val="0"/>
      <w:marRight w:val="0"/>
      <w:marTop w:val="0"/>
      <w:marBottom w:val="0"/>
      <w:divBdr>
        <w:top w:val="none" w:sz="0" w:space="0" w:color="auto"/>
        <w:left w:val="none" w:sz="0" w:space="0" w:color="auto"/>
        <w:bottom w:val="none" w:sz="0" w:space="0" w:color="auto"/>
        <w:right w:val="none" w:sz="0" w:space="0" w:color="auto"/>
      </w:divBdr>
    </w:div>
    <w:div w:id="405349495">
      <w:bodyDiv w:val="1"/>
      <w:marLeft w:val="0"/>
      <w:marRight w:val="0"/>
      <w:marTop w:val="0"/>
      <w:marBottom w:val="0"/>
      <w:divBdr>
        <w:top w:val="none" w:sz="0" w:space="0" w:color="auto"/>
        <w:left w:val="none" w:sz="0" w:space="0" w:color="auto"/>
        <w:bottom w:val="none" w:sz="0" w:space="0" w:color="auto"/>
        <w:right w:val="none" w:sz="0" w:space="0" w:color="auto"/>
      </w:divBdr>
    </w:div>
    <w:div w:id="475992268">
      <w:bodyDiv w:val="1"/>
      <w:marLeft w:val="0"/>
      <w:marRight w:val="0"/>
      <w:marTop w:val="0"/>
      <w:marBottom w:val="0"/>
      <w:divBdr>
        <w:top w:val="none" w:sz="0" w:space="0" w:color="auto"/>
        <w:left w:val="none" w:sz="0" w:space="0" w:color="auto"/>
        <w:bottom w:val="none" w:sz="0" w:space="0" w:color="auto"/>
        <w:right w:val="none" w:sz="0" w:space="0" w:color="auto"/>
      </w:divBdr>
    </w:div>
    <w:div w:id="746416517">
      <w:bodyDiv w:val="1"/>
      <w:marLeft w:val="0"/>
      <w:marRight w:val="0"/>
      <w:marTop w:val="0"/>
      <w:marBottom w:val="0"/>
      <w:divBdr>
        <w:top w:val="none" w:sz="0" w:space="0" w:color="auto"/>
        <w:left w:val="none" w:sz="0" w:space="0" w:color="auto"/>
        <w:bottom w:val="none" w:sz="0" w:space="0" w:color="auto"/>
        <w:right w:val="none" w:sz="0" w:space="0" w:color="auto"/>
      </w:divBdr>
    </w:div>
    <w:div w:id="876619628">
      <w:bodyDiv w:val="1"/>
      <w:marLeft w:val="0"/>
      <w:marRight w:val="0"/>
      <w:marTop w:val="0"/>
      <w:marBottom w:val="0"/>
      <w:divBdr>
        <w:top w:val="none" w:sz="0" w:space="0" w:color="auto"/>
        <w:left w:val="none" w:sz="0" w:space="0" w:color="auto"/>
        <w:bottom w:val="none" w:sz="0" w:space="0" w:color="auto"/>
        <w:right w:val="none" w:sz="0" w:space="0" w:color="auto"/>
      </w:divBdr>
    </w:div>
    <w:div w:id="973565115">
      <w:bodyDiv w:val="1"/>
      <w:marLeft w:val="0"/>
      <w:marRight w:val="0"/>
      <w:marTop w:val="0"/>
      <w:marBottom w:val="0"/>
      <w:divBdr>
        <w:top w:val="none" w:sz="0" w:space="0" w:color="auto"/>
        <w:left w:val="none" w:sz="0" w:space="0" w:color="auto"/>
        <w:bottom w:val="none" w:sz="0" w:space="0" w:color="auto"/>
        <w:right w:val="none" w:sz="0" w:space="0" w:color="auto"/>
      </w:divBdr>
    </w:div>
    <w:div w:id="1137800169">
      <w:bodyDiv w:val="1"/>
      <w:marLeft w:val="0"/>
      <w:marRight w:val="0"/>
      <w:marTop w:val="0"/>
      <w:marBottom w:val="0"/>
      <w:divBdr>
        <w:top w:val="none" w:sz="0" w:space="0" w:color="auto"/>
        <w:left w:val="none" w:sz="0" w:space="0" w:color="auto"/>
        <w:bottom w:val="none" w:sz="0" w:space="0" w:color="auto"/>
        <w:right w:val="none" w:sz="0" w:space="0" w:color="auto"/>
      </w:divBdr>
    </w:div>
    <w:div w:id="1590962566">
      <w:bodyDiv w:val="1"/>
      <w:marLeft w:val="0"/>
      <w:marRight w:val="0"/>
      <w:marTop w:val="0"/>
      <w:marBottom w:val="0"/>
      <w:divBdr>
        <w:top w:val="none" w:sz="0" w:space="0" w:color="auto"/>
        <w:left w:val="none" w:sz="0" w:space="0" w:color="auto"/>
        <w:bottom w:val="none" w:sz="0" w:space="0" w:color="auto"/>
        <w:right w:val="none" w:sz="0" w:space="0" w:color="auto"/>
      </w:divBdr>
    </w:div>
    <w:div w:id="1686705658">
      <w:bodyDiv w:val="1"/>
      <w:marLeft w:val="0"/>
      <w:marRight w:val="0"/>
      <w:marTop w:val="0"/>
      <w:marBottom w:val="0"/>
      <w:divBdr>
        <w:top w:val="none" w:sz="0" w:space="0" w:color="auto"/>
        <w:left w:val="none" w:sz="0" w:space="0" w:color="auto"/>
        <w:bottom w:val="none" w:sz="0" w:space="0" w:color="auto"/>
        <w:right w:val="none" w:sz="0" w:space="0" w:color="auto"/>
      </w:divBdr>
    </w:div>
    <w:div w:id="1728263001">
      <w:bodyDiv w:val="1"/>
      <w:marLeft w:val="0"/>
      <w:marRight w:val="0"/>
      <w:marTop w:val="0"/>
      <w:marBottom w:val="0"/>
      <w:divBdr>
        <w:top w:val="none" w:sz="0" w:space="0" w:color="auto"/>
        <w:left w:val="none" w:sz="0" w:space="0" w:color="auto"/>
        <w:bottom w:val="none" w:sz="0" w:space="0" w:color="auto"/>
        <w:right w:val="none" w:sz="0" w:space="0" w:color="auto"/>
      </w:divBdr>
    </w:div>
    <w:div w:id="1758361257">
      <w:bodyDiv w:val="1"/>
      <w:marLeft w:val="0"/>
      <w:marRight w:val="0"/>
      <w:marTop w:val="0"/>
      <w:marBottom w:val="0"/>
      <w:divBdr>
        <w:top w:val="none" w:sz="0" w:space="0" w:color="auto"/>
        <w:left w:val="none" w:sz="0" w:space="0" w:color="auto"/>
        <w:bottom w:val="none" w:sz="0" w:space="0" w:color="auto"/>
        <w:right w:val="none" w:sz="0" w:space="0" w:color="auto"/>
      </w:divBdr>
    </w:div>
    <w:div w:id="1775320161">
      <w:bodyDiv w:val="1"/>
      <w:marLeft w:val="0"/>
      <w:marRight w:val="0"/>
      <w:marTop w:val="0"/>
      <w:marBottom w:val="0"/>
      <w:divBdr>
        <w:top w:val="none" w:sz="0" w:space="0" w:color="auto"/>
        <w:left w:val="none" w:sz="0" w:space="0" w:color="auto"/>
        <w:bottom w:val="none" w:sz="0" w:space="0" w:color="auto"/>
        <w:right w:val="none" w:sz="0" w:space="0" w:color="auto"/>
      </w:divBdr>
    </w:div>
    <w:div w:id="1849253620">
      <w:bodyDiv w:val="1"/>
      <w:marLeft w:val="0"/>
      <w:marRight w:val="0"/>
      <w:marTop w:val="0"/>
      <w:marBottom w:val="0"/>
      <w:divBdr>
        <w:top w:val="none" w:sz="0" w:space="0" w:color="auto"/>
        <w:left w:val="none" w:sz="0" w:space="0" w:color="auto"/>
        <w:bottom w:val="none" w:sz="0" w:space="0" w:color="auto"/>
        <w:right w:val="none" w:sz="0" w:space="0" w:color="auto"/>
      </w:divBdr>
    </w:div>
    <w:div w:id="1990819559">
      <w:bodyDiv w:val="1"/>
      <w:marLeft w:val="0"/>
      <w:marRight w:val="0"/>
      <w:marTop w:val="0"/>
      <w:marBottom w:val="0"/>
      <w:divBdr>
        <w:top w:val="none" w:sz="0" w:space="0" w:color="auto"/>
        <w:left w:val="none" w:sz="0" w:space="0" w:color="auto"/>
        <w:bottom w:val="none" w:sz="0" w:space="0" w:color="auto"/>
        <w:right w:val="none" w:sz="0" w:space="0" w:color="auto"/>
      </w:divBdr>
    </w:div>
    <w:div w:id="2044594882">
      <w:bodyDiv w:val="1"/>
      <w:marLeft w:val="0"/>
      <w:marRight w:val="0"/>
      <w:marTop w:val="0"/>
      <w:marBottom w:val="0"/>
      <w:divBdr>
        <w:top w:val="none" w:sz="0" w:space="0" w:color="auto"/>
        <w:left w:val="none" w:sz="0" w:space="0" w:color="auto"/>
        <w:bottom w:val="none" w:sz="0" w:space="0" w:color="auto"/>
        <w:right w:val="none" w:sz="0" w:space="0" w:color="auto"/>
      </w:divBdr>
    </w:div>
    <w:div w:id="2088961850">
      <w:bodyDiv w:val="1"/>
      <w:marLeft w:val="0"/>
      <w:marRight w:val="0"/>
      <w:marTop w:val="0"/>
      <w:marBottom w:val="0"/>
      <w:divBdr>
        <w:top w:val="none" w:sz="0" w:space="0" w:color="auto"/>
        <w:left w:val="none" w:sz="0" w:space="0" w:color="auto"/>
        <w:bottom w:val="none" w:sz="0" w:space="0" w:color="auto"/>
        <w:right w:val="none" w:sz="0" w:space="0" w:color="auto"/>
      </w:divBdr>
      <w:divsChild>
        <w:div w:id="2065716970">
          <w:marLeft w:val="0"/>
          <w:marRight w:val="0"/>
          <w:marTop w:val="0"/>
          <w:marBottom w:val="0"/>
          <w:divBdr>
            <w:top w:val="none" w:sz="0" w:space="0" w:color="auto"/>
            <w:left w:val="none" w:sz="0" w:space="0" w:color="auto"/>
            <w:bottom w:val="none" w:sz="0" w:space="0" w:color="auto"/>
            <w:right w:val="none" w:sz="0" w:space="0" w:color="auto"/>
          </w:divBdr>
        </w:div>
        <w:div w:id="419568851">
          <w:marLeft w:val="0"/>
          <w:marRight w:val="0"/>
          <w:marTop w:val="240"/>
          <w:marBottom w:val="0"/>
          <w:divBdr>
            <w:top w:val="none" w:sz="0" w:space="0" w:color="auto"/>
            <w:left w:val="none" w:sz="0" w:space="0" w:color="auto"/>
            <w:bottom w:val="none" w:sz="0" w:space="0" w:color="auto"/>
            <w:right w:val="none" w:sz="0" w:space="0" w:color="auto"/>
          </w:divBdr>
          <w:divsChild>
            <w:div w:id="2057582106">
              <w:marLeft w:val="0"/>
              <w:marRight w:val="0"/>
              <w:marTop w:val="0"/>
              <w:marBottom w:val="0"/>
              <w:divBdr>
                <w:top w:val="none" w:sz="0" w:space="0" w:color="auto"/>
                <w:left w:val="none" w:sz="0" w:space="0" w:color="auto"/>
                <w:bottom w:val="none" w:sz="0" w:space="0" w:color="auto"/>
                <w:right w:val="none" w:sz="0" w:space="0" w:color="auto"/>
              </w:divBdr>
            </w:div>
          </w:divsChild>
        </w:div>
        <w:div w:id="902712802">
          <w:marLeft w:val="0"/>
          <w:marRight w:val="0"/>
          <w:marTop w:val="240"/>
          <w:marBottom w:val="0"/>
          <w:divBdr>
            <w:top w:val="none" w:sz="0" w:space="0" w:color="auto"/>
            <w:left w:val="none" w:sz="0" w:space="0" w:color="auto"/>
            <w:bottom w:val="none" w:sz="0" w:space="0" w:color="auto"/>
            <w:right w:val="none" w:sz="0" w:space="0" w:color="auto"/>
          </w:divBdr>
          <w:divsChild>
            <w:div w:id="18313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pps.fcc.gov/edocs_public/attachmatch/DA-14-759A4.pdf" TargetMode="External"/><Relationship Id="rId2" Type="http://schemas.openxmlformats.org/officeDocument/2006/relationships/hyperlink" Target="https://www.fcc.gov/document/wtb-provides-details-about-partial-economic-areas" TargetMode="External"/><Relationship Id="rId1" Type="http://schemas.openxmlformats.org/officeDocument/2006/relationships/hyperlink" Target="https://www.fcc.gov/wireless/auction-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3156</Words>
  <Characters>16832</Characters>
  <Application>Microsoft Office Word</Application>
  <DocSecurity>0</DocSecurity>
  <Lines>598</Lines>
  <Paragraphs>323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20029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2017-09-19T22:03:00Z</dcterms:created>
  <dcterms:modified xsi:type="dcterms:W3CDTF">2017-09-19T22:03:00Z</dcterms:modified>
  <cp:category> </cp:category>
  <cp:contentStatus> </cp:contentStatus>
</cp:coreProperties>
</file>