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E2F0" w14:textId="77777777" w:rsidR="00373198" w:rsidRDefault="00373198" w:rsidP="00373198">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F8102A1" w14:textId="77777777" w:rsidR="00373198" w:rsidRDefault="00373198" w:rsidP="00373198">
      <w:pPr>
        <w:pStyle w:val="StyleBoldCentered"/>
      </w:pPr>
      <w:r>
        <w:t>F</w:t>
      </w:r>
      <w:r>
        <w:rPr>
          <w:caps w:val="0"/>
        </w:rPr>
        <w:t>ederal Communications Commission</w:t>
      </w:r>
    </w:p>
    <w:p w14:paraId="734EBFF0" w14:textId="77777777" w:rsidR="00373198" w:rsidRDefault="00373198" w:rsidP="00373198">
      <w:pPr>
        <w:pStyle w:val="StyleBoldCentered"/>
      </w:pPr>
      <w:r>
        <w:rPr>
          <w:caps w:val="0"/>
        </w:rPr>
        <w:t>Washington, D.C. 20554</w:t>
      </w:r>
    </w:p>
    <w:p w14:paraId="2F265825" w14:textId="77777777" w:rsidR="00373198" w:rsidRDefault="00373198" w:rsidP="00373198"/>
    <w:p w14:paraId="6D1043F4" w14:textId="77777777" w:rsidR="00373198" w:rsidRDefault="00373198" w:rsidP="00373198"/>
    <w:tbl>
      <w:tblPr>
        <w:tblW w:w="0" w:type="auto"/>
        <w:tblLayout w:type="fixed"/>
        <w:tblLook w:val="0000" w:firstRow="0" w:lastRow="0" w:firstColumn="0" w:lastColumn="0" w:noHBand="0" w:noVBand="0"/>
      </w:tblPr>
      <w:tblGrid>
        <w:gridCol w:w="4698"/>
        <w:gridCol w:w="630"/>
        <w:gridCol w:w="4248"/>
      </w:tblGrid>
      <w:tr w:rsidR="00373198" w14:paraId="00367ABD" w14:textId="77777777" w:rsidTr="00670A21">
        <w:tc>
          <w:tcPr>
            <w:tcW w:w="4698" w:type="dxa"/>
          </w:tcPr>
          <w:p w14:paraId="240BD08B" w14:textId="77777777" w:rsidR="00373198" w:rsidRDefault="00373198" w:rsidP="00670A21">
            <w:pPr>
              <w:tabs>
                <w:tab w:val="center" w:pos="4680"/>
              </w:tabs>
              <w:suppressAutoHyphens/>
              <w:rPr>
                <w:spacing w:val="-2"/>
              </w:rPr>
            </w:pPr>
            <w:r>
              <w:rPr>
                <w:spacing w:val="-2"/>
              </w:rPr>
              <w:t>In the Matter of</w:t>
            </w:r>
          </w:p>
          <w:p w14:paraId="744C235C" w14:textId="77777777" w:rsidR="00373198" w:rsidRDefault="00373198" w:rsidP="00670A21">
            <w:pPr>
              <w:tabs>
                <w:tab w:val="center" w:pos="4680"/>
              </w:tabs>
              <w:suppressAutoHyphens/>
              <w:rPr>
                <w:spacing w:val="-2"/>
              </w:rPr>
            </w:pPr>
          </w:p>
          <w:p w14:paraId="27F56979" w14:textId="77777777" w:rsidR="00373198" w:rsidRPr="007115F7" w:rsidRDefault="00373198" w:rsidP="00670A21">
            <w:pPr>
              <w:tabs>
                <w:tab w:val="center" w:pos="4680"/>
              </w:tabs>
              <w:suppressAutoHyphens/>
              <w:rPr>
                <w:spacing w:val="-2"/>
              </w:rPr>
            </w:pPr>
            <w:r>
              <w:rPr>
                <w:spacing w:val="-2"/>
              </w:rPr>
              <w:t>Wireless Emergency Alerts</w:t>
            </w:r>
          </w:p>
        </w:tc>
        <w:tc>
          <w:tcPr>
            <w:tcW w:w="630" w:type="dxa"/>
          </w:tcPr>
          <w:p w14:paraId="0CDC13E9" w14:textId="77777777" w:rsidR="00373198" w:rsidRDefault="00373198" w:rsidP="00670A21">
            <w:pPr>
              <w:tabs>
                <w:tab w:val="center" w:pos="4680"/>
              </w:tabs>
              <w:suppressAutoHyphens/>
              <w:rPr>
                <w:b/>
                <w:spacing w:val="-2"/>
              </w:rPr>
            </w:pPr>
            <w:r>
              <w:rPr>
                <w:b/>
                <w:spacing w:val="-2"/>
              </w:rPr>
              <w:t>)</w:t>
            </w:r>
          </w:p>
          <w:p w14:paraId="71F49A06" w14:textId="77777777" w:rsidR="00373198" w:rsidRDefault="00373198" w:rsidP="00670A21">
            <w:pPr>
              <w:tabs>
                <w:tab w:val="center" w:pos="4680"/>
              </w:tabs>
              <w:suppressAutoHyphens/>
              <w:rPr>
                <w:b/>
                <w:spacing w:val="-2"/>
              </w:rPr>
            </w:pPr>
            <w:r>
              <w:rPr>
                <w:b/>
                <w:spacing w:val="-2"/>
              </w:rPr>
              <w:t>)</w:t>
            </w:r>
          </w:p>
          <w:p w14:paraId="4FC5C3DA" w14:textId="77777777" w:rsidR="00373198" w:rsidRDefault="00373198" w:rsidP="00670A21">
            <w:pPr>
              <w:tabs>
                <w:tab w:val="center" w:pos="4680"/>
              </w:tabs>
              <w:suppressAutoHyphens/>
              <w:rPr>
                <w:b/>
                <w:spacing w:val="-2"/>
              </w:rPr>
            </w:pPr>
            <w:r>
              <w:rPr>
                <w:b/>
                <w:spacing w:val="-2"/>
              </w:rPr>
              <w:t>)</w:t>
            </w:r>
          </w:p>
          <w:p w14:paraId="70F75CC8" w14:textId="77777777" w:rsidR="00373198" w:rsidRPr="00EA7EC4" w:rsidRDefault="00373198" w:rsidP="00670A21">
            <w:pPr>
              <w:tabs>
                <w:tab w:val="center" w:pos="4680"/>
              </w:tabs>
              <w:suppressAutoHyphens/>
              <w:rPr>
                <w:b/>
                <w:spacing w:val="-2"/>
              </w:rPr>
            </w:pPr>
            <w:r>
              <w:rPr>
                <w:b/>
                <w:spacing w:val="-2"/>
              </w:rPr>
              <w:t>)</w:t>
            </w:r>
          </w:p>
        </w:tc>
        <w:tc>
          <w:tcPr>
            <w:tcW w:w="4248" w:type="dxa"/>
          </w:tcPr>
          <w:p w14:paraId="5CAF55A6" w14:textId="77777777" w:rsidR="00373198" w:rsidRDefault="00373198" w:rsidP="00670A21">
            <w:pPr>
              <w:tabs>
                <w:tab w:val="center" w:pos="4680"/>
              </w:tabs>
              <w:suppressAutoHyphens/>
              <w:rPr>
                <w:spacing w:val="-2"/>
              </w:rPr>
            </w:pPr>
          </w:p>
          <w:p w14:paraId="4D7597D9" w14:textId="77777777" w:rsidR="00373198" w:rsidRDefault="00373198" w:rsidP="00670A21">
            <w:pPr>
              <w:pStyle w:val="TOAHeading"/>
              <w:tabs>
                <w:tab w:val="clear" w:pos="9360"/>
                <w:tab w:val="center" w:pos="4680"/>
              </w:tabs>
              <w:rPr>
                <w:spacing w:val="-2"/>
              </w:rPr>
            </w:pPr>
          </w:p>
          <w:p w14:paraId="334F31CE" w14:textId="77777777" w:rsidR="00373198" w:rsidRDefault="00373198" w:rsidP="00670A21">
            <w:pPr>
              <w:tabs>
                <w:tab w:val="center" w:pos="4680"/>
              </w:tabs>
              <w:suppressAutoHyphens/>
              <w:rPr>
                <w:spacing w:val="-2"/>
              </w:rPr>
            </w:pPr>
            <w:r>
              <w:rPr>
                <w:spacing w:val="-2"/>
              </w:rPr>
              <w:t>PS Docket No. 15-91</w:t>
            </w:r>
          </w:p>
        </w:tc>
      </w:tr>
    </w:tbl>
    <w:p w14:paraId="450F6267" w14:textId="77777777" w:rsidR="00373198" w:rsidRDefault="00373198" w:rsidP="00373198"/>
    <w:p w14:paraId="7A3ED6AB" w14:textId="77777777" w:rsidR="00373198" w:rsidRDefault="00373198" w:rsidP="00373198">
      <w:pPr>
        <w:pStyle w:val="StyleBoldCentered"/>
      </w:pPr>
      <w:r>
        <w:t xml:space="preserve">ORDER </w:t>
      </w:r>
    </w:p>
    <w:p w14:paraId="57BE50C3" w14:textId="77777777" w:rsidR="00373198" w:rsidRDefault="00373198" w:rsidP="00373198">
      <w:pPr>
        <w:tabs>
          <w:tab w:val="left" w:pos="-720"/>
        </w:tabs>
        <w:suppressAutoHyphens/>
        <w:spacing w:line="227" w:lineRule="auto"/>
        <w:rPr>
          <w:spacing w:val="-2"/>
        </w:rPr>
      </w:pPr>
    </w:p>
    <w:p w14:paraId="3B2D1F62" w14:textId="1E1FAEB0" w:rsidR="00373198" w:rsidRDefault="00373198" w:rsidP="00373198">
      <w:pPr>
        <w:tabs>
          <w:tab w:val="left" w:pos="720"/>
          <w:tab w:val="right" w:pos="9360"/>
        </w:tabs>
        <w:suppressAutoHyphens/>
        <w:spacing w:line="227" w:lineRule="auto"/>
        <w:rPr>
          <w:spacing w:val="-2"/>
        </w:rPr>
      </w:pPr>
      <w:r>
        <w:rPr>
          <w:b/>
          <w:spacing w:val="-2"/>
        </w:rPr>
        <w:t xml:space="preserve">Adopted: </w:t>
      </w:r>
      <w:r w:rsidR="00C1293E">
        <w:rPr>
          <w:b/>
          <w:spacing w:val="-2"/>
        </w:rPr>
        <w:t>September 15, 2017</w:t>
      </w:r>
      <w:r>
        <w:rPr>
          <w:b/>
          <w:spacing w:val="-2"/>
        </w:rPr>
        <w:tab/>
        <w:t xml:space="preserve">Released: </w:t>
      </w:r>
      <w:r w:rsidR="00C1293E">
        <w:rPr>
          <w:b/>
          <w:spacing w:val="-2"/>
        </w:rPr>
        <w:t>September 15, 2017</w:t>
      </w:r>
    </w:p>
    <w:p w14:paraId="4D19C493" w14:textId="77777777" w:rsidR="00373198" w:rsidRDefault="00373198" w:rsidP="00373198"/>
    <w:p w14:paraId="70970A4D" w14:textId="77777777" w:rsidR="00373198" w:rsidRDefault="00373198" w:rsidP="00373198">
      <w:pPr>
        <w:rPr>
          <w:spacing w:val="-2"/>
        </w:rPr>
      </w:pPr>
      <w:r>
        <w:t>By the</w:t>
      </w:r>
      <w:r>
        <w:rPr>
          <w:spacing w:val="-2"/>
        </w:rPr>
        <w:t xml:space="preserve"> Chief, Public Safety and Homeland Security Bureau:</w:t>
      </w:r>
    </w:p>
    <w:p w14:paraId="6D731013" w14:textId="77777777" w:rsidR="00373198" w:rsidRDefault="00373198" w:rsidP="00373198"/>
    <w:p w14:paraId="723C9C84" w14:textId="77777777" w:rsidR="00373198" w:rsidRDefault="00373198" w:rsidP="00373198">
      <w:pPr>
        <w:pStyle w:val="Heading1"/>
      </w:pPr>
      <w:r>
        <w:t>Introduction</w:t>
      </w:r>
    </w:p>
    <w:p w14:paraId="1FAFABBD" w14:textId="3C167092" w:rsidR="00C87645" w:rsidRDefault="00373198" w:rsidP="00373198">
      <w:pPr>
        <w:pStyle w:val="ParaNum"/>
      </w:pPr>
      <w:r>
        <w:t xml:space="preserve">In this </w:t>
      </w:r>
      <w:r>
        <w:rPr>
          <w:i/>
        </w:rPr>
        <w:t>Order</w:t>
      </w:r>
      <w:r>
        <w:t>, the Public Safety and Homeland Security Bureau (Bureau) grants</w:t>
      </w:r>
      <w:r w:rsidR="005C2337">
        <w:t xml:space="preserve"> temporary and conditional relief</w:t>
      </w:r>
      <w:r>
        <w:t xml:space="preserve">, </w:t>
      </w:r>
      <w:r w:rsidR="002A5808">
        <w:t xml:space="preserve">to the extent described herein, </w:t>
      </w:r>
      <w:r w:rsidR="005C2337">
        <w:t xml:space="preserve">in response to </w:t>
      </w:r>
      <w:r>
        <w:t>a petition for a partial waiver of Section 10.220 of the Commission’s rules, filed by the Competitive Carriers Association (CCA) on August 31, 2017</w:t>
      </w:r>
      <w:r w:rsidR="00097D3D">
        <w:t>,</w:t>
      </w:r>
      <w:r>
        <w:rPr>
          <w:rStyle w:val="FootnoteReference"/>
        </w:rPr>
        <w:footnoteReference w:id="1"/>
      </w:r>
      <w:r w:rsidR="00097D3D">
        <w:t xml:space="preserve"> which amplifie</w:t>
      </w:r>
      <w:r w:rsidR="00E95275">
        <w:t>s</w:t>
      </w:r>
      <w:r w:rsidR="00097D3D">
        <w:t xml:space="preserve"> an earlier request for relief filed on August 16, 2017</w:t>
      </w:r>
      <w:r w:rsidR="00E95275">
        <w:t>, for waiver of a deadline for complying with a recently adopted requirement relating to the Wireless Emergency Alert (WEA) program</w:t>
      </w:r>
      <w:r w:rsidR="00097D3D">
        <w:t>.</w:t>
      </w:r>
      <w:r w:rsidR="00097D3D">
        <w:rPr>
          <w:rStyle w:val="FootnoteReference"/>
        </w:rPr>
        <w:footnoteReference w:id="2"/>
      </w:r>
      <w:r>
        <w:t xml:space="preserve">  </w:t>
      </w:r>
    </w:p>
    <w:p w14:paraId="1A4D5849" w14:textId="4DA54180" w:rsidR="00373198" w:rsidRDefault="00E95275" w:rsidP="00373198">
      <w:pPr>
        <w:pStyle w:val="ParaNum"/>
      </w:pPr>
      <w:r>
        <w:t>Specifically, i</w:t>
      </w:r>
      <w:r w:rsidR="00CF6860">
        <w:t xml:space="preserve">n the </w:t>
      </w:r>
      <w:r w:rsidR="00CF6860" w:rsidRPr="009C24EE">
        <w:rPr>
          <w:i/>
        </w:rPr>
        <w:t>August 16 CCA Petition</w:t>
      </w:r>
      <w:r w:rsidR="00CF6860">
        <w:t xml:space="preserve">, CCA requested waiver or extension of the November 1, 2017 deadline for implementation of the embedded references and “best approximates” geo-targeting requirements – requirements that CCA has </w:t>
      </w:r>
      <w:r>
        <w:t xml:space="preserve">asserted would be </w:t>
      </w:r>
      <w:r w:rsidR="00CF6860">
        <w:t>difficult</w:t>
      </w:r>
      <w:r>
        <w:t xml:space="preserve"> to</w:t>
      </w:r>
      <w:r w:rsidR="00CF6860">
        <w:t xml:space="preserve"> meet </w:t>
      </w:r>
      <w:r>
        <w:t xml:space="preserve">and might consequently </w:t>
      </w:r>
      <w:r w:rsidR="00CF6860">
        <w:t xml:space="preserve">prompt members to withdraw their election to participate in WEA.  In the </w:t>
      </w:r>
      <w:r w:rsidR="00CF6860" w:rsidRPr="00E05A1A">
        <w:rPr>
          <w:i/>
        </w:rPr>
        <w:t>August 31 CCA Petition</w:t>
      </w:r>
      <w:r w:rsidR="00CF6860">
        <w:t xml:space="preserve">, CCA sought a </w:t>
      </w:r>
      <w:r w:rsidR="009C21E9">
        <w:t xml:space="preserve">second </w:t>
      </w:r>
      <w:r w:rsidR="00CF6860">
        <w:t xml:space="preserve">waiver, this time a partial one of Section 10.220 of the Commission’s rules, which requires Commercial Mobile Service </w:t>
      </w:r>
      <w:r w:rsidR="009C21E9">
        <w:t xml:space="preserve">(CMS) </w:t>
      </w:r>
      <w:r w:rsidR="00CF6860">
        <w:t>providers participating in the WEA system (Participating CMS Providers) to provide the Federal Communications Commission (FCC or Commission) and affected subscribers 60-days’ notice of their intent to withdraw their election.</w:t>
      </w:r>
      <w:r w:rsidR="00CF6860">
        <w:rPr>
          <w:rStyle w:val="FootnoteReference"/>
        </w:rPr>
        <w:footnoteReference w:id="3"/>
      </w:r>
      <w:r w:rsidR="00CF6860">
        <w:t xml:space="preserve">  </w:t>
      </w:r>
      <w:r w:rsidR="00097D3D">
        <w:t xml:space="preserve">On September 1, 2017, the Bureau granted an interim and temporary waiver </w:t>
      </w:r>
      <w:r w:rsidR="009C21E9">
        <w:t xml:space="preserve">of the 60-day notice </w:t>
      </w:r>
      <w:r w:rsidR="00097D3D">
        <w:t xml:space="preserve">requirement to Participating CMS Providers that are </w:t>
      </w:r>
      <w:r w:rsidR="009C21E9">
        <w:t xml:space="preserve">both </w:t>
      </w:r>
      <w:r w:rsidR="00097D3D">
        <w:t xml:space="preserve">CCA members and supported the </w:t>
      </w:r>
      <w:r w:rsidR="00097D3D" w:rsidRPr="009C24EE">
        <w:rPr>
          <w:i/>
        </w:rPr>
        <w:t>August 31 CCA Petition</w:t>
      </w:r>
      <w:r w:rsidR="009C21E9">
        <w:t>,</w:t>
      </w:r>
      <w:r w:rsidR="00097D3D">
        <w:t xml:space="preserve"> </w:t>
      </w:r>
      <w:r w:rsidR="009C21E9">
        <w:t xml:space="preserve">to provide </w:t>
      </w:r>
      <w:r w:rsidR="00097D3D">
        <w:t xml:space="preserve">the agency </w:t>
      </w:r>
      <w:r w:rsidR="009C21E9">
        <w:t xml:space="preserve">with additional </w:t>
      </w:r>
      <w:r w:rsidR="00097D3D">
        <w:t>time to consider the merits of the request therein.</w:t>
      </w:r>
      <w:r w:rsidR="009C21E9" w:rsidRPr="009C21E9">
        <w:rPr>
          <w:vertAlign w:val="superscript"/>
        </w:rPr>
        <w:footnoteReference w:id="4"/>
      </w:r>
      <w:r w:rsidR="00097D3D">
        <w:t xml:space="preserve">  </w:t>
      </w:r>
      <w:r w:rsidR="00373198" w:rsidRPr="00097D3D">
        <w:t>This</w:t>
      </w:r>
      <w:r w:rsidR="00373198">
        <w:t xml:space="preserve"> </w:t>
      </w:r>
      <w:r w:rsidR="00373198">
        <w:rPr>
          <w:i/>
        </w:rPr>
        <w:t>Order</w:t>
      </w:r>
      <w:r w:rsidR="00373198">
        <w:t xml:space="preserve"> extends the relief granted to members of the C</w:t>
      </w:r>
      <w:r w:rsidR="009C21E9">
        <w:t>CA</w:t>
      </w:r>
      <w:r w:rsidR="00373198">
        <w:t xml:space="preserve"> </w:t>
      </w:r>
      <w:r w:rsidR="009C21E9">
        <w:t xml:space="preserve">specified </w:t>
      </w:r>
      <w:r w:rsidR="00373198">
        <w:t xml:space="preserve">in the Bureau’s September 1, 2017 </w:t>
      </w:r>
      <w:r w:rsidR="00373198" w:rsidRPr="002D3074">
        <w:rPr>
          <w:i/>
        </w:rPr>
        <w:t>Order</w:t>
      </w:r>
      <w:r w:rsidR="009C21E9">
        <w:t>, by</w:t>
      </w:r>
      <w:r w:rsidR="00CF6860">
        <w:t xml:space="preserve"> </w:t>
      </w:r>
      <w:r w:rsidR="00373198">
        <w:t xml:space="preserve"> temporarily waiv</w:t>
      </w:r>
      <w:r w:rsidR="009C21E9">
        <w:t>ing</w:t>
      </w:r>
      <w:r w:rsidR="00373198">
        <w:t xml:space="preserve"> the 60-day notice requirement until </w:t>
      </w:r>
      <w:r w:rsidR="005C2337">
        <w:t xml:space="preserve">30 days after </w:t>
      </w:r>
      <w:r w:rsidR="00373198">
        <w:t xml:space="preserve">the Commission </w:t>
      </w:r>
      <w:r w:rsidR="00275DF0">
        <w:t xml:space="preserve">acts on the merits </w:t>
      </w:r>
      <w:r w:rsidR="00275DF0">
        <w:lastRenderedPageBreak/>
        <w:t>of CCA’s</w:t>
      </w:r>
      <w:r w:rsidR="00373198">
        <w:t xml:space="preserve"> </w:t>
      </w:r>
      <w:r w:rsidR="00CF6860">
        <w:t xml:space="preserve">earlier </w:t>
      </w:r>
      <w:r w:rsidR="00373198">
        <w:rPr>
          <w:i/>
        </w:rPr>
        <w:t>August 16</w:t>
      </w:r>
      <w:r w:rsidR="00373198" w:rsidRPr="002D3074">
        <w:rPr>
          <w:i/>
        </w:rPr>
        <w:t xml:space="preserve"> Petition.</w:t>
      </w:r>
      <w:r w:rsidR="00373198">
        <w:rPr>
          <w:rStyle w:val="FootnoteReference"/>
        </w:rPr>
        <w:footnoteReference w:id="5"/>
      </w:r>
      <w:r w:rsidR="00373198">
        <w:t xml:space="preserve">  </w:t>
      </w:r>
      <w:r w:rsidR="00373198" w:rsidRPr="007B59F2">
        <w:t>However, in order to ensure that this temporary relief is not abused, we condition this waiver on the requirement that no</w:t>
      </w:r>
      <w:r w:rsidR="005220CE">
        <w:t xml:space="preserve"> Participating CMS Providers that are </w:t>
      </w:r>
      <w:r w:rsidR="00373198">
        <w:t xml:space="preserve">CCA members </w:t>
      </w:r>
      <w:r w:rsidR="0042259C">
        <w:t xml:space="preserve">and wish to benefit from this waiver </w:t>
      </w:r>
      <w:r w:rsidR="005220CE">
        <w:t>stop participating</w:t>
      </w:r>
      <w:r w:rsidR="00373198">
        <w:t xml:space="preserve"> in</w:t>
      </w:r>
      <w:r w:rsidR="00373198" w:rsidRPr="007B59F2">
        <w:t xml:space="preserve"> WEA</w:t>
      </w:r>
      <w:r w:rsidR="0027363F">
        <w:t xml:space="preserve"> without providing at least 30-days’ notice.</w:t>
      </w:r>
      <w:r w:rsidR="00373198" w:rsidRPr="007B59F2">
        <w:t xml:space="preserve"> </w:t>
      </w:r>
      <w:r w:rsidR="00373198">
        <w:t xml:space="preserve">  </w:t>
      </w:r>
      <w:r w:rsidR="00373198" w:rsidRPr="007B59F2">
        <w:t xml:space="preserve">  </w:t>
      </w:r>
      <w:r w:rsidR="00373198">
        <w:t xml:space="preserve">   </w:t>
      </w:r>
    </w:p>
    <w:p w14:paraId="2440A464" w14:textId="77777777" w:rsidR="0077295F" w:rsidRDefault="00373198" w:rsidP="0077295F">
      <w:pPr>
        <w:pStyle w:val="Heading1"/>
      </w:pPr>
      <w:r>
        <w:t>DISCUSSION</w:t>
      </w:r>
    </w:p>
    <w:p w14:paraId="5EEF48D3" w14:textId="4C939AA4" w:rsidR="0077295F" w:rsidRDefault="00373198" w:rsidP="00754AA1">
      <w:pPr>
        <w:pStyle w:val="ParaNum"/>
      </w:pPr>
      <w:r>
        <w:t>Section 1.3 authorizes the Commission to waive its rules for good cause.</w:t>
      </w:r>
      <w:r>
        <w:rPr>
          <w:rStyle w:val="FootnoteReference"/>
        </w:rPr>
        <w:footnoteReference w:id="6"/>
      </w:r>
      <w:r>
        <w:t xml:space="preserve">  We find it would serve the public interest to </w:t>
      </w:r>
      <w:r w:rsidR="00A7130B">
        <w:t xml:space="preserve">modify the current </w:t>
      </w:r>
      <w:r>
        <w:t>waive</w:t>
      </w:r>
      <w:r w:rsidR="00A7130B">
        <w:t>r of</w:t>
      </w:r>
      <w:r>
        <w:t xml:space="preserve"> the 60-day prior notice provision of Section 10.220</w:t>
      </w:r>
      <w:r w:rsidR="00A7130B">
        <w:t>, by temporarily waiving the provision</w:t>
      </w:r>
      <w:r>
        <w:t xml:space="preserve"> </w:t>
      </w:r>
      <w:r w:rsidR="00A7130B">
        <w:t>as described herein</w:t>
      </w:r>
      <w:r w:rsidR="0027363F">
        <w:t xml:space="preserve">.  </w:t>
      </w:r>
      <w:r>
        <w:t>CCA states that absent relief, many of its member companies</w:t>
      </w:r>
      <w:r w:rsidR="00130257">
        <w:t xml:space="preserve">, </w:t>
      </w:r>
      <w:r>
        <w:t>would be forced to notify their subscribers of their intent to withdraw from WEA imminently</w:t>
      </w:r>
      <w:r w:rsidR="0027363F">
        <w:t>, without first fully determining whether</w:t>
      </w:r>
      <w:r>
        <w:t xml:space="preserve"> they are able to comply with the Commission’s embedded reference and “best approximates” geo-targeting requirements </w:t>
      </w:r>
      <w:r w:rsidR="00C87645">
        <w:t xml:space="preserve">by their </w:t>
      </w:r>
      <w:r>
        <w:t>effect</w:t>
      </w:r>
      <w:r w:rsidR="00C87645">
        <w:t xml:space="preserve">ive date of </w:t>
      </w:r>
      <w:r>
        <w:t>November 1, 2017.</w:t>
      </w:r>
      <w:r>
        <w:rPr>
          <w:rStyle w:val="FootnoteReference"/>
        </w:rPr>
        <w:footnoteReference w:id="7"/>
      </w:r>
      <w:r>
        <w:t xml:space="preserve">  </w:t>
      </w:r>
      <w:r w:rsidR="00754AA1">
        <w:t xml:space="preserve">Moreover, this situation is being exacerbated by the fact that many carriers’ </w:t>
      </w:r>
      <w:r w:rsidR="00754AA1" w:rsidRPr="00754AA1">
        <w:t xml:space="preserve">limited resources are being further constrained at this time by </w:t>
      </w:r>
      <w:r w:rsidR="00754AA1">
        <w:t xml:space="preserve">the response to </w:t>
      </w:r>
      <w:r w:rsidR="00754AA1" w:rsidRPr="00754AA1">
        <w:t>multiple severe weather events</w:t>
      </w:r>
      <w:r w:rsidR="00007E02">
        <w:t>.</w:t>
      </w:r>
      <w:r w:rsidR="00754AA1" w:rsidRPr="00754AA1">
        <w:t xml:space="preserve">  </w:t>
      </w:r>
      <w:r>
        <w:t xml:space="preserve">This temporary waiver will </w:t>
      </w:r>
      <w:r w:rsidR="00130257">
        <w:t xml:space="preserve">permit these carriers </w:t>
      </w:r>
      <w:r w:rsidR="00754AA1">
        <w:t xml:space="preserve">both </w:t>
      </w:r>
      <w:r w:rsidR="00130257">
        <w:t xml:space="preserve">to </w:t>
      </w:r>
      <w:r w:rsidR="00754AA1">
        <w:t xml:space="preserve">focus </w:t>
      </w:r>
      <w:r w:rsidR="00130257">
        <w:t xml:space="preserve">their limited resources </w:t>
      </w:r>
      <w:r w:rsidR="00754AA1">
        <w:t>on responding to recent storms and figure out whether they will be able to comply with requirements that are scheduled to take effect at the beginning of November</w:t>
      </w:r>
      <w:r w:rsidR="00007E02">
        <w:t>.</w:t>
      </w:r>
      <w:r w:rsidR="00754AA1">
        <w:t xml:space="preserve"> </w:t>
      </w:r>
      <w:r>
        <w:t xml:space="preserve"> </w:t>
      </w:r>
      <w:r w:rsidR="0077295F">
        <w:t xml:space="preserve">We find, however, that it would not serve the public interest if Participating CMS Providers that wish to withdraw from supplying WEA messaging were permitted to do so </w:t>
      </w:r>
      <w:r w:rsidR="0027363F">
        <w:t>without providing customers 30-days’ notice</w:t>
      </w:r>
      <w:r w:rsidR="0077295F">
        <w:t>.  Absent this condition, Participating CMS Providers could withdraw tomorrow from supplying WEA messaging with no customer notice</w:t>
      </w:r>
      <w:r w:rsidR="00754AA1">
        <w:t>, and we do not believe that allowing such an abrupt withdrawal would be in the public interest</w:t>
      </w:r>
      <w:r w:rsidR="0077295F">
        <w:t xml:space="preserve">.  </w:t>
      </w:r>
    </w:p>
    <w:p w14:paraId="1CC99ED8" w14:textId="77777777" w:rsidR="00373198" w:rsidRDefault="00373198" w:rsidP="00373198">
      <w:pPr>
        <w:pStyle w:val="Heading1"/>
      </w:pPr>
      <w:r>
        <w:t>ORDERING CLAUSES</w:t>
      </w:r>
    </w:p>
    <w:p w14:paraId="7DDF9649" w14:textId="261AF7A2" w:rsidR="00373198" w:rsidRDefault="00373198" w:rsidP="00373198">
      <w:pPr>
        <w:pStyle w:val="ParaNum"/>
      </w:pPr>
      <w:r>
        <w:t>Accordingly, IT IS ORDERED that, pursuant to the authority granted by Section 4(i) of the Communications Act, as amended, 47 U.S.C. § 154(i) and Section 1.3 of the Commission’s rules, 47 CFR § 1.3, the notification requirement of Section 10.220 of the Commission’s rules, 47 CFR § 10.220, IS WAIVED to the extent described herein and subject to the condition described herein.</w:t>
      </w:r>
    </w:p>
    <w:p w14:paraId="05957C36" w14:textId="77777777" w:rsidR="00373198" w:rsidRPr="008F153A" w:rsidRDefault="00373198" w:rsidP="00373198">
      <w:pPr>
        <w:pStyle w:val="ParaNum"/>
      </w:pPr>
      <w:r>
        <w:t>This Order is issued pursuant to authority delegated by sections 0.191(e), 0.191(f), and 0.392 of the Commission's rules, 47 CFR § 0.191(e), 0.191(f), and 0.392.</w:t>
      </w:r>
    </w:p>
    <w:p w14:paraId="7E3502AA" w14:textId="3BCF003F" w:rsidR="00C87645" w:rsidRDefault="00C87645" w:rsidP="00C87645">
      <w:pPr>
        <w:ind w:left="4320"/>
        <w:rPr>
          <w:szCs w:val="22"/>
        </w:rPr>
      </w:pPr>
    </w:p>
    <w:p w14:paraId="4206651E" w14:textId="739AD372" w:rsidR="001C5EC2" w:rsidRDefault="006E2479" w:rsidP="00C87645">
      <w:pPr>
        <w:ind w:left="4320"/>
        <w:rPr>
          <w:szCs w:val="22"/>
        </w:rPr>
      </w:pPr>
      <w:r>
        <w:rPr>
          <w:szCs w:val="22"/>
        </w:rPr>
        <w:t>FEDERAL COMMUNICATIONS COMMISSION</w:t>
      </w:r>
    </w:p>
    <w:p w14:paraId="737600DE" w14:textId="77777777" w:rsidR="001C5EC2" w:rsidRPr="00064ACA" w:rsidRDefault="001C5EC2" w:rsidP="00C87645">
      <w:pPr>
        <w:ind w:left="4320"/>
        <w:rPr>
          <w:szCs w:val="22"/>
        </w:rPr>
      </w:pPr>
    </w:p>
    <w:p w14:paraId="52B4263F" w14:textId="27A6E118" w:rsidR="00C87645" w:rsidRPr="00064ACA" w:rsidRDefault="00C87645" w:rsidP="00C87645">
      <w:pPr>
        <w:tabs>
          <w:tab w:val="left" w:pos="3600"/>
        </w:tabs>
        <w:rPr>
          <w:szCs w:val="22"/>
        </w:rPr>
      </w:pPr>
      <w:r w:rsidRPr="00064ACA">
        <w:rPr>
          <w:szCs w:val="22"/>
        </w:rPr>
        <w:tab/>
      </w:r>
      <w:r>
        <w:rPr>
          <w:szCs w:val="22"/>
        </w:rPr>
        <w:tab/>
      </w:r>
      <w:r>
        <w:rPr>
          <w:szCs w:val="22"/>
        </w:rPr>
        <w:tab/>
        <w:t>Lisa M. Fowlkes</w:t>
      </w:r>
    </w:p>
    <w:p w14:paraId="642C2DB4" w14:textId="66C07496" w:rsidR="00C87645" w:rsidRPr="00064ACA" w:rsidRDefault="00C87645" w:rsidP="00C87645">
      <w:pPr>
        <w:tabs>
          <w:tab w:val="left" w:pos="3600"/>
        </w:tabs>
        <w:rPr>
          <w:szCs w:val="22"/>
        </w:rPr>
      </w:pPr>
      <w:r w:rsidRPr="00064ACA">
        <w:rPr>
          <w:szCs w:val="22"/>
        </w:rPr>
        <w:tab/>
      </w:r>
      <w:r>
        <w:rPr>
          <w:szCs w:val="22"/>
        </w:rPr>
        <w:tab/>
      </w:r>
      <w:r>
        <w:rPr>
          <w:szCs w:val="22"/>
        </w:rPr>
        <w:tab/>
      </w:r>
      <w:r w:rsidRPr="00064ACA">
        <w:rPr>
          <w:szCs w:val="22"/>
        </w:rPr>
        <w:t>Chief</w:t>
      </w:r>
    </w:p>
    <w:p w14:paraId="0DE24509" w14:textId="28F990D5" w:rsidR="00C87645" w:rsidRPr="00064ACA" w:rsidRDefault="00C87645" w:rsidP="00C87645">
      <w:pPr>
        <w:tabs>
          <w:tab w:val="left" w:pos="3600"/>
        </w:tabs>
        <w:rPr>
          <w:szCs w:val="22"/>
        </w:rPr>
      </w:pPr>
      <w:r>
        <w:rPr>
          <w:szCs w:val="22"/>
        </w:rPr>
        <w:tab/>
      </w:r>
      <w:r>
        <w:rPr>
          <w:szCs w:val="22"/>
        </w:rPr>
        <w:tab/>
      </w:r>
      <w:r w:rsidRPr="00064ACA">
        <w:rPr>
          <w:szCs w:val="22"/>
        </w:rPr>
        <w:tab/>
        <w:t>Public Safety and Homeland Security Bureau</w:t>
      </w:r>
    </w:p>
    <w:p w14:paraId="3C7F1A4D" w14:textId="77777777" w:rsidR="00C87645" w:rsidRPr="00C838CF" w:rsidRDefault="00C87645" w:rsidP="00C87645">
      <w:r>
        <w:t xml:space="preserve"> </w:t>
      </w:r>
    </w:p>
    <w:p w14:paraId="52CAE9AD" w14:textId="77777777" w:rsidR="007933D6" w:rsidRDefault="007933D6"/>
    <w:sectPr w:rsidR="007933D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BFD98" w14:textId="77777777" w:rsidR="00907122" w:rsidRDefault="00907122" w:rsidP="00373198">
      <w:r>
        <w:separator/>
      </w:r>
    </w:p>
  </w:endnote>
  <w:endnote w:type="continuationSeparator" w:id="0">
    <w:p w14:paraId="0E914BF4" w14:textId="77777777" w:rsidR="00907122" w:rsidRDefault="00907122" w:rsidP="0037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6DA4A" w14:textId="77777777" w:rsidR="0003423D" w:rsidRDefault="008F3D9E" w:rsidP="0055614C">
    <w:pPr>
      <w:pStyle w:val="Footer"/>
      <w:framePr w:wrap="around" w:vAnchor="text" w:hAnchor="margin" w:xAlign="center" w:y="1"/>
    </w:pPr>
    <w:r>
      <w:fldChar w:fldCharType="begin"/>
    </w:r>
    <w:r>
      <w:instrText xml:space="preserve">PAGE  </w:instrText>
    </w:r>
    <w:r>
      <w:fldChar w:fldCharType="end"/>
    </w:r>
  </w:p>
  <w:p w14:paraId="296136E1" w14:textId="77777777" w:rsidR="0003423D" w:rsidRDefault="00B77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A9B7" w14:textId="0F814CD3" w:rsidR="0003423D" w:rsidRDefault="008F3D9E" w:rsidP="0055614C">
    <w:pPr>
      <w:pStyle w:val="Footer"/>
      <w:framePr w:wrap="around" w:vAnchor="text" w:hAnchor="margin" w:xAlign="center" w:y="1"/>
    </w:pPr>
    <w:r>
      <w:fldChar w:fldCharType="begin"/>
    </w:r>
    <w:r>
      <w:instrText xml:space="preserve">PAGE  </w:instrText>
    </w:r>
    <w:r>
      <w:fldChar w:fldCharType="separate"/>
    </w:r>
    <w:r w:rsidR="00B7756F">
      <w:rPr>
        <w:noProof/>
      </w:rPr>
      <w:t>2</w:t>
    </w:r>
    <w:r>
      <w:fldChar w:fldCharType="end"/>
    </w:r>
  </w:p>
  <w:p w14:paraId="49DEB7C2" w14:textId="77777777" w:rsidR="0003423D" w:rsidRDefault="00B7756F">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307D" w14:textId="77777777" w:rsidR="0003423D" w:rsidRDefault="00B7756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6339" w14:textId="77777777" w:rsidR="00907122" w:rsidRDefault="00907122" w:rsidP="00373198">
      <w:r>
        <w:separator/>
      </w:r>
    </w:p>
  </w:footnote>
  <w:footnote w:type="continuationSeparator" w:id="0">
    <w:p w14:paraId="1C0A74E2" w14:textId="77777777" w:rsidR="00907122" w:rsidRDefault="00907122" w:rsidP="00373198">
      <w:r>
        <w:continuationSeparator/>
      </w:r>
    </w:p>
  </w:footnote>
  <w:footnote w:id="1">
    <w:p w14:paraId="419D2150" w14:textId="77777777" w:rsidR="00373198" w:rsidRDefault="00373198" w:rsidP="00373198">
      <w:pPr>
        <w:pStyle w:val="FootnoteText"/>
      </w:pPr>
      <w:r>
        <w:rPr>
          <w:rStyle w:val="FootnoteReference"/>
        </w:rPr>
        <w:footnoteRef/>
      </w:r>
      <w:r>
        <w:rPr>
          <w:i/>
        </w:rPr>
        <w:t xml:space="preserve"> See </w:t>
      </w:r>
      <w:r>
        <w:t xml:space="preserve">Petition of </w:t>
      </w:r>
      <w:r w:rsidRPr="00804E29">
        <w:t>Competitive Carriers Association</w:t>
      </w:r>
      <w:r>
        <w:t xml:space="preserve"> for</w:t>
      </w:r>
      <w:r w:rsidRPr="00804E29">
        <w:rPr>
          <w:i/>
          <w:snapToGrid w:val="0"/>
          <w:kern w:val="28"/>
          <w:sz w:val="22"/>
        </w:rPr>
        <w:t xml:space="preserve"> </w:t>
      </w:r>
      <w:r>
        <w:t>Waiver, PS Docket Nos. 15-91 (filed Aug. 31, 2017) as amended by Letter from Rebecca Thompson to Marlene Dortch, Secretary, Federal Communications Commission, PS Docket No. 15-91 (filed Sept. 1, 2017) (</w:t>
      </w:r>
      <w:r>
        <w:rPr>
          <w:i/>
        </w:rPr>
        <w:t>August 31 CCA Petition</w:t>
      </w:r>
      <w:r>
        <w:t xml:space="preserve">).  </w:t>
      </w:r>
    </w:p>
  </w:footnote>
  <w:footnote w:id="2">
    <w:p w14:paraId="312E566A" w14:textId="36A8E35F" w:rsidR="00097D3D" w:rsidRDefault="00097D3D">
      <w:pPr>
        <w:pStyle w:val="FootnoteText"/>
      </w:pPr>
      <w:r>
        <w:rPr>
          <w:rStyle w:val="FootnoteReference"/>
        </w:rPr>
        <w:footnoteRef/>
      </w:r>
      <w:r>
        <w:t xml:space="preserve"> </w:t>
      </w:r>
      <w:r>
        <w:rPr>
          <w:i/>
        </w:rPr>
        <w:t xml:space="preserve">See </w:t>
      </w:r>
      <w:r>
        <w:t>Petition of Competitive Carriers Association for Waiver, or in the Alternative, Extension of Time, PS Docket No. 15-91 (filed Aug. 16, 2017) (</w:t>
      </w:r>
      <w:r>
        <w:rPr>
          <w:i/>
        </w:rPr>
        <w:t>August 16 CCA Petition</w:t>
      </w:r>
      <w:r>
        <w:t>)</w:t>
      </w:r>
      <w:r w:rsidR="00CF6860">
        <w:t xml:space="preserve"> (seeking a waiver or extension of time to comply with the Commission’s November 1, 2017 deadline for transmitting WEA messages capable of meeting newly adopted requirements to include embedded references in WEA messages and to geo-target WEA messages)</w:t>
      </w:r>
      <w:r>
        <w:t>.</w:t>
      </w:r>
    </w:p>
  </w:footnote>
  <w:footnote w:id="3">
    <w:p w14:paraId="120F778B" w14:textId="50529E13" w:rsidR="00CF6860" w:rsidRDefault="00CF6860" w:rsidP="00CF6860">
      <w:pPr>
        <w:pStyle w:val="FootnoteText"/>
      </w:pPr>
      <w:r>
        <w:rPr>
          <w:rStyle w:val="FootnoteReference"/>
        </w:rPr>
        <w:footnoteRef/>
      </w:r>
      <w:r>
        <w:t xml:space="preserve"> </w:t>
      </w:r>
      <w:r>
        <w:rPr>
          <w:i/>
        </w:rPr>
        <w:t xml:space="preserve">See supra </w:t>
      </w:r>
      <w:r w:rsidRPr="009C24EE">
        <w:t>note 1</w:t>
      </w:r>
      <w:r>
        <w:t xml:space="preserve"> (seeking thirty additional days beyond September 1, 2017, to decide whether affected CCA members could meet the Commission’s November 1, 2017 deadline for enhancements to WEA)</w:t>
      </w:r>
      <w:r>
        <w:rPr>
          <w:i/>
        </w:rPr>
        <w:t xml:space="preserve">; </w:t>
      </w:r>
      <w:r>
        <w:t>47 C.F.R. § 10.220.</w:t>
      </w:r>
    </w:p>
  </w:footnote>
  <w:footnote w:id="4">
    <w:p w14:paraId="57BDECF5" w14:textId="677D10C8" w:rsidR="009C21E9" w:rsidRPr="00154908" w:rsidRDefault="009C21E9" w:rsidP="009C21E9">
      <w:pPr>
        <w:pStyle w:val="FootnoteText"/>
      </w:pPr>
      <w:r>
        <w:rPr>
          <w:rStyle w:val="FootnoteReference"/>
        </w:rPr>
        <w:footnoteRef/>
      </w:r>
      <w:r>
        <w:t xml:space="preserve"> </w:t>
      </w:r>
      <w:r>
        <w:rPr>
          <w:i/>
        </w:rPr>
        <w:t>See Wireless Emergency Alerts</w:t>
      </w:r>
      <w:r>
        <w:t>, PS Docket No. 15-91, Order, DA 17-835 (PSHSB Sep. 1, 2017)</w:t>
      </w:r>
      <w:r w:rsidR="00007E02">
        <w:t xml:space="preserve"> (</w:t>
      </w:r>
      <w:r w:rsidR="00007E02" w:rsidRPr="00007E02">
        <w:t>temporarily waiv</w:t>
      </w:r>
      <w:r w:rsidR="00007E02">
        <w:t>ing</w:t>
      </w:r>
      <w:r w:rsidR="00007E02" w:rsidRPr="00007E02">
        <w:t xml:space="preserve"> the 60-day notice requirement until the Commission or the Bureau acts on the merits of the August 31 </w:t>
      </w:r>
      <w:r w:rsidR="00007E02" w:rsidRPr="00C447BD">
        <w:rPr>
          <w:i/>
        </w:rPr>
        <w:t>CCA Petition</w:t>
      </w:r>
      <w:r w:rsidR="00007E02">
        <w:t>)</w:t>
      </w:r>
      <w:r>
        <w:t xml:space="preserve">. </w:t>
      </w:r>
    </w:p>
  </w:footnote>
  <w:footnote w:id="5">
    <w:p w14:paraId="1E98B961" w14:textId="45C63702" w:rsidR="00373198" w:rsidRPr="004F3EBC" w:rsidRDefault="00373198" w:rsidP="00373198">
      <w:pPr>
        <w:pStyle w:val="FootnoteText"/>
      </w:pPr>
      <w:r>
        <w:rPr>
          <w:rStyle w:val="FootnoteReference"/>
        </w:rPr>
        <w:footnoteRef/>
      </w:r>
      <w:r>
        <w:t xml:space="preserve"> </w:t>
      </w:r>
      <w:r>
        <w:rPr>
          <w:i/>
        </w:rPr>
        <w:t xml:space="preserve">See </w:t>
      </w:r>
      <w:r w:rsidR="00CF6860">
        <w:rPr>
          <w:i/>
        </w:rPr>
        <w:t xml:space="preserve">supra </w:t>
      </w:r>
      <w:r w:rsidR="00CF6860">
        <w:t>note 2.</w:t>
      </w:r>
    </w:p>
  </w:footnote>
  <w:footnote w:id="6">
    <w:p w14:paraId="640C72B0" w14:textId="77777777" w:rsidR="00373198" w:rsidRDefault="00373198" w:rsidP="00373198">
      <w:pPr>
        <w:pStyle w:val="FootnoteText"/>
      </w:pPr>
      <w:r>
        <w:rPr>
          <w:rStyle w:val="FootnoteReference"/>
        </w:rPr>
        <w:footnoteRef/>
      </w:r>
      <w:r>
        <w:t xml:space="preserve"> </w:t>
      </w:r>
      <w:r w:rsidRPr="00476E7C">
        <w:rPr>
          <w:i/>
        </w:rPr>
        <w:t>See</w:t>
      </w:r>
      <w:r>
        <w:t xml:space="preserve"> 47 CFR § 1.3 (“Any provision of the rules may be waived by the Commission on its own motion or on petition if good cause therefore is shown.”); </w:t>
      </w:r>
      <w:r w:rsidRPr="00476E7C">
        <w:rPr>
          <w:i/>
        </w:rPr>
        <w:t>see also</w:t>
      </w:r>
      <w:r>
        <w:t xml:space="preserve"> </w:t>
      </w:r>
      <w:r w:rsidRPr="009C24EE">
        <w:rPr>
          <w:i/>
        </w:rPr>
        <w:t>Northeast Cellular Telephone Co. v. FCC</w:t>
      </w:r>
      <w:r>
        <w:t xml:space="preserve">, 897 F.2d 1164, 1166 (D.C. Cir. 1990) (citing </w:t>
      </w:r>
      <w:r w:rsidRPr="00B752BA">
        <w:rPr>
          <w:i/>
        </w:rPr>
        <w:t>WAIT Radio v. FCC</w:t>
      </w:r>
      <w:r>
        <w:t>, 418 F.2d 1153, 1159 (D.C. Cir. 1969) (waivers must show special circumstances warranting a deviation from the general rule, and show such a deviation will serve the public interest)).</w:t>
      </w:r>
    </w:p>
  </w:footnote>
  <w:footnote w:id="7">
    <w:p w14:paraId="4C98A978" w14:textId="77777777" w:rsidR="00373198" w:rsidRPr="00154D3F" w:rsidRDefault="00373198" w:rsidP="00373198">
      <w:pPr>
        <w:pStyle w:val="FootnoteText"/>
      </w:pPr>
      <w:r>
        <w:rPr>
          <w:rStyle w:val="FootnoteReference"/>
        </w:rPr>
        <w:footnoteRef/>
      </w:r>
      <w:r>
        <w:t xml:space="preserve"> </w:t>
      </w:r>
      <w:r>
        <w:rPr>
          <w:i/>
        </w:rPr>
        <w:t xml:space="preserve">See </w:t>
      </w:r>
      <w:r>
        <w:t>47 CFR § 10.220 (requiring that CMS Providers provide 60-days’ notice to the Commission and subscribers of their intention to withdraw from WEA participation).  Accordingly, these CCA members would be forced to render that decision before the Commission acted on their requests for an extension of those compliance deadlines.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B9920" w14:textId="77777777" w:rsidR="00370EFA" w:rsidRDefault="00370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7EF5" w14:textId="6283C42C" w:rsidR="0003423D" w:rsidRDefault="008F3D9E" w:rsidP="00810B6F">
    <w:pPr>
      <w:pStyle w:val="Header"/>
      <w:rPr>
        <w:b w:val="0"/>
      </w:rPr>
    </w:pPr>
    <w:r>
      <w:tab/>
      <w:t>Federal Communications Commission</w:t>
    </w:r>
    <w:r>
      <w:tab/>
    </w:r>
    <w:r w:rsidR="00373198">
      <w:t>DA</w:t>
    </w:r>
    <w:r w:rsidR="00C1293E">
      <w:t xml:space="preserve"> 17</w:t>
    </w:r>
    <w:r>
      <w:t>-</w:t>
    </w:r>
    <w:r w:rsidR="00C1293E">
      <w:t>903</w:t>
    </w:r>
  </w:p>
  <w:p w14:paraId="55FB8719" w14:textId="77777777" w:rsidR="0003423D" w:rsidRDefault="008F3D9E">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0B8D9175" wp14:editId="5111E947">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5F613EC"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D7A9AEE" w14:textId="77777777" w:rsidR="0003423D" w:rsidRDefault="00B7756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23FB" w14:textId="300A7DCB" w:rsidR="0003423D" w:rsidRDefault="008F3D9E" w:rsidP="00810B6F">
    <w:pPr>
      <w:pStyle w:val="Header"/>
      <w:rPr>
        <w:b w:val="0"/>
      </w:rPr>
    </w:pPr>
    <w:r>
      <w:rPr>
        <w:noProof/>
      </w:rPr>
      <mc:AlternateContent>
        <mc:Choice Requires="wps">
          <w:drawing>
            <wp:anchor distT="0" distB="0" distL="114300" distR="114300" simplePos="0" relativeHeight="251660288" behindDoc="1" locked="0" layoutInCell="0" allowOverlap="1" wp14:anchorId="372F3657" wp14:editId="29447083">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697C1FA"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C1293E">
      <w:rPr>
        <w:spacing w:val="-2"/>
      </w:rPr>
      <w:t>17</w:t>
    </w:r>
    <w:r>
      <w:rPr>
        <w:spacing w:val="-2"/>
      </w:rPr>
      <w:t>-</w:t>
    </w:r>
    <w:r w:rsidR="00C1293E">
      <w:rPr>
        <w:spacing w:val="-2"/>
      </w:rPr>
      <w:t>903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5"/>
    <w:lvlOverride w:ilvl="0">
      <w:startOverride w:val="1"/>
    </w:lvlOverride>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98"/>
    <w:rsid w:val="00007E02"/>
    <w:rsid w:val="00015058"/>
    <w:rsid w:val="00097D3D"/>
    <w:rsid w:val="000A3870"/>
    <w:rsid w:val="000D6DC4"/>
    <w:rsid w:val="000F7DB3"/>
    <w:rsid w:val="00130257"/>
    <w:rsid w:val="00144F26"/>
    <w:rsid w:val="001C5EC2"/>
    <w:rsid w:val="00221394"/>
    <w:rsid w:val="0027363F"/>
    <w:rsid w:val="00275DF0"/>
    <w:rsid w:val="002A5808"/>
    <w:rsid w:val="003108B6"/>
    <w:rsid w:val="00370EFA"/>
    <w:rsid w:val="00373198"/>
    <w:rsid w:val="004119C7"/>
    <w:rsid w:val="0042259C"/>
    <w:rsid w:val="00426FE9"/>
    <w:rsid w:val="004A1308"/>
    <w:rsid w:val="004C6972"/>
    <w:rsid w:val="005220CE"/>
    <w:rsid w:val="005C2337"/>
    <w:rsid w:val="00672F37"/>
    <w:rsid w:val="006E2479"/>
    <w:rsid w:val="00754AA1"/>
    <w:rsid w:val="0077295F"/>
    <w:rsid w:val="007933D6"/>
    <w:rsid w:val="008C7511"/>
    <w:rsid w:val="008E3E71"/>
    <w:rsid w:val="008F3D9E"/>
    <w:rsid w:val="00904B16"/>
    <w:rsid w:val="00907122"/>
    <w:rsid w:val="009A346C"/>
    <w:rsid w:val="009C21E9"/>
    <w:rsid w:val="009C24EE"/>
    <w:rsid w:val="00A7130B"/>
    <w:rsid w:val="00B32E30"/>
    <w:rsid w:val="00B7756F"/>
    <w:rsid w:val="00BC726E"/>
    <w:rsid w:val="00BE5E95"/>
    <w:rsid w:val="00C1293E"/>
    <w:rsid w:val="00C447BD"/>
    <w:rsid w:val="00C87645"/>
    <w:rsid w:val="00CC4213"/>
    <w:rsid w:val="00CF1570"/>
    <w:rsid w:val="00CF6860"/>
    <w:rsid w:val="00E45DD6"/>
    <w:rsid w:val="00E95275"/>
    <w:rsid w:val="00F84CD8"/>
    <w:rsid w:val="00FA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1D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B7756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7756F"/>
    <w:pPr>
      <w:keepNext/>
      <w:numPr>
        <w:ilvl w:val="1"/>
        <w:numId w:val="2"/>
      </w:numPr>
      <w:spacing w:after="120"/>
      <w:outlineLvl w:val="1"/>
    </w:pPr>
    <w:rPr>
      <w:b/>
    </w:rPr>
  </w:style>
  <w:style w:type="paragraph" w:styleId="Heading3">
    <w:name w:val="heading 3"/>
    <w:basedOn w:val="Normal"/>
    <w:next w:val="ParaNum"/>
    <w:link w:val="Heading3Char"/>
    <w:qFormat/>
    <w:rsid w:val="00B7756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7756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7756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7756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7756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7756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7756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75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56F"/>
  </w:style>
  <w:style w:type="character" w:customStyle="1" w:styleId="Heading1Char">
    <w:name w:val="Heading 1 Char"/>
    <w:basedOn w:val="DefaultParagraphFont"/>
    <w:link w:val="Heading1"/>
    <w:rsid w:val="0037319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7319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37319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7319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37319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37319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7319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7319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37319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B7756F"/>
    <w:pPr>
      <w:numPr>
        <w:numId w:val="1"/>
      </w:numPr>
      <w:tabs>
        <w:tab w:val="clear" w:pos="1080"/>
        <w:tab w:val="num" w:pos="1440"/>
      </w:tabs>
      <w:spacing w:after="12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B7756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373198"/>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B7756F"/>
    <w:rPr>
      <w:rFonts w:ascii="Times New Roman" w:hAnsi="Times New Roman"/>
      <w:dstrike w:val="0"/>
      <w:color w:val="auto"/>
      <w:sz w:val="20"/>
      <w:vertAlign w:val="superscript"/>
    </w:rPr>
  </w:style>
  <w:style w:type="paragraph" w:styleId="TOAHeading">
    <w:name w:val="toa heading"/>
    <w:basedOn w:val="Normal"/>
    <w:next w:val="Normal"/>
    <w:semiHidden/>
    <w:rsid w:val="00B7756F"/>
    <w:pPr>
      <w:tabs>
        <w:tab w:val="right" w:pos="9360"/>
      </w:tabs>
      <w:suppressAutoHyphens/>
    </w:pPr>
  </w:style>
  <w:style w:type="paragraph" w:styleId="Header">
    <w:name w:val="header"/>
    <w:basedOn w:val="Normal"/>
    <w:link w:val="HeaderChar"/>
    <w:autoRedefine/>
    <w:rsid w:val="00B7756F"/>
    <w:pPr>
      <w:tabs>
        <w:tab w:val="center" w:pos="4680"/>
        <w:tab w:val="right" w:pos="9360"/>
      </w:tabs>
    </w:pPr>
    <w:rPr>
      <w:b/>
    </w:rPr>
  </w:style>
  <w:style w:type="character" w:customStyle="1" w:styleId="HeaderChar">
    <w:name w:val="Header Char"/>
    <w:basedOn w:val="DefaultParagraphFont"/>
    <w:link w:val="Header"/>
    <w:rsid w:val="00373198"/>
    <w:rPr>
      <w:rFonts w:ascii="Times New Roman" w:eastAsia="Times New Roman" w:hAnsi="Times New Roman" w:cs="Times New Roman"/>
      <w:b/>
      <w:snapToGrid w:val="0"/>
      <w:kern w:val="28"/>
      <w:szCs w:val="20"/>
    </w:rPr>
  </w:style>
  <w:style w:type="paragraph" w:styleId="Footer">
    <w:name w:val="footer"/>
    <w:basedOn w:val="Normal"/>
    <w:link w:val="FooterChar"/>
    <w:rsid w:val="00B7756F"/>
    <w:pPr>
      <w:tabs>
        <w:tab w:val="center" w:pos="4320"/>
        <w:tab w:val="right" w:pos="8640"/>
      </w:tabs>
    </w:pPr>
  </w:style>
  <w:style w:type="character" w:customStyle="1" w:styleId="FooterChar">
    <w:name w:val="Footer Char"/>
    <w:basedOn w:val="DefaultParagraphFont"/>
    <w:link w:val="Footer"/>
    <w:rsid w:val="00373198"/>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B7756F"/>
    <w:pPr>
      <w:jc w:val="center"/>
    </w:pPr>
    <w:rPr>
      <w:rFonts w:ascii="Times New Roman Bold" w:hAnsi="Times New Roman Bold"/>
      <w:b/>
      <w:bCs/>
      <w:caps/>
      <w:szCs w:val="22"/>
    </w:rPr>
  </w:style>
  <w:style w:type="character" w:customStyle="1" w:styleId="ParaNumChar">
    <w:name w:val="ParaNum Char"/>
    <w:link w:val="ParaNum"/>
    <w:locked/>
    <w:rsid w:val="00373198"/>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426FE9"/>
    <w:rPr>
      <w:sz w:val="16"/>
      <w:szCs w:val="16"/>
    </w:rPr>
  </w:style>
  <w:style w:type="paragraph" w:styleId="CommentText">
    <w:name w:val="annotation text"/>
    <w:basedOn w:val="Normal"/>
    <w:link w:val="CommentTextChar"/>
    <w:uiPriority w:val="99"/>
    <w:semiHidden/>
    <w:unhideWhenUsed/>
    <w:rsid w:val="00426FE9"/>
    <w:rPr>
      <w:sz w:val="20"/>
    </w:rPr>
  </w:style>
  <w:style w:type="character" w:customStyle="1" w:styleId="CommentTextChar">
    <w:name w:val="Comment Text Char"/>
    <w:basedOn w:val="DefaultParagraphFont"/>
    <w:link w:val="CommentText"/>
    <w:uiPriority w:val="99"/>
    <w:semiHidden/>
    <w:rsid w:val="00426FE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426FE9"/>
    <w:rPr>
      <w:b/>
      <w:bCs/>
    </w:rPr>
  </w:style>
  <w:style w:type="character" w:customStyle="1" w:styleId="CommentSubjectChar">
    <w:name w:val="Comment Subject Char"/>
    <w:basedOn w:val="CommentTextChar"/>
    <w:link w:val="CommentSubject"/>
    <w:uiPriority w:val="99"/>
    <w:semiHidden/>
    <w:rsid w:val="00426FE9"/>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426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E9"/>
    <w:rPr>
      <w:rFonts w:ascii="Segoe UI" w:eastAsia="Times New Roman" w:hAnsi="Segoe UI" w:cs="Segoe UI"/>
      <w:snapToGrid w:val="0"/>
      <w:kern w:val="28"/>
      <w:sz w:val="18"/>
      <w:szCs w:val="18"/>
    </w:rPr>
  </w:style>
  <w:style w:type="paragraph" w:styleId="EndnoteText">
    <w:name w:val="endnote text"/>
    <w:basedOn w:val="Normal"/>
    <w:link w:val="EndnoteTextChar"/>
    <w:semiHidden/>
    <w:rsid w:val="00B7756F"/>
    <w:rPr>
      <w:sz w:val="20"/>
    </w:rPr>
  </w:style>
  <w:style w:type="character" w:customStyle="1" w:styleId="EndnoteTextChar">
    <w:name w:val="Endnote Text Char"/>
    <w:basedOn w:val="DefaultParagraphFont"/>
    <w:link w:val="EndnoteText"/>
    <w:semiHidden/>
    <w:rsid w:val="000F7DB3"/>
    <w:rPr>
      <w:rFonts w:ascii="Times New Roman" w:eastAsia="Times New Roman" w:hAnsi="Times New Roman" w:cs="Times New Roman"/>
      <w:snapToGrid w:val="0"/>
      <w:kern w:val="28"/>
      <w:sz w:val="20"/>
      <w:szCs w:val="20"/>
    </w:rPr>
  </w:style>
  <w:style w:type="character" w:styleId="EndnoteReference">
    <w:name w:val="endnote reference"/>
    <w:semiHidden/>
    <w:rsid w:val="00B7756F"/>
    <w:rPr>
      <w:vertAlign w:val="superscript"/>
    </w:rPr>
  </w:style>
  <w:style w:type="paragraph" w:styleId="TOC1">
    <w:name w:val="toc 1"/>
    <w:basedOn w:val="Normal"/>
    <w:next w:val="Normal"/>
    <w:semiHidden/>
    <w:rsid w:val="00B775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756F"/>
    <w:pPr>
      <w:tabs>
        <w:tab w:val="left" w:pos="720"/>
        <w:tab w:val="right" w:leader="dot" w:pos="9360"/>
      </w:tabs>
      <w:suppressAutoHyphens/>
      <w:ind w:left="720" w:right="720" w:hanging="360"/>
    </w:pPr>
    <w:rPr>
      <w:noProof/>
    </w:rPr>
  </w:style>
  <w:style w:type="paragraph" w:styleId="TOC3">
    <w:name w:val="toc 3"/>
    <w:basedOn w:val="Normal"/>
    <w:next w:val="Normal"/>
    <w:semiHidden/>
    <w:rsid w:val="00B775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75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75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75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75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75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756F"/>
    <w:pPr>
      <w:tabs>
        <w:tab w:val="left" w:pos="3240"/>
        <w:tab w:val="right" w:leader="dot" w:pos="9360"/>
      </w:tabs>
      <w:suppressAutoHyphens/>
      <w:ind w:left="3240" w:hanging="360"/>
    </w:pPr>
    <w:rPr>
      <w:noProof/>
    </w:rPr>
  </w:style>
  <w:style w:type="character" w:customStyle="1" w:styleId="EquationCaption">
    <w:name w:val="_Equation Caption"/>
    <w:rsid w:val="00B7756F"/>
  </w:style>
  <w:style w:type="character" w:styleId="PageNumber">
    <w:name w:val="page number"/>
    <w:basedOn w:val="DefaultParagraphFont"/>
    <w:rsid w:val="00B7756F"/>
  </w:style>
  <w:style w:type="paragraph" w:styleId="BlockText">
    <w:name w:val="Block Text"/>
    <w:basedOn w:val="Normal"/>
    <w:rsid w:val="00B7756F"/>
    <w:pPr>
      <w:spacing w:after="240"/>
      <w:ind w:left="1440" w:right="1440"/>
    </w:pPr>
  </w:style>
  <w:style w:type="paragraph" w:customStyle="1" w:styleId="Paratitle">
    <w:name w:val="Para title"/>
    <w:basedOn w:val="Normal"/>
    <w:rsid w:val="00B7756F"/>
    <w:pPr>
      <w:tabs>
        <w:tab w:val="center" w:pos="9270"/>
      </w:tabs>
      <w:spacing w:after="240"/>
    </w:pPr>
    <w:rPr>
      <w:spacing w:val="-2"/>
    </w:rPr>
  </w:style>
  <w:style w:type="paragraph" w:customStyle="1" w:styleId="Bullet">
    <w:name w:val="Bullet"/>
    <w:basedOn w:val="Normal"/>
    <w:rsid w:val="00B7756F"/>
    <w:pPr>
      <w:tabs>
        <w:tab w:val="left" w:pos="2160"/>
      </w:tabs>
      <w:spacing w:after="220"/>
      <w:ind w:left="2160" w:hanging="720"/>
    </w:pPr>
  </w:style>
  <w:style w:type="paragraph" w:customStyle="1" w:styleId="TableFormat">
    <w:name w:val="TableFormat"/>
    <w:basedOn w:val="Bullet"/>
    <w:rsid w:val="00B7756F"/>
    <w:pPr>
      <w:tabs>
        <w:tab w:val="clear" w:pos="2160"/>
        <w:tab w:val="left" w:pos="5040"/>
      </w:tabs>
      <w:ind w:left="5040" w:hanging="3600"/>
    </w:pPr>
  </w:style>
  <w:style w:type="paragraph" w:customStyle="1" w:styleId="TOCTitle">
    <w:name w:val="TOC Title"/>
    <w:basedOn w:val="Normal"/>
    <w:rsid w:val="00B7756F"/>
    <w:pPr>
      <w:spacing w:before="240" w:after="240"/>
      <w:jc w:val="center"/>
    </w:pPr>
    <w:rPr>
      <w:rFonts w:ascii="Times New Roman Bold" w:hAnsi="Times New Roman Bold"/>
      <w:b/>
      <w:caps/>
      <w:spacing w:val="-2"/>
    </w:rPr>
  </w:style>
  <w:style w:type="character" w:styleId="Hyperlink">
    <w:name w:val="Hyperlink"/>
    <w:rsid w:val="00B775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F"/>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B7756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7756F"/>
    <w:pPr>
      <w:keepNext/>
      <w:numPr>
        <w:ilvl w:val="1"/>
        <w:numId w:val="2"/>
      </w:numPr>
      <w:spacing w:after="120"/>
      <w:outlineLvl w:val="1"/>
    </w:pPr>
    <w:rPr>
      <w:b/>
    </w:rPr>
  </w:style>
  <w:style w:type="paragraph" w:styleId="Heading3">
    <w:name w:val="heading 3"/>
    <w:basedOn w:val="Normal"/>
    <w:next w:val="ParaNum"/>
    <w:link w:val="Heading3Char"/>
    <w:qFormat/>
    <w:rsid w:val="00B7756F"/>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7756F"/>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7756F"/>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7756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7756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7756F"/>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7756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75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56F"/>
  </w:style>
  <w:style w:type="character" w:customStyle="1" w:styleId="Heading1Char">
    <w:name w:val="Heading 1 Char"/>
    <w:basedOn w:val="DefaultParagraphFont"/>
    <w:link w:val="Heading1"/>
    <w:rsid w:val="0037319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7319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37319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7319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37319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37319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7319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7319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373198"/>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B7756F"/>
    <w:pPr>
      <w:numPr>
        <w:numId w:val="1"/>
      </w:numPr>
      <w:tabs>
        <w:tab w:val="clear" w:pos="1080"/>
        <w:tab w:val="num" w:pos="1440"/>
      </w:tabs>
      <w:spacing w:after="12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link w:val="FootnoteTextChar"/>
    <w:rsid w:val="00B7756F"/>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rsid w:val="00373198"/>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17,Footnote Reference/,Style 6,Style 7,Style 4,Footnote Reference1,Style 34,Style 9,Style 20,callout,-E Funotenzeichen"/>
    <w:rsid w:val="00B7756F"/>
    <w:rPr>
      <w:rFonts w:ascii="Times New Roman" w:hAnsi="Times New Roman"/>
      <w:dstrike w:val="0"/>
      <w:color w:val="auto"/>
      <w:sz w:val="20"/>
      <w:vertAlign w:val="superscript"/>
    </w:rPr>
  </w:style>
  <w:style w:type="paragraph" w:styleId="TOAHeading">
    <w:name w:val="toa heading"/>
    <w:basedOn w:val="Normal"/>
    <w:next w:val="Normal"/>
    <w:semiHidden/>
    <w:rsid w:val="00B7756F"/>
    <w:pPr>
      <w:tabs>
        <w:tab w:val="right" w:pos="9360"/>
      </w:tabs>
      <w:suppressAutoHyphens/>
    </w:pPr>
  </w:style>
  <w:style w:type="paragraph" w:styleId="Header">
    <w:name w:val="header"/>
    <w:basedOn w:val="Normal"/>
    <w:link w:val="HeaderChar"/>
    <w:autoRedefine/>
    <w:rsid w:val="00B7756F"/>
    <w:pPr>
      <w:tabs>
        <w:tab w:val="center" w:pos="4680"/>
        <w:tab w:val="right" w:pos="9360"/>
      </w:tabs>
    </w:pPr>
    <w:rPr>
      <w:b/>
    </w:rPr>
  </w:style>
  <w:style w:type="character" w:customStyle="1" w:styleId="HeaderChar">
    <w:name w:val="Header Char"/>
    <w:basedOn w:val="DefaultParagraphFont"/>
    <w:link w:val="Header"/>
    <w:rsid w:val="00373198"/>
    <w:rPr>
      <w:rFonts w:ascii="Times New Roman" w:eastAsia="Times New Roman" w:hAnsi="Times New Roman" w:cs="Times New Roman"/>
      <w:b/>
      <w:snapToGrid w:val="0"/>
      <w:kern w:val="28"/>
      <w:szCs w:val="20"/>
    </w:rPr>
  </w:style>
  <w:style w:type="paragraph" w:styleId="Footer">
    <w:name w:val="footer"/>
    <w:basedOn w:val="Normal"/>
    <w:link w:val="FooterChar"/>
    <w:rsid w:val="00B7756F"/>
    <w:pPr>
      <w:tabs>
        <w:tab w:val="center" w:pos="4320"/>
        <w:tab w:val="right" w:pos="8640"/>
      </w:tabs>
    </w:pPr>
  </w:style>
  <w:style w:type="character" w:customStyle="1" w:styleId="FooterChar">
    <w:name w:val="Footer Char"/>
    <w:basedOn w:val="DefaultParagraphFont"/>
    <w:link w:val="Footer"/>
    <w:rsid w:val="00373198"/>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B7756F"/>
    <w:pPr>
      <w:jc w:val="center"/>
    </w:pPr>
    <w:rPr>
      <w:rFonts w:ascii="Times New Roman Bold" w:hAnsi="Times New Roman Bold"/>
      <w:b/>
      <w:bCs/>
      <w:caps/>
      <w:szCs w:val="22"/>
    </w:rPr>
  </w:style>
  <w:style w:type="character" w:customStyle="1" w:styleId="ParaNumChar">
    <w:name w:val="ParaNum Char"/>
    <w:link w:val="ParaNum"/>
    <w:locked/>
    <w:rsid w:val="00373198"/>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426FE9"/>
    <w:rPr>
      <w:sz w:val="16"/>
      <w:szCs w:val="16"/>
    </w:rPr>
  </w:style>
  <w:style w:type="paragraph" w:styleId="CommentText">
    <w:name w:val="annotation text"/>
    <w:basedOn w:val="Normal"/>
    <w:link w:val="CommentTextChar"/>
    <w:uiPriority w:val="99"/>
    <w:semiHidden/>
    <w:unhideWhenUsed/>
    <w:rsid w:val="00426FE9"/>
    <w:rPr>
      <w:sz w:val="20"/>
    </w:rPr>
  </w:style>
  <w:style w:type="character" w:customStyle="1" w:styleId="CommentTextChar">
    <w:name w:val="Comment Text Char"/>
    <w:basedOn w:val="DefaultParagraphFont"/>
    <w:link w:val="CommentText"/>
    <w:uiPriority w:val="99"/>
    <w:semiHidden/>
    <w:rsid w:val="00426FE9"/>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426FE9"/>
    <w:rPr>
      <w:b/>
      <w:bCs/>
    </w:rPr>
  </w:style>
  <w:style w:type="character" w:customStyle="1" w:styleId="CommentSubjectChar">
    <w:name w:val="Comment Subject Char"/>
    <w:basedOn w:val="CommentTextChar"/>
    <w:link w:val="CommentSubject"/>
    <w:uiPriority w:val="99"/>
    <w:semiHidden/>
    <w:rsid w:val="00426FE9"/>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426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E9"/>
    <w:rPr>
      <w:rFonts w:ascii="Segoe UI" w:eastAsia="Times New Roman" w:hAnsi="Segoe UI" w:cs="Segoe UI"/>
      <w:snapToGrid w:val="0"/>
      <w:kern w:val="28"/>
      <w:sz w:val="18"/>
      <w:szCs w:val="18"/>
    </w:rPr>
  </w:style>
  <w:style w:type="paragraph" w:styleId="EndnoteText">
    <w:name w:val="endnote text"/>
    <w:basedOn w:val="Normal"/>
    <w:link w:val="EndnoteTextChar"/>
    <w:semiHidden/>
    <w:rsid w:val="00B7756F"/>
    <w:rPr>
      <w:sz w:val="20"/>
    </w:rPr>
  </w:style>
  <w:style w:type="character" w:customStyle="1" w:styleId="EndnoteTextChar">
    <w:name w:val="Endnote Text Char"/>
    <w:basedOn w:val="DefaultParagraphFont"/>
    <w:link w:val="EndnoteText"/>
    <w:semiHidden/>
    <w:rsid w:val="000F7DB3"/>
    <w:rPr>
      <w:rFonts w:ascii="Times New Roman" w:eastAsia="Times New Roman" w:hAnsi="Times New Roman" w:cs="Times New Roman"/>
      <w:snapToGrid w:val="0"/>
      <w:kern w:val="28"/>
      <w:sz w:val="20"/>
      <w:szCs w:val="20"/>
    </w:rPr>
  </w:style>
  <w:style w:type="character" w:styleId="EndnoteReference">
    <w:name w:val="endnote reference"/>
    <w:semiHidden/>
    <w:rsid w:val="00B7756F"/>
    <w:rPr>
      <w:vertAlign w:val="superscript"/>
    </w:rPr>
  </w:style>
  <w:style w:type="paragraph" w:styleId="TOC1">
    <w:name w:val="toc 1"/>
    <w:basedOn w:val="Normal"/>
    <w:next w:val="Normal"/>
    <w:semiHidden/>
    <w:rsid w:val="00B7756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756F"/>
    <w:pPr>
      <w:tabs>
        <w:tab w:val="left" w:pos="720"/>
        <w:tab w:val="right" w:leader="dot" w:pos="9360"/>
      </w:tabs>
      <w:suppressAutoHyphens/>
      <w:ind w:left="720" w:right="720" w:hanging="360"/>
    </w:pPr>
    <w:rPr>
      <w:noProof/>
    </w:rPr>
  </w:style>
  <w:style w:type="paragraph" w:styleId="TOC3">
    <w:name w:val="toc 3"/>
    <w:basedOn w:val="Normal"/>
    <w:next w:val="Normal"/>
    <w:semiHidden/>
    <w:rsid w:val="00B775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75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75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75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75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75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756F"/>
    <w:pPr>
      <w:tabs>
        <w:tab w:val="left" w:pos="3240"/>
        <w:tab w:val="right" w:leader="dot" w:pos="9360"/>
      </w:tabs>
      <w:suppressAutoHyphens/>
      <w:ind w:left="3240" w:hanging="360"/>
    </w:pPr>
    <w:rPr>
      <w:noProof/>
    </w:rPr>
  </w:style>
  <w:style w:type="character" w:customStyle="1" w:styleId="EquationCaption">
    <w:name w:val="_Equation Caption"/>
    <w:rsid w:val="00B7756F"/>
  </w:style>
  <w:style w:type="character" w:styleId="PageNumber">
    <w:name w:val="page number"/>
    <w:basedOn w:val="DefaultParagraphFont"/>
    <w:rsid w:val="00B7756F"/>
  </w:style>
  <w:style w:type="paragraph" w:styleId="BlockText">
    <w:name w:val="Block Text"/>
    <w:basedOn w:val="Normal"/>
    <w:rsid w:val="00B7756F"/>
    <w:pPr>
      <w:spacing w:after="240"/>
      <w:ind w:left="1440" w:right="1440"/>
    </w:pPr>
  </w:style>
  <w:style w:type="paragraph" w:customStyle="1" w:styleId="Paratitle">
    <w:name w:val="Para title"/>
    <w:basedOn w:val="Normal"/>
    <w:rsid w:val="00B7756F"/>
    <w:pPr>
      <w:tabs>
        <w:tab w:val="center" w:pos="9270"/>
      </w:tabs>
      <w:spacing w:after="240"/>
    </w:pPr>
    <w:rPr>
      <w:spacing w:val="-2"/>
    </w:rPr>
  </w:style>
  <w:style w:type="paragraph" w:customStyle="1" w:styleId="Bullet">
    <w:name w:val="Bullet"/>
    <w:basedOn w:val="Normal"/>
    <w:rsid w:val="00B7756F"/>
    <w:pPr>
      <w:tabs>
        <w:tab w:val="left" w:pos="2160"/>
      </w:tabs>
      <w:spacing w:after="220"/>
      <w:ind w:left="2160" w:hanging="720"/>
    </w:pPr>
  </w:style>
  <w:style w:type="paragraph" w:customStyle="1" w:styleId="TableFormat">
    <w:name w:val="TableFormat"/>
    <w:basedOn w:val="Bullet"/>
    <w:rsid w:val="00B7756F"/>
    <w:pPr>
      <w:tabs>
        <w:tab w:val="clear" w:pos="2160"/>
        <w:tab w:val="left" w:pos="5040"/>
      </w:tabs>
      <w:ind w:left="5040" w:hanging="3600"/>
    </w:pPr>
  </w:style>
  <w:style w:type="paragraph" w:customStyle="1" w:styleId="TOCTitle">
    <w:name w:val="TOC Title"/>
    <w:basedOn w:val="Normal"/>
    <w:rsid w:val="00B7756F"/>
    <w:pPr>
      <w:spacing w:before="240" w:after="240"/>
      <w:jc w:val="center"/>
    </w:pPr>
    <w:rPr>
      <w:rFonts w:ascii="Times New Roman Bold" w:hAnsi="Times New Roman Bold"/>
      <w:b/>
      <w:caps/>
      <w:spacing w:val="-2"/>
    </w:rPr>
  </w:style>
  <w:style w:type="character" w:styleId="Hyperlink">
    <w:name w:val="Hyperlink"/>
    <w:rsid w:val="00B77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711</Words>
  <Characters>3854</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2017-09-15T20:03:00Z</dcterms:created>
  <dcterms:modified xsi:type="dcterms:W3CDTF">2017-09-15T20:03:00Z</dcterms:modified>
  <cp:category> </cp:category>
  <cp:contentStatus> </cp:contentStatus>
</cp:coreProperties>
</file>