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87F8A" w14:textId="77777777" w:rsidR="001768F3" w:rsidRPr="00C22BC7" w:rsidRDefault="001768F3" w:rsidP="001768F3">
      <w:pPr>
        <w:jc w:val="center"/>
        <w:rPr>
          <w:b/>
          <w:bCs/>
        </w:rPr>
      </w:pPr>
      <w:bookmarkStart w:id="0" w:name="_GoBack"/>
      <w:bookmarkEnd w:id="0"/>
      <w:r w:rsidRPr="000D40FD">
        <w:rPr>
          <w:b/>
          <w:bCs/>
          <w:kern w:val="0"/>
        </w:rPr>
        <w:t>Before</w:t>
      </w:r>
      <w:r w:rsidRPr="000D40FD">
        <w:rPr>
          <w:b/>
          <w:bCs/>
        </w:rPr>
        <w:t xml:space="preserve"> the</w:t>
      </w:r>
    </w:p>
    <w:p w14:paraId="03C1934C" w14:textId="77777777" w:rsidR="001768F3" w:rsidRPr="00586B72" w:rsidRDefault="001768F3" w:rsidP="001768F3">
      <w:pPr>
        <w:pStyle w:val="StyleBoldCentered"/>
        <w:rPr>
          <w:caps w:val="0"/>
        </w:rPr>
      </w:pPr>
      <w:r w:rsidRPr="00586B72">
        <w:t>Federal Communications Commission</w:t>
      </w:r>
    </w:p>
    <w:p w14:paraId="343C8CFF" w14:textId="77777777" w:rsidR="001768F3" w:rsidRPr="00586B72" w:rsidRDefault="001768F3" w:rsidP="001768F3">
      <w:pPr>
        <w:pStyle w:val="StyleBoldCentered"/>
        <w:rPr>
          <w:caps w:val="0"/>
        </w:rPr>
      </w:pPr>
      <w:r w:rsidRPr="00586B72">
        <w:t>Washington, D.C. 20554</w:t>
      </w:r>
    </w:p>
    <w:p w14:paraId="11F9E9EE" w14:textId="77777777" w:rsidR="001768F3" w:rsidRDefault="001768F3" w:rsidP="001768F3">
      <w:pPr>
        <w:rPr>
          <w:szCs w:val="22"/>
        </w:rPr>
      </w:pPr>
    </w:p>
    <w:p w14:paraId="3B901A64" w14:textId="77777777" w:rsidR="001768F3" w:rsidRPr="00EE5F9B" w:rsidRDefault="001768F3" w:rsidP="001768F3">
      <w:pPr>
        <w:rPr>
          <w:szCs w:val="22"/>
        </w:rPr>
      </w:pPr>
    </w:p>
    <w:tbl>
      <w:tblPr>
        <w:tblW w:w="0" w:type="auto"/>
        <w:tblLayout w:type="fixed"/>
        <w:tblLook w:val="0000" w:firstRow="0" w:lastRow="0" w:firstColumn="0" w:lastColumn="0" w:noHBand="0" w:noVBand="0"/>
      </w:tblPr>
      <w:tblGrid>
        <w:gridCol w:w="4698"/>
        <w:gridCol w:w="630"/>
        <w:gridCol w:w="4248"/>
      </w:tblGrid>
      <w:tr w:rsidR="001768F3" w:rsidRPr="00EE5F9B" w14:paraId="16F85F17" w14:textId="77777777" w:rsidTr="00F27470">
        <w:tc>
          <w:tcPr>
            <w:tcW w:w="4698" w:type="dxa"/>
          </w:tcPr>
          <w:p w14:paraId="22513A62" w14:textId="77777777" w:rsidR="001768F3" w:rsidRPr="00EE5F9B" w:rsidRDefault="001768F3" w:rsidP="00F27470">
            <w:pPr>
              <w:tabs>
                <w:tab w:val="center" w:pos="4680"/>
              </w:tabs>
              <w:suppressAutoHyphens/>
              <w:rPr>
                <w:spacing w:val="-2"/>
                <w:szCs w:val="22"/>
              </w:rPr>
            </w:pPr>
            <w:r w:rsidRPr="000D40FD">
              <w:rPr>
                <w:spacing w:val="-2"/>
              </w:rPr>
              <w:t>In the Matter of</w:t>
            </w:r>
          </w:p>
          <w:p w14:paraId="21398317" w14:textId="77777777" w:rsidR="001768F3" w:rsidRPr="00EE5F9B" w:rsidRDefault="001768F3" w:rsidP="00F27470">
            <w:pPr>
              <w:tabs>
                <w:tab w:val="center" w:pos="4680"/>
              </w:tabs>
              <w:suppressAutoHyphens/>
              <w:rPr>
                <w:spacing w:val="-2"/>
                <w:szCs w:val="22"/>
              </w:rPr>
            </w:pPr>
          </w:p>
          <w:p w14:paraId="3666D9C1" w14:textId="77777777" w:rsidR="001768F3" w:rsidRPr="00EE5F9B" w:rsidRDefault="001768F3" w:rsidP="00F27470">
            <w:pPr>
              <w:tabs>
                <w:tab w:val="center" w:pos="4680"/>
              </w:tabs>
              <w:suppressAutoHyphens/>
              <w:rPr>
                <w:spacing w:val="-2"/>
                <w:szCs w:val="22"/>
              </w:rPr>
            </w:pPr>
            <w:r w:rsidRPr="000D40FD">
              <w:rPr>
                <w:spacing w:val="-2"/>
              </w:rPr>
              <w:t xml:space="preserve">Modernizing the FCC Form 477 Data Program </w:t>
            </w:r>
          </w:p>
          <w:p w14:paraId="22BC9722" w14:textId="77777777" w:rsidR="001768F3" w:rsidRPr="00EE5F9B" w:rsidRDefault="001768F3" w:rsidP="00F27470">
            <w:pPr>
              <w:tabs>
                <w:tab w:val="center" w:pos="4680"/>
              </w:tabs>
              <w:suppressAutoHyphens/>
              <w:rPr>
                <w:spacing w:val="-2"/>
                <w:szCs w:val="22"/>
              </w:rPr>
            </w:pPr>
          </w:p>
          <w:p w14:paraId="37FEBAE9" w14:textId="77777777" w:rsidR="001768F3" w:rsidRPr="00EE5F9B" w:rsidRDefault="001768F3" w:rsidP="00F27470">
            <w:pPr>
              <w:tabs>
                <w:tab w:val="center" w:pos="4680"/>
              </w:tabs>
              <w:suppressAutoHyphens/>
              <w:rPr>
                <w:spacing w:val="-2"/>
                <w:szCs w:val="22"/>
              </w:rPr>
            </w:pPr>
          </w:p>
        </w:tc>
        <w:tc>
          <w:tcPr>
            <w:tcW w:w="630" w:type="dxa"/>
          </w:tcPr>
          <w:p w14:paraId="42554207" w14:textId="77777777" w:rsidR="001768F3" w:rsidRPr="00C22BC7" w:rsidRDefault="001768F3" w:rsidP="00F27470">
            <w:pPr>
              <w:tabs>
                <w:tab w:val="center" w:pos="4680"/>
              </w:tabs>
              <w:suppressAutoHyphens/>
              <w:rPr>
                <w:b/>
                <w:bCs/>
                <w:spacing w:val="-2"/>
              </w:rPr>
            </w:pPr>
            <w:r w:rsidRPr="000D40FD">
              <w:rPr>
                <w:b/>
                <w:bCs/>
                <w:spacing w:val="-2"/>
              </w:rPr>
              <w:t>)</w:t>
            </w:r>
          </w:p>
          <w:p w14:paraId="5BD2E806" w14:textId="77777777" w:rsidR="001768F3" w:rsidRPr="00C22BC7" w:rsidRDefault="001768F3" w:rsidP="00F27470">
            <w:pPr>
              <w:tabs>
                <w:tab w:val="center" w:pos="4680"/>
              </w:tabs>
              <w:suppressAutoHyphens/>
              <w:rPr>
                <w:b/>
                <w:bCs/>
                <w:spacing w:val="-2"/>
              </w:rPr>
            </w:pPr>
            <w:r w:rsidRPr="000D40FD">
              <w:rPr>
                <w:b/>
                <w:bCs/>
                <w:spacing w:val="-2"/>
              </w:rPr>
              <w:t>)</w:t>
            </w:r>
          </w:p>
          <w:p w14:paraId="451C1415" w14:textId="77777777" w:rsidR="001768F3" w:rsidRPr="00C22BC7" w:rsidRDefault="001768F3" w:rsidP="00F27470">
            <w:pPr>
              <w:tabs>
                <w:tab w:val="center" w:pos="4680"/>
              </w:tabs>
              <w:suppressAutoHyphens/>
              <w:rPr>
                <w:b/>
                <w:bCs/>
                <w:spacing w:val="-2"/>
              </w:rPr>
            </w:pPr>
            <w:r w:rsidRPr="000D40FD">
              <w:rPr>
                <w:b/>
                <w:bCs/>
                <w:spacing w:val="-2"/>
              </w:rPr>
              <w:t>)</w:t>
            </w:r>
          </w:p>
          <w:p w14:paraId="613B44AA" w14:textId="77777777" w:rsidR="001768F3" w:rsidRPr="00C22BC7" w:rsidRDefault="001768F3" w:rsidP="00F27470">
            <w:pPr>
              <w:tabs>
                <w:tab w:val="center" w:pos="4680"/>
              </w:tabs>
              <w:suppressAutoHyphens/>
              <w:rPr>
                <w:b/>
                <w:bCs/>
                <w:spacing w:val="-2"/>
              </w:rPr>
            </w:pPr>
            <w:r w:rsidRPr="000D40FD">
              <w:rPr>
                <w:b/>
                <w:bCs/>
                <w:spacing w:val="-2"/>
              </w:rPr>
              <w:t>)</w:t>
            </w:r>
          </w:p>
          <w:p w14:paraId="39C62232" w14:textId="77777777" w:rsidR="001768F3" w:rsidRPr="00C22BC7" w:rsidRDefault="001768F3" w:rsidP="00F27470">
            <w:pPr>
              <w:tabs>
                <w:tab w:val="center" w:pos="4680"/>
              </w:tabs>
              <w:suppressAutoHyphens/>
              <w:rPr>
                <w:b/>
                <w:bCs/>
                <w:spacing w:val="-2"/>
              </w:rPr>
            </w:pPr>
          </w:p>
          <w:p w14:paraId="011ABC59" w14:textId="77777777" w:rsidR="001768F3" w:rsidRPr="00C22BC7" w:rsidRDefault="001768F3" w:rsidP="00F27470">
            <w:pPr>
              <w:tabs>
                <w:tab w:val="center" w:pos="4680"/>
              </w:tabs>
              <w:suppressAutoHyphens/>
              <w:rPr>
                <w:b/>
                <w:bCs/>
                <w:spacing w:val="-2"/>
              </w:rPr>
            </w:pPr>
          </w:p>
        </w:tc>
        <w:tc>
          <w:tcPr>
            <w:tcW w:w="4248" w:type="dxa"/>
          </w:tcPr>
          <w:p w14:paraId="79B8502F" w14:textId="77777777" w:rsidR="001768F3" w:rsidRPr="00EE5F9B" w:rsidRDefault="001768F3" w:rsidP="00F27470">
            <w:pPr>
              <w:tabs>
                <w:tab w:val="center" w:pos="4680"/>
              </w:tabs>
              <w:suppressAutoHyphens/>
              <w:rPr>
                <w:spacing w:val="-2"/>
                <w:szCs w:val="22"/>
              </w:rPr>
            </w:pPr>
          </w:p>
          <w:p w14:paraId="2EE92193" w14:textId="77777777" w:rsidR="001768F3" w:rsidRPr="00EE5F9B" w:rsidRDefault="001768F3" w:rsidP="00F27470">
            <w:pPr>
              <w:tabs>
                <w:tab w:val="center" w:pos="4680"/>
              </w:tabs>
              <w:suppressAutoHyphens/>
              <w:rPr>
                <w:spacing w:val="-2"/>
                <w:szCs w:val="22"/>
              </w:rPr>
            </w:pPr>
          </w:p>
          <w:p w14:paraId="40B9C537" w14:textId="77777777" w:rsidR="001768F3" w:rsidRPr="00EE5F9B" w:rsidRDefault="001768F3" w:rsidP="00F27470">
            <w:pPr>
              <w:tabs>
                <w:tab w:val="center" w:pos="4680"/>
              </w:tabs>
              <w:suppressAutoHyphens/>
              <w:rPr>
                <w:spacing w:val="-2"/>
                <w:szCs w:val="22"/>
              </w:rPr>
            </w:pPr>
            <w:r w:rsidRPr="000D40FD">
              <w:rPr>
                <w:spacing w:val="-2"/>
              </w:rPr>
              <w:t>WC Docket No. 11-10</w:t>
            </w:r>
          </w:p>
          <w:p w14:paraId="31CFAD64" w14:textId="77777777" w:rsidR="001768F3" w:rsidRPr="00EE5F9B" w:rsidRDefault="001768F3" w:rsidP="00F27470">
            <w:pPr>
              <w:tabs>
                <w:tab w:val="center" w:pos="4680"/>
              </w:tabs>
              <w:suppressAutoHyphens/>
              <w:rPr>
                <w:spacing w:val="-2"/>
                <w:szCs w:val="22"/>
              </w:rPr>
            </w:pPr>
          </w:p>
          <w:p w14:paraId="073BAA13" w14:textId="77777777" w:rsidR="001768F3" w:rsidRPr="00EE5F9B" w:rsidRDefault="001768F3" w:rsidP="00F27470">
            <w:pPr>
              <w:tabs>
                <w:tab w:val="center" w:pos="4680"/>
              </w:tabs>
              <w:suppressAutoHyphens/>
              <w:rPr>
                <w:spacing w:val="-2"/>
                <w:szCs w:val="22"/>
              </w:rPr>
            </w:pPr>
          </w:p>
        </w:tc>
      </w:tr>
    </w:tbl>
    <w:p w14:paraId="5164B412" w14:textId="77777777" w:rsidR="004E50A6" w:rsidRDefault="004E50A6" w:rsidP="00053196">
      <w:pPr>
        <w:pStyle w:val="StyleBoldCentered"/>
        <w:widowControl/>
      </w:pPr>
      <w:r w:rsidRPr="00FE2E8C">
        <w:t>Order</w:t>
      </w:r>
    </w:p>
    <w:p w14:paraId="1F5CF1A7" w14:textId="77777777" w:rsidR="004E50A6" w:rsidRPr="00FE2E8C" w:rsidRDefault="004E50A6" w:rsidP="0031463D">
      <w:pPr>
        <w:pStyle w:val="StyleBoldCentered"/>
        <w:widowControl/>
        <w:rPr>
          <w:spacing w:val="-2"/>
        </w:rPr>
      </w:pPr>
    </w:p>
    <w:p w14:paraId="4BAF68B6" w14:textId="5AEB124E" w:rsidR="004E50A6" w:rsidRDefault="004E50A6" w:rsidP="0031463D">
      <w:pPr>
        <w:widowControl/>
        <w:tabs>
          <w:tab w:val="left" w:pos="720"/>
          <w:tab w:val="left" w:pos="5760"/>
        </w:tabs>
        <w:suppressAutoHyphens/>
        <w:spacing w:line="227" w:lineRule="auto"/>
        <w:jc w:val="both"/>
        <w:rPr>
          <w:b/>
          <w:spacing w:val="-2"/>
          <w:szCs w:val="22"/>
        </w:rPr>
      </w:pPr>
      <w:r w:rsidRPr="00FE2E8C">
        <w:rPr>
          <w:b/>
          <w:spacing w:val="-2"/>
          <w:szCs w:val="22"/>
        </w:rPr>
        <w:t xml:space="preserve">Adopted:  </w:t>
      </w:r>
      <w:r w:rsidR="00CE23F9">
        <w:rPr>
          <w:b/>
          <w:spacing w:val="-2"/>
          <w:szCs w:val="22"/>
        </w:rPr>
        <w:t xml:space="preserve">September </w:t>
      </w:r>
      <w:r w:rsidR="00E03D56">
        <w:rPr>
          <w:b/>
          <w:spacing w:val="-2"/>
          <w:szCs w:val="22"/>
        </w:rPr>
        <w:t>19</w:t>
      </w:r>
      <w:r w:rsidR="006551E7">
        <w:rPr>
          <w:b/>
          <w:spacing w:val="-2"/>
          <w:szCs w:val="22"/>
        </w:rPr>
        <w:t xml:space="preserve">, </w:t>
      </w:r>
      <w:r w:rsidR="00A672F7">
        <w:rPr>
          <w:b/>
          <w:spacing w:val="-2"/>
          <w:szCs w:val="22"/>
        </w:rPr>
        <w:t>2017</w:t>
      </w:r>
      <w:r w:rsidRPr="00FE2E8C">
        <w:rPr>
          <w:b/>
          <w:spacing w:val="-2"/>
          <w:szCs w:val="22"/>
        </w:rPr>
        <w:tab/>
      </w:r>
      <w:r>
        <w:rPr>
          <w:b/>
          <w:spacing w:val="-2"/>
          <w:szCs w:val="22"/>
        </w:rPr>
        <w:tab/>
      </w:r>
      <w:r w:rsidRPr="00FE2E8C">
        <w:rPr>
          <w:b/>
          <w:spacing w:val="-2"/>
          <w:szCs w:val="22"/>
        </w:rPr>
        <w:t xml:space="preserve">Released:  </w:t>
      </w:r>
      <w:r w:rsidR="00CE23F9">
        <w:rPr>
          <w:b/>
          <w:spacing w:val="-2"/>
          <w:szCs w:val="22"/>
        </w:rPr>
        <w:t xml:space="preserve">September </w:t>
      </w:r>
      <w:r w:rsidR="00E03D56">
        <w:rPr>
          <w:b/>
          <w:spacing w:val="-2"/>
          <w:szCs w:val="22"/>
        </w:rPr>
        <w:t>19</w:t>
      </w:r>
      <w:r>
        <w:rPr>
          <w:b/>
          <w:spacing w:val="-2"/>
          <w:szCs w:val="22"/>
        </w:rPr>
        <w:t>, 201</w:t>
      </w:r>
      <w:r w:rsidR="00A672F7">
        <w:rPr>
          <w:b/>
          <w:spacing w:val="-2"/>
          <w:szCs w:val="22"/>
        </w:rPr>
        <w:t>7</w:t>
      </w:r>
    </w:p>
    <w:p w14:paraId="2350EE2D" w14:textId="77777777" w:rsidR="00D953FB" w:rsidRDefault="00D953FB" w:rsidP="0031463D">
      <w:pPr>
        <w:widowControl/>
        <w:tabs>
          <w:tab w:val="left" w:pos="720"/>
          <w:tab w:val="left" w:pos="5760"/>
        </w:tabs>
        <w:suppressAutoHyphens/>
        <w:spacing w:line="227" w:lineRule="auto"/>
        <w:jc w:val="both"/>
        <w:rPr>
          <w:b/>
          <w:spacing w:val="-2"/>
          <w:szCs w:val="22"/>
        </w:rPr>
      </w:pPr>
    </w:p>
    <w:p w14:paraId="72CE08F0" w14:textId="47C976F3" w:rsidR="00D953FB" w:rsidRDefault="00D953FB" w:rsidP="0031463D">
      <w:pPr>
        <w:widowControl/>
        <w:tabs>
          <w:tab w:val="left" w:pos="720"/>
          <w:tab w:val="left" w:pos="5760"/>
        </w:tabs>
        <w:suppressAutoHyphens/>
        <w:spacing w:line="227" w:lineRule="auto"/>
        <w:jc w:val="both"/>
        <w:rPr>
          <w:b/>
          <w:spacing w:val="-2"/>
          <w:szCs w:val="22"/>
        </w:rPr>
      </w:pPr>
      <w:r>
        <w:rPr>
          <w:b/>
          <w:spacing w:val="-2"/>
          <w:szCs w:val="22"/>
        </w:rPr>
        <w:t xml:space="preserve">Revised Comment Date: </w:t>
      </w:r>
      <w:r w:rsidR="00AC081A">
        <w:rPr>
          <w:b/>
          <w:spacing w:val="-2"/>
          <w:szCs w:val="22"/>
        </w:rPr>
        <w:t>October 9</w:t>
      </w:r>
      <w:r w:rsidR="006624B7">
        <w:rPr>
          <w:b/>
          <w:spacing w:val="-2"/>
          <w:szCs w:val="22"/>
        </w:rPr>
        <w:t>, 2017</w:t>
      </w:r>
    </w:p>
    <w:p w14:paraId="6539E229" w14:textId="4CFC9BD3" w:rsidR="00D953FB" w:rsidRPr="00D953FB" w:rsidRDefault="00D953FB" w:rsidP="0031463D">
      <w:pPr>
        <w:widowControl/>
        <w:tabs>
          <w:tab w:val="left" w:pos="720"/>
          <w:tab w:val="left" w:pos="5760"/>
        </w:tabs>
        <w:suppressAutoHyphens/>
        <w:spacing w:line="227" w:lineRule="auto"/>
        <w:jc w:val="both"/>
        <w:rPr>
          <w:b/>
          <w:spacing w:val="-2"/>
          <w:szCs w:val="22"/>
        </w:rPr>
      </w:pPr>
      <w:r>
        <w:rPr>
          <w:b/>
          <w:spacing w:val="-2"/>
          <w:szCs w:val="22"/>
        </w:rPr>
        <w:t>Revised Reply Comment Date:</w:t>
      </w:r>
      <w:r w:rsidR="006624B7">
        <w:rPr>
          <w:b/>
          <w:spacing w:val="-2"/>
          <w:szCs w:val="22"/>
        </w:rPr>
        <w:t xml:space="preserve"> </w:t>
      </w:r>
      <w:r w:rsidR="00AC081A">
        <w:rPr>
          <w:b/>
          <w:spacing w:val="-2"/>
          <w:szCs w:val="22"/>
        </w:rPr>
        <w:t xml:space="preserve">October </w:t>
      </w:r>
      <w:r w:rsidR="00E03D56">
        <w:rPr>
          <w:b/>
          <w:spacing w:val="-2"/>
          <w:szCs w:val="22"/>
        </w:rPr>
        <w:t>24</w:t>
      </w:r>
      <w:r w:rsidR="006624B7">
        <w:rPr>
          <w:b/>
          <w:spacing w:val="-2"/>
          <w:szCs w:val="22"/>
        </w:rPr>
        <w:t>, 2017</w:t>
      </w:r>
    </w:p>
    <w:p w14:paraId="78A62C36" w14:textId="77777777" w:rsidR="004E50A6" w:rsidRDefault="004E50A6" w:rsidP="0031463D">
      <w:pPr>
        <w:widowControl/>
        <w:rPr>
          <w:szCs w:val="22"/>
        </w:rPr>
      </w:pPr>
    </w:p>
    <w:p w14:paraId="19FB1459" w14:textId="77777777" w:rsidR="004E50A6" w:rsidRPr="00FE2E8C" w:rsidRDefault="004E50A6" w:rsidP="00302BAD">
      <w:pPr>
        <w:widowControl/>
        <w:ind w:left="720" w:hanging="720"/>
        <w:rPr>
          <w:spacing w:val="-2"/>
          <w:szCs w:val="22"/>
        </w:rPr>
      </w:pPr>
      <w:r w:rsidRPr="00FE2E8C">
        <w:rPr>
          <w:szCs w:val="22"/>
        </w:rPr>
        <w:t>By the</w:t>
      </w:r>
      <w:r w:rsidRPr="00FE2E8C">
        <w:rPr>
          <w:spacing w:val="-2"/>
          <w:szCs w:val="22"/>
        </w:rPr>
        <w:t xml:space="preserve"> </w:t>
      </w:r>
      <w:r w:rsidR="006624B7">
        <w:rPr>
          <w:spacing w:val="-2"/>
          <w:szCs w:val="22"/>
        </w:rPr>
        <w:t xml:space="preserve">Chief, </w:t>
      </w:r>
      <w:r w:rsidR="007C1189">
        <w:rPr>
          <w:spacing w:val="-2"/>
          <w:szCs w:val="22"/>
        </w:rPr>
        <w:t>Industry Analysis and Technology Division</w:t>
      </w:r>
      <w:r w:rsidR="006624B7">
        <w:rPr>
          <w:spacing w:val="-2"/>
          <w:szCs w:val="22"/>
        </w:rPr>
        <w:t xml:space="preserve">, Wireline Competition Bureau, the </w:t>
      </w:r>
      <w:r w:rsidR="00A672F7">
        <w:rPr>
          <w:spacing w:val="-2"/>
          <w:szCs w:val="22"/>
        </w:rPr>
        <w:t xml:space="preserve">Chief, </w:t>
      </w:r>
      <w:r w:rsidR="000D14CC">
        <w:rPr>
          <w:spacing w:val="-2"/>
          <w:szCs w:val="22"/>
        </w:rPr>
        <w:t xml:space="preserve">Competition and Infrastructure Policy Division, </w:t>
      </w:r>
      <w:r w:rsidR="00A672F7">
        <w:rPr>
          <w:spacing w:val="-2"/>
          <w:szCs w:val="22"/>
        </w:rPr>
        <w:t>Wireless Telecommunications</w:t>
      </w:r>
      <w:r>
        <w:rPr>
          <w:spacing w:val="-2"/>
          <w:szCs w:val="22"/>
        </w:rPr>
        <w:t xml:space="preserve"> Bureau</w:t>
      </w:r>
      <w:r w:rsidR="003F1522">
        <w:rPr>
          <w:spacing w:val="-2"/>
          <w:szCs w:val="22"/>
        </w:rPr>
        <w:t xml:space="preserve">, </w:t>
      </w:r>
      <w:r w:rsidR="00A30599">
        <w:rPr>
          <w:spacing w:val="-2"/>
          <w:szCs w:val="22"/>
        </w:rPr>
        <w:t>and the Chief, Telecommunications and Analysis D</w:t>
      </w:r>
      <w:r w:rsidR="003F1522">
        <w:rPr>
          <w:spacing w:val="-2"/>
          <w:szCs w:val="22"/>
        </w:rPr>
        <w:t>ivision, International Bureau</w:t>
      </w:r>
      <w:r>
        <w:rPr>
          <w:spacing w:val="-2"/>
          <w:szCs w:val="22"/>
        </w:rPr>
        <w:t>:</w:t>
      </w:r>
    </w:p>
    <w:p w14:paraId="50485034" w14:textId="77777777" w:rsidR="004E50A6" w:rsidRDefault="004E50A6" w:rsidP="0031463D">
      <w:pPr>
        <w:widowControl/>
        <w:rPr>
          <w:b/>
          <w:spacing w:val="-2"/>
          <w:szCs w:val="22"/>
        </w:rPr>
      </w:pPr>
    </w:p>
    <w:p w14:paraId="0139CBBD" w14:textId="65EFE891" w:rsidR="00D953FB" w:rsidRPr="00D953FB" w:rsidRDefault="006624B7" w:rsidP="0031463D">
      <w:pPr>
        <w:pStyle w:val="ParaNum"/>
        <w:widowControl/>
      </w:pPr>
      <w:bookmarkStart w:id="1" w:name="_Toc361330014"/>
      <w:r w:rsidRPr="00CB7AFD">
        <w:rPr>
          <w:snapToGrid/>
        </w:rPr>
        <w:t xml:space="preserve">By this </w:t>
      </w:r>
      <w:r>
        <w:rPr>
          <w:snapToGrid/>
        </w:rPr>
        <w:t>Order</w:t>
      </w:r>
      <w:r w:rsidRPr="00CB7AFD">
        <w:rPr>
          <w:snapToGrid/>
        </w:rPr>
        <w:t>, the Wireline Competition Bureau</w:t>
      </w:r>
      <w:r w:rsidR="00A30599">
        <w:rPr>
          <w:snapToGrid/>
        </w:rPr>
        <w:t xml:space="preserve">, the Wireless </w:t>
      </w:r>
      <w:r w:rsidR="00AC081A">
        <w:rPr>
          <w:snapToGrid/>
        </w:rPr>
        <w:t xml:space="preserve">Telecommunications </w:t>
      </w:r>
      <w:r w:rsidR="00A30599">
        <w:rPr>
          <w:snapToGrid/>
        </w:rPr>
        <w:t>Bureau</w:t>
      </w:r>
      <w:r w:rsidR="00294758">
        <w:rPr>
          <w:snapToGrid/>
        </w:rPr>
        <w:t>,</w:t>
      </w:r>
      <w:r w:rsidR="00A30599">
        <w:rPr>
          <w:snapToGrid/>
        </w:rPr>
        <w:t xml:space="preserve"> and the International Bureau </w:t>
      </w:r>
      <w:r w:rsidR="009C3998">
        <w:rPr>
          <w:snapToGrid/>
        </w:rPr>
        <w:t>extend</w:t>
      </w:r>
      <w:r w:rsidRPr="00CB7AFD">
        <w:rPr>
          <w:snapToGrid/>
        </w:rPr>
        <w:t xml:space="preserve"> the deadline</w:t>
      </w:r>
      <w:r w:rsidR="00F51517">
        <w:rPr>
          <w:snapToGrid/>
        </w:rPr>
        <w:t>s</w:t>
      </w:r>
      <w:r w:rsidRPr="00CB7AFD">
        <w:rPr>
          <w:snapToGrid/>
        </w:rPr>
        <w:t xml:space="preserve"> for filing </w:t>
      </w:r>
      <w:r>
        <w:rPr>
          <w:snapToGrid/>
        </w:rPr>
        <w:t xml:space="preserve">initial and </w:t>
      </w:r>
      <w:r w:rsidRPr="00CB7AFD">
        <w:rPr>
          <w:snapToGrid/>
        </w:rPr>
        <w:t>reply comments in response to the</w:t>
      </w:r>
      <w:r w:rsidR="001768F3">
        <w:rPr>
          <w:snapToGrid/>
        </w:rPr>
        <w:t xml:space="preserve"> Form 477 Further Notice of Proposed Rulemaking </w:t>
      </w:r>
      <w:r w:rsidRPr="00CB7AFD">
        <w:rPr>
          <w:snapToGrid/>
        </w:rPr>
        <w:t xml:space="preserve">until </w:t>
      </w:r>
      <w:r w:rsidR="00F51517">
        <w:rPr>
          <w:snapToGrid/>
        </w:rPr>
        <w:t>October 9</w:t>
      </w:r>
      <w:r w:rsidR="0036483D">
        <w:rPr>
          <w:snapToGrid/>
        </w:rPr>
        <w:t>, 2017</w:t>
      </w:r>
      <w:r>
        <w:rPr>
          <w:snapToGrid/>
        </w:rPr>
        <w:t xml:space="preserve"> and </w:t>
      </w:r>
      <w:r w:rsidR="00F51517">
        <w:rPr>
          <w:snapToGrid/>
        </w:rPr>
        <w:t xml:space="preserve">October </w:t>
      </w:r>
      <w:r w:rsidR="00E03D56">
        <w:rPr>
          <w:snapToGrid/>
        </w:rPr>
        <w:t>24</w:t>
      </w:r>
      <w:r w:rsidR="001768F3">
        <w:rPr>
          <w:snapToGrid/>
        </w:rPr>
        <w:t xml:space="preserve">, </w:t>
      </w:r>
      <w:r>
        <w:rPr>
          <w:snapToGrid/>
        </w:rPr>
        <w:t>2017, respectively</w:t>
      </w:r>
      <w:r w:rsidRPr="00CB7AFD">
        <w:rPr>
          <w:snapToGrid/>
        </w:rPr>
        <w:t>.</w:t>
      </w:r>
      <w:r w:rsidRPr="00CB7AFD">
        <w:rPr>
          <w:snapToGrid/>
          <w:vertAlign w:val="superscript"/>
        </w:rPr>
        <w:footnoteReference w:id="2"/>
      </w:r>
      <w:r w:rsidR="00D953FB">
        <w:t xml:space="preserve"> </w:t>
      </w:r>
    </w:p>
    <w:p w14:paraId="2149B3E8" w14:textId="147B305E" w:rsidR="004E50A6" w:rsidRPr="000A088E" w:rsidRDefault="00F51517" w:rsidP="0031463D">
      <w:pPr>
        <w:pStyle w:val="ParaNum"/>
        <w:widowControl/>
      </w:pPr>
      <w:r>
        <w:rPr>
          <w:snapToGrid/>
        </w:rPr>
        <w:t xml:space="preserve">The deadlines for submitting comments and reply comments in response to the Form 477 FNPRM were established as September 25, 2017 and October </w:t>
      </w:r>
      <w:r w:rsidR="004A4198">
        <w:rPr>
          <w:snapToGrid/>
        </w:rPr>
        <w:t>10</w:t>
      </w:r>
      <w:r>
        <w:rPr>
          <w:snapToGrid/>
        </w:rPr>
        <w:t>, 2017, respectively.</w:t>
      </w:r>
      <w:r>
        <w:rPr>
          <w:rStyle w:val="FootnoteReference"/>
          <w:snapToGrid/>
        </w:rPr>
        <w:footnoteReference w:id="3"/>
      </w:r>
      <w:r>
        <w:rPr>
          <w:snapToGrid/>
        </w:rPr>
        <w:t xml:space="preserve">  </w:t>
      </w:r>
      <w:r w:rsidR="00F76439">
        <w:rPr>
          <w:snapToGrid/>
        </w:rPr>
        <w:t xml:space="preserve">On </w:t>
      </w:r>
      <w:r w:rsidR="007C1189">
        <w:rPr>
          <w:snapToGrid/>
        </w:rPr>
        <w:t>September 12, 2017, the American Cable Association, NCTA – The In</w:t>
      </w:r>
      <w:r w:rsidR="0011529D">
        <w:rPr>
          <w:snapToGrid/>
        </w:rPr>
        <w:t>ternet &amp; Television Association</w:t>
      </w:r>
      <w:r w:rsidR="007C1189">
        <w:rPr>
          <w:snapToGrid/>
        </w:rPr>
        <w:t xml:space="preserve">, NTCA – </w:t>
      </w:r>
      <w:r w:rsidR="0011529D">
        <w:rPr>
          <w:snapToGrid/>
        </w:rPr>
        <w:t>The Rural Broadband Association</w:t>
      </w:r>
      <w:r w:rsidR="007C1189">
        <w:rPr>
          <w:snapToGrid/>
        </w:rPr>
        <w:t>, the USTelecom Association</w:t>
      </w:r>
      <w:r w:rsidR="005E7828">
        <w:rPr>
          <w:snapToGrid/>
        </w:rPr>
        <w:t>,</w:t>
      </w:r>
      <w:r w:rsidR="007C1189">
        <w:rPr>
          <w:snapToGrid/>
        </w:rPr>
        <w:t xml:space="preserve"> and the Wireless Internet Service Providers Association (the Joint Petitioners) </w:t>
      </w:r>
      <w:r w:rsidR="00F76439">
        <w:rPr>
          <w:snapToGrid/>
        </w:rPr>
        <w:t xml:space="preserve">filed a </w:t>
      </w:r>
      <w:r w:rsidR="007C1189">
        <w:rPr>
          <w:snapToGrid/>
        </w:rPr>
        <w:t xml:space="preserve">Joint Petition for </w:t>
      </w:r>
      <w:r w:rsidR="00F76439">
        <w:rPr>
          <w:snapToGrid/>
        </w:rPr>
        <w:t>Extension of Time to File Comments</w:t>
      </w:r>
      <w:r w:rsidR="004A4198">
        <w:rPr>
          <w:snapToGrid/>
        </w:rPr>
        <w:t xml:space="preserve"> (Joint Petition)</w:t>
      </w:r>
      <w:r w:rsidR="007C1189">
        <w:rPr>
          <w:snapToGrid/>
        </w:rPr>
        <w:t>, seeking a</w:t>
      </w:r>
      <w:r w:rsidR="00737994">
        <w:rPr>
          <w:snapToGrid/>
        </w:rPr>
        <w:t xml:space="preserve"> </w:t>
      </w:r>
      <w:r w:rsidR="007C1189">
        <w:rPr>
          <w:snapToGrid/>
        </w:rPr>
        <w:t>four</w:t>
      </w:r>
      <w:r w:rsidR="00737994">
        <w:rPr>
          <w:snapToGrid/>
        </w:rPr>
        <w:t>-week extension</w:t>
      </w:r>
      <w:r w:rsidR="00E360C7">
        <w:rPr>
          <w:snapToGrid/>
        </w:rPr>
        <w:t xml:space="preserve"> </w:t>
      </w:r>
      <w:r w:rsidR="00737994">
        <w:rPr>
          <w:snapToGrid/>
        </w:rPr>
        <w:t>of the comment and reply comment deadlines in this</w:t>
      </w:r>
      <w:r w:rsidR="00053196">
        <w:rPr>
          <w:snapToGrid/>
        </w:rPr>
        <w:t xml:space="preserve"> proceeding</w:t>
      </w:r>
      <w:r w:rsidR="00F76439">
        <w:rPr>
          <w:snapToGrid/>
        </w:rPr>
        <w:t>.</w:t>
      </w:r>
      <w:r w:rsidR="00E360C7">
        <w:rPr>
          <w:rStyle w:val="FootnoteReference"/>
          <w:snapToGrid/>
        </w:rPr>
        <w:footnoteReference w:id="4"/>
      </w:r>
      <w:r w:rsidR="00F76439">
        <w:rPr>
          <w:snapToGrid/>
        </w:rPr>
        <w:t xml:space="preserve">  </w:t>
      </w:r>
      <w:r w:rsidR="00CC2048">
        <w:rPr>
          <w:snapToGrid/>
        </w:rPr>
        <w:t xml:space="preserve">  </w:t>
      </w:r>
    </w:p>
    <w:p w14:paraId="23877F23" w14:textId="0DFE72F1" w:rsidR="0007447C" w:rsidRPr="0007447C" w:rsidRDefault="007C1189" w:rsidP="00025B0E">
      <w:pPr>
        <w:pStyle w:val="ParaNum"/>
      </w:pPr>
      <w:r>
        <w:rPr>
          <w:snapToGrid/>
        </w:rPr>
        <w:t xml:space="preserve">The Joint Petitioners </w:t>
      </w:r>
      <w:r w:rsidR="004C0F55">
        <w:rPr>
          <w:snapToGrid/>
        </w:rPr>
        <w:t>assert that they require additional time because</w:t>
      </w:r>
      <w:r w:rsidR="0007447C">
        <w:rPr>
          <w:snapToGrid/>
        </w:rPr>
        <w:t xml:space="preserve"> the</w:t>
      </w:r>
      <w:r w:rsidR="004C0F55">
        <w:rPr>
          <w:snapToGrid/>
        </w:rPr>
        <w:t xml:space="preserve"> “proceeding involves practical and factual questions related to how voice and broadband providers currently collect and report subscription and deployment information, and the impact of any changes to those existing practices</w:t>
      </w:r>
      <w:r w:rsidR="0011529D">
        <w:rPr>
          <w:snapToGrid/>
        </w:rPr>
        <w:t>.</w:t>
      </w:r>
      <w:r w:rsidR="004C0F55">
        <w:rPr>
          <w:snapToGrid/>
        </w:rPr>
        <w:t>”</w:t>
      </w:r>
      <w:r w:rsidR="0011529D">
        <w:rPr>
          <w:rStyle w:val="FootnoteReference"/>
          <w:snapToGrid/>
        </w:rPr>
        <w:footnoteReference w:id="5"/>
      </w:r>
      <w:r w:rsidR="0011529D">
        <w:rPr>
          <w:snapToGrid/>
        </w:rPr>
        <w:t xml:space="preserve">  According to the Joint Petitioners, </w:t>
      </w:r>
      <w:r w:rsidR="0007447C">
        <w:rPr>
          <w:snapToGrid/>
        </w:rPr>
        <w:t>they must</w:t>
      </w:r>
      <w:r w:rsidR="004C0F55">
        <w:rPr>
          <w:snapToGrid/>
        </w:rPr>
        <w:t xml:space="preserve"> </w:t>
      </w:r>
      <w:r w:rsidR="0007447C">
        <w:rPr>
          <w:snapToGrid/>
        </w:rPr>
        <w:t xml:space="preserve">conduct </w:t>
      </w:r>
      <w:r w:rsidR="004C0F55">
        <w:rPr>
          <w:snapToGrid/>
        </w:rPr>
        <w:t xml:space="preserve">extensive coordination with their member companies to </w:t>
      </w:r>
      <w:r w:rsidR="0007447C">
        <w:rPr>
          <w:snapToGrid/>
        </w:rPr>
        <w:t>address these issues.</w:t>
      </w:r>
      <w:r w:rsidR="0011529D">
        <w:rPr>
          <w:rStyle w:val="FootnoteReference"/>
          <w:snapToGrid/>
        </w:rPr>
        <w:footnoteReference w:id="6"/>
      </w:r>
      <w:r w:rsidR="0007447C">
        <w:rPr>
          <w:snapToGrid/>
        </w:rPr>
        <w:t xml:space="preserve">  The Joint Petitioners also indicate that </w:t>
      </w:r>
      <w:r w:rsidR="00307F73">
        <w:rPr>
          <w:snapToGrid/>
        </w:rPr>
        <w:t xml:space="preserve">the recent hurricanes in southern and coastal states have severely limited the ability of members operating in those states to </w:t>
      </w:r>
      <w:r w:rsidR="00307F73">
        <w:rPr>
          <w:snapToGrid/>
        </w:rPr>
        <w:lastRenderedPageBreak/>
        <w:t xml:space="preserve">engage in coordination and provide information on the issues </w:t>
      </w:r>
      <w:r w:rsidR="00161C2B">
        <w:rPr>
          <w:snapToGrid/>
        </w:rPr>
        <w:t>on which the Commission seeks comment</w:t>
      </w:r>
      <w:r w:rsidR="002D78DE">
        <w:rPr>
          <w:snapToGrid/>
        </w:rPr>
        <w:t>.</w:t>
      </w:r>
      <w:r w:rsidR="0011529D">
        <w:rPr>
          <w:rStyle w:val="FootnoteReference"/>
          <w:snapToGrid/>
        </w:rPr>
        <w:footnoteReference w:id="7"/>
      </w:r>
      <w:r w:rsidR="0007447C">
        <w:rPr>
          <w:snapToGrid/>
        </w:rPr>
        <w:t xml:space="preserve">  </w:t>
      </w:r>
      <w:r w:rsidR="00A30599">
        <w:rPr>
          <w:snapToGrid/>
        </w:rPr>
        <w:t xml:space="preserve">The Joint Petitioners state that granting an extension will enable them to better </w:t>
      </w:r>
      <w:r w:rsidR="00E03D56">
        <w:rPr>
          <w:snapToGrid/>
        </w:rPr>
        <w:t xml:space="preserve">inform </w:t>
      </w:r>
      <w:r w:rsidR="00A30599">
        <w:rPr>
          <w:snapToGrid/>
        </w:rPr>
        <w:t>the Commission’s decision-making in this proceeding.</w:t>
      </w:r>
      <w:r w:rsidR="00A30599">
        <w:rPr>
          <w:rStyle w:val="FootnoteReference"/>
          <w:snapToGrid/>
        </w:rPr>
        <w:footnoteReference w:id="8"/>
      </w:r>
    </w:p>
    <w:p w14:paraId="20251501" w14:textId="6AA888F5" w:rsidR="00935E16" w:rsidRDefault="004A4198" w:rsidP="00025B0E">
      <w:pPr>
        <w:pStyle w:val="ParaNum"/>
      </w:pPr>
      <w:r>
        <w:rPr>
          <w:snapToGrid/>
        </w:rPr>
        <w:t>Although</w:t>
      </w:r>
      <w:r w:rsidRPr="00E54574">
        <w:rPr>
          <w:snapToGrid/>
        </w:rPr>
        <w:t xml:space="preserve"> </w:t>
      </w:r>
      <w:r w:rsidR="00737994" w:rsidRPr="00E54574">
        <w:rPr>
          <w:snapToGrid/>
        </w:rPr>
        <w:t xml:space="preserve">it is the policy of the Commission that </w:t>
      </w:r>
      <w:r w:rsidR="00737994">
        <w:rPr>
          <w:snapToGrid/>
        </w:rPr>
        <w:t>“</w:t>
      </w:r>
      <w:r w:rsidR="00737994" w:rsidRPr="00E54574">
        <w:rPr>
          <w:snapToGrid/>
        </w:rPr>
        <w:t>extensions shall not be routinely granted,”</w:t>
      </w:r>
      <w:r w:rsidR="00737994" w:rsidRPr="00CB7AFD">
        <w:rPr>
          <w:snapToGrid/>
          <w:vertAlign w:val="superscript"/>
        </w:rPr>
        <w:footnoteReference w:id="9"/>
      </w:r>
      <w:r w:rsidR="00737994" w:rsidRPr="00E54574">
        <w:rPr>
          <w:snapToGrid/>
        </w:rPr>
        <w:t xml:space="preserve">  we find that an extension of the </w:t>
      </w:r>
      <w:r w:rsidR="00FC17B6">
        <w:rPr>
          <w:snapToGrid/>
        </w:rPr>
        <w:t xml:space="preserve">comment and </w:t>
      </w:r>
      <w:r w:rsidR="00737994" w:rsidRPr="00E54574">
        <w:rPr>
          <w:snapToGrid/>
        </w:rPr>
        <w:t>reply comment deadline</w:t>
      </w:r>
      <w:r w:rsidR="0007447C">
        <w:rPr>
          <w:snapToGrid/>
        </w:rPr>
        <w:t>s</w:t>
      </w:r>
      <w:r w:rsidR="00737994" w:rsidRPr="00E54574">
        <w:rPr>
          <w:snapToGrid/>
        </w:rPr>
        <w:t xml:space="preserve"> is appropriate in this case</w:t>
      </w:r>
      <w:r w:rsidR="005E7828">
        <w:rPr>
          <w:snapToGrid/>
        </w:rPr>
        <w:t>,</w:t>
      </w:r>
      <w:r w:rsidR="00737994" w:rsidRPr="00E54574">
        <w:rPr>
          <w:snapToGrid/>
        </w:rPr>
        <w:t xml:space="preserve"> in order</w:t>
      </w:r>
      <w:r w:rsidR="00025B0E">
        <w:rPr>
          <w:snapToGrid/>
        </w:rPr>
        <w:t xml:space="preserve"> to allow interested parties </w:t>
      </w:r>
      <w:r w:rsidR="00737994" w:rsidRPr="00E54574">
        <w:rPr>
          <w:snapToGrid/>
        </w:rPr>
        <w:t>to</w:t>
      </w:r>
      <w:r w:rsidR="00FC17B6">
        <w:rPr>
          <w:snapToGrid/>
        </w:rPr>
        <w:t xml:space="preserve"> </w:t>
      </w:r>
      <w:r w:rsidR="00170464">
        <w:rPr>
          <w:snapToGrid/>
        </w:rPr>
        <w:t xml:space="preserve">develop </w:t>
      </w:r>
      <w:r w:rsidR="0007447C">
        <w:rPr>
          <w:snapToGrid/>
        </w:rPr>
        <w:t xml:space="preserve">more </w:t>
      </w:r>
      <w:r w:rsidR="00170464">
        <w:rPr>
          <w:snapToGrid/>
        </w:rPr>
        <w:t>thorough, informative submissions.</w:t>
      </w:r>
      <w:r w:rsidR="00737994" w:rsidRPr="00E54574">
        <w:rPr>
          <w:snapToGrid/>
        </w:rPr>
        <w:t xml:space="preserve">  </w:t>
      </w:r>
      <w:r w:rsidR="00F63DCB">
        <w:rPr>
          <w:snapToGrid/>
        </w:rPr>
        <w:t>While we recognize that</w:t>
      </w:r>
      <w:r w:rsidR="00170464">
        <w:rPr>
          <w:snapToGrid/>
        </w:rPr>
        <w:t xml:space="preserve"> the </w:t>
      </w:r>
      <w:r>
        <w:rPr>
          <w:snapToGrid/>
        </w:rPr>
        <w:t xml:space="preserve">Joint </w:t>
      </w:r>
      <w:r w:rsidR="00F51517">
        <w:rPr>
          <w:snapToGrid/>
        </w:rPr>
        <w:t>Petition</w:t>
      </w:r>
      <w:r w:rsidR="00170464">
        <w:rPr>
          <w:snapToGrid/>
        </w:rPr>
        <w:t xml:space="preserve"> seek</w:t>
      </w:r>
      <w:r w:rsidR="00F51517">
        <w:rPr>
          <w:snapToGrid/>
        </w:rPr>
        <w:t>s</w:t>
      </w:r>
      <w:r w:rsidR="00170464">
        <w:rPr>
          <w:snapToGrid/>
        </w:rPr>
        <w:t xml:space="preserve"> lengthier extensions</w:t>
      </w:r>
      <w:r w:rsidR="00737994">
        <w:rPr>
          <w:snapToGrid/>
        </w:rPr>
        <w:t>, w</w:t>
      </w:r>
      <w:r w:rsidR="00737994" w:rsidRPr="00E54574">
        <w:rPr>
          <w:snapToGrid/>
        </w:rPr>
        <w:t>e find</w:t>
      </w:r>
      <w:r w:rsidR="00737994">
        <w:rPr>
          <w:snapToGrid/>
        </w:rPr>
        <w:t>, consistent with past Commission precedent granting partial extensions,</w:t>
      </w:r>
      <w:r w:rsidR="00737994" w:rsidRPr="00E54574">
        <w:rPr>
          <w:snapToGrid/>
        </w:rPr>
        <w:t xml:space="preserve"> that an additional two weeks is an appropriate period of time to extend the </w:t>
      </w:r>
      <w:r w:rsidR="00FC17B6">
        <w:rPr>
          <w:snapToGrid/>
        </w:rPr>
        <w:t xml:space="preserve">comment and </w:t>
      </w:r>
      <w:r w:rsidR="00737994" w:rsidRPr="00E54574">
        <w:rPr>
          <w:snapToGrid/>
        </w:rPr>
        <w:t>reply comment deadline</w:t>
      </w:r>
      <w:r w:rsidR="00FC17B6">
        <w:rPr>
          <w:snapToGrid/>
        </w:rPr>
        <w:t>s</w:t>
      </w:r>
      <w:r w:rsidR="00737994" w:rsidRPr="00E54574">
        <w:rPr>
          <w:snapToGrid/>
        </w:rPr>
        <w:t xml:space="preserve"> in order to </w:t>
      </w:r>
      <w:r w:rsidR="00737994">
        <w:rPr>
          <w:snapToGrid/>
        </w:rPr>
        <w:t>provide</w:t>
      </w:r>
      <w:r w:rsidR="00737994" w:rsidRPr="00E54574">
        <w:rPr>
          <w:snapToGrid/>
        </w:rPr>
        <w:t xml:space="preserve"> parties </w:t>
      </w:r>
      <w:r w:rsidR="00737994">
        <w:rPr>
          <w:snapToGrid/>
        </w:rPr>
        <w:t xml:space="preserve">additional time </w:t>
      </w:r>
      <w:r w:rsidR="00737994" w:rsidRPr="00E54574">
        <w:rPr>
          <w:snapToGrid/>
        </w:rPr>
        <w:t xml:space="preserve">to analyze the technical, legal, and policy </w:t>
      </w:r>
      <w:r w:rsidR="001370F1">
        <w:rPr>
          <w:snapToGrid/>
        </w:rPr>
        <w:t>issues raised in this proceeding</w:t>
      </w:r>
      <w:r w:rsidR="005E7828">
        <w:rPr>
          <w:snapToGrid/>
        </w:rPr>
        <w:t>,</w:t>
      </w:r>
      <w:r w:rsidR="00F51517">
        <w:rPr>
          <w:snapToGrid/>
        </w:rPr>
        <w:t xml:space="preserve"> and submit comments thereon</w:t>
      </w:r>
      <w:r>
        <w:rPr>
          <w:snapToGrid/>
        </w:rPr>
        <w:t>.</w:t>
      </w:r>
      <w:r w:rsidR="00737994">
        <w:rPr>
          <w:rStyle w:val="FootnoteReference"/>
          <w:snapToGrid/>
        </w:rPr>
        <w:footnoteReference w:id="10"/>
      </w:r>
      <w:r w:rsidR="00025B0E">
        <w:rPr>
          <w:snapToGrid/>
        </w:rPr>
        <w:t xml:space="preserve">  </w:t>
      </w:r>
      <w:r w:rsidR="00737994" w:rsidRPr="00E54574">
        <w:rPr>
          <w:snapToGrid/>
        </w:rPr>
        <w:t xml:space="preserve">  </w:t>
      </w:r>
    </w:p>
    <w:bookmarkEnd w:id="1"/>
    <w:p w14:paraId="6ECAD5A8" w14:textId="5E789328" w:rsidR="00165100" w:rsidRDefault="00165100" w:rsidP="00165100">
      <w:pPr>
        <w:pStyle w:val="ParaNum"/>
        <w:widowControl/>
        <w:numPr>
          <w:ilvl w:val="0"/>
          <w:numId w:val="0"/>
        </w:numPr>
        <w:ind w:left="720"/>
      </w:pPr>
    </w:p>
    <w:p w14:paraId="52B24630" w14:textId="6E98A094" w:rsidR="00165100" w:rsidRDefault="00165100" w:rsidP="00165100">
      <w:pPr>
        <w:pStyle w:val="ParaNum"/>
        <w:widowControl/>
        <w:numPr>
          <w:ilvl w:val="0"/>
          <w:numId w:val="0"/>
        </w:numPr>
        <w:ind w:left="720"/>
      </w:pPr>
    </w:p>
    <w:p w14:paraId="7055425A" w14:textId="21723128" w:rsidR="00165100" w:rsidRDefault="00165100" w:rsidP="00165100">
      <w:pPr>
        <w:pStyle w:val="ParaNum"/>
        <w:widowControl/>
        <w:numPr>
          <w:ilvl w:val="0"/>
          <w:numId w:val="0"/>
        </w:numPr>
        <w:ind w:left="720"/>
      </w:pPr>
    </w:p>
    <w:p w14:paraId="34D49496" w14:textId="16B0CDB5" w:rsidR="00165100" w:rsidRDefault="00165100" w:rsidP="00165100">
      <w:pPr>
        <w:pStyle w:val="ParaNum"/>
        <w:widowControl/>
        <w:numPr>
          <w:ilvl w:val="0"/>
          <w:numId w:val="0"/>
        </w:numPr>
        <w:ind w:left="720"/>
      </w:pPr>
    </w:p>
    <w:p w14:paraId="17D04B55" w14:textId="0ED65394" w:rsidR="00165100" w:rsidRDefault="00165100" w:rsidP="00165100">
      <w:pPr>
        <w:pStyle w:val="ParaNum"/>
        <w:widowControl/>
        <w:numPr>
          <w:ilvl w:val="0"/>
          <w:numId w:val="0"/>
        </w:numPr>
        <w:ind w:left="720"/>
      </w:pPr>
    </w:p>
    <w:p w14:paraId="4F510ED6" w14:textId="55A2C52D" w:rsidR="00165100" w:rsidRDefault="00165100" w:rsidP="00165100">
      <w:pPr>
        <w:pStyle w:val="ParaNum"/>
        <w:widowControl/>
        <w:numPr>
          <w:ilvl w:val="0"/>
          <w:numId w:val="0"/>
        </w:numPr>
        <w:ind w:left="720"/>
      </w:pPr>
    </w:p>
    <w:p w14:paraId="60733CD1" w14:textId="54C1DB17" w:rsidR="00165100" w:rsidRDefault="00165100" w:rsidP="00165100">
      <w:pPr>
        <w:pStyle w:val="ParaNum"/>
        <w:widowControl/>
        <w:numPr>
          <w:ilvl w:val="0"/>
          <w:numId w:val="0"/>
        </w:numPr>
        <w:ind w:left="720"/>
      </w:pPr>
    </w:p>
    <w:p w14:paraId="2BFED6B3" w14:textId="3C3E13B7" w:rsidR="00165100" w:rsidRDefault="00165100" w:rsidP="00165100">
      <w:pPr>
        <w:pStyle w:val="ParaNum"/>
        <w:widowControl/>
        <w:numPr>
          <w:ilvl w:val="0"/>
          <w:numId w:val="0"/>
        </w:numPr>
        <w:ind w:left="720"/>
      </w:pPr>
    </w:p>
    <w:p w14:paraId="34871AD0" w14:textId="03CD6917" w:rsidR="00165100" w:rsidRDefault="00165100" w:rsidP="00165100">
      <w:pPr>
        <w:pStyle w:val="ParaNum"/>
        <w:widowControl/>
        <w:numPr>
          <w:ilvl w:val="0"/>
          <w:numId w:val="0"/>
        </w:numPr>
        <w:ind w:left="720"/>
      </w:pPr>
    </w:p>
    <w:p w14:paraId="7A454821" w14:textId="21AF8452" w:rsidR="00165100" w:rsidRDefault="00165100" w:rsidP="00165100">
      <w:pPr>
        <w:pStyle w:val="ParaNum"/>
        <w:widowControl/>
        <w:numPr>
          <w:ilvl w:val="0"/>
          <w:numId w:val="0"/>
        </w:numPr>
        <w:ind w:left="720"/>
      </w:pPr>
    </w:p>
    <w:p w14:paraId="65740D70" w14:textId="186C7C24" w:rsidR="00165100" w:rsidRDefault="00165100" w:rsidP="00165100">
      <w:pPr>
        <w:pStyle w:val="ParaNum"/>
        <w:widowControl/>
        <w:numPr>
          <w:ilvl w:val="0"/>
          <w:numId w:val="0"/>
        </w:numPr>
        <w:ind w:left="720"/>
      </w:pPr>
    </w:p>
    <w:p w14:paraId="14E3247B" w14:textId="08A0B55C" w:rsidR="00165100" w:rsidRDefault="00165100" w:rsidP="00165100">
      <w:pPr>
        <w:pStyle w:val="ParaNum"/>
        <w:widowControl/>
        <w:numPr>
          <w:ilvl w:val="0"/>
          <w:numId w:val="0"/>
        </w:numPr>
        <w:ind w:left="720"/>
      </w:pPr>
    </w:p>
    <w:p w14:paraId="185A49BD" w14:textId="6B4B8862" w:rsidR="00165100" w:rsidRDefault="00165100" w:rsidP="00165100">
      <w:pPr>
        <w:pStyle w:val="ParaNum"/>
        <w:widowControl/>
        <w:numPr>
          <w:ilvl w:val="0"/>
          <w:numId w:val="0"/>
        </w:numPr>
        <w:ind w:left="720"/>
      </w:pPr>
    </w:p>
    <w:p w14:paraId="4BBC0AC4" w14:textId="02252D1B" w:rsidR="00165100" w:rsidRDefault="00165100" w:rsidP="00165100">
      <w:pPr>
        <w:pStyle w:val="ParaNum"/>
        <w:widowControl/>
        <w:numPr>
          <w:ilvl w:val="0"/>
          <w:numId w:val="0"/>
        </w:numPr>
        <w:ind w:left="720"/>
      </w:pPr>
    </w:p>
    <w:p w14:paraId="674014E9" w14:textId="77777777" w:rsidR="00165100" w:rsidRDefault="00165100" w:rsidP="00165100">
      <w:pPr>
        <w:pStyle w:val="ParaNum"/>
        <w:widowControl/>
        <w:numPr>
          <w:ilvl w:val="0"/>
          <w:numId w:val="0"/>
        </w:numPr>
        <w:ind w:left="720"/>
      </w:pPr>
    </w:p>
    <w:p w14:paraId="49A39ACC" w14:textId="0F6D4A5F" w:rsidR="004E50A6" w:rsidRDefault="004E50A6" w:rsidP="0031463D">
      <w:pPr>
        <w:pStyle w:val="ParaNum"/>
        <w:widowControl/>
      </w:pPr>
      <w:r>
        <w:lastRenderedPageBreak/>
        <w:t xml:space="preserve">Accordingly, IT IS ORDERED, pursuant to </w:t>
      </w:r>
      <w:r w:rsidRPr="004769E4">
        <w:t>sections 4(i)</w:t>
      </w:r>
      <w:r>
        <w:t>, 4(j),</w:t>
      </w:r>
      <w:r w:rsidRPr="004769E4">
        <w:t xml:space="preserve"> </w:t>
      </w:r>
      <w:r>
        <w:t xml:space="preserve">5, </w:t>
      </w:r>
      <w:r w:rsidRPr="004769E4">
        <w:t>and 303(r) of the Communications Act, as amended, 47 U.S.C. §§ 154(i)</w:t>
      </w:r>
      <w:r>
        <w:t xml:space="preserve">, </w:t>
      </w:r>
      <w:r w:rsidRPr="004769E4">
        <w:t>154</w:t>
      </w:r>
      <w:r>
        <w:t xml:space="preserve">(j), 155, </w:t>
      </w:r>
      <w:r w:rsidRPr="004769E4">
        <w:t>and 303(r)</w:t>
      </w:r>
      <w:r>
        <w:t>,</w:t>
      </w:r>
      <w:r w:rsidRPr="004769E4">
        <w:t xml:space="preserve"> and sections </w:t>
      </w:r>
      <w:r w:rsidR="00126C57">
        <w:t xml:space="preserve">0.91, 0.131, 0.291, </w:t>
      </w:r>
      <w:r>
        <w:t>0.</w:t>
      </w:r>
      <w:r w:rsidR="002F3997">
        <w:t>33</w:t>
      </w:r>
      <w:r>
        <w:t>1, 1.46, and 1.415</w:t>
      </w:r>
      <w:r w:rsidRPr="004769E4">
        <w:t xml:space="preserve"> of the Commission’s rules, 47 CFR §§ </w:t>
      </w:r>
      <w:r w:rsidR="00F960DC">
        <w:t>0</w:t>
      </w:r>
      <w:r w:rsidR="00126C57">
        <w:t xml:space="preserve">.91, </w:t>
      </w:r>
      <w:r>
        <w:t>0.</w:t>
      </w:r>
      <w:r w:rsidR="002F3997">
        <w:t>13</w:t>
      </w:r>
      <w:r>
        <w:t xml:space="preserve">1, </w:t>
      </w:r>
      <w:r w:rsidR="00126C57">
        <w:t xml:space="preserve">0.291, </w:t>
      </w:r>
      <w:r>
        <w:t>0.</w:t>
      </w:r>
      <w:r w:rsidR="002F3997">
        <w:t>33</w:t>
      </w:r>
      <w:r>
        <w:t>1, 1.46</w:t>
      </w:r>
      <w:r w:rsidRPr="004769E4">
        <w:t>,</w:t>
      </w:r>
      <w:r w:rsidR="00C22681">
        <w:t xml:space="preserve"> and 1.415, that</w:t>
      </w:r>
      <w:r w:rsidR="00C22681">
        <w:rPr>
          <w:snapToGrid/>
        </w:rPr>
        <w:t xml:space="preserve"> the</w:t>
      </w:r>
      <w:r w:rsidR="003F77DB">
        <w:rPr>
          <w:snapToGrid/>
        </w:rPr>
        <w:t xml:space="preserve"> </w:t>
      </w:r>
      <w:r w:rsidR="00F51517">
        <w:rPr>
          <w:snapToGrid/>
        </w:rPr>
        <w:t>Joint Petition for Extension of Time to File Comments</w:t>
      </w:r>
      <w:r w:rsidR="0011529D">
        <w:rPr>
          <w:snapToGrid/>
        </w:rPr>
        <w:t xml:space="preserve"> filed by the American Cable Association, NCTA – The Internet &amp; Television Association, NTCA – The Rural Broadband Association, the USTelecom Association</w:t>
      </w:r>
      <w:r w:rsidR="005E7828">
        <w:rPr>
          <w:snapToGrid/>
        </w:rPr>
        <w:t>,</w:t>
      </w:r>
      <w:r w:rsidR="0011529D">
        <w:rPr>
          <w:snapToGrid/>
        </w:rPr>
        <w:t xml:space="preserve"> and the Wireless Internet Service Providers Association </w:t>
      </w:r>
      <w:r w:rsidR="00BA3A86">
        <w:t xml:space="preserve">on </w:t>
      </w:r>
      <w:r w:rsidR="00F51517">
        <w:t>September 12</w:t>
      </w:r>
      <w:r w:rsidR="00BC18B3">
        <w:t xml:space="preserve">, </w:t>
      </w:r>
      <w:r w:rsidR="00BA3A86">
        <w:t>2017</w:t>
      </w:r>
      <w:r>
        <w:t xml:space="preserve">, IS </w:t>
      </w:r>
      <w:r w:rsidR="00737994">
        <w:t xml:space="preserve">GRANTED, IN PART, and the deadline for filing comments is extended to </w:t>
      </w:r>
      <w:r w:rsidR="0011529D">
        <w:t>October 9</w:t>
      </w:r>
      <w:r w:rsidR="00737994">
        <w:t xml:space="preserve">, 2017 and the deadline for filing reply comments is extended to </w:t>
      </w:r>
      <w:r w:rsidR="000F3AA4">
        <w:t xml:space="preserve">October </w:t>
      </w:r>
      <w:r w:rsidR="00E03D56">
        <w:t>24</w:t>
      </w:r>
      <w:r w:rsidR="00737994">
        <w:t>, 2017</w:t>
      </w:r>
      <w:r w:rsidR="00BC18B3">
        <w:t>.</w:t>
      </w:r>
    </w:p>
    <w:p w14:paraId="2476549F" w14:textId="77777777" w:rsidR="004E50A6" w:rsidRDefault="004E50A6" w:rsidP="0031463D">
      <w:pPr>
        <w:pStyle w:val="ParaNum"/>
        <w:widowControl/>
        <w:numPr>
          <w:ilvl w:val="0"/>
          <w:numId w:val="0"/>
        </w:numPr>
      </w:pPr>
    </w:p>
    <w:p w14:paraId="6A992516" w14:textId="77777777" w:rsidR="00025B0E" w:rsidRDefault="00025B0E" w:rsidP="0031463D">
      <w:pPr>
        <w:pStyle w:val="ParaNum"/>
        <w:widowControl/>
        <w:numPr>
          <w:ilvl w:val="0"/>
          <w:numId w:val="0"/>
        </w:numPr>
      </w:pPr>
    </w:p>
    <w:p w14:paraId="1030A838" w14:textId="77777777" w:rsidR="004E50A6" w:rsidRDefault="004E50A6" w:rsidP="0031463D">
      <w:pPr>
        <w:pStyle w:val="ParaNum"/>
        <w:widowControl/>
        <w:numPr>
          <w:ilvl w:val="0"/>
          <w:numId w:val="0"/>
        </w:numPr>
        <w:spacing w:after="0"/>
        <w:ind w:left="3600"/>
      </w:pPr>
      <w:r>
        <w:t>FEDERAL COMMUNICATIONS COMMISSION</w:t>
      </w:r>
    </w:p>
    <w:p w14:paraId="35B21D0C" w14:textId="77777777" w:rsidR="004E50A6" w:rsidRDefault="004E50A6" w:rsidP="0031463D">
      <w:pPr>
        <w:pStyle w:val="ParaNum"/>
        <w:widowControl/>
        <w:numPr>
          <w:ilvl w:val="0"/>
          <w:numId w:val="0"/>
        </w:numPr>
        <w:spacing w:after="0"/>
        <w:ind w:left="3600"/>
      </w:pPr>
    </w:p>
    <w:p w14:paraId="0D1131C0" w14:textId="77777777" w:rsidR="004E50A6" w:rsidRDefault="004E50A6" w:rsidP="0031463D">
      <w:pPr>
        <w:pStyle w:val="ParaNum"/>
        <w:widowControl/>
        <w:numPr>
          <w:ilvl w:val="0"/>
          <w:numId w:val="0"/>
        </w:numPr>
        <w:spacing w:after="0"/>
        <w:ind w:left="3600"/>
      </w:pPr>
    </w:p>
    <w:p w14:paraId="67AE44CD" w14:textId="77777777" w:rsidR="004E50A6" w:rsidRDefault="004E50A6" w:rsidP="0031463D">
      <w:pPr>
        <w:pStyle w:val="ParaNum"/>
        <w:widowControl/>
        <w:numPr>
          <w:ilvl w:val="0"/>
          <w:numId w:val="0"/>
        </w:numPr>
        <w:spacing w:after="0"/>
        <w:ind w:left="3600"/>
      </w:pPr>
    </w:p>
    <w:p w14:paraId="23925334" w14:textId="77777777" w:rsidR="0011529D" w:rsidRDefault="00A30599" w:rsidP="00BC458A">
      <w:pPr>
        <w:widowControl/>
        <w:ind w:left="2880" w:firstLine="720"/>
      </w:pPr>
      <w:r>
        <w:t>Rodger Woock</w:t>
      </w:r>
    </w:p>
    <w:p w14:paraId="3F8EA67E" w14:textId="77777777" w:rsidR="00A30599" w:rsidRDefault="00A30599" w:rsidP="00BC458A">
      <w:pPr>
        <w:widowControl/>
        <w:ind w:left="2880" w:firstLine="720"/>
      </w:pPr>
      <w:r>
        <w:t>Chief</w:t>
      </w:r>
    </w:p>
    <w:p w14:paraId="5E95F6E1" w14:textId="77777777" w:rsidR="00A30599" w:rsidRDefault="00A30599" w:rsidP="00BC458A">
      <w:pPr>
        <w:widowControl/>
        <w:ind w:left="2880" w:firstLine="720"/>
      </w:pPr>
      <w:r>
        <w:t>Industry Analysis and Technology Division</w:t>
      </w:r>
    </w:p>
    <w:p w14:paraId="3A2CFE0A" w14:textId="77777777" w:rsidR="00BC458A" w:rsidRDefault="00BC458A" w:rsidP="00BC458A">
      <w:pPr>
        <w:widowControl/>
        <w:ind w:left="2880" w:firstLine="720"/>
      </w:pPr>
      <w:r>
        <w:t>Wireline Competition Bureau</w:t>
      </w:r>
    </w:p>
    <w:p w14:paraId="6B1A997A" w14:textId="77777777" w:rsidR="004E50A6" w:rsidRDefault="004E50A6" w:rsidP="0031463D">
      <w:pPr>
        <w:pStyle w:val="ParaNum"/>
        <w:widowControl/>
        <w:numPr>
          <w:ilvl w:val="0"/>
          <w:numId w:val="0"/>
        </w:numPr>
        <w:spacing w:after="0"/>
        <w:ind w:left="3600"/>
      </w:pPr>
    </w:p>
    <w:p w14:paraId="767EC0F9" w14:textId="77777777" w:rsidR="00BC458A" w:rsidRDefault="00BC458A" w:rsidP="00BC458A">
      <w:pPr>
        <w:widowControl/>
        <w:spacing w:before="40"/>
        <w:rPr>
          <w:szCs w:val="22"/>
        </w:rPr>
      </w:pPr>
    </w:p>
    <w:p w14:paraId="77BE00C5" w14:textId="77777777" w:rsidR="00BC458A" w:rsidRDefault="00BC458A" w:rsidP="0031463D">
      <w:pPr>
        <w:widowControl/>
        <w:spacing w:before="40"/>
        <w:ind w:left="2880" w:firstLine="720"/>
        <w:rPr>
          <w:szCs w:val="22"/>
        </w:rPr>
      </w:pPr>
    </w:p>
    <w:p w14:paraId="4F30908F" w14:textId="77777777" w:rsidR="004E50A6" w:rsidRPr="005E3FE4" w:rsidRDefault="00BB789B" w:rsidP="0031463D">
      <w:pPr>
        <w:widowControl/>
        <w:spacing w:before="40"/>
        <w:ind w:left="2880" w:firstLine="720"/>
        <w:rPr>
          <w:b/>
          <w:szCs w:val="22"/>
        </w:rPr>
      </w:pPr>
      <w:r>
        <w:rPr>
          <w:szCs w:val="22"/>
        </w:rPr>
        <w:t>Garnet Hanly</w:t>
      </w:r>
    </w:p>
    <w:p w14:paraId="152695B1" w14:textId="77777777" w:rsidR="004E50A6" w:rsidRDefault="004E50A6" w:rsidP="0031463D">
      <w:pPr>
        <w:pStyle w:val="ParaNum"/>
        <w:widowControl/>
        <w:numPr>
          <w:ilvl w:val="0"/>
          <w:numId w:val="0"/>
        </w:numPr>
        <w:spacing w:after="0"/>
        <w:ind w:left="3600"/>
      </w:pPr>
      <w:r>
        <w:t xml:space="preserve">Chief </w:t>
      </w:r>
    </w:p>
    <w:p w14:paraId="044975AE" w14:textId="77777777" w:rsidR="00BB789B" w:rsidRDefault="00BB789B" w:rsidP="0031463D">
      <w:pPr>
        <w:pStyle w:val="ParaNum"/>
        <w:widowControl/>
        <w:numPr>
          <w:ilvl w:val="0"/>
          <w:numId w:val="0"/>
        </w:numPr>
        <w:spacing w:after="0"/>
        <w:ind w:left="3600"/>
      </w:pPr>
      <w:r>
        <w:t>Competition and Infrastructure Policy Division</w:t>
      </w:r>
    </w:p>
    <w:p w14:paraId="1134478A" w14:textId="77777777" w:rsidR="004C2EE3" w:rsidRDefault="00C22681" w:rsidP="0031463D">
      <w:pPr>
        <w:widowControl/>
        <w:ind w:left="2880" w:firstLine="720"/>
      </w:pPr>
      <w:r>
        <w:t>Wireless Telecommunications</w:t>
      </w:r>
      <w:r w:rsidR="004E50A6">
        <w:t xml:space="preserve"> Bureau</w:t>
      </w:r>
    </w:p>
    <w:p w14:paraId="1DA93CDF" w14:textId="77777777" w:rsidR="0011529D" w:rsidRDefault="0011529D" w:rsidP="0031463D">
      <w:pPr>
        <w:widowControl/>
        <w:ind w:left="2880" w:firstLine="720"/>
      </w:pPr>
    </w:p>
    <w:p w14:paraId="0090F249" w14:textId="77777777" w:rsidR="00616F33" w:rsidRDefault="00616F33" w:rsidP="0031463D">
      <w:pPr>
        <w:widowControl/>
        <w:ind w:left="2880" w:firstLine="720"/>
      </w:pPr>
    </w:p>
    <w:p w14:paraId="53AB81A2" w14:textId="77777777" w:rsidR="00A30599" w:rsidRDefault="00A30599" w:rsidP="0031463D">
      <w:pPr>
        <w:widowControl/>
        <w:ind w:left="2880" w:firstLine="720"/>
      </w:pPr>
    </w:p>
    <w:p w14:paraId="7598F6A5" w14:textId="77777777" w:rsidR="00A30599" w:rsidRDefault="00A30599" w:rsidP="0031463D">
      <w:pPr>
        <w:widowControl/>
        <w:ind w:left="2880" w:firstLine="720"/>
      </w:pPr>
      <w:r>
        <w:t>Denise Coca</w:t>
      </w:r>
    </w:p>
    <w:p w14:paraId="083B1899" w14:textId="77777777" w:rsidR="00A30599" w:rsidRDefault="00A30599" w:rsidP="0031463D">
      <w:pPr>
        <w:widowControl/>
        <w:ind w:left="2880" w:firstLine="720"/>
      </w:pPr>
      <w:r>
        <w:t>Chief</w:t>
      </w:r>
    </w:p>
    <w:p w14:paraId="5E2B5469" w14:textId="77777777" w:rsidR="00A30599" w:rsidRDefault="00A30599" w:rsidP="0031463D">
      <w:pPr>
        <w:widowControl/>
        <w:ind w:left="2880" w:firstLine="720"/>
      </w:pPr>
      <w:r>
        <w:t>Telecommunications and Analysis Division</w:t>
      </w:r>
    </w:p>
    <w:p w14:paraId="3F522E24" w14:textId="77777777" w:rsidR="00A30599" w:rsidRDefault="00A30599" w:rsidP="0031463D">
      <w:pPr>
        <w:widowControl/>
        <w:ind w:left="2880" w:firstLine="720"/>
      </w:pPr>
      <w:r>
        <w:t>International Division</w:t>
      </w:r>
    </w:p>
    <w:p w14:paraId="4EC0E76E" w14:textId="77777777" w:rsidR="00616F33" w:rsidRDefault="00616F33" w:rsidP="0031463D">
      <w:pPr>
        <w:widowControl/>
        <w:ind w:left="2880" w:firstLine="720"/>
      </w:pPr>
    </w:p>
    <w:p w14:paraId="597B4452" w14:textId="77777777" w:rsidR="00616F33" w:rsidRDefault="00616F33" w:rsidP="0031463D">
      <w:pPr>
        <w:widowControl/>
        <w:ind w:left="2880" w:firstLine="720"/>
      </w:pPr>
    </w:p>
    <w:p w14:paraId="68F8E410" w14:textId="77777777" w:rsidR="00616F33" w:rsidRDefault="00616F33" w:rsidP="0031463D">
      <w:pPr>
        <w:widowControl/>
        <w:ind w:left="2880" w:firstLine="720"/>
      </w:pPr>
    </w:p>
    <w:sectPr w:rsidR="00616F33" w:rsidSect="003B46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9A502" w14:textId="77777777" w:rsidR="00F27470" w:rsidRDefault="00F27470">
      <w:pPr>
        <w:spacing w:line="20" w:lineRule="exact"/>
      </w:pPr>
    </w:p>
  </w:endnote>
  <w:endnote w:type="continuationSeparator" w:id="0">
    <w:p w14:paraId="0866099B" w14:textId="77777777" w:rsidR="00F27470" w:rsidRDefault="00F27470">
      <w:r>
        <w:t xml:space="preserve"> </w:t>
      </w:r>
    </w:p>
  </w:endnote>
  <w:endnote w:type="continuationNotice" w:id="1">
    <w:p w14:paraId="71C60811" w14:textId="77777777" w:rsidR="00F27470" w:rsidRDefault="00F274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BC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FD47BC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2734" w14:textId="084AA3A9" w:rsidR="00D25FB5" w:rsidRDefault="00D25FB5" w:rsidP="0055614C">
    <w:pPr>
      <w:pStyle w:val="Footer"/>
      <w:framePr w:wrap="around" w:vAnchor="text" w:hAnchor="margin" w:xAlign="center" w:y="1"/>
    </w:pPr>
    <w:r>
      <w:fldChar w:fldCharType="begin"/>
    </w:r>
    <w:r>
      <w:instrText xml:space="preserve">PAGE  </w:instrText>
    </w:r>
    <w:r>
      <w:fldChar w:fldCharType="separate"/>
    </w:r>
    <w:r w:rsidR="00E61A7F">
      <w:rPr>
        <w:noProof/>
      </w:rPr>
      <w:t>2</w:t>
    </w:r>
    <w:r>
      <w:fldChar w:fldCharType="end"/>
    </w:r>
  </w:p>
  <w:p w14:paraId="6083D3D9"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68A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A5BA1" w14:textId="77777777" w:rsidR="00F27470" w:rsidRDefault="00F27470">
      <w:r>
        <w:separator/>
      </w:r>
    </w:p>
  </w:footnote>
  <w:footnote w:type="continuationSeparator" w:id="0">
    <w:p w14:paraId="1523B46F" w14:textId="77777777" w:rsidR="00F27470" w:rsidRDefault="00F27470" w:rsidP="00C721AC">
      <w:pPr>
        <w:spacing w:before="120"/>
        <w:rPr>
          <w:sz w:val="20"/>
        </w:rPr>
      </w:pPr>
      <w:r>
        <w:continuationSeparator/>
      </w:r>
    </w:p>
  </w:footnote>
  <w:footnote w:type="continuationNotice" w:id="1">
    <w:p w14:paraId="10637EE4" w14:textId="77777777" w:rsidR="00F27470" w:rsidRPr="009868E4" w:rsidRDefault="00F27470" w:rsidP="009868E4">
      <w:pPr>
        <w:pStyle w:val="Footer"/>
      </w:pPr>
    </w:p>
  </w:footnote>
  <w:footnote w:id="2">
    <w:p w14:paraId="639A22B2" w14:textId="64A2CD77" w:rsidR="006624B7" w:rsidRPr="00DE2301" w:rsidRDefault="006624B7" w:rsidP="006624B7">
      <w:pPr>
        <w:pStyle w:val="FootnoteText"/>
        <w:tabs>
          <w:tab w:val="left" w:pos="4770"/>
        </w:tabs>
      </w:pPr>
      <w:r w:rsidRPr="00DE2301">
        <w:rPr>
          <w:rStyle w:val="FootnoteReference"/>
        </w:rPr>
        <w:footnoteRef/>
      </w:r>
      <w:r w:rsidR="001768F3">
        <w:t xml:space="preserve"> </w:t>
      </w:r>
      <w:r w:rsidR="001768F3">
        <w:rPr>
          <w:i/>
        </w:rPr>
        <w:t>Modernizing the FCC Form 477 Data Program</w:t>
      </w:r>
      <w:r w:rsidR="001768F3">
        <w:t>, WC</w:t>
      </w:r>
      <w:r>
        <w:t xml:space="preserve"> Docket No. </w:t>
      </w:r>
      <w:r w:rsidR="001768F3">
        <w:t>11-10</w:t>
      </w:r>
      <w:r>
        <w:t xml:space="preserve">, </w:t>
      </w:r>
      <w:r w:rsidR="001768F3">
        <w:t>Further Notice of Proposed Rulemaking</w:t>
      </w:r>
      <w:r>
        <w:t>, FCC 17-</w:t>
      </w:r>
      <w:r w:rsidR="001768F3">
        <w:t>103</w:t>
      </w:r>
      <w:r>
        <w:t xml:space="preserve"> (Aug. </w:t>
      </w:r>
      <w:r w:rsidR="001768F3">
        <w:t>3</w:t>
      </w:r>
      <w:r>
        <w:t>, 2017)</w:t>
      </w:r>
      <w:r w:rsidR="00161C2B">
        <w:t xml:space="preserve"> (FNPRM)</w:t>
      </w:r>
      <w:r>
        <w:t>.</w:t>
      </w:r>
    </w:p>
  </w:footnote>
  <w:footnote w:id="3">
    <w:p w14:paraId="2B31FF60" w14:textId="5A10823B" w:rsidR="00F51517" w:rsidRDefault="00F51517">
      <w:pPr>
        <w:pStyle w:val="FootnoteText"/>
      </w:pPr>
      <w:r>
        <w:rPr>
          <w:rStyle w:val="FootnoteReference"/>
        </w:rPr>
        <w:footnoteRef/>
      </w:r>
      <w:r>
        <w:t xml:space="preserve"> T</w:t>
      </w:r>
      <w:r w:rsidRPr="00CB7AFD">
        <w:t>he</w:t>
      </w:r>
      <w:r>
        <w:t xml:space="preserve"> Form 477 FNPRM established comment and reply comment dates of 30 and 45 days after publication in the Federal Register, respectively.  The FNPRM was published in the Federal Register on August 24, 2017, thereby establishing September 25, 2017 and October </w:t>
      </w:r>
      <w:r w:rsidR="004A4198">
        <w:t>10</w:t>
      </w:r>
      <w:r>
        <w:t xml:space="preserve">, 2017 as the comment and reply comment dates, respectively.  </w:t>
      </w:r>
    </w:p>
  </w:footnote>
  <w:footnote w:id="4">
    <w:p w14:paraId="381EDCB8" w14:textId="561D0C04" w:rsidR="00E360C7" w:rsidRDefault="00E360C7">
      <w:pPr>
        <w:pStyle w:val="FootnoteText"/>
      </w:pPr>
      <w:r>
        <w:rPr>
          <w:rStyle w:val="FootnoteReference"/>
        </w:rPr>
        <w:footnoteRef/>
      </w:r>
      <w:r>
        <w:t xml:space="preserve"> </w:t>
      </w:r>
      <w:r w:rsidR="007C1189">
        <w:t>Joint Petition for Extension of Time to File Comments</w:t>
      </w:r>
      <w:r w:rsidR="00465625">
        <w:t>, W</w:t>
      </w:r>
      <w:r w:rsidR="003942FB">
        <w:t>C</w:t>
      </w:r>
      <w:r w:rsidR="00465625">
        <w:t xml:space="preserve"> Docket No. </w:t>
      </w:r>
      <w:r w:rsidR="007C1189">
        <w:t>11-10</w:t>
      </w:r>
      <w:r w:rsidR="003942FB">
        <w:t xml:space="preserve"> (</w:t>
      </w:r>
      <w:r w:rsidR="00465625">
        <w:t xml:space="preserve">filed </w:t>
      </w:r>
      <w:r w:rsidR="007D35F5">
        <w:t xml:space="preserve">Sept. </w:t>
      </w:r>
      <w:r w:rsidR="007C1189">
        <w:t>12</w:t>
      </w:r>
      <w:r w:rsidR="00465625">
        <w:t>, 2017</w:t>
      </w:r>
      <w:r w:rsidR="00294758">
        <w:t>)</w:t>
      </w:r>
      <w:r w:rsidR="00276156">
        <w:t>,</w:t>
      </w:r>
      <w:r w:rsidR="0060462B">
        <w:t xml:space="preserve"> </w:t>
      </w:r>
      <w:hyperlink r:id="rId1" w:history="1">
        <w:r w:rsidR="00EC4C69" w:rsidRPr="00901BB0">
          <w:rPr>
            <w:rStyle w:val="Hyperlink"/>
          </w:rPr>
          <w:t>https://ecfsapi.fcc.gov/file/10912701709754/Form%20477%20Extension%20Request.pdf</w:t>
        </w:r>
      </w:hyperlink>
      <w:r w:rsidR="00EC4C69">
        <w:t xml:space="preserve"> </w:t>
      </w:r>
      <w:r w:rsidR="00465625">
        <w:t>(</w:t>
      </w:r>
      <w:r w:rsidR="0011529D">
        <w:t xml:space="preserve">Joint </w:t>
      </w:r>
      <w:r w:rsidR="007C1189">
        <w:t>Petition</w:t>
      </w:r>
      <w:r w:rsidR="00465625">
        <w:t>).</w:t>
      </w:r>
    </w:p>
  </w:footnote>
  <w:footnote w:id="5">
    <w:p w14:paraId="13064654" w14:textId="10AA1D09" w:rsidR="0011529D" w:rsidRDefault="0011529D">
      <w:pPr>
        <w:pStyle w:val="FootnoteText"/>
      </w:pPr>
      <w:r>
        <w:rPr>
          <w:rStyle w:val="FootnoteReference"/>
        </w:rPr>
        <w:footnoteRef/>
      </w:r>
      <w:r>
        <w:t xml:space="preserve"> </w:t>
      </w:r>
      <w:r w:rsidR="00294758" w:rsidRPr="00294758">
        <w:rPr>
          <w:i/>
        </w:rPr>
        <w:t>Id</w:t>
      </w:r>
      <w:r w:rsidR="00294758">
        <w:t xml:space="preserve">. </w:t>
      </w:r>
      <w:r w:rsidRPr="00294758">
        <w:t>at</w:t>
      </w:r>
      <w:r>
        <w:t xml:space="preserve"> 3.</w:t>
      </w:r>
    </w:p>
  </w:footnote>
  <w:footnote w:id="6">
    <w:p w14:paraId="72C4C2EE" w14:textId="77777777" w:rsidR="0011529D" w:rsidRPr="0011529D" w:rsidRDefault="0011529D">
      <w:pPr>
        <w:pStyle w:val="FootnoteText"/>
        <w:rPr>
          <w:i/>
        </w:rPr>
      </w:pPr>
      <w:r>
        <w:rPr>
          <w:rStyle w:val="FootnoteReference"/>
        </w:rPr>
        <w:footnoteRef/>
      </w:r>
      <w:r>
        <w:t xml:space="preserve"> </w:t>
      </w:r>
      <w:r>
        <w:rPr>
          <w:i/>
        </w:rPr>
        <w:t>Id.</w:t>
      </w:r>
    </w:p>
  </w:footnote>
  <w:footnote w:id="7">
    <w:p w14:paraId="01770A11" w14:textId="18064DC4" w:rsidR="0011529D" w:rsidRPr="0011529D" w:rsidRDefault="0011529D">
      <w:pPr>
        <w:pStyle w:val="FootnoteText"/>
      </w:pPr>
      <w:r>
        <w:rPr>
          <w:rStyle w:val="FootnoteReference"/>
        </w:rPr>
        <w:footnoteRef/>
      </w:r>
      <w:r>
        <w:t xml:space="preserve"> </w:t>
      </w:r>
      <w:r w:rsidR="00161C2B" w:rsidRPr="00161C2B">
        <w:rPr>
          <w:i/>
        </w:rPr>
        <w:t xml:space="preserve">See </w:t>
      </w:r>
      <w:r>
        <w:rPr>
          <w:i/>
        </w:rPr>
        <w:t xml:space="preserve">Id </w:t>
      </w:r>
      <w:r>
        <w:t xml:space="preserve">at </w:t>
      </w:r>
      <w:r w:rsidR="00161C2B">
        <w:t xml:space="preserve">2 and </w:t>
      </w:r>
      <w:r>
        <w:t>3-4.</w:t>
      </w:r>
    </w:p>
  </w:footnote>
  <w:footnote w:id="8">
    <w:p w14:paraId="4EC9ED57" w14:textId="77777777" w:rsidR="00A30599" w:rsidRPr="00A30599" w:rsidRDefault="00A30599">
      <w:pPr>
        <w:pStyle w:val="FootnoteText"/>
      </w:pPr>
      <w:r>
        <w:rPr>
          <w:rStyle w:val="FootnoteReference"/>
        </w:rPr>
        <w:footnoteRef/>
      </w:r>
      <w:r>
        <w:t xml:space="preserve"> </w:t>
      </w:r>
      <w:r>
        <w:rPr>
          <w:i/>
        </w:rPr>
        <w:t xml:space="preserve">Id. </w:t>
      </w:r>
      <w:r>
        <w:t>at 4.</w:t>
      </w:r>
    </w:p>
  </w:footnote>
  <w:footnote w:id="9">
    <w:p w14:paraId="33A3012B" w14:textId="77777777" w:rsidR="00737994" w:rsidRPr="00DE2301" w:rsidRDefault="00737994" w:rsidP="00737994">
      <w:pPr>
        <w:pStyle w:val="FootnoteText"/>
      </w:pPr>
      <w:r w:rsidRPr="00DE2301">
        <w:rPr>
          <w:rStyle w:val="FootnoteReference"/>
        </w:rPr>
        <w:footnoteRef/>
      </w:r>
      <w:r>
        <w:t xml:space="preserve"> 47 CFR § 1.46</w:t>
      </w:r>
      <w:r w:rsidRPr="00DE2301">
        <w:t>(a).</w:t>
      </w:r>
    </w:p>
  </w:footnote>
  <w:footnote w:id="10">
    <w:p w14:paraId="0F709668" w14:textId="709E66B5" w:rsidR="00737994" w:rsidRPr="00417513" w:rsidRDefault="00737994" w:rsidP="00737994">
      <w:pPr>
        <w:spacing w:after="120"/>
      </w:pPr>
      <w:r w:rsidRPr="00DE2301">
        <w:rPr>
          <w:rStyle w:val="FootnoteReference"/>
        </w:rPr>
        <w:footnoteRef/>
      </w:r>
      <w:r w:rsidRPr="00DA41C1">
        <w:rPr>
          <w:sz w:val="20"/>
        </w:rPr>
        <w:t xml:space="preserve"> </w:t>
      </w:r>
      <w:r w:rsidRPr="00DE2301">
        <w:rPr>
          <w:i/>
          <w:sz w:val="20"/>
        </w:rPr>
        <w:t>See, e.g.</w:t>
      </w:r>
      <w:r w:rsidRPr="00DE2301">
        <w:rPr>
          <w:sz w:val="20"/>
        </w:rPr>
        <w:t>,</w:t>
      </w:r>
      <w:r w:rsidRPr="00DA41C1">
        <w:rPr>
          <w:i/>
          <w:sz w:val="20"/>
        </w:rPr>
        <w:t xml:space="preserve"> </w:t>
      </w:r>
      <w:r w:rsidR="00C6071F" w:rsidRPr="00C6071F">
        <w:rPr>
          <w:i/>
          <w:sz w:val="20"/>
        </w:rPr>
        <w:t>Restoring Internet Freedom</w:t>
      </w:r>
      <w:r w:rsidR="00C6071F" w:rsidRPr="00C6071F">
        <w:rPr>
          <w:sz w:val="20"/>
        </w:rPr>
        <w:t>, WC Docket No. 17-108, Order, DA 17-761 (WCB Aug. 11, 2017)</w:t>
      </w:r>
      <w:r w:rsidR="001370F1">
        <w:rPr>
          <w:i/>
          <w:sz w:val="20"/>
        </w:rPr>
        <w:t xml:space="preserve"> </w:t>
      </w:r>
      <w:r w:rsidR="001370F1">
        <w:rPr>
          <w:sz w:val="20"/>
        </w:rPr>
        <w:t>(granting a two-week extension when parties sought an eight-week extension);</w:t>
      </w:r>
      <w:r w:rsidR="001370F1">
        <w:rPr>
          <w:i/>
          <w:sz w:val="20"/>
        </w:rPr>
        <w:t xml:space="preserve"> </w:t>
      </w:r>
      <w:r w:rsidRPr="00DE2301">
        <w:rPr>
          <w:i/>
          <w:sz w:val="20"/>
        </w:rPr>
        <w:t xml:space="preserve">Promoting Innovation and Competition in the Provision of Multichannel </w:t>
      </w:r>
      <w:r w:rsidR="004A4198">
        <w:rPr>
          <w:i/>
          <w:sz w:val="20"/>
        </w:rPr>
        <w:t>V</w:t>
      </w:r>
      <w:r w:rsidRPr="00DE2301">
        <w:rPr>
          <w:i/>
          <w:sz w:val="20"/>
        </w:rPr>
        <w:t xml:space="preserve">ideo </w:t>
      </w:r>
      <w:r w:rsidR="004A4198">
        <w:rPr>
          <w:i/>
          <w:sz w:val="20"/>
        </w:rPr>
        <w:t>P</w:t>
      </w:r>
      <w:r w:rsidRPr="00DE2301">
        <w:rPr>
          <w:i/>
          <w:sz w:val="20"/>
        </w:rPr>
        <w:t xml:space="preserve">rogramming </w:t>
      </w:r>
      <w:r w:rsidR="004A4198">
        <w:rPr>
          <w:i/>
          <w:sz w:val="20"/>
        </w:rPr>
        <w:t>D</w:t>
      </w:r>
      <w:r w:rsidRPr="00DE2301">
        <w:rPr>
          <w:i/>
          <w:sz w:val="20"/>
        </w:rPr>
        <w:t xml:space="preserve">istribution </w:t>
      </w:r>
      <w:r w:rsidR="004A4198">
        <w:rPr>
          <w:i/>
          <w:sz w:val="20"/>
        </w:rPr>
        <w:t>S</w:t>
      </w:r>
      <w:r w:rsidRPr="00DE2301">
        <w:rPr>
          <w:i/>
          <w:sz w:val="20"/>
        </w:rPr>
        <w:t>ervices</w:t>
      </w:r>
      <w:r w:rsidRPr="00DE2301">
        <w:rPr>
          <w:sz w:val="20"/>
        </w:rPr>
        <w:t xml:space="preserve">, Order, 30 FCC Rcd 1160 (MB 2015) (granting a two-week extension of </w:t>
      </w:r>
      <w:r>
        <w:rPr>
          <w:sz w:val="20"/>
        </w:rPr>
        <w:t>the comment and reply deadlines</w:t>
      </w:r>
      <w:r w:rsidRPr="00417513">
        <w:rPr>
          <w:sz w:val="20"/>
        </w:rPr>
        <w:t xml:space="preserve"> after parties sought a longer extension); </w:t>
      </w:r>
      <w:r w:rsidRPr="00417513">
        <w:rPr>
          <w:i/>
          <w:sz w:val="20"/>
        </w:rPr>
        <w:t>Wireless Telecommunications Bureau Extends Period to File Reply Comments on Motorola, Inc. Request for Interpretation or Waiver of Section 90.267 of the Commission’s Rules Regarding 450-470 MHz Band Low Power Operat</w:t>
      </w:r>
      <w:r w:rsidR="00E05658">
        <w:rPr>
          <w:i/>
          <w:sz w:val="20"/>
        </w:rPr>
        <w:t>ions</w:t>
      </w:r>
      <w:r w:rsidRPr="00417513">
        <w:rPr>
          <w:sz w:val="20"/>
        </w:rPr>
        <w:t>, Public Notice, 25 FCC Rcd 4694 (</w:t>
      </w:r>
      <w:r w:rsidR="00E05658">
        <w:rPr>
          <w:sz w:val="20"/>
        </w:rPr>
        <w:t xml:space="preserve">WTB </w:t>
      </w:r>
      <w:r w:rsidRPr="00417513">
        <w:rPr>
          <w:sz w:val="20"/>
        </w:rPr>
        <w:t xml:space="preserve">2010) (granting a 10-day extension of reply comment deadline upon motion for a longer extension, “to ensure that the Commission obtains a complete and thorough record”); </w:t>
      </w:r>
      <w:r w:rsidRPr="00417513">
        <w:rPr>
          <w:i/>
          <w:sz w:val="20"/>
        </w:rPr>
        <w:t>Lifeline and Link</w:t>
      </w:r>
      <w:r w:rsidR="00B06D18">
        <w:rPr>
          <w:i/>
          <w:sz w:val="20"/>
        </w:rPr>
        <w:t xml:space="preserve"> U</w:t>
      </w:r>
      <w:r w:rsidRPr="00417513">
        <w:rPr>
          <w:i/>
          <w:sz w:val="20"/>
        </w:rPr>
        <w:t>p Reform and Modernization</w:t>
      </w:r>
      <w:r w:rsidR="00B06D18">
        <w:rPr>
          <w:i/>
          <w:sz w:val="20"/>
        </w:rPr>
        <w:t>; Telecommunications Carriers Eligible for Universal Service Support; Connect America Fund</w:t>
      </w:r>
      <w:r w:rsidRPr="00417513">
        <w:rPr>
          <w:sz w:val="20"/>
        </w:rPr>
        <w:t xml:space="preserve">, Order, 30 FCC Rcd 8233 (WCB 2015) (granting two-week extensions for filing comments and replies, finding that limited extensions “will allow for more thoughtful consideration of the issues raised . . . , while at the same time not unduly delaying the resolution of these issues”); </w:t>
      </w:r>
      <w:r w:rsidRPr="00417513">
        <w:rPr>
          <w:i/>
          <w:sz w:val="20"/>
        </w:rPr>
        <w:t>Cable Television Technical and Operation</w:t>
      </w:r>
      <w:r w:rsidR="00A52C7C">
        <w:rPr>
          <w:i/>
          <w:sz w:val="20"/>
        </w:rPr>
        <w:t>al</w:t>
      </w:r>
      <w:r w:rsidRPr="00417513">
        <w:rPr>
          <w:i/>
          <w:sz w:val="20"/>
        </w:rPr>
        <w:t xml:space="preserve"> Requirements</w:t>
      </w:r>
      <w:r w:rsidRPr="00417513">
        <w:rPr>
          <w:sz w:val="20"/>
        </w:rPr>
        <w:t>, Order, 27 FCC Rcd 16019 (MB 2012) (granting a two-week extension, given the importance of the issues, when parties sought a longer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CF4A" w14:textId="77777777" w:rsidR="00132C13" w:rsidRDefault="00132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1FE0" w14:textId="0ADA0B26" w:rsidR="00D25FB5" w:rsidRDefault="00D25FB5" w:rsidP="00810B6F">
    <w:pPr>
      <w:pStyle w:val="Header"/>
      <w:rPr>
        <w:b w:val="0"/>
      </w:rPr>
    </w:pPr>
    <w:r>
      <w:tab/>
      <w:t>Federal Communications Commission</w:t>
    </w:r>
    <w:r>
      <w:tab/>
    </w:r>
    <w:r w:rsidR="00165100">
      <w:t xml:space="preserve">DA </w:t>
    </w:r>
    <w:r w:rsidR="00165100">
      <w:rPr>
        <w:color w:val="000000"/>
        <w:sz w:val="24"/>
        <w:szCs w:val="24"/>
      </w:rPr>
      <w:t>17-909</w:t>
    </w:r>
  </w:p>
  <w:p w14:paraId="4546853A" w14:textId="77777777" w:rsidR="00D25FB5" w:rsidRDefault="003E668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2B91384" wp14:editId="712E8FE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D50E68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D71EC65"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75AF" w14:textId="789440B1" w:rsidR="00D25FB5" w:rsidRDefault="003E6684" w:rsidP="00810B6F">
    <w:pPr>
      <w:pStyle w:val="Header"/>
      <w:rPr>
        <w:b w:val="0"/>
      </w:rPr>
    </w:pPr>
    <w:r>
      <w:rPr>
        <w:noProof/>
      </w:rPr>
      <mc:AlternateContent>
        <mc:Choice Requires="wps">
          <w:drawing>
            <wp:anchor distT="0" distB="0" distL="114300" distR="114300" simplePos="0" relativeHeight="251658240" behindDoc="1" locked="0" layoutInCell="0" allowOverlap="1" wp14:anchorId="2253B922" wp14:editId="00F21E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5F2E8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672F7">
      <w:rPr>
        <w:spacing w:val="-2"/>
      </w:rPr>
      <w:t xml:space="preserve">DA </w:t>
    </w:r>
    <w:r w:rsidR="00165100">
      <w:rPr>
        <w:color w:val="000000"/>
        <w:sz w:val="24"/>
        <w:szCs w:val="24"/>
      </w:rPr>
      <w:t>17-909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0409E"/>
    <w:rsid w:val="00011833"/>
    <w:rsid w:val="00012BF6"/>
    <w:rsid w:val="00020033"/>
    <w:rsid w:val="00025B0E"/>
    <w:rsid w:val="00025E3B"/>
    <w:rsid w:val="000315B2"/>
    <w:rsid w:val="00036039"/>
    <w:rsid w:val="00037F90"/>
    <w:rsid w:val="00053196"/>
    <w:rsid w:val="0007447C"/>
    <w:rsid w:val="000875BF"/>
    <w:rsid w:val="00096D8C"/>
    <w:rsid w:val="00097CE1"/>
    <w:rsid w:val="000B5D82"/>
    <w:rsid w:val="000C0B65"/>
    <w:rsid w:val="000C6DBB"/>
    <w:rsid w:val="000D14CC"/>
    <w:rsid w:val="000E05FE"/>
    <w:rsid w:val="000E3D42"/>
    <w:rsid w:val="000E453B"/>
    <w:rsid w:val="000E6333"/>
    <w:rsid w:val="000F3AA4"/>
    <w:rsid w:val="000F6640"/>
    <w:rsid w:val="00101982"/>
    <w:rsid w:val="00111DF9"/>
    <w:rsid w:val="0011529D"/>
    <w:rsid w:val="00121F36"/>
    <w:rsid w:val="00122BD5"/>
    <w:rsid w:val="00126C57"/>
    <w:rsid w:val="00132C13"/>
    <w:rsid w:val="00133F79"/>
    <w:rsid w:val="001370F1"/>
    <w:rsid w:val="0013796C"/>
    <w:rsid w:val="00142538"/>
    <w:rsid w:val="00156085"/>
    <w:rsid w:val="00161C2B"/>
    <w:rsid w:val="0016423A"/>
    <w:rsid w:val="00165100"/>
    <w:rsid w:val="00170464"/>
    <w:rsid w:val="001768F3"/>
    <w:rsid w:val="00177EA5"/>
    <w:rsid w:val="0018524B"/>
    <w:rsid w:val="00186418"/>
    <w:rsid w:val="00194A66"/>
    <w:rsid w:val="001B4B3F"/>
    <w:rsid w:val="001B620F"/>
    <w:rsid w:val="001D403D"/>
    <w:rsid w:val="001D5918"/>
    <w:rsid w:val="001D6BCF"/>
    <w:rsid w:val="001E01CA"/>
    <w:rsid w:val="001F21A8"/>
    <w:rsid w:val="001F515F"/>
    <w:rsid w:val="0024077C"/>
    <w:rsid w:val="002437B6"/>
    <w:rsid w:val="00256764"/>
    <w:rsid w:val="00272E9B"/>
    <w:rsid w:val="00275CF5"/>
    <w:rsid w:val="00276156"/>
    <w:rsid w:val="002777F5"/>
    <w:rsid w:val="0028301F"/>
    <w:rsid w:val="00285017"/>
    <w:rsid w:val="002862FE"/>
    <w:rsid w:val="00294758"/>
    <w:rsid w:val="002973BC"/>
    <w:rsid w:val="002A2D2E"/>
    <w:rsid w:val="002C00E8"/>
    <w:rsid w:val="002C7412"/>
    <w:rsid w:val="002D4F40"/>
    <w:rsid w:val="002D78DE"/>
    <w:rsid w:val="002E41A2"/>
    <w:rsid w:val="002E6225"/>
    <w:rsid w:val="002F16F5"/>
    <w:rsid w:val="002F3997"/>
    <w:rsid w:val="00302BAD"/>
    <w:rsid w:val="00304D6F"/>
    <w:rsid w:val="00307F73"/>
    <w:rsid w:val="0031463D"/>
    <w:rsid w:val="00317100"/>
    <w:rsid w:val="00323CA4"/>
    <w:rsid w:val="003249E2"/>
    <w:rsid w:val="00330136"/>
    <w:rsid w:val="00343749"/>
    <w:rsid w:val="003549D8"/>
    <w:rsid w:val="0036483D"/>
    <w:rsid w:val="003660ED"/>
    <w:rsid w:val="003853EE"/>
    <w:rsid w:val="00392385"/>
    <w:rsid w:val="00393A60"/>
    <w:rsid w:val="003942FB"/>
    <w:rsid w:val="003A2A94"/>
    <w:rsid w:val="003A6C19"/>
    <w:rsid w:val="003A73CE"/>
    <w:rsid w:val="003B0550"/>
    <w:rsid w:val="003B46D0"/>
    <w:rsid w:val="003B4F72"/>
    <w:rsid w:val="003B521D"/>
    <w:rsid w:val="003B694F"/>
    <w:rsid w:val="003E6684"/>
    <w:rsid w:val="003F1522"/>
    <w:rsid w:val="003F171C"/>
    <w:rsid w:val="003F77DB"/>
    <w:rsid w:val="0040216F"/>
    <w:rsid w:val="00407209"/>
    <w:rsid w:val="00412FC5"/>
    <w:rsid w:val="004156AE"/>
    <w:rsid w:val="00422276"/>
    <w:rsid w:val="004242F1"/>
    <w:rsid w:val="00436D49"/>
    <w:rsid w:val="00444184"/>
    <w:rsid w:val="00445A00"/>
    <w:rsid w:val="00451028"/>
    <w:rsid w:val="00451B0F"/>
    <w:rsid w:val="004571F5"/>
    <w:rsid w:val="00461275"/>
    <w:rsid w:val="00465625"/>
    <w:rsid w:val="00466FB2"/>
    <w:rsid w:val="0046791E"/>
    <w:rsid w:val="0047010F"/>
    <w:rsid w:val="00482E4D"/>
    <w:rsid w:val="004A4198"/>
    <w:rsid w:val="004B07CA"/>
    <w:rsid w:val="004C0F55"/>
    <w:rsid w:val="004C2EE3"/>
    <w:rsid w:val="004C5BB1"/>
    <w:rsid w:val="004C642D"/>
    <w:rsid w:val="004C7225"/>
    <w:rsid w:val="004E00D7"/>
    <w:rsid w:val="004E36A9"/>
    <w:rsid w:val="004E4A22"/>
    <w:rsid w:val="004E50A6"/>
    <w:rsid w:val="004F1A52"/>
    <w:rsid w:val="00501A66"/>
    <w:rsid w:val="005024E9"/>
    <w:rsid w:val="00507ED3"/>
    <w:rsid w:val="00511968"/>
    <w:rsid w:val="005375C9"/>
    <w:rsid w:val="00554C6B"/>
    <w:rsid w:val="0055614C"/>
    <w:rsid w:val="00560D69"/>
    <w:rsid w:val="005636A1"/>
    <w:rsid w:val="00590817"/>
    <w:rsid w:val="00595A65"/>
    <w:rsid w:val="005A08E0"/>
    <w:rsid w:val="005A3688"/>
    <w:rsid w:val="005A5C1F"/>
    <w:rsid w:val="005B3332"/>
    <w:rsid w:val="005B3E2F"/>
    <w:rsid w:val="005B3F4E"/>
    <w:rsid w:val="005D2843"/>
    <w:rsid w:val="005D3031"/>
    <w:rsid w:val="005E14C2"/>
    <w:rsid w:val="005E7828"/>
    <w:rsid w:val="0060462B"/>
    <w:rsid w:val="00606AD7"/>
    <w:rsid w:val="00607BA5"/>
    <w:rsid w:val="0061180A"/>
    <w:rsid w:val="00614C8D"/>
    <w:rsid w:val="006161B5"/>
    <w:rsid w:val="00616F33"/>
    <w:rsid w:val="00626EB6"/>
    <w:rsid w:val="0063112C"/>
    <w:rsid w:val="006313AE"/>
    <w:rsid w:val="0063163F"/>
    <w:rsid w:val="00635B3B"/>
    <w:rsid w:val="0064593B"/>
    <w:rsid w:val="00646DAD"/>
    <w:rsid w:val="006551E7"/>
    <w:rsid w:val="00655D03"/>
    <w:rsid w:val="006602A2"/>
    <w:rsid w:val="006624B7"/>
    <w:rsid w:val="00670BEF"/>
    <w:rsid w:val="00683388"/>
    <w:rsid w:val="00683F84"/>
    <w:rsid w:val="00687318"/>
    <w:rsid w:val="0069466D"/>
    <w:rsid w:val="0069576E"/>
    <w:rsid w:val="006A6A81"/>
    <w:rsid w:val="006B3F1A"/>
    <w:rsid w:val="006C3BBE"/>
    <w:rsid w:val="006D0363"/>
    <w:rsid w:val="006D2107"/>
    <w:rsid w:val="006F21A0"/>
    <w:rsid w:val="006F7393"/>
    <w:rsid w:val="0070224F"/>
    <w:rsid w:val="007115F7"/>
    <w:rsid w:val="00711C37"/>
    <w:rsid w:val="007171F0"/>
    <w:rsid w:val="00737994"/>
    <w:rsid w:val="00740156"/>
    <w:rsid w:val="00740858"/>
    <w:rsid w:val="00751216"/>
    <w:rsid w:val="00763CFE"/>
    <w:rsid w:val="0076493F"/>
    <w:rsid w:val="00767CFF"/>
    <w:rsid w:val="00773BB5"/>
    <w:rsid w:val="00781EA6"/>
    <w:rsid w:val="00782F20"/>
    <w:rsid w:val="00784DEF"/>
    <w:rsid w:val="00785689"/>
    <w:rsid w:val="0079754B"/>
    <w:rsid w:val="007A170C"/>
    <w:rsid w:val="007A1E6D"/>
    <w:rsid w:val="007B0EB2"/>
    <w:rsid w:val="007B7AC1"/>
    <w:rsid w:val="007C1189"/>
    <w:rsid w:val="007D35F5"/>
    <w:rsid w:val="007E1199"/>
    <w:rsid w:val="007F43BB"/>
    <w:rsid w:val="007F5840"/>
    <w:rsid w:val="00810B6F"/>
    <w:rsid w:val="00817315"/>
    <w:rsid w:val="00822CE0"/>
    <w:rsid w:val="00835F7B"/>
    <w:rsid w:val="0083753E"/>
    <w:rsid w:val="00841AB1"/>
    <w:rsid w:val="0087011C"/>
    <w:rsid w:val="008730E8"/>
    <w:rsid w:val="00895FED"/>
    <w:rsid w:val="008A1B2B"/>
    <w:rsid w:val="008C1C63"/>
    <w:rsid w:val="008C68F1"/>
    <w:rsid w:val="008C6DBB"/>
    <w:rsid w:val="008D0991"/>
    <w:rsid w:val="008E29C0"/>
    <w:rsid w:val="008E6BF4"/>
    <w:rsid w:val="008F654C"/>
    <w:rsid w:val="00904649"/>
    <w:rsid w:val="00904FA7"/>
    <w:rsid w:val="00912A9E"/>
    <w:rsid w:val="00921803"/>
    <w:rsid w:val="00925BA8"/>
    <w:rsid w:val="00926503"/>
    <w:rsid w:val="00935E16"/>
    <w:rsid w:val="0094514B"/>
    <w:rsid w:val="00960E62"/>
    <w:rsid w:val="00967A24"/>
    <w:rsid w:val="009726D8"/>
    <w:rsid w:val="009868E4"/>
    <w:rsid w:val="00993A32"/>
    <w:rsid w:val="009C3998"/>
    <w:rsid w:val="009C685E"/>
    <w:rsid w:val="009E36D6"/>
    <w:rsid w:val="009F76DB"/>
    <w:rsid w:val="00A2519B"/>
    <w:rsid w:val="00A30599"/>
    <w:rsid w:val="00A32B99"/>
    <w:rsid w:val="00A32C3B"/>
    <w:rsid w:val="00A368D3"/>
    <w:rsid w:val="00A45F4F"/>
    <w:rsid w:val="00A52C7C"/>
    <w:rsid w:val="00A600A9"/>
    <w:rsid w:val="00A672F7"/>
    <w:rsid w:val="00A70AB1"/>
    <w:rsid w:val="00AA55B7"/>
    <w:rsid w:val="00AA572A"/>
    <w:rsid w:val="00AA5B9E"/>
    <w:rsid w:val="00AB2407"/>
    <w:rsid w:val="00AB53DF"/>
    <w:rsid w:val="00AB7371"/>
    <w:rsid w:val="00AC081A"/>
    <w:rsid w:val="00AD358F"/>
    <w:rsid w:val="00AE141A"/>
    <w:rsid w:val="00B06D18"/>
    <w:rsid w:val="00B07E5C"/>
    <w:rsid w:val="00B15AFB"/>
    <w:rsid w:val="00B1787E"/>
    <w:rsid w:val="00B251D7"/>
    <w:rsid w:val="00B30CB6"/>
    <w:rsid w:val="00B45F96"/>
    <w:rsid w:val="00B709B4"/>
    <w:rsid w:val="00B72CFD"/>
    <w:rsid w:val="00B811F7"/>
    <w:rsid w:val="00B82EE8"/>
    <w:rsid w:val="00B9036E"/>
    <w:rsid w:val="00B9602B"/>
    <w:rsid w:val="00BA1A88"/>
    <w:rsid w:val="00BA3A86"/>
    <w:rsid w:val="00BA5DC6"/>
    <w:rsid w:val="00BA6196"/>
    <w:rsid w:val="00BB789B"/>
    <w:rsid w:val="00BC18B3"/>
    <w:rsid w:val="00BC458A"/>
    <w:rsid w:val="00BC6D8C"/>
    <w:rsid w:val="00BD204C"/>
    <w:rsid w:val="00BD4CC2"/>
    <w:rsid w:val="00BE3FCA"/>
    <w:rsid w:val="00BE54B1"/>
    <w:rsid w:val="00C135DA"/>
    <w:rsid w:val="00C17A8B"/>
    <w:rsid w:val="00C22681"/>
    <w:rsid w:val="00C34006"/>
    <w:rsid w:val="00C426B1"/>
    <w:rsid w:val="00C42B73"/>
    <w:rsid w:val="00C6071F"/>
    <w:rsid w:val="00C66160"/>
    <w:rsid w:val="00C667C5"/>
    <w:rsid w:val="00C721AC"/>
    <w:rsid w:val="00C80F2F"/>
    <w:rsid w:val="00C86F3A"/>
    <w:rsid w:val="00C90D6A"/>
    <w:rsid w:val="00CA247E"/>
    <w:rsid w:val="00CB7E86"/>
    <w:rsid w:val="00CC2048"/>
    <w:rsid w:val="00CC72B6"/>
    <w:rsid w:val="00CD000D"/>
    <w:rsid w:val="00CD3FFE"/>
    <w:rsid w:val="00CE23F9"/>
    <w:rsid w:val="00D0218D"/>
    <w:rsid w:val="00D0602E"/>
    <w:rsid w:val="00D1609B"/>
    <w:rsid w:val="00D25FB5"/>
    <w:rsid w:val="00D44223"/>
    <w:rsid w:val="00D62DCA"/>
    <w:rsid w:val="00D81A3F"/>
    <w:rsid w:val="00D953FB"/>
    <w:rsid w:val="00DA2529"/>
    <w:rsid w:val="00DB130A"/>
    <w:rsid w:val="00DB2EBB"/>
    <w:rsid w:val="00DC10A1"/>
    <w:rsid w:val="00DC655F"/>
    <w:rsid w:val="00DD0B59"/>
    <w:rsid w:val="00DD5E0F"/>
    <w:rsid w:val="00DD7EBD"/>
    <w:rsid w:val="00DE03FD"/>
    <w:rsid w:val="00DF62B6"/>
    <w:rsid w:val="00E03D56"/>
    <w:rsid w:val="00E05658"/>
    <w:rsid w:val="00E06E32"/>
    <w:rsid w:val="00E07225"/>
    <w:rsid w:val="00E259A7"/>
    <w:rsid w:val="00E360C7"/>
    <w:rsid w:val="00E37116"/>
    <w:rsid w:val="00E3795F"/>
    <w:rsid w:val="00E473E5"/>
    <w:rsid w:val="00E52A46"/>
    <w:rsid w:val="00E5409F"/>
    <w:rsid w:val="00E61A7F"/>
    <w:rsid w:val="00E63289"/>
    <w:rsid w:val="00E677EA"/>
    <w:rsid w:val="00E73506"/>
    <w:rsid w:val="00E753B6"/>
    <w:rsid w:val="00E77629"/>
    <w:rsid w:val="00E804D0"/>
    <w:rsid w:val="00E865DE"/>
    <w:rsid w:val="00E916B0"/>
    <w:rsid w:val="00EC4C69"/>
    <w:rsid w:val="00ED34A9"/>
    <w:rsid w:val="00EE6488"/>
    <w:rsid w:val="00EF7365"/>
    <w:rsid w:val="00EF79C7"/>
    <w:rsid w:val="00F021FA"/>
    <w:rsid w:val="00F02FA3"/>
    <w:rsid w:val="00F221CB"/>
    <w:rsid w:val="00F23FE8"/>
    <w:rsid w:val="00F27470"/>
    <w:rsid w:val="00F31BC3"/>
    <w:rsid w:val="00F40DC2"/>
    <w:rsid w:val="00F51517"/>
    <w:rsid w:val="00F60738"/>
    <w:rsid w:val="00F62E97"/>
    <w:rsid w:val="00F63DCB"/>
    <w:rsid w:val="00F64209"/>
    <w:rsid w:val="00F76439"/>
    <w:rsid w:val="00F93BF5"/>
    <w:rsid w:val="00F960DC"/>
    <w:rsid w:val="00FA3A90"/>
    <w:rsid w:val="00FC17B6"/>
    <w:rsid w:val="00FC588D"/>
    <w:rsid w:val="00FD15E1"/>
    <w:rsid w:val="00FF04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D67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7F"/>
    <w:pPr>
      <w:widowControl w:val="0"/>
    </w:pPr>
    <w:rPr>
      <w:snapToGrid w:val="0"/>
      <w:kern w:val="28"/>
      <w:sz w:val="22"/>
    </w:rPr>
  </w:style>
  <w:style w:type="paragraph" w:styleId="Heading1">
    <w:name w:val="heading 1"/>
    <w:basedOn w:val="Normal"/>
    <w:next w:val="ParaNum"/>
    <w:qFormat/>
    <w:rsid w:val="00E61A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61A7F"/>
    <w:pPr>
      <w:keepNext/>
      <w:numPr>
        <w:ilvl w:val="1"/>
        <w:numId w:val="3"/>
      </w:numPr>
      <w:spacing w:after="120"/>
      <w:outlineLvl w:val="1"/>
    </w:pPr>
    <w:rPr>
      <w:b/>
    </w:rPr>
  </w:style>
  <w:style w:type="paragraph" w:styleId="Heading3">
    <w:name w:val="heading 3"/>
    <w:basedOn w:val="Normal"/>
    <w:next w:val="ParaNum"/>
    <w:qFormat/>
    <w:rsid w:val="00E61A7F"/>
    <w:pPr>
      <w:keepNext/>
      <w:numPr>
        <w:ilvl w:val="2"/>
        <w:numId w:val="3"/>
      </w:numPr>
      <w:tabs>
        <w:tab w:val="left" w:pos="2160"/>
      </w:tabs>
      <w:spacing w:after="120"/>
      <w:outlineLvl w:val="2"/>
    </w:pPr>
    <w:rPr>
      <w:b/>
    </w:rPr>
  </w:style>
  <w:style w:type="paragraph" w:styleId="Heading4">
    <w:name w:val="heading 4"/>
    <w:basedOn w:val="Normal"/>
    <w:next w:val="ParaNum"/>
    <w:qFormat/>
    <w:rsid w:val="00E61A7F"/>
    <w:pPr>
      <w:keepNext/>
      <w:numPr>
        <w:ilvl w:val="3"/>
        <w:numId w:val="3"/>
      </w:numPr>
      <w:tabs>
        <w:tab w:val="left" w:pos="2880"/>
      </w:tabs>
      <w:spacing w:after="120"/>
      <w:outlineLvl w:val="3"/>
    </w:pPr>
    <w:rPr>
      <w:b/>
    </w:rPr>
  </w:style>
  <w:style w:type="paragraph" w:styleId="Heading5">
    <w:name w:val="heading 5"/>
    <w:basedOn w:val="Normal"/>
    <w:next w:val="ParaNum"/>
    <w:qFormat/>
    <w:rsid w:val="00E61A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61A7F"/>
    <w:pPr>
      <w:numPr>
        <w:ilvl w:val="5"/>
        <w:numId w:val="3"/>
      </w:numPr>
      <w:tabs>
        <w:tab w:val="left" w:pos="4320"/>
      </w:tabs>
      <w:spacing w:after="120"/>
      <w:outlineLvl w:val="5"/>
    </w:pPr>
    <w:rPr>
      <w:b/>
    </w:rPr>
  </w:style>
  <w:style w:type="paragraph" w:styleId="Heading7">
    <w:name w:val="heading 7"/>
    <w:basedOn w:val="Normal"/>
    <w:next w:val="ParaNum"/>
    <w:qFormat/>
    <w:rsid w:val="00E61A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61A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61A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61A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1A7F"/>
  </w:style>
  <w:style w:type="paragraph" w:customStyle="1" w:styleId="ParaNum">
    <w:name w:val="ParaNum"/>
    <w:basedOn w:val="Normal"/>
    <w:link w:val="ParaNumCharChar1"/>
    <w:rsid w:val="00E61A7F"/>
    <w:pPr>
      <w:numPr>
        <w:numId w:val="2"/>
      </w:numPr>
      <w:tabs>
        <w:tab w:val="clear" w:pos="1080"/>
        <w:tab w:val="num" w:pos="1440"/>
      </w:tabs>
      <w:spacing w:after="120"/>
    </w:pPr>
  </w:style>
  <w:style w:type="paragraph" w:styleId="EndnoteText">
    <w:name w:val="endnote text"/>
    <w:basedOn w:val="Normal"/>
    <w:semiHidden/>
    <w:rsid w:val="00E61A7F"/>
    <w:rPr>
      <w:sz w:val="20"/>
    </w:rPr>
  </w:style>
  <w:style w:type="character" w:styleId="EndnoteReference">
    <w:name w:val="endnote reference"/>
    <w:semiHidden/>
    <w:rsid w:val="00E61A7F"/>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E61A7F"/>
    <w:pPr>
      <w:spacing w:after="120"/>
    </w:pPr>
  </w:style>
  <w:style w:type="character" w:styleId="FootnoteReference">
    <w:name w:val="footnote reference"/>
    <w:aliases w:val="Style 12,(NECG) Footnote Reference,Style 13,Appel note de bas de p,Style 124,fr,o,Style 3,FR,Style 17,Footnote Reference/,Style 6,Style 7"/>
    <w:rsid w:val="00E61A7F"/>
    <w:rPr>
      <w:rFonts w:ascii="Times New Roman" w:hAnsi="Times New Roman"/>
      <w:dstrike w:val="0"/>
      <w:color w:val="auto"/>
      <w:sz w:val="20"/>
      <w:vertAlign w:val="superscript"/>
    </w:rPr>
  </w:style>
  <w:style w:type="paragraph" w:styleId="TOC1">
    <w:name w:val="toc 1"/>
    <w:basedOn w:val="Normal"/>
    <w:next w:val="Normal"/>
    <w:semiHidden/>
    <w:rsid w:val="00E61A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61A7F"/>
    <w:pPr>
      <w:tabs>
        <w:tab w:val="left" w:pos="720"/>
        <w:tab w:val="right" w:leader="dot" w:pos="9360"/>
      </w:tabs>
      <w:suppressAutoHyphens/>
      <w:ind w:left="720" w:right="720" w:hanging="360"/>
    </w:pPr>
    <w:rPr>
      <w:noProof/>
    </w:rPr>
  </w:style>
  <w:style w:type="paragraph" w:styleId="TOC3">
    <w:name w:val="toc 3"/>
    <w:basedOn w:val="Normal"/>
    <w:next w:val="Normal"/>
    <w:semiHidden/>
    <w:rsid w:val="00E61A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61A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1A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1A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1A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1A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1A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61A7F"/>
    <w:pPr>
      <w:tabs>
        <w:tab w:val="right" w:pos="9360"/>
      </w:tabs>
      <w:suppressAutoHyphens/>
    </w:pPr>
  </w:style>
  <w:style w:type="character" w:customStyle="1" w:styleId="EquationCaption">
    <w:name w:val="_Equation Caption"/>
    <w:rsid w:val="00E61A7F"/>
  </w:style>
  <w:style w:type="paragraph" w:styleId="Header">
    <w:name w:val="header"/>
    <w:basedOn w:val="Normal"/>
    <w:autoRedefine/>
    <w:rsid w:val="00E61A7F"/>
    <w:pPr>
      <w:tabs>
        <w:tab w:val="center" w:pos="4680"/>
        <w:tab w:val="right" w:pos="9360"/>
      </w:tabs>
    </w:pPr>
    <w:rPr>
      <w:b/>
    </w:rPr>
  </w:style>
  <w:style w:type="paragraph" w:styleId="Footer">
    <w:name w:val="footer"/>
    <w:basedOn w:val="Normal"/>
    <w:rsid w:val="00E61A7F"/>
    <w:pPr>
      <w:tabs>
        <w:tab w:val="center" w:pos="4320"/>
        <w:tab w:val="right" w:pos="8640"/>
      </w:tabs>
    </w:pPr>
  </w:style>
  <w:style w:type="character" w:styleId="PageNumber">
    <w:name w:val="page number"/>
    <w:basedOn w:val="DefaultParagraphFont"/>
    <w:rsid w:val="00E61A7F"/>
  </w:style>
  <w:style w:type="paragraph" w:styleId="BlockText">
    <w:name w:val="Block Text"/>
    <w:basedOn w:val="Normal"/>
    <w:rsid w:val="00E61A7F"/>
    <w:pPr>
      <w:spacing w:after="240"/>
      <w:ind w:left="1440" w:right="1440"/>
    </w:pPr>
  </w:style>
  <w:style w:type="paragraph" w:customStyle="1" w:styleId="Paratitle">
    <w:name w:val="Para title"/>
    <w:basedOn w:val="Normal"/>
    <w:rsid w:val="00E61A7F"/>
    <w:pPr>
      <w:tabs>
        <w:tab w:val="center" w:pos="9270"/>
      </w:tabs>
      <w:spacing w:after="240"/>
    </w:pPr>
    <w:rPr>
      <w:spacing w:val="-2"/>
    </w:rPr>
  </w:style>
  <w:style w:type="paragraph" w:customStyle="1" w:styleId="Bullet">
    <w:name w:val="Bullet"/>
    <w:basedOn w:val="Normal"/>
    <w:rsid w:val="00E61A7F"/>
    <w:pPr>
      <w:tabs>
        <w:tab w:val="left" w:pos="2160"/>
      </w:tabs>
      <w:spacing w:after="220"/>
      <w:ind w:left="2160" w:hanging="720"/>
    </w:pPr>
  </w:style>
  <w:style w:type="paragraph" w:customStyle="1" w:styleId="TableFormat">
    <w:name w:val="TableFormat"/>
    <w:basedOn w:val="Bullet"/>
    <w:rsid w:val="00E61A7F"/>
    <w:pPr>
      <w:tabs>
        <w:tab w:val="clear" w:pos="2160"/>
        <w:tab w:val="left" w:pos="5040"/>
      </w:tabs>
      <w:ind w:left="5040" w:hanging="3600"/>
    </w:pPr>
  </w:style>
  <w:style w:type="paragraph" w:customStyle="1" w:styleId="TOCTitle">
    <w:name w:val="TOC Title"/>
    <w:basedOn w:val="Normal"/>
    <w:rsid w:val="00E61A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61A7F"/>
    <w:pPr>
      <w:jc w:val="center"/>
    </w:pPr>
    <w:rPr>
      <w:rFonts w:ascii="Times New Roman Bold" w:hAnsi="Times New Roman Bold"/>
      <w:b/>
      <w:bCs/>
      <w:caps/>
      <w:szCs w:val="22"/>
    </w:rPr>
  </w:style>
  <w:style w:type="character" w:styleId="Hyperlink">
    <w:name w:val="Hyperlink"/>
    <w:rsid w:val="00E61A7F"/>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1">
    <w:name w:val="Mention1"/>
    <w:basedOn w:val="DefaultParagraphFont"/>
    <w:uiPriority w:val="99"/>
    <w:semiHidden/>
    <w:unhideWhenUsed/>
    <w:rsid w:val="00782F2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7F"/>
    <w:pPr>
      <w:widowControl w:val="0"/>
    </w:pPr>
    <w:rPr>
      <w:snapToGrid w:val="0"/>
      <w:kern w:val="28"/>
      <w:sz w:val="22"/>
    </w:rPr>
  </w:style>
  <w:style w:type="paragraph" w:styleId="Heading1">
    <w:name w:val="heading 1"/>
    <w:basedOn w:val="Normal"/>
    <w:next w:val="ParaNum"/>
    <w:qFormat/>
    <w:rsid w:val="00E61A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61A7F"/>
    <w:pPr>
      <w:keepNext/>
      <w:numPr>
        <w:ilvl w:val="1"/>
        <w:numId w:val="3"/>
      </w:numPr>
      <w:spacing w:after="120"/>
      <w:outlineLvl w:val="1"/>
    </w:pPr>
    <w:rPr>
      <w:b/>
    </w:rPr>
  </w:style>
  <w:style w:type="paragraph" w:styleId="Heading3">
    <w:name w:val="heading 3"/>
    <w:basedOn w:val="Normal"/>
    <w:next w:val="ParaNum"/>
    <w:qFormat/>
    <w:rsid w:val="00E61A7F"/>
    <w:pPr>
      <w:keepNext/>
      <w:numPr>
        <w:ilvl w:val="2"/>
        <w:numId w:val="3"/>
      </w:numPr>
      <w:tabs>
        <w:tab w:val="left" w:pos="2160"/>
      </w:tabs>
      <w:spacing w:after="120"/>
      <w:outlineLvl w:val="2"/>
    </w:pPr>
    <w:rPr>
      <w:b/>
    </w:rPr>
  </w:style>
  <w:style w:type="paragraph" w:styleId="Heading4">
    <w:name w:val="heading 4"/>
    <w:basedOn w:val="Normal"/>
    <w:next w:val="ParaNum"/>
    <w:qFormat/>
    <w:rsid w:val="00E61A7F"/>
    <w:pPr>
      <w:keepNext/>
      <w:numPr>
        <w:ilvl w:val="3"/>
        <w:numId w:val="3"/>
      </w:numPr>
      <w:tabs>
        <w:tab w:val="left" w:pos="2880"/>
      </w:tabs>
      <w:spacing w:after="120"/>
      <w:outlineLvl w:val="3"/>
    </w:pPr>
    <w:rPr>
      <w:b/>
    </w:rPr>
  </w:style>
  <w:style w:type="paragraph" w:styleId="Heading5">
    <w:name w:val="heading 5"/>
    <w:basedOn w:val="Normal"/>
    <w:next w:val="ParaNum"/>
    <w:qFormat/>
    <w:rsid w:val="00E61A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61A7F"/>
    <w:pPr>
      <w:numPr>
        <w:ilvl w:val="5"/>
        <w:numId w:val="3"/>
      </w:numPr>
      <w:tabs>
        <w:tab w:val="left" w:pos="4320"/>
      </w:tabs>
      <w:spacing w:after="120"/>
      <w:outlineLvl w:val="5"/>
    </w:pPr>
    <w:rPr>
      <w:b/>
    </w:rPr>
  </w:style>
  <w:style w:type="paragraph" w:styleId="Heading7">
    <w:name w:val="heading 7"/>
    <w:basedOn w:val="Normal"/>
    <w:next w:val="ParaNum"/>
    <w:qFormat/>
    <w:rsid w:val="00E61A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61A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61A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61A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1A7F"/>
  </w:style>
  <w:style w:type="paragraph" w:customStyle="1" w:styleId="ParaNum">
    <w:name w:val="ParaNum"/>
    <w:basedOn w:val="Normal"/>
    <w:link w:val="ParaNumCharChar1"/>
    <w:rsid w:val="00E61A7F"/>
    <w:pPr>
      <w:numPr>
        <w:numId w:val="2"/>
      </w:numPr>
      <w:tabs>
        <w:tab w:val="clear" w:pos="1080"/>
        <w:tab w:val="num" w:pos="1440"/>
      </w:tabs>
      <w:spacing w:after="120"/>
    </w:pPr>
  </w:style>
  <w:style w:type="paragraph" w:styleId="EndnoteText">
    <w:name w:val="endnote text"/>
    <w:basedOn w:val="Normal"/>
    <w:semiHidden/>
    <w:rsid w:val="00E61A7F"/>
    <w:rPr>
      <w:sz w:val="20"/>
    </w:rPr>
  </w:style>
  <w:style w:type="character" w:styleId="EndnoteReference">
    <w:name w:val="endnote reference"/>
    <w:semiHidden/>
    <w:rsid w:val="00E61A7F"/>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E61A7F"/>
    <w:pPr>
      <w:spacing w:after="120"/>
    </w:pPr>
  </w:style>
  <w:style w:type="character" w:styleId="FootnoteReference">
    <w:name w:val="footnote reference"/>
    <w:aliases w:val="Style 12,(NECG) Footnote Reference,Style 13,Appel note de bas de p,Style 124,fr,o,Style 3,FR,Style 17,Footnote Reference/,Style 6,Style 7"/>
    <w:rsid w:val="00E61A7F"/>
    <w:rPr>
      <w:rFonts w:ascii="Times New Roman" w:hAnsi="Times New Roman"/>
      <w:dstrike w:val="0"/>
      <w:color w:val="auto"/>
      <w:sz w:val="20"/>
      <w:vertAlign w:val="superscript"/>
    </w:rPr>
  </w:style>
  <w:style w:type="paragraph" w:styleId="TOC1">
    <w:name w:val="toc 1"/>
    <w:basedOn w:val="Normal"/>
    <w:next w:val="Normal"/>
    <w:semiHidden/>
    <w:rsid w:val="00E61A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61A7F"/>
    <w:pPr>
      <w:tabs>
        <w:tab w:val="left" w:pos="720"/>
        <w:tab w:val="right" w:leader="dot" w:pos="9360"/>
      </w:tabs>
      <w:suppressAutoHyphens/>
      <w:ind w:left="720" w:right="720" w:hanging="360"/>
    </w:pPr>
    <w:rPr>
      <w:noProof/>
    </w:rPr>
  </w:style>
  <w:style w:type="paragraph" w:styleId="TOC3">
    <w:name w:val="toc 3"/>
    <w:basedOn w:val="Normal"/>
    <w:next w:val="Normal"/>
    <w:semiHidden/>
    <w:rsid w:val="00E61A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61A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1A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1A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1A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1A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1A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61A7F"/>
    <w:pPr>
      <w:tabs>
        <w:tab w:val="right" w:pos="9360"/>
      </w:tabs>
      <w:suppressAutoHyphens/>
    </w:pPr>
  </w:style>
  <w:style w:type="character" w:customStyle="1" w:styleId="EquationCaption">
    <w:name w:val="_Equation Caption"/>
    <w:rsid w:val="00E61A7F"/>
  </w:style>
  <w:style w:type="paragraph" w:styleId="Header">
    <w:name w:val="header"/>
    <w:basedOn w:val="Normal"/>
    <w:autoRedefine/>
    <w:rsid w:val="00E61A7F"/>
    <w:pPr>
      <w:tabs>
        <w:tab w:val="center" w:pos="4680"/>
        <w:tab w:val="right" w:pos="9360"/>
      </w:tabs>
    </w:pPr>
    <w:rPr>
      <w:b/>
    </w:rPr>
  </w:style>
  <w:style w:type="paragraph" w:styleId="Footer">
    <w:name w:val="footer"/>
    <w:basedOn w:val="Normal"/>
    <w:rsid w:val="00E61A7F"/>
    <w:pPr>
      <w:tabs>
        <w:tab w:val="center" w:pos="4320"/>
        <w:tab w:val="right" w:pos="8640"/>
      </w:tabs>
    </w:pPr>
  </w:style>
  <w:style w:type="character" w:styleId="PageNumber">
    <w:name w:val="page number"/>
    <w:basedOn w:val="DefaultParagraphFont"/>
    <w:rsid w:val="00E61A7F"/>
  </w:style>
  <w:style w:type="paragraph" w:styleId="BlockText">
    <w:name w:val="Block Text"/>
    <w:basedOn w:val="Normal"/>
    <w:rsid w:val="00E61A7F"/>
    <w:pPr>
      <w:spacing w:after="240"/>
      <w:ind w:left="1440" w:right="1440"/>
    </w:pPr>
  </w:style>
  <w:style w:type="paragraph" w:customStyle="1" w:styleId="Paratitle">
    <w:name w:val="Para title"/>
    <w:basedOn w:val="Normal"/>
    <w:rsid w:val="00E61A7F"/>
    <w:pPr>
      <w:tabs>
        <w:tab w:val="center" w:pos="9270"/>
      </w:tabs>
      <w:spacing w:after="240"/>
    </w:pPr>
    <w:rPr>
      <w:spacing w:val="-2"/>
    </w:rPr>
  </w:style>
  <w:style w:type="paragraph" w:customStyle="1" w:styleId="Bullet">
    <w:name w:val="Bullet"/>
    <w:basedOn w:val="Normal"/>
    <w:rsid w:val="00E61A7F"/>
    <w:pPr>
      <w:tabs>
        <w:tab w:val="left" w:pos="2160"/>
      </w:tabs>
      <w:spacing w:after="220"/>
      <w:ind w:left="2160" w:hanging="720"/>
    </w:pPr>
  </w:style>
  <w:style w:type="paragraph" w:customStyle="1" w:styleId="TableFormat">
    <w:name w:val="TableFormat"/>
    <w:basedOn w:val="Bullet"/>
    <w:rsid w:val="00E61A7F"/>
    <w:pPr>
      <w:tabs>
        <w:tab w:val="clear" w:pos="2160"/>
        <w:tab w:val="left" w:pos="5040"/>
      </w:tabs>
      <w:ind w:left="5040" w:hanging="3600"/>
    </w:pPr>
  </w:style>
  <w:style w:type="paragraph" w:customStyle="1" w:styleId="TOCTitle">
    <w:name w:val="TOC Title"/>
    <w:basedOn w:val="Normal"/>
    <w:rsid w:val="00E61A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61A7F"/>
    <w:pPr>
      <w:jc w:val="center"/>
    </w:pPr>
    <w:rPr>
      <w:rFonts w:ascii="Times New Roman Bold" w:hAnsi="Times New Roman Bold"/>
      <w:b/>
      <w:bCs/>
      <w:caps/>
      <w:szCs w:val="22"/>
    </w:rPr>
  </w:style>
  <w:style w:type="character" w:styleId="Hyperlink">
    <w:name w:val="Hyperlink"/>
    <w:rsid w:val="00E61A7F"/>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1">
    <w:name w:val="Mention1"/>
    <w:basedOn w:val="DefaultParagraphFont"/>
    <w:uiPriority w:val="99"/>
    <w:semiHidden/>
    <w:unhideWhenUsed/>
    <w:rsid w:val="00782F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912701709754/Form%20477%20Extension%20Reque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594</Words>
  <Characters>3475</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2017-09-19T19:21:00Z</dcterms:created>
  <dcterms:modified xsi:type="dcterms:W3CDTF">2017-09-19T19:21:00Z</dcterms:modified>
  <cp:category> </cp:category>
  <cp:contentStatus> </cp:contentStatus>
</cp:coreProperties>
</file>