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FB07E" w14:textId="77777777" w:rsidR="00DE1D63" w:rsidRPr="0072606B" w:rsidRDefault="00DE1D63" w:rsidP="00852254">
      <w:pPr>
        <w:jc w:val="right"/>
        <w:rPr>
          <w:color w:val="000000" w:themeColor="text1"/>
          <w:szCs w:val="22"/>
        </w:rPr>
      </w:pPr>
      <w:bookmarkStart w:id="0" w:name="_GoBack"/>
      <w:bookmarkEnd w:id="0"/>
    </w:p>
    <w:p w14:paraId="6041E1D6" w14:textId="139DBAB0" w:rsidR="0069341C" w:rsidRPr="0072606B" w:rsidRDefault="0069341C" w:rsidP="001B01A9">
      <w:pPr>
        <w:tabs>
          <w:tab w:val="left" w:pos="6120"/>
        </w:tabs>
        <w:rPr>
          <w:b/>
          <w:color w:val="000000" w:themeColor="text1"/>
          <w:szCs w:val="22"/>
        </w:rPr>
      </w:pPr>
      <w:r w:rsidRPr="0072606B">
        <w:rPr>
          <w:b/>
          <w:color w:val="000000" w:themeColor="text1"/>
          <w:szCs w:val="22"/>
        </w:rPr>
        <w:tab/>
      </w:r>
      <w:r w:rsidR="00613D0B" w:rsidRPr="0072606B">
        <w:rPr>
          <w:b/>
          <w:color w:val="000000" w:themeColor="text1"/>
          <w:szCs w:val="22"/>
        </w:rPr>
        <w:t xml:space="preserve">DA </w:t>
      </w:r>
      <w:r w:rsidR="003D62F2">
        <w:rPr>
          <w:b/>
          <w:color w:val="000000" w:themeColor="text1"/>
          <w:szCs w:val="22"/>
        </w:rPr>
        <w:t>17</w:t>
      </w:r>
      <w:r w:rsidR="00613D0B" w:rsidRPr="0072606B">
        <w:rPr>
          <w:b/>
          <w:color w:val="000000" w:themeColor="text1"/>
          <w:szCs w:val="22"/>
        </w:rPr>
        <w:t>-</w:t>
      </w:r>
      <w:r w:rsidR="008C6FE3">
        <w:rPr>
          <w:b/>
          <w:color w:val="000000" w:themeColor="text1"/>
          <w:szCs w:val="22"/>
        </w:rPr>
        <w:t>911</w:t>
      </w:r>
      <w:r w:rsidRPr="0072606B">
        <w:rPr>
          <w:b/>
          <w:color w:val="000000" w:themeColor="text1"/>
          <w:szCs w:val="22"/>
        </w:rPr>
        <w:tab/>
      </w:r>
    </w:p>
    <w:p w14:paraId="1464F60C" w14:textId="5261682B" w:rsidR="00852254" w:rsidRPr="0072606B" w:rsidRDefault="0069341C" w:rsidP="001B01A9">
      <w:pPr>
        <w:tabs>
          <w:tab w:val="left" w:pos="6120"/>
        </w:tabs>
        <w:rPr>
          <w:b/>
          <w:color w:val="000000" w:themeColor="text1"/>
          <w:szCs w:val="22"/>
        </w:rPr>
      </w:pPr>
      <w:r w:rsidRPr="0072606B">
        <w:rPr>
          <w:b/>
          <w:color w:val="000000" w:themeColor="text1"/>
          <w:szCs w:val="22"/>
        </w:rPr>
        <w:tab/>
      </w:r>
      <w:r w:rsidR="0069401E" w:rsidRPr="0072606B">
        <w:rPr>
          <w:b/>
          <w:color w:val="000000" w:themeColor="text1"/>
          <w:szCs w:val="22"/>
        </w:rPr>
        <w:t xml:space="preserve">Released: </w:t>
      </w:r>
      <w:r w:rsidR="008E5E4D" w:rsidRPr="0072606B">
        <w:rPr>
          <w:b/>
          <w:color w:val="000000" w:themeColor="text1"/>
          <w:szCs w:val="22"/>
        </w:rPr>
        <w:t xml:space="preserve">September </w:t>
      </w:r>
      <w:r w:rsidR="00FB5D11">
        <w:rPr>
          <w:b/>
          <w:color w:val="000000" w:themeColor="text1"/>
          <w:szCs w:val="22"/>
        </w:rPr>
        <w:t>20</w:t>
      </w:r>
      <w:r w:rsidR="008E5E4D" w:rsidRPr="0072606B">
        <w:rPr>
          <w:b/>
          <w:color w:val="000000" w:themeColor="text1"/>
          <w:szCs w:val="22"/>
        </w:rPr>
        <w:t>,</w:t>
      </w:r>
      <w:r w:rsidR="001E2378" w:rsidRPr="0072606B">
        <w:rPr>
          <w:b/>
          <w:color w:val="000000" w:themeColor="text1"/>
          <w:szCs w:val="22"/>
        </w:rPr>
        <w:t xml:space="preserve"> 2017</w:t>
      </w:r>
      <w:r w:rsidR="001E2378" w:rsidRPr="0072606B">
        <w:rPr>
          <w:color w:val="000000" w:themeColor="text1"/>
          <w:szCs w:val="22"/>
        </w:rPr>
        <w:t xml:space="preserve"> </w:t>
      </w:r>
    </w:p>
    <w:p w14:paraId="003FD4D9" w14:textId="77777777" w:rsidR="00DE1D63" w:rsidRPr="0072606B" w:rsidRDefault="00DE1D63" w:rsidP="00700912">
      <w:pPr>
        <w:jc w:val="center"/>
        <w:rPr>
          <w:b/>
          <w:color w:val="000000" w:themeColor="text1"/>
          <w:szCs w:val="22"/>
        </w:rPr>
      </w:pPr>
    </w:p>
    <w:p w14:paraId="633F60A5" w14:textId="77777777" w:rsidR="001B01A9" w:rsidRPr="0072606B" w:rsidRDefault="001B01A9" w:rsidP="001B01A9">
      <w:pPr>
        <w:jc w:val="right"/>
        <w:rPr>
          <w:color w:val="000000" w:themeColor="text1"/>
          <w:szCs w:val="22"/>
        </w:rPr>
      </w:pPr>
    </w:p>
    <w:p w14:paraId="116B7AC0" w14:textId="7C734E66" w:rsidR="001B01A9" w:rsidRPr="0072606B" w:rsidRDefault="001B01A9" w:rsidP="001B01A9">
      <w:pPr>
        <w:spacing w:after="240"/>
        <w:jc w:val="center"/>
        <w:rPr>
          <w:b/>
          <w:color w:val="000000" w:themeColor="text1"/>
          <w:szCs w:val="22"/>
        </w:rPr>
      </w:pPr>
      <w:r w:rsidRPr="0072606B">
        <w:rPr>
          <w:b/>
          <w:caps/>
          <w:color w:val="000000" w:themeColor="text1"/>
          <w:szCs w:val="22"/>
        </w:rPr>
        <w:t xml:space="preserve">Incentive auction task force and media bureau announce the OpENING of The second filing window for eligible full power and class a television </w:t>
      </w:r>
      <w:r w:rsidR="00BA0732">
        <w:rPr>
          <w:b/>
          <w:caps/>
          <w:color w:val="000000" w:themeColor="text1"/>
          <w:szCs w:val="22"/>
        </w:rPr>
        <w:t>station—</w:t>
      </w:r>
      <w:r w:rsidRPr="0072606B">
        <w:rPr>
          <w:b/>
          <w:caps/>
          <w:color w:val="000000" w:themeColor="text1"/>
          <w:szCs w:val="22"/>
        </w:rPr>
        <w:t>OCTOBER 3 through NOVEMBER 2, 2017</w:t>
      </w:r>
    </w:p>
    <w:p w14:paraId="6350E54D" w14:textId="77777777" w:rsidR="001B01A9" w:rsidRPr="0072606B" w:rsidRDefault="001B01A9" w:rsidP="001B01A9">
      <w:pPr>
        <w:jc w:val="center"/>
        <w:rPr>
          <w:b/>
          <w:color w:val="000000" w:themeColor="text1"/>
          <w:szCs w:val="22"/>
        </w:rPr>
      </w:pPr>
      <w:r w:rsidRPr="0072606B">
        <w:rPr>
          <w:b/>
          <w:color w:val="000000" w:themeColor="text1"/>
          <w:szCs w:val="22"/>
        </w:rPr>
        <w:t>MB Docket No. 16-306</w:t>
      </w:r>
    </w:p>
    <w:p w14:paraId="317994BD" w14:textId="77777777" w:rsidR="001B01A9" w:rsidRPr="0072606B" w:rsidRDefault="001B01A9" w:rsidP="001B01A9">
      <w:pPr>
        <w:jc w:val="center"/>
        <w:rPr>
          <w:color w:val="000000" w:themeColor="text1"/>
          <w:szCs w:val="22"/>
        </w:rPr>
      </w:pPr>
      <w:r w:rsidRPr="0072606B">
        <w:rPr>
          <w:b/>
          <w:color w:val="000000" w:themeColor="text1"/>
          <w:szCs w:val="22"/>
        </w:rPr>
        <w:t>GN Docket No. 12-268</w:t>
      </w:r>
    </w:p>
    <w:p w14:paraId="204BE15E" w14:textId="5F1CAAE3" w:rsidR="001B01A9" w:rsidRPr="0072606B" w:rsidRDefault="001B01A9" w:rsidP="001B01A9">
      <w:pPr>
        <w:numPr>
          <w:ilvl w:val="0"/>
          <w:numId w:val="13"/>
        </w:numPr>
        <w:spacing w:before="120" w:after="120"/>
        <w:ind w:left="0" w:firstLine="810"/>
        <w:rPr>
          <w:color w:val="000000" w:themeColor="text1"/>
          <w:szCs w:val="22"/>
        </w:rPr>
      </w:pPr>
      <w:r w:rsidRPr="0072606B">
        <w:rPr>
          <w:color w:val="000000" w:themeColor="text1"/>
          <w:szCs w:val="22"/>
        </w:rPr>
        <w:t>Upon conclusion of the incentive auction (Auction 1000), the Commission initiated a transition period during which the facilities of broadcast television stations that received new channel assignments in the post-incentive auction repacking process will be reauthorized and relicensed.</w:t>
      </w:r>
      <w:r w:rsidRPr="0072606B">
        <w:rPr>
          <w:rStyle w:val="FootnoteReference"/>
          <w:color w:val="000000" w:themeColor="text1"/>
          <w:sz w:val="20"/>
        </w:rPr>
        <w:footnoteReference w:id="2"/>
      </w:r>
      <w:r w:rsidRPr="0072606B">
        <w:rPr>
          <w:color w:val="000000" w:themeColor="text1"/>
          <w:szCs w:val="22"/>
        </w:rPr>
        <w:t xml:space="preserve">  As directed by the Commission, this transition period includes two filing windows for eligible full power and Class A stations to file for alternate channels and expanded facilities.</w:t>
      </w:r>
      <w:r w:rsidRPr="0072606B">
        <w:rPr>
          <w:rStyle w:val="FootnoteReference"/>
          <w:color w:val="000000" w:themeColor="text1"/>
          <w:sz w:val="20"/>
        </w:rPr>
        <w:footnoteReference w:id="3"/>
      </w:r>
      <w:r w:rsidRPr="0072606B">
        <w:rPr>
          <w:color w:val="000000" w:themeColor="text1"/>
          <w:szCs w:val="22"/>
        </w:rPr>
        <w:t xml:space="preserve">  The first priority filing window closed on Friday, September 15, 2017.</w:t>
      </w:r>
      <w:r w:rsidRPr="0072606B">
        <w:rPr>
          <w:rStyle w:val="FootnoteReference"/>
          <w:color w:val="000000" w:themeColor="text1"/>
          <w:sz w:val="20"/>
        </w:rPr>
        <w:footnoteReference w:id="4"/>
      </w:r>
      <w:r w:rsidRPr="0072606B">
        <w:rPr>
          <w:color w:val="000000" w:themeColor="text1"/>
          <w:szCs w:val="22"/>
        </w:rPr>
        <w:t xml:space="preserve">  This Public Notice announces that the second filing window will open on Tuesday, October 3, 2017 and close at 11:59 pm EDT on Thursday, November 2, 2017.  Procedures and requirements for the second filing window have been described in detail previously and are summarized herein.</w:t>
      </w:r>
      <w:r w:rsidRPr="0072606B">
        <w:rPr>
          <w:rStyle w:val="FootnoteReference"/>
          <w:color w:val="000000" w:themeColor="text1"/>
          <w:sz w:val="20"/>
        </w:rPr>
        <w:footnoteReference w:id="5"/>
      </w:r>
      <w:r w:rsidRPr="0072606B">
        <w:rPr>
          <w:color w:val="000000" w:themeColor="text1"/>
          <w:szCs w:val="22"/>
        </w:rPr>
        <w:t xml:space="preserve"> </w:t>
      </w:r>
    </w:p>
    <w:p w14:paraId="1A118A4C" w14:textId="78ED0664" w:rsidR="001B01A9" w:rsidRPr="0072606B" w:rsidRDefault="001B01A9" w:rsidP="001B01A9">
      <w:pPr>
        <w:widowControl/>
        <w:numPr>
          <w:ilvl w:val="0"/>
          <w:numId w:val="13"/>
        </w:numPr>
        <w:spacing w:before="120" w:after="120"/>
        <w:ind w:left="0" w:firstLine="806"/>
        <w:rPr>
          <w:color w:val="000000" w:themeColor="text1"/>
          <w:szCs w:val="22"/>
        </w:rPr>
      </w:pPr>
      <w:r w:rsidRPr="0072606B">
        <w:rPr>
          <w:b/>
          <w:color w:val="000000" w:themeColor="text1"/>
          <w:szCs w:val="22"/>
        </w:rPr>
        <w:t>Eligibility, Application Requirements</w:t>
      </w:r>
      <w:r w:rsidR="00843781" w:rsidRPr="0072606B">
        <w:rPr>
          <w:b/>
          <w:color w:val="000000" w:themeColor="text1"/>
          <w:szCs w:val="22"/>
        </w:rPr>
        <w:t>,</w:t>
      </w:r>
      <w:r w:rsidRPr="0072606B">
        <w:rPr>
          <w:b/>
          <w:color w:val="000000" w:themeColor="text1"/>
          <w:szCs w:val="22"/>
        </w:rPr>
        <w:t xml:space="preserve"> and Processing</w:t>
      </w:r>
      <w:r w:rsidRPr="0072606B">
        <w:rPr>
          <w:color w:val="000000" w:themeColor="text1"/>
          <w:szCs w:val="22"/>
        </w:rPr>
        <w:t xml:space="preserve">.  During the second filing window, any reassigned station or band changing station may file an amendment to its initial construction permit application, if still pending, or a modification to its construction permit, if granted, to seek an alternate channel or expanded facilities from that specified in the </w:t>
      </w:r>
      <w:r w:rsidRPr="0072606B">
        <w:rPr>
          <w:i/>
          <w:color w:val="000000" w:themeColor="text1"/>
          <w:szCs w:val="22"/>
        </w:rPr>
        <w:t>Closing and Channel Reassignment Public Notice.</w:t>
      </w:r>
      <w:r w:rsidRPr="0072606B">
        <w:rPr>
          <w:color w:val="000000" w:themeColor="text1"/>
          <w:szCs w:val="22"/>
        </w:rPr>
        <w:t xml:space="preserve">  Applications for expanded facilities are limited to those that qualify as a minor change under the Commission’s rules.</w:t>
      </w:r>
      <w:r w:rsidRPr="0072606B">
        <w:rPr>
          <w:rStyle w:val="FootnoteReference"/>
          <w:color w:val="000000" w:themeColor="text1"/>
          <w:sz w:val="20"/>
        </w:rPr>
        <w:footnoteReference w:id="6"/>
      </w:r>
      <w:r w:rsidRPr="0072606B">
        <w:rPr>
          <w:color w:val="000000" w:themeColor="text1"/>
          <w:szCs w:val="22"/>
        </w:rPr>
        <w:t xml:space="preserve">  Applications for alternate channels are major change applications and are subject to the local public notice requirements in the Commission’s rules, including a 30-day period for </w:t>
      </w:r>
      <w:r w:rsidRPr="0072606B">
        <w:rPr>
          <w:color w:val="000000" w:themeColor="text1"/>
          <w:szCs w:val="22"/>
        </w:rPr>
        <w:lastRenderedPageBreak/>
        <w:t>the filing of petitions to deny.</w:t>
      </w:r>
      <w:r w:rsidRPr="0072606B">
        <w:rPr>
          <w:rStyle w:val="FootnoteReference"/>
          <w:color w:val="000000" w:themeColor="text1"/>
          <w:sz w:val="20"/>
        </w:rPr>
        <w:footnoteReference w:id="7"/>
      </w:r>
      <w:r w:rsidRPr="0072606B">
        <w:rPr>
          <w:color w:val="000000" w:themeColor="text1"/>
          <w:szCs w:val="22"/>
        </w:rPr>
        <w:t xml:space="preserve">  Band changing stations may not apply for alternate channels outside of their post-auction band.</w:t>
      </w:r>
      <w:r w:rsidRPr="0072606B">
        <w:rPr>
          <w:rStyle w:val="FootnoteReference"/>
          <w:color w:val="000000" w:themeColor="text1"/>
          <w:sz w:val="20"/>
        </w:rPr>
        <w:footnoteReference w:id="8"/>
      </w:r>
      <w:r w:rsidRPr="0072606B">
        <w:rPr>
          <w:color w:val="000000" w:themeColor="text1"/>
          <w:szCs w:val="22"/>
        </w:rPr>
        <w:t xml:space="preserve">  </w:t>
      </w:r>
      <w:r w:rsidRPr="0072606B" w:rsidDel="00C7274F">
        <w:rPr>
          <w:rStyle w:val="FootnoteReference"/>
          <w:color w:val="000000" w:themeColor="text1"/>
          <w:sz w:val="20"/>
        </w:rPr>
        <w:t xml:space="preserve">  </w:t>
      </w:r>
    </w:p>
    <w:p w14:paraId="2DF35376" w14:textId="4AAB7317" w:rsidR="001B01A9" w:rsidRPr="0072606B" w:rsidRDefault="001B01A9" w:rsidP="001B01A9">
      <w:pPr>
        <w:numPr>
          <w:ilvl w:val="0"/>
          <w:numId w:val="13"/>
        </w:numPr>
        <w:spacing w:before="120" w:after="120"/>
        <w:ind w:left="0" w:firstLine="810"/>
        <w:rPr>
          <w:color w:val="000000" w:themeColor="text1"/>
          <w:szCs w:val="22"/>
        </w:rPr>
      </w:pPr>
      <w:r w:rsidRPr="0072606B">
        <w:rPr>
          <w:color w:val="000000" w:themeColor="text1"/>
          <w:szCs w:val="22"/>
        </w:rPr>
        <w:t>Applicants in the second filing window must protect the facilities proposed in the first priority filing window, whether those stations’ applications have been granted or remain pending.  Applicants in the second window must also protect the construction permit facilities of reassigned stations and band changing stations filed in the initial 90-day filing window, whether those stations’ applications have been granted or remain pending.</w:t>
      </w:r>
      <w:r w:rsidRPr="0072606B">
        <w:rPr>
          <w:rStyle w:val="FootnoteReference"/>
          <w:color w:val="000000" w:themeColor="text1"/>
          <w:sz w:val="20"/>
        </w:rPr>
        <w:footnoteReference w:id="9"/>
      </w:r>
      <w:r w:rsidRPr="0072606B">
        <w:rPr>
          <w:color w:val="000000" w:themeColor="text1"/>
          <w:szCs w:val="22"/>
        </w:rPr>
        <w:t xml:space="preserve">  In addition, all applications must protect the facilities specified in applications filed before the April 2013 freeze with “cut-off” protection.</w:t>
      </w:r>
      <w:r w:rsidRPr="0072606B">
        <w:rPr>
          <w:rStyle w:val="FootnoteReference"/>
          <w:color w:val="000000" w:themeColor="text1"/>
          <w:sz w:val="20"/>
        </w:rPr>
        <w:footnoteReference w:id="10"/>
      </w:r>
      <w:r w:rsidRPr="0072606B">
        <w:rPr>
          <w:color w:val="000000" w:themeColor="text1"/>
          <w:szCs w:val="22"/>
        </w:rPr>
        <w:t xml:space="preserve">  Applications filed by Class A stations must also demonstrate that the</w:t>
      </w:r>
      <w:r w:rsidRPr="0072606B">
        <w:rPr>
          <w:snapToGrid/>
          <w:color w:val="000000" w:themeColor="text1"/>
          <w:kern w:val="0"/>
          <w:szCs w:val="22"/>
        </w:rPr>
        <w:t xml:space="preserve"> proposal would not cause interference to a low power television or television translator facility previously authorized or proposed.</w:t>
      </w:r>
      <w:r w:rsidRPr="0072606B">
        <w:rPr>
          <w:snapToGrid/>
          <w:color w:val="000000" w:themeColor="text1"/>
          <w:kern w:val="0"/>
          <w:szCs w:val="22"/>
          <w:vertAlign w:val="superscript"/>
        </w:rPr>
        <w:footnoteReference w:id="11"/>
      </w:r>
      <w:r w:rsidRPr="0072606B">
        <w:rPr>
          <w:snapToGrid/>
          <w:color w:val="000000" w:themeColor="text1"/>
          <w:kern w:val="0"/>
          <w:szCs w:val="22"/>
        </w:rPr>
        <w:t xml:space="preserve"> </w:t>
      </w:r>
      <w:r w:rsidRPr="0072606B">
        <w:rPr>
          <w:color w:val="000000" w:themeColor="text1"/>
          <w:szCs w:val="22"/>
        </w:rPr>
        <w:t xml:space="preserve"> The facilities proposed in applications filed during the second filing window will be entitled to interference protection from subsequently filed applications and amendments thereto.</w:t>
      </w:r>
      <w:r w:rsidRPr="0072606B">
        <w:rPr>
          <w:color w:val="000000" w:themeColor="text1"/>
          <w:szCs w:val="22"/>
          <w:vertAlign w:val="superscript"/>
        </w:rPr>
        <w:footnoteReference w:id="12"/>
      </w:r>
      <w:r w:rsidRPr="0072606B">
        <w:rPr>
          <w:color w:val="000000" w:themeColor="text1"/>
          <w:szCs w:val="22"/>
        </w:rPr>
        <w:t xml:space="preserve">  </w:t>
      </w:r>
    </w:p>
    <w:p w14:paraId="6AD5A524" w14:textId="77777777" w:rsidR="001B01A9" w:rsidRPr="0072606B" w:rsidRDefault="001B01A9" w:rsidP="001B01A9">
      <w:pPr>
        <w:numPr>
          <w:ilvl w:val="0"/>
          <w:numId w:val="13"/>
        </w:numPr>
        <w:tabs>
          <w:tab w:val="num" w:pos="1440"/>
        </w:tabs>
        <w:spacing w:before="120" w:after="120"/>
        <w:ind w:left="0" w:firstLine="810"/>
        <w:rPr>
          <w:color w:val="000000" w:themeColor="text1"/>
          <w:szCs w:val="22"/>
        </w:rPr>
      </w:pPr>
      <w:r w:rsidRPr="0072606B">
        <w:rPr>
          <w:b/>
          <w:color w:val="000000" w:themeColor="text1"/>
          <w:szCs w:val="22"/>
        </w:rPr>
        <w:t>Cut-Off Protection and Mutually Exclusive Applications</w:t>
      </w:r>
      <w:r w:rsidRPr="0072606B">
        <w:rPr>
          <w:color w:val="000000" w:themeColor="text1"/>
          <w:szCs w:val="22"/>
        </w:rPr>
        <w:t>.  Applications filed during the second filing window will be treated as filed on the last day of the window for purposes of determining mutual exclusivity.  Stations filing applications during the second filing window that are determined to be mutually exclusive with another application filed in the same window will be notified and will be given a 90-day period to resolve their mutual exclusivity by proposing a technical solution or settlement</w:t>
      </w:r>
      <w:r w:rsidRPr="0072606B">
        <w:rPr>
          <w:rStyle w:val="FootnoteReference"/>
          <w:color w:val="000000" w:themeColor="text1"/>
          <w:sz w:val="20"/>
        </w:rPr>
        <w:footnoteReference w:id="13"/>
      </w:r>
      <w:r w:rsidRPr="0072606B">
        <w:rPr>
          <w:color w:val="000000" w:themeColor="text1"/>
          <w:szCs w:val="22"/>
        </w:rPr>
        <w:t xml:space="preserve"> in an amendment to their pending applications.</w:t>
      </w:r>
      <w:r w:rsidRPr="0072606B">
        <w:rPr>
          <w:color w:val="000000" w:themeColor="text1"/>
          <w:szCs w:val="22"/>
          <w:vertAlign w:val="superscript"/>
        </w:rPr>
        <w:footnoteReference w:id="14"/>
      </w:r>
    </w:p>
    <w:p w14:paraId="212D36AA" w14:textId="77777777" w:rsidR="001B01A9" w:rsidRPr="0072606B" w:rsidRDefault="001B01A9" w:rsidP="001B01A9">
      <w:pPr>
        <w:widowControl/>
        <w:numPr>
          <w:ilvl w:val="0"/>
          <w:numId w:val="13"/>
        </w:numPr>
        <w:spacing w:before="120" w:after="120"/>
        <w:ind w:left="0" w:firstLine="806"/>
        <w:rPr>
          <w:color w:val="000000" w:themeColor="text1"/>
          <w:szCs w:val="22"/>
        </w:rPr>
      </w:pPr>
      <w:r w:rsidRPr="0072606B">
        <w:rPr>
          <w:b/>
          <w:color w:val="000000" w:themeColor="text1"/>
          <w:szCs w:val="22"/>
        </w:rPr>
        <w:t>Incomplete or Defective Applications</w:t>
      </w:r>
      <w:r w:rsidRPr="0072606B">
        <w:rPr>
          <w:color w:val="000000" w:themeColor="text1"/>
          <w:szCs w:val="22"/>
        </w:rPr>
        <w:t>.</w:t>
      </w:r>
      <w:r w:rsidRPr="0072606B">
        <w:rPr>
          <w:b/>
          <w:color w:val="000000" w:themeColor="text1"/>
          <w:szCs w:val="22"/>
        </w:rPr>
        <w:t xml:space="preserve">  </w:t>
      </w:r>
      <w:r w:rsidRPr="0072606B">
        <w:rPr>
          <w:color w:val="000000" w:themeColor="text1"/>
          <w:szCs w:val="22"/>
        </w:rPr>
        <w:t>A station that files an application during the second filing window that is incomplete or defective will be contacted and afforded an opportunity to submit an amendment via LMS to cure any defects.  Failure to correct any defect will result in dismissal of the application.</w:t>
      </w:r>
      <w:r w:rsidRPr="0072606B">
        <w:rPr>
          <w:color w:val="000000" w:themeColor="text1"/>
          <w:szCs w:val="22"/>
          <w:vertAlign w:val="superscript"/>
        </w:rPr>
        <w:footnoteReference w:id="15"/>
      </w:r>
      <w:r w:rsidRPr="0072606B">
        <w:rPr>
          <w:color w:val="000000" w:themeColor="text1"/>
          <w:szCs w:val="22"/>
        </w:rPr>
        <w:t xml:space="preserve">  </w:t>
      </w:r>
    </w:p>
    <w:p w14:paraId="5E96D07A" w14:textId="543C3036" w:rsidR="001B01A9" w:rsidRPr="0072606B" w:rsidRDefault="001B01A9" w:rsidP="001B01A9">
      <w:pPr>
        <w:numPr>
          <w:ilvl w:val="0"/>
          <w:numId w:val="13"/>
        </w:numPr>
        <w:spacing w:before="120" w:after="120"/>
        <w:ind w:left="0" w:firstLine="810"/>
        <w:rPr>
          <w:color w:val="000000" w:themeColor="text1"/>
          <w:szCs w:val="22"/>
        </w:rPr>
      </w:pPr>
      <w:r w:rsidRPr="0072606B">
        <w:rPr>
          <w:b/>
          <w:color w:val="000000" w:themeColor="text1"/>
          <w:szCs w:val="22"/>
        </w:rPr>
        <w:t>Reminder Regarding Reimbursement</w:t>
      </w:r>
      <w:r w:rsidRPr="0072606B">
        <w:rPr>
          <w:color w:val="000000" w:themeColor="text1"/>
          <w:szCs w:val="22"/>
        </w:rPr>
        <w:t>.  Additional costs incurred in constructing alternate channels or expanded facilities are not reimbursable under the TV Broadcaster Relocation Fund and must be paid by the station.</w:t>
      </w:r>
      <w:r w:rsidRPr="0072606B">
        <w:rPr>
          <w:rStyle w:val="FootnoteReference"/>
          <w:color w:val="000000" w:themeColor="text1"/>
          <w:sz w:val="20"/>
        </w:rPr>
        <w:footnoteReference w:id="16"/>
      </w:r>
      <w:r w:rsidRPr="0072606B">
        <w:rPr>
          <w:color w:val="000000" w:themeColor="text1"/>
          <w:szCs w:val="22"/>
        </w:rPr>
        <w:t xml:space="preserve">  Accordingly, a station that files an application during the second filing window may not revise its relocation cost estimates on FCC Form 2100, Schedule 399 (Reimbursement Form) to account for additional or increased expenses associated with </w:t>
      </w:r>
      <w:r w:rsidR="00DA25C1" w:rsidRPr="0072606B">
        <w:rPr>
          <w:color w:val="000000" w:themeColor="text1"/>
          <w:szCs w:val="22"/>
        </w:rPr>
        <w:t xml:space="preserve">an </w:t>
      </w:r>
      <w:r w:rsidRPr="0072606B">
        <w:rPr>
          <w:color w:val="000000" w:themeColor="text1"/>
          <w:szCs w:val="22"/>
        </w:rPr>
        <w:t>alternate channel or expanded facilities.</w:t>
      </w:r>
    </w:p>
    <w:p w14:paraId="298AE29E" w14:textId="38AE3DB1" w:rsidR="00B4410A" w:rsidRPr="0072606B" w:rsidRDefault="001B01A9" w:rsidP="00110136">
      <w:pPr>
        <w:widowControl/>
        <w:numPr>
          <w:ilvl w:val="0"/>
          <w:numId w:val="13"/>
        </w:numPr>
        <w:spacing w:before="120" w:after="120"/>
        <w:ind w:left="0" w:firstLine="806"/>
        <w:rPr>
          <w:rStyle w:val="Hyperlink"/>
          <w:b/>
          <w:color w:val="000000" w:themeColor="text1"/>
          <w:szCs w:val="22"/>
          <w:u w:val="none"/>
        </w:rPr>
      </w:pPr>
      <w:r w:rsidRPr="0072606B">
        <w:rPr>
          <w:b/>
          <w:color w:val="000000" w:themeColor="text1"/>
          <w:szCs w:val="22"/>
        </w:rPr>
        <w:lastRenderedPageBreak/>
        <w:t>Additional Information</w:t>
      </w:r>
      <w:r w:rsidRPr="0072606B">
        <w:rPr>
          <w:color w:val="000000" w:themeColor="text1"/>
          <w:szCs w:val="22"/>
        </w:rPr>
        <w:t xml:space="preserve">.  For additional information, contact Joyce Bernstein, </w:t>
      </w:r>
      <w:hyperlink r:id="rId8" w:history="1">
        <w:r w:rsidRPr="0072606B">
          <w:rPr>
            <w:rStyle w:val="Hyperlink"/>
            <w:color w:val="000000" w:themeColor="text1"/>
            <w:szCs w:val="22"/>
          </w:rPr>
          <w:t>Joyce.Bernstein@fcc.gov</w:t>
        </w:r>
      </w:hyperlink>
      <w:r w:rsidRPr="0072606B">
        <w:rPr>
          <w:color w:val="000000" w:themeColor="text1"/>
          <w:szCs w:val="22"/>
        </w:rPr>
        <w:t xml:space="preserve">, (202) 418-1647, or Kevin Harding, </w:t>
      </w:r>
      <w:hyperlink r:id="rId9" w:history="1">
        <w:r w:rsidRPr="0072606B">
          <w:rPr>
            <w:rStyle w:val="Hyperlink"/>
            <w:color w:val="000000" w:themeColor="text1"/>
            <w:szCs w:val="22"/>
          </w:rPr>
          <w:t>Kevin.Harding@fcc.gov</w:t>
        </w:r>
      </w:hyperlink>
      <w:r w:rsidRPr="0072606B">
        <w:rPr>
          <w:color w:val="000000" w:themeColor="text1"/>
          <w:szCs w:val="22"/>
        </w:rPr>
        <w:t xml:space="preserve">, (202) 418-7077. Press contact: Charles Meisch, </w:t>
      </w:r>
      <w:hyperlink r:id="rId10" w:history="1">
        <w:r w:rsidRPr="0072606B">
          <w:rPr>
            <w:rStyle w:val="Hyperlink"/>
            <w:color w:val="000000" w:themeColor="text1"/>
            <w:szCs w:val="22"/>
          </w:rPr>
          <w:t>Charles.Meisch@fcc.gov</w:t>
        </w:r>
      </w:hyperlink>
      <w:r w:rsidR="00B13132" w:rsidRPr="004E6B92">
        <w:rPr>
          <w:rStyle w:val="Hyperlink"/>
          <w:color w:val="000000" w:themeColor="text1"/>
          <w:szCs w:val="22"/>
          <w:u w:val="none"/>
        </w:rPr>
        <w:t>.</w:t>
      </w:r>
    </w:p>
    <w:p w14:paraId="0341356E" w14:textId="77777777" w:rsidR="00110136" w:rsidRPr="0072606B" w:rsidRDefault="00110136" w:rsidP="00110136">
      <w:pPr>
        <w:widowControl/>
        <w:spacing w:before="120" w:after="120"/>
        <w:ind w:left="806"/>
        <w:rPr>
          <w:b/>
          <w:color w:val="000000" w:themeColor="text1"/>
          <w:szCs w:val="22"/>
        </w:rPr>
      </w:pPr>
    </w:p>
    <w:p w14:paraId="63EE4E4E" w14:textId="4067D6B3" w:rsidR="0055722E" w:rsidRPr="0072606B" w:rsidRDefault="00B4410A" w:rsidP="0055722E">
      <w:pPr>
        <w:spacing w:after="120"/>
        <w:jc w:val="center"/>
        <w:rPr>
          <w:color w:val="000000" w:themeColor="text1"/>
          <w:szCs w:val="22"/>
        </w:rPr>
      </w:pPr>
      <w:r w:rsidRPr="0072606B">
        <w:rPr>
          <w:color w:val="000000" w:themeColor="text1"/>
          <w:szCs w:val="22"/>
        </w:rPr>
        <w:t>–FCC–</w:t>
      </w:r>
    </w:p>
    <w:sectPr w:rsidR="0055722E" w:rsidRPr="0072606B" w:rsidSect="001B101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296" w:right="1440" w:bottom="72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7F5FC" w14:textId="77777777" w:rsidR="00F21AFC" w:rsidRDefault="00F21AFC">
      <w:r>
        <w:separator/>
      </w:r>
    </w:p>
  </w:endnote>
  <w:endnote w:type="continuationSeparator" w:id="0">
    <w:p w14:paraId="18AC2FD7" w14:textId="77777777" w:rsidR="00F21AFC" w:rsidRDefault="00F2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22707" w14:textId="77777777" w:rsidR="00490561" w:rsidRDefault="00490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5F39" w14:textId="09D04818" w:rsidR="003E1786" w:rsidRDefault="003E1786"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2D4F7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B0646" w14:textId="77777777" w:rsidR="00490561" w:rsidRDefault="00490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E4002" w14:textId="77777777" w:rsidR="00F21AFC" w:rsidRDefault="00F21AFC">
      <w:r>
        <w:separator/>
      </w:r>
    </w:p>
  </w:footnote>
  <w:footnote w:type="continuationSeparator" w:id="0">
    <w:p w14:paraId="63D5B76E" w14:textId="77777777" w:rsidR="00F21AFC" w:rsidRDefault="00F21AFC">
      <w:r>
        <w:continuationSeparator/>
      </w:r>
    </w:p>
  </w:footnote>
  <w:footnote w:type="continuationNotice" w:id="1">
    <w:p w14:paraId="03421B2F" w14:textId="77777777" w:rsidR="00F21AFC" w:rsidRPr="00A574E4" w:rsidRDefault="00F21AFC" w:rsidP="00A574E4">
      <w:pPr>
        <w:pStyle w:val="Footer"/>
      </w:pPr>
    </w:p>
  </w:footnote>
  <w:footnote w:id="2">
    <w:p w14:paraId="634A5F54" w14:textId="77777777" w:rsidR="001B01A9" w:rsidRPr="0072606B" w:rsidRDefault="001B01A9" w:rsidP="001B01A9">
      <w:pPr>
        <w:pStyle w:val="FootnoteText"/>
        <w:rPr>
          <w:color w:val="000000" w:themeColor="text1"/>
        </w:rPr>
      </w:pPr>
      <w:r w:rsidRPr="0072606B">
        <w:rPr>
          <w:rStyle w:val="FootnoteReference"/>
          <w:color w:val="000000" w:themeColor="text1"/>
          <w:sz w:val="20"/>
        </w:rPr>
        <w:footnoteRef/>
      </w:r>
      <w:r w:rsidRPr="0072606B">
        <w:rPr>
          <w:color w:val="000000" w:themeColor="text1"/>
        </w:rPr>
        <w:t xml:space="preserve"> </w:t>
      </w:r>
      <w:r w:rsidRPr="0072606B">
        <w:rPr>
          <w:i/>
          <w:color w:val="000000" w:themeColor="text1"/>
        </w:rPr>
        <w:t>See Incentive Auction Closing and Channel Reassignment Public Notice:  The Broadcast Television Incentive Auction Closes; Reverse Auction and Forward Auction Results Announced; Final Television Band Channel Assignments Announced; Post-Auction Deadlines Announced</w:t>
      </w:r>
      <w:r w:rsidRPr="0072606B">
        <w:rPr>
          <w:color w:val="000000" w:themeColor="text1"/>
        </w:rPr>
        <w:t>, Public Notice, 32 FCC Rcd 2786 (2017) (</w:t>
      </w:r>
      <w:r w:rsidRPr="0072606B">
        <w:rPr>
          <w:i/>
          <w:color w:val="000000" w:themeColor="text1"/>
        </w:rPr>
        <w:t>Closing and Channel Reassignment Public Notice</w:t>
      </w:r>
      <w:r w:rsidRPr="0072606B">
        <w:rPr>
          <w:color w:val="000000" w:themeColor="text1"/>
        </w:rPr>
        <w:t>).</w:t>
      </w:r>
    </w:p>
  </w:footnote>
  <w:footnote w:id="3">
    <w:p w14:paraId="373801F7" w14:textId="77777777" w:rsidR="001B01A9" w:rsidRPr="0072606B" w:rsidRDefault="001B01A9" w:rsidP="001B01A9">
      <w:pPr>
        <w:pStyle w:val="FootnoteText"/>
        <w:rPr>
          <w:color w:val="000000" w:themeColor="text1"/>
        </w:rPr>
      </w:pPr>
      <w:r w:rsidRPr="0072606B">
        <w:rPr>
          <w:rStyle w:val="FootnoteReference"/>
          <w:color w:val="000000" w:themeColor="text1"/>
          <w:sz w:val="20"/>
        </w:rPr>
        <w:footnoteRef/>
      </w:r>
      <w:r w:rsidRPr="0072606B">
        <w:rPr>
          <w:color w:val="000000" w:themeColor="text1"/>
        </w:rPr>
        <w:t xml:space="preserve"> </w:t>
      </w:r>
      <w:r w:rsidRPr="0072606B">
        <w:rPr>
          <w:i/>
          <w:color w:val="000000" w:themeColor="text1"/>
        </w:rPr>
        <w:t xml:space="preserve">See Expanding the Economic and Innovation Opportunities of Spectrum Through Incentive Auctions, </w:t>
      </w:r>
      <w:r w:rsidRPr="0072606B">
        <w:rPr>
          <w:color w:val="000000" w:themeColor="text1"/>
        </w:rPr>
        <w:t>29 FCC Rcd 6567, 6795, para. 556 (2014) (subsequent citations omitted) (</w:t>
      </w:r>
      <w:r w:rsidRPr="0072606B">
        <w:rPr>
          <w:i/>
          <w:color w:val="000000" w:themeColor="text1"/>
        </w:rPr>
        <w:t>Incentive Auction R&amp;O</w:t>
      </w:r>
      <w:r w:rsidRPr="0072606B">
        <w:rPr>
          <w:color w:val="000000" w:themeColor="text1"/>
        </w:rPr>
        <w:t xml:space="preserve">); </w:t>
      </w:r>
      <w:r w:rsidRPr="0072606B">
        <w:rPr>
          <w:i/>
          <w:color w:val="000000" w:themeColor="text1"/>
        </w:rPr>
        <w:t>id</w:t>
      </w:r>
      <w:r w:rsidRPr="0072606B">
        <w:rPr>
          <w:color w:val="000000" w:themeColor="text1"/>
        </w:rPr>
        <w:t>. at 6794, paras. 554-55.</w:t>
      </w:r>
    </w:p>
  </w:footnote>
  <w:footnote w:id="4">
    <w:p w14:paraId="7AB04282" w14:textId="77777777" w:rsidR="001B01A9" w:rsidRPr="0072606B" w:rsidRDefault="001B01A9" w:rsidP="001B01A9">
      <w:pPr>
        <w:pStyle w:val="FootnoteText"/>
        <w:rPr>
          <w:color w:val="000000" w:themeColor="text1"/>
        </w:rPr>
      </w:pPr>
      <w:r w:rsidRPr="0072606B">
        <w:rPr>
          <w:rStyle w:val="FootnoteReference"/>
          <w:color w:val="000000" w:themeColor="text1"/>
          <w:sz w:val="20"/>
        </w:rPr>
        <w:footnoteRef/>
      </w:r>
      <w:r w:rsidRPr="0072606B">
        <w:rPr>
          <w:color w:val="000000" w:themeColor="text1"/>
        </w:rPr>
        <w:t xml:space="preserve"> </w:t>
      </w:r>
      <w:r w:rsidRPr="0072606B">
        <w:rPr>
          <w:i/>
          <w:color w:val="000000" w:themeColor="text1"/>
        </w:rPr>
        <w:t>Incentive Auction Task Force and Media Bureau Announce the Opening of the First Priority Filing Window for Eligible Full Power and Class A Television Stations from August 9 Through September 8, 2017</w:t>
      </w:r>
      <w:r w:rsidRPr="0072606B">
        <w:rPr>
          <w:color w:val="000000" w:themeColor="text1"/>
        </w:rPr>
        <w:t xml:space="preserve">, Public Notice, 32 FCC Rcd 5785 (IATF/MB 2017); </w:t>
      </w:r>
      <w:r w:rsidRPr="0072606B">
        <w:rPr>
          <w:i/>
          <w:color w:val="000000" w:themeColor="text1"/>
        </w:rPr>
        <w:t>Incentive Auction Task Force and Media Bureau Extend the Filing Deadline for the First Priority Filing Window for Eligible Full Power and Class A Television Stations- Revised Filing Deadline: September 15, 2017</w:t>
      </w:r>
      <w:r w:rsidRPr="0072606B">
        <w:rPr>
          <w:color w:val="000000" w:themeColor="text1"/>
        </w:rPr>
        <w:t xml:space="preserve">, Public Notice, DA 17-849 (IATF/MB Sept. 6, 2017). </w:t>
      </w:r>
    </w:p>
  </w:footnote>
  <w:footnote w:id="5">
    <w:p w14:paraId="56F47700" w14:textId="77777777" w:rsidR="001B01A9" w:rsidRPr="0072606B" w:rsidRDefault="001B01A9" w:rsidP="001B01A9">
      <w:pPr>
        <w:pStyle w:val="FootnoteText"/>
        <w:rPr>
          <w:i/>
          <w:color w:val="000000" w:themeColor="text1"/>
        </w:rPr>
      </w:pPr>
      <w:r w:rsidRPr="0072606B">
        <w:rPr>
          <w:rStyle w:val="FootnoteReference"/>
          <w:color w:val="000000" w:themeColor="text1"/>
          <w:sz w:val="20"/>
        </w:rPr>
        <w:footnoteRef/>
      </w:r>
      <w:r w:rsidRPr="0072606B">
        <w:rPr>
          <w:color w:val="000000" w:themeColor="text1"/>
        </w:rPr>
        <w:t xml:space="preserve"> </w:t>
      </w:r>
      <w:r w:rsidRPr="0072606B">
        <w:rPr>
          <w:i/>
          <w:color w:val="000000" w:themeColor="text1"/>
        </w:rPr>
        <w:t>See Closing and Channel Reassignment Public Notice</w:t>
      </w:r>
      <w:r w:rsidRPr="0072606B">
        <w:rPr>
          <w:color w:val="000000" w:themeColor="text1"/>
        </w:rPr>
        <w:t>, 32 FCC Rcd at 2809-10, paras. 70-71;</w:t>
      </w:r>
      <w:r w:rsidRPr="0072606B">
        <w:rPr>
          <w:i/>
          <w:color w:val="000000" w:themeColor="text1"/>
        </w:rPr>
        <w:t xml:space="preserve"> Incentive Auction Task Force and Media Bureau Announce Procedures for the Post-Incentive Auction Broadcast Transition</w:t>
      </w:r>
      <w:r w:rsidRPr="0072606B">
        <w:rPr>
          <w:color w:val="000000" w:themeColor="text1"/>
        </w:rPr>
        <w:t>, Public Notice, 32 FCC Rcd 858, 866-67, paras. 27-28, 869-70, paras. 35-38 (IATF/MB 2017) (</w:t>
      </w:r>
      <w:r w:rsidRPr="0072606B">
        <w:rPr>
          <w:i/>
          <w:color w:val="000000" w:themeColor="text1"/>
        </w:rPr>
        <w:t>Broadcast Transition Procedures Public Notice</w:t>
      </w:r>
      <w:r w:rsidRPr="0072606B">
        <w:rPr>
          <w:color w:val="000000" w:themeColor="text1"/>
        </w:rPr>
        <w:t>).</w:t>
      </w:r>
    </w:p>
  </w:footnote>
  <w:footnote w:id="6">
    <w:p w14:paraId="7B862BEA" w14:textId="77777777" w:rsidR="001B01A9" w:rsidRPr="0072606B" w:rsidRDefault="001B01A9" w:rsidP="001B01A9">
      <w:pPr>
        <w:pStyle w:val="FootnoteText"/>
        <w:rPr>
          <w:color w:val="000000" w:themeColor="text1"/>
        </w:rPr>
      </w:pPr>
      <w:r w:rsidRPr="0072606B">
        <w:rPr>
          <w:rStyle w:val="FootnoteReference"/>
          <w:color w:val="000000" w:themeColor="text1"/>
          <w:sz w:val="20"/>
        </w:rPr>
        <w:footnoteRef/>
      </w:r>
      <w:r w:rsidRPr="0072606B">
        <w:rPr>
          <w:color w:val="000000" w:themeColor="text1"/>
        </w:rPr>
        <w:t xml:space="preserve"> </w:t>
      </w:r>
      <w:r w:rsidRPr="0072606B">
        <w:rPr>
          <w:i/>
          <w:color w:val="000000" w:themeColor="text1"/>
        </w:rPr>
        <w:t xml:space="preserve">Broadcast Transition Procedures Public Notice, </w:t>
      </w:r>
      <w:r w:rsidRPr="0072606B">
        <w:rPr>
          <w:color w:val="000000" w:themeColor="text1"/>
        </w:rPr>
        <w:t xml:space="preserve">32 FCC Rcd at 867, para. 28; 47 CFR §§ 73.3700(b)(vii)(2)(ii), 73.3572(a)(1)-(3), 74.787(b). </w:t>
      </w:r>
    </w:p>
  </w:footnote>
  <w:footnote w:id="7">
    <w:p w14:paraId="654FA5F1" w14:textId="77777777" w:rsidR="001B01A9" w:rsidRPr="0072606B" w:rsidRDefault="001B01A9" w:rsidP="001B01A9">
      <w:pPr>
        <w:pStyle w:val="FootnoteText"/>
        <w:rPr>
          <w:color w:val="000000" w:themeColor="text1"/>
        </w:rPr>
      </w:pPr>
      <w:r w:rsidRPr="0072606B">
        <w:rPr>
          <w:rStyle w:val="FootnoteReference"/>
          <w:color w:val="000000" w:themeColor="text1"/>
          <w:sz w:val="20"/>
        </w:rPr>
        <w:footnoteRef/>
      </w:r>
      <w:r w:rsidRPr="0072606B">
        <w:rPr>
          <w:color w:val="000000" w:themeColor="text1"/>
        </w:rPr>
        <w:t xml:space="preserve"> 47 CFR §§ 73.3580, 73.3700(b)(vii)(2)(i); </w:t>
      </w:r>
      <w:r w:rsidRPr="0072606B">
        <w:rPr>
          <w:i/>
          <w:color w:val="000000" w:themeColor="text1"/>
        </w:rPr>
        <w:t xml:space="preserve">Broadcast Transition Procedures Public Notice, </w:t>
      </w:r>
      <w:r w:rsidRPr="0072606B">
        <w:rPr>
          <w:color w:val="000000" w:themeColor="text1"/>
        </w:rPr>
        <w:t>32 FCC Rcd at 867, para. 29.</w:t>
      </w:r>
    </w:p>
  </w:footnote>
  <w:footnote w:id="8">
    <w:p w14:paraId="3B9E0B28" w14:textId="77777777" w:rsidR="001B01A9" w:rsidRPr="0072606B" w:rsidRDefault="001B01A9" w:rsidP="001B01A9">
      <w:pPr>
        <w:pStyle w:val="FootnoteText"/>
        <w:rPr>
          <w:color w:val="000000" w:themeColor="text1"/>
        </w:rPr>
      </w:pPr>
      <w:r w:rsidRPr="0072606B">
        <w:rPr>
          <w:rStyle w:val="FootnoteReference"/>
          <w:color w:val="000000" w:themeColor="text1"/>
          <w:sz w:val="20"/>
        </w:rPr>
        <w:footnoteRef/>
      </w:r>
      <w:r w:rsidRPr="0072606B">
        <w:rPr>
          <w:color w:val="000000" w:themeColor="text1"/>
        </w:rPr>
        <w:t xml:space="preserve"> </w:t>
      </w:r>
      <w:r w:rsidRPr="0072606B">
        <w:rPr>
          <w:i/>
          <w:color w:val="000000" w:themeColor="text1"/>
        </w:rPr>
        <w:t xml:space="preserve">Broadcast Transition Procedures Public Notice, </w:t>
      </w:r>
      <w:r w:rsidRPr="0072606B">
        <w:rPr>
          <w:color w:val="000000" w:themeColor="text1"/>
        </w:rPr>
        <w:t xml:space="preserve">32 FCC Rcd at 867, para. 29 &amp; n.48; 47 CFR § 73.3700(b)(2)(i)(A)-(C).  </w:t>
      </w:r>
    </w:p>
  </w:footnote>
  <w:footnote w:id="9">
    <w:p w14:paraId="391ED9FE" w14:textId="0B0E6F09" w:rsidR="001B01A9" w:rsidRPr="0072606B" w:rsidRDefault="001B01A9" w:rsidP="001B01A9">
      <w:pPr>
        <w:pStyle w:val="FootnoteText"/>
        <w:rPr>
          <w:color w:val="000000" w:themeColor="text1"/>
        </w:rPr>
      </w:pPr>
      <w:r w:rsidRPr="0072606B">
        <w:rPr>
          <w:rStyle w:val="FootnoteReference"/>
          <w:color w:val="000000" w:themeColor="text1"/>
          <w:sz w:val="20"/>
        </w:rPr>
        <w:footnoteRef/>
      </w:r>
      <w:r w:rsidRPr="0072606B">
        <w:rPr>
          <w:color w:val="000000" w:themeColor="text1"/>
        </w:rPr>
        <w:t xml:space="preserve"> The deadline for applications for construction permits consistent with the requirements of the </w:t>
      </w:r>
      <w:r w:rsidRPr="0072606B">
        <w:rPr>
          <w:i/>
          <w:color w:val="000000" w:themeColor="text1"/>
        </w:rPr>
        <w:t>Closing and Channel Reassignment Public Notice</w:t>
      </w:r>
      <w:r w:rsidRPr="0072606B">
        <w:rPr>
          <w:color w:val="000000" w:themeColor="text1"/>
        </w:rPr>
        <w:t xml:space="preserve"> was July 12, 2017.</w:t>
      </w:r>
      <w:r w:rsidR="006103DC">
        <w:rPr>
          <w:color w:val="000000" w:themeColor="text1"/>
        </w:rPr>
        <w:t xml:space="preserve">  </w:t>
      </w:r>
      <w:r w:rsidR="006103DC" w:rsidRPr="0072606B">
        <w:rPr>
          <w:i/>
          <w:color w:val="000000" w:themeColor="text1"/>
        </w:rPr>
        <w:t>See Closing and Channel Reassignment Public Notice</w:t>
      </w:r>
      <w:r w:rsidR="006103DC" w:rsidRPr="0072606B">
        <w:rPr>
          <w:color w:val="000000" w:themeColor="text1"/>
        </w:rPr>
        <w:t>, 32 FCC Rcd at 2809, para. 70</w:t>
      </w:r>
      <w:r w:rsidR="00666EAD">
        <w:rPr>
          <w:color w:val="000000" w:themeColor="text1"/>
        </w:rPr>
        <w:t>.</w:t>
      </w:r>
    </w:p>
  </w:footnote>
  <w:footnote w:id="10">
    <w:p w14:paraId="6F9DC4A8" w14:textId="77777777" w:rsidR="001B01A9" w:rsidRPr="0072606B" w:rsidRDefault="001B01A9" w:rsidP="001B01A9">
      <w:pPr>
        <w:pStyle w:val="FootnoteText"/>
        <w:rPr>
          <w:color w:val="000000" w:themeColor="text1"/>
        </w:rPr>
      </w:pPr>
      <w:r w:rsidRPr="0072606B">
        <w:rPr>
          <w:rStyle w:val="FootnoteReference"/>
          <w:color w:val="000000" w:themeColor="text1"/>
          <w:sz w:val="20"/>
        </w:rPr>
        <w:footnoteRef/>
      </w:r>
      <w:r w:rsidRPr="0072606B">
        <w:rPr>
          <w:color w:val="000000" w:themeColor="text1"/>
        </w:rPr>
        <w:t xml:space="preserve"> </w:t>
      </w:r>
      <w:r w:rsidRPr="0072606B">
        <w:rPr>
          <w:i/>
          <w:color w:val="000000" w:themeColor="text1"/>
        </w:rPr>
        <w:t xml:space="preserve">See Broadcast Transition Procedures Public Notice, </w:t>
      </w:r>
      <w:r w:rsidRPr="0072606B">
        <w:rPr>
          <w:color w:val="000000" w:themeColor="text1"/>
        </w:rPr>
        <w:t>32 FCC Rcd at 869, para. 35;</w:t>
      </w:r>
      <w:r w:rsidRPr="0072606B">
        <w:rPr>
          <w:i/>
          <w:color w:val="000000" w:themeColor="text1"/>
        </w:rPr>
        <w:t xml:space="preserve"> Media Bureau Announces Limitations on the Filing and Processing of Full Power and Class A Television Station Modification Applications, Effective Immediately, and Reminds Stations of Spectrum Act Preservation Mandate</w:t>
      </w:r>
      <w:r w:rsidRPr="0072606B">
        <w:rPr>
          <w:color w:val="000000" w:themeColor="text1"/>
        </w:rPr>
        <w:t>, Public Notice, 28 FCC Rcd 4364 (MB 2013).</w:t>
      </w:r>
    </w:p>
  </w:footnote>
  <w:footnote w:id="11">
    <w:p w14:paraId="128E43A4" w14:textId="77777777" w:rsidR="001B01A9" w:rsidRPr="0072606B" w:rsidRDefault="001B01A9" w:rsidP="001B01A9">
      <w:pPr>
        <w:pStyle w:val="FootnoteText"/>
        <w:rPr>
          <w:color w:val="000000" w:themeColor="text1"/>
        </w:rPr>
      </w:pPr>
      <w:r w:rsidRPr="0072606B">
        <w:rPr>
          <w:rStyle w:val="FootnoteReference"/>
          <w:color w:val="000000" w:themeColor="text1"/>
          <w:sz w:val="20"/>
        </w:rPr>
        <w:footnoteRef/>
      </w:r>
      <w:r w:rsidRPr="0072606B">
        <w:rPr>
          <w:color w:val="000000" w:themeColor="text1"/>
        </w:rPr>
        <w:t xml:space="preserve"> 47 U.S.C. § 336(f)(7)(B).</w:t>
      </w:r>
    </w:p>
  </w:footnote>
  <w:footnote w:id="12">
    <w:p w14:paraId="76C59F8D" w14:textId="77777777" w:rsidR="001B01A9" w:rsidRPr="0072606B" w:rsidRDefault="001B01A9" w:rsidP="001B01A9">
      <w:pPr>
        <w:pStyle w:val="FootnoteText"/>
        <w:rPr>
          <w:i/>
          <w:color w:val="000000" w:themeColor="text1"/>
        </w:rPr>
      </w:pPr>
      <w:r w:rsidRPr="0072606B">
        <w:rPr>
          <w:rStyle w:val="FootnoteReference"/>
          <w:color w:val="000000" w:themeColor="text1"/>
          <w:sz w:val="20"/>
        </w:rPr>
        <w:footnoteRef/>
      </w:r>
      <w:r w:rsidRPr="0072606B">
        <w:rPr>
          <w:color w:val="000000" w:themeColor="text1"/>
        </w:rPr>
        <w:t xml:space="preserve"> </w:t>
      </w:r>
      <w:r w:rsidRPr="0072606B">
        <w:rPr>
          <w:i/>
          <w:color w:val="000000" w:themeColor="text1"/>
        </w:rPr>
        <w:t>Incentive Auction R&amp;O</w:t>
      </w:r>
      <w:r w:rsidRPr="0072606B">
        <w:rPr>
          <w:color w:val="000000" w:themeColor="text1"/>
        </w:rPr>
        <w:t>, 29 FCC Rcd at 6794 n.1573.</w:t>
      </w:r>
    </w:p>
  </w:footnote>
  <w:footnote w:id="13">
    <w:p w14:paraId="1686CE2D" w14:textId="77777777" w:rsidR="001B01A9" w:rsidRPr="0072606B" w:rsidRDefault="001B01A9" w:rsidP="001B01A9">
      <w:pPr>
        <w:pStyle w:val="FootnoteText"/>
        <w:rPr>
          <w:color w:val="000000" w:themeColor="text1"/>
        </w:rPr>
      </w:pPr>
      <w:r w:rsidRPr="0072606B">
        <w:rPr>
          <w:rStyle w:val="FootnoteReference"/>
          <w:color w:val="000000" w:themeColor="text1"/>
          <w:sz w:val="20"/>
        </w:rPr>
        <w:footnoteRef/>
      </w:r>
      <w:r w:rsidRPr="0072606B">
        <w:rPr>
          <w:color w:val="000000" w:themeColor="text1"/>
        </w:rPr>
        <w:t xml:space="preserve"> Any proposed settlement will be subject to the rules and limits on agreements for removing application conflicts.  </w:t>
      </w:r>
      <w:r w:rsidRPr="0072606B">
        <w:rPr>
          <w:i/>
          <w:color w:val="000000" w:themeColor="text1"/>
        </w:rPr>
        <w:t xml:space="preserve">See </w:t>
      </w:r>
      <w:r w:rsidRPr="0072606B">
        <w:rPr>
          <w:color w:val="000000" w:themeColor="text1"/>
        </w:rPr>
        <w:t>47 U.S.C. § 311(c); 47 CFR § 73.3525.</w:t>
      </w:r>
    </w:p>
  </w:footnote>
  <w:footnote w:id="14">
    <w:p w14:paraId="4CA041D4" w14:textId="77777777" w:rsidR="001B01A9" w:rsidRPr="0072606B" w:rsidRDefault="001B01A9" w:rsidP="001B01A9">
      <w:pPr>
        <w:pStyle w:val="FootnoteText"/>
        <w:rPr>
          <w:i/>
          <w:color w:val="000000" w:themeColor="text1"/>
        </w:rPr>
      </w:pPr>
      <w:r w:rsidRPr="0072606B">
        <w:rPr>
          <w:rStyle w:val="FootnoteReference"/>
          <w:color w:val="000000" w:themeColor="text1"/>
          <w:sz w:val="20"/>
        </w:rPr>
        <w:footnoteRef/>
      </w:r>
      <w:r w:rsidRPr="0072606B">
        <w:rPr>
          <w:color w:val="000000" w:themeColor="text1"/>
        </w:rPr>
        <w:t xml:space="preserve"> </w:t>
      </w:r>
      <w:r w:rsidRPr="0072606B">
        <w:rPr>
          <w:i/>
          <w:color w:val="000000" w:themeColor="text1"/>
        </w:rPr>
        <w:t xml:space="preserve">See </w:t>
      </w:r>
      <w:r w:rsidRPr="0072606B">
        <w:rPr>
          <w:color w:val="000000" w:themeColor="text1"/>
        </w:rPr>
        <w:t xml:space="preserve">47 CFR § 73.623(h)(3).    </w:t>
      </w:r>
    </w:p>
  </w:footnote>
  <w:footnote w:id="15">
    <w:p w14:paraId="3B0A45AC" w14:textId="77777777" w:rsidR="001B01A9" w:rsidRPr="0072606B" w:rsidRDefault="001B01A9" w:rsidP="001B01A9">
      <w:pPr>
        <w:pStyle w:val="FootnoteText"/>
        <w:rPr>
          <w:color w:val="000000" w:themeColor="text1"/>
        </w:rPr>
      </w:pPr>
      <w:r w:rsidRPr="0072606B">
        <w:rPr>
          <w:rStyle w:val="FootnoteReference"/>
          <w:color w:val="000000" w:themeColor="text1"/>
          <w:sz w:val="20"/>
        </w:rPr>
        <w:footnoteRef/>
      </w:r>
      <w:r w:rsidRPr="0072606B">
        <w:rPr>
          <w:color w:val="000000" w:themeColor="text1"/>
        </w:rPr>
        <w:t xml:space="preserve"> </w:t>
      </w:r>
      <w:r w:rsidRPr="0072606B">
        <w:rPr>
          <w:i/>
          <w:color w:val="000000" w:themeColor="text1"/>
        </w:rPr>
        <w:t>See</w:t>
      </w:r>
      <w:r w:rsidRPr="0072606B">
        <w:rPr>
          <w:color w:val="000000" w:themeColor="text1"/>
        </w:rPr>
        <w:t xml:space="preserve"> 47 CFR §§ 73.3566, 73.3568.</w:t>
      </w:r>
    </w:p>
  </w:footnote>
  <w:footnote w:id="16">
    <w:p w14:paraId="141FA14B" w14:textId="73ECF6A9" w:rsidR="001B01A9" w:rsidRPr="0072606B" w:rsidRDefault="001B01A9" w:rsidP="001B01A9">
      <w:pPr>
        <w:pStyle w:val="FootnoteText"/>
        <w:rPr>
          <w:color w:val="000000" w:themeColor="text1"/>
        </w:rPr>
      </w:pPr>
      <w:r w:rsidRPr="0072606B">
        <w:rPr>
          <w:rStyle w:val="FootnoteReference"/>
          <w:color w:val="000000" w:themeColor="text1"/>
          <w:sz w:val="20"/>
        </w:rPr>
        <w:footnoteRef/>
      </w:r>
      <w:r w:rsidRPr="0072606B">
        <w:rPr>
          <w:color w:val="000000" w:themeColor="text1"/>
        </w:rPr>
        <w:t xml:space="preserve"> </w:t>
      </w:r>
      <w:r w:rsidRPr="0072606B">
        <w:rPr>
          <w:i/>
          <w:color w:val="000000" w:themeColor="text1"/>
        </w:rPr>
        <w:t>Incentive Auction R&amp;O</w:t>
      </w:r>
      <w:r w:rsidRPr="0072606B">
        <w:rPr>
          <w:color w:val="000000" w:themeColor="text1"/>
        </w:rPr>
        <w:t>, 29 FCC Rcd at 6794, para. 555 n.1576.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4320A" w14:textId="77777777" w:rsidR="00490561" w:rsidRDefault="00490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5030A" w14:textId="18EA0776" w:rsidR="003E1786" w:rsidRPr="00C26BAF" w:rsidRDefault="003E1786" w:rsidP="00C26BAF">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DA 17-</w:t>
    </w:r>
    <w:r w:rsidR="008C6FE3">
      <w:rPr>
        <w:rFonts w:ascii="Times New Roman" w:hAnsi="Times New Roman"/>
        <w:b/>
        <w:sz w:val="22"/>
        <w:szCs w:val="22"/>
      </w:rPr>
      <w:t>911</w:t>
    </w:r>
  </w:p>
  <w:p w14:paraId="60D25C3D" w14:textId="77777777" w:rsidR="003E1786" w:rsidRPr="00C26BAF" w:rsidRDefault="003E1786" w:rsidP="00C26BAF">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3360" behindDoc="1" locked="0" layoutInCell="0" allowOverlap="1" wp14:anchorId="61BFB5A3" wp14:editId="12A80B34">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94D099D" id="Rectangle 6"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JzVN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0129868D" w14:textId="77777777" w:rsidR="003E1786" w:rsidRPr="00C26BAF" w:rsidRDefault="003E1786" w:rsidP="00C26BAF">
    <w:pPr>
      <w:rPr>
        <w:b/>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9C6F" w14:textId="77777777" w:rsidR="003E1786" w:rsidRPr="00BA6E7A" w:rsidRDefault="003E1786" w:rsidP="00C26BAF">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53C28D53" wp14:editId="69B49546">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5B5F1" w14:textId="77777777" w:rsidR="003E1786" w:rsidRDefault="003E1786"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3C28D53" id="_x0000_t202" coordsize="21600,21600" o:spt="202" path="m,l,21600r21600,l21600,xe">
              <v:stroke joinstyle="miter"/>
              <v:path gradientshapeok="t" o:connecttype="rect"/>
            </v:shapetype>
            <v:shape id="Text Box 5"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e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M&#10;Es06pOhBDp5cw0B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0gStDG&#10;GsQjCsIC8oXU4iuCkwbsV0p67MiKui9bZiUl7VuNoiqyPA8tHBf57HyKC3tqWZ9amOYIVVFPyTi9&#10;8WPbb41VmwZvGmWs4QqFWKuokaeo9vLFrovJ7F+I0Nan6+j19I4tf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DSX&#10;loICAAAPBQAADgAAAAAAAAAAAAAAAAAuAgAAZHJzL2Uyb0RvYy54bWxQSwECLQAUAAYACAAAACEA&#10;lvvy8d8AAAAKAQAADwAAAAAAAAAAAAAAAADcBAAAZHJzL2Rvd25yZXYueG1sUEsFBgAAAAAEAAQA&#10;8wAAAOgFAAAAAA==&#10;" o:allowincell="f" stroked="f">
              <v:textbox>
                <w:txbxContent>
                  <w:p w14:paraId="1A95B5F1" w14:textId="77777777" w:rsidR="003E1786" w:rsidRDefault="003E1786"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4FCF7C64" wp14:editId="65E3D9A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45F5289D" w14:textId="77777777" w:rsidR="003E1786" w:rsidRPr="00C26BAF" w:rsidRDefault="003E1786" w:rsidP="00C26BAF">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7120AC09" wp14:editId="0D74B81A">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7E3F6B9"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51C78766" wp14:editId="6EA2389B">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64DD5" w14:textId="77777777" w:rsidR="003E1786" w:rsidRDefault="003E1786" w:rsidP="00C26BAF">
                          <w:pPr>
                            <w:spacing w:before="40"/>
                            <w:jc w:val="right"/>
                          </w:pPr>
                          <w:r>
                            <w:rPr>
                              <w:rFonts w:ascii="Arial" w:hAnsi="Arial"/>
                              <w:b/>
                              <w:sz w:val="16"/>
                            </w:rPr>
                            <w:t>News Media Information: 202-418-0500</w:t>
                          </w:r>
                          <w:r>
                            <w:rPr>
                              <w:rFonts w:ascii="Arial" w:hAnsi="Arial"/>
                              <w:b/>
                              <w:sz w:val="16"/>
                            </w:rPr>
                            <w:br/>
                            <w:t xml:space="preserve">Internet: </w:t>
                          </w:r>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1C78766" id="Text Box 8"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2gAIAAA4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" o:allowincell="f" stroked="f">
              <v:textbox inset=",0,,0">
                <w:txbxContent>
                  <w:p w14:paraId="2E464DD5" w14:textId="77777777" w:rsidR="003E1786" w:rsidRDefault="003E1786" w:rsidP="00C26BAF">
                    <w:pPr>
                      <w:spacing w:before="40"/>
                      <w:jc w:val="right"/>
                    </w:pPr>
                    <w:r>
                      <w:rPr>
                        <w:rFonts w:ascii="Arial" w:hAnsi="Arial"/>
                        <w:b/>
                        <w:sz w:val="16"/>
                      </w:rPr>
                      <w:t>News Media Information: 202-418-0500</w:t>
                    </w:r>
                    <w:r>
                      <w:rPr>
                        <w:rFonts w:ascii="Arial" w:hAnsi="Arial"/>
                        <w:b/>
                        <w:sz w:val="16"/>
                      </w:rPr>
                      <w:br/>
                      <w:t xml:space="preserve">Internet: </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6F25545"/>
    <w:multiLevelType w:val="hybridMultilevel"/>
    <w:tmpl w:val="870E94B8"/>
    <w:lvl w:ilvl="0" w:tplc="0A78E1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A148C9"/>
    <w:multiLevelType w:val="hybridMultilevel"/>
    <w:tmpl w:val="315A9AA2"/>
    <w:lvl w:ilvl="0" w:tplc="C5586A2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C5D0B96"/>
    <w:multiLevelType w:val="hybridMultilevel"/>
    <w:tmpl w:val="30208D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EBE16B1"/>
    <w:multiLevelType w:val="hybridMultilevel"/>
    <w:tmpl w:val="A262F814"/>
    <w:lvl w:ilvl="0" w:tplc="6D96B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7"/>
  </w:num>
  <w:num w:numId="4">
    <w:abstractNumId w:val="3"/>
  </w:num>
  <w:num w:numId="5">
    <w:abstractNumId w:val="11"/>
  </w:num>
  <w:num w:numId="6">
    <w:abstractNumId w:val="2"/>
  </w:num>
  <w:num w:numId="7">
    <w:abstractNumId w:val="4"/>
  </w:num>
  <w:num w:numId="8">
    <w:abstractNumId w:val="0"/>
  </w:num>
  <w:num w:numId="9">
    <w:abstractNumId w:val="12"/>
  </w:num>
  <w:num w:numId="10">
    <w:abstractNumId w:val="6"/>
  </w:num>
  <w:num w:numId="11">
    <w:abstractNumId w:val="8"/>
  </w:num>
  <w:num w:numId="12">
    <w:abstractNumId w:val="1"/>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0" w:nlCheck="1" w:checkStyle="1"/>
  <w:activeWritingStyle w:appName="MSWord" w:lang="en-US" w:vendorID="64" w:dllVersion="6"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6A45"/>
    <w:rsid w:val="00017B14"/>
    <w:rsid w:val="00017FD3"/>
    <w:rsid w:val="000230AD"/>
    <w:rsid w:val="00023141"/>
    <w:rsid w:val="000237CF"/>
    <w:rsid w:val="00023B23"/>
    <w:rsid w:val="00024D03"/>
    <w:rsid w:val="000251BE"/>
    <w:rsid w:val="00026CE4"/>
    <w:rsid w:val="00027047"/>
    <w:rsid w:val="0002707E"/>
    <w:rsid w:val="000274F4"/>
    <w:rsid w:val="0003126B"/>
    <w:rsid w:val="000323A2"/>
    <w:rsid w:val="000334A3"/>
    <w:rsid w:val="00033B8F"/>
    <w:rsid w:val="0003430E"/>
    <w:rsid w:val="00034E13"/>
    <w:rsid w:val="00034E74"/>
    <w:rsid w:val="000353BD"/>
    <w:rsid w:val="000357BC"/>
    <w:rsid w:val="000362B6"/>
    <w:rsid w:val="00036E0E"/>
    <w:rsid w:val="000376A9"/>
    <w:rsid w:val="00037F39"/>
    <w:rsid w:val="0004169F"/>
    <w:rsid w:val="00041BD6"/>
    <w:rsid w:val="00041FC2"/>
    <w:rsid w:val="000428F5"/>
    <w:rsid w:val="00042D93"/>
    <w:rsid w:val="00042E62"/>
    <w:rsid w:val="000430B9"/>
    <w:rsid w:val="00044109"/>
    <w:rsid w:val="00044478"/>
    <w:rsid w:val="00045213"/>
    <w:rsid w:val="00046230"/>
    <w:rsid w:val="00046246"/>
    <w:rsid w:val="00046D45"/>
    <w:rsid w:val="00050D23"/>
    <w:rsid w:val="0005285C"/>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36E4"/>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055F"/>
    <w:rsid w:val="000D1576"/>
    <w:rsid w:val="000D28FC"/>
    <w:rsid w:val="000D2A51"/>
    <w:rsid w:val="000D665B"/>
    <w:rsid w:val="000D6ACB"/>
    <w:rsid w:val="000D78E8"/>
    <w:rsid w:val="000E2A1F"/>
    <w:rsid w:val="000E2C8B"/>
    <w:rsid w:val="000E3222"/>
    <w:rsid w:val="000E35E5"/>
    <w:rsid w:val="000E48A4"/>
    <w:rsid w:val="000E5D73"/>
    <w:rsid w:val="000E6A23"/>
    <w:rsid w:val="000E72C0"/>
    <w:rsid w:val="000F0580"/>
    <w:rsid w:val="000F0C39"/>
    <w:rsid w:val="000F0C93"/>
    <w:rsid w:val="000F0DC4"/>
    <w:rsid w:val="000F0E25"/>
    <w:rsid w:val="000F1345"/>
    <w:rsid w:val="000F1C60"/>
    <w:rsid w:val="000F1DA3"/>
    <w:rsid w:val="000F289C"/>
    <w:rsid w:val="000F3E29"/>
    <w:rsid w:val="000F455E"/>
    <w:rsid w:val="000F477D"/>
    <w:rsid w:val="000F55A6"/>
    <w:rsid w:val="000F618B"/>
    <w:rsid w:val="000F62F6"/>
    <w:rsid w:val="000F74EF"/>
    <w:rsid w:val="000F779D"/>
    <w:rsid w:val="000F7AF4"/>
    <w:rsid w:val="00103A34"/>
    <w:rsid w:val="001045F3"/>
    <w:rsid w:val="00105D6C"/>
    <w:rsid w:val="0010658A"/>
    <w:rsid w:val="00106E20"/>
    <w:rsid w:val="00110136"/>
    <w:rsid w:val="00110907"/>
    <w:rsid w:val="00111DF0"/>
    <w:rsid w:val="0011208A"/>
    <w:rsid w:val="00112216"/>
    <w:rsid w:val="00113567"/>
    <w:rsid w:val="00113779"/>
    <w:rsid w:val="00113E3B"/>
    <w:rsid w:val="001155D6"/>
    <w:rsid w:val="001169BE"/>
    <w:rsid w:val="0012015B"/>
    <w:rsid w:val="0012017D"/>
    <w:rsid w:val="0012051D"/>
    <w:rsid w:val="001217D3"/>
    <w:rsid w:val="00121CAA"/>
    <w:rsid w:val="00122371"/>
    <w:rsid w:val="001256B6"/>
    <w:rsid w:val="00125D1E"/>
    <w:rsid w:val="0012723E"/>
    <w:rsid w:val="00127A19"/>
    <w:rsid w:val="001320DF"/>
    <w:rsid w:val="00132722"/>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6932"/>
    <w:rsid w:val="0015763D"/>
    <w:rsid w:val="00157A72"/>
    <w:rsid w:val="00160A49"/>
    <w:rsid w:val="001628C1"/>
    <w:rsid w:val="00163134"/>
    <w:rsid w:val="001632D9"/>
    <w:rsid w:val="001639B6"/>
    <w:rsid w:val="00163DFB"/>
    <w:rsid w:val="00166AFE"/>
    <w:rsid w:val="00170B65"/>
    <w:rsid w:val="00171B06"/>
    <w:rsid w:val="00172296"/>
    <w:rsid w:val="001722B1"/>
    <w:rsid w:val="00172342"/>
    <w:rsid w:val="001732C8"/>
    <w:rsid w:val="00173E72"/>
    <w:rsid w:val="001741D4"/>
    <w:rsid w:val="00174F47"/>
    <w:rsid w:val="00174F65"/>
    <w:rsid w:val="00177E0F"/>
    <w:rsid w:val="00177E63"/>
    <w:rsid w:val="00180DBB"/>
    <w:rsid w:val="001829BA"/>
    <w:rsid w:val="00183730"/>
    <w:rsid w:val="00183B9A"/>
    <w:rsid w:val="0018518A"/>
    <w:rsid w:val="00185937"/>
    <w:rsid w:val="00186ADF"/>
    <w:rsid w:val="001903F6"/>
    <w:rsid w:val="001905A5"/>
    <w:rsid w:val="0019064D"/>
    <w:rsid w:val="0019075A"/>
    <w:rsid w:val="00190CA9"/>
    <w:rsid w:val="00190E1B"/>
    <w:rsid w:val="00191457"/>
    <w:rsid w:val="00191B52"/>
    <w:rsid w:val="00192B97"/>
    <w:rsid w:val="00193D6F"/>
    <w:rsid w:val="00193EA9"/>
    <w:rsid w:val="00193FA1"/>
    <w:rsid w:val="00194337"/>
    <w:rsid w:val="001952E4"/>
    <w:rsid w:val="0019583E"/>
    <w:rsid w:val="00195E61"/>
    <w:rsid w:val="0019635A"/>
    <w:rsid w:val="001964EA"/>
    <w:rsid w:val="001965A2"/>
    <w:rsid w:val="001965D7"/>
    <w:rsid w:val="00196A60"/>
    <w:rsid w:val="00197BE4"/>
    <w:rsid w:val="00197C76"/>
    <w:rsid w:val="001A024A"/>
    <w:rsid w:val="001A086F"/>
    <w:rsid w:val="001A0A4A"/>
    <w:rsid w:val="001A0DCA"/>
    <w:rsid w:val="001A14E0"/>
    <w:rsid w:val="001A153A"/>
    <w:rsid w:val="001A19FF"/>
    <w:rsid w:val="001A2B92"/>
    <w:rsid w:val="001A63F6"/>
    <w:rsid w:val="001B01A9"/>
    <w:rsid w:val="001B1010"/>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78EB"/>
    <w:rsid w:val="001D16DE"/>
    <w:rsid w:val="001D185C"/>
    <w:rsid w:val="001D2426"/>
    <w:rsid w:val="001D35E8"/>
    <w:rsid w:val="001D5565"/>
    <w:rsid w:val="001D5C7B"/>
    <w:rsid w:val="001D5D4E"/>
    <w:rsid w:val="001D7604"/>
    <w:rsid w:val="001D7D99"/>
    <w:rsid w:val="001E0325"/>
    <w:rsid w:val="001E0CE9"/>
    <w:rsid w:val="001E0D78"/>
    <w:rsid w:val="001E0F77"/>
    <w:rsid w:val="001E208D"/>
    <w:rsid w:val="001E2378"/>
    <w:rsid w:val="001E2D1C"/>
    <w:rsid w:val="001E2EE1"/>
    <w:rsid w:val="001E5EBC"/>
    <w:rsid w:val="001E7A0A"/>
    <w:rsid w:val="001F064F"/>
    <w:rsid w:val="001F0734"/>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17485"/>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9B6"/>
    <w:rsid w:val="00291C7E"/>
    <w:rsid w:val="00292132"/>
    <w:rsid w:val="0029218D"/>
    <w:rsid w:val="00293299"/>
    <w:rsid w:val="002936DF"/>
    <w:rsid w:val="0029374D"/>
    <w:rsid w:val="00294918"/>
    <w:rsid w:val="002952D2"/>
    <w:rsid w:val="00295EAC"/>
    <w:rsid w:val="002960BC"/>
    <w:rsid w:val="00296E04"/>
    <w:rsid w:val="00297337"/>
    <w:rsid w:val="00297358"/>
    <w:rsid w:val="002976B2"/>
    <w:rsid w:val="002A156F"/>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987"/>
    <w:rsid w:val="002C1F58"/>
    <w:rsid w:val="002C2EF9"/>
    <w:rsid w:val="002C3D30"/>
    <w:rsid w:val="002C3EBC"/>
    <w:rsid w:val="002C3FAC"/>
    <w:rsid w:val="002C4079"/>
    <w:rsid w:val="002C4E50"/>
    <w:rsid w:val="002C69E4"/>
    <w:rsid w:val="002C6C0D"/>
    <w:rsid w:val="002D0E6D"/>
    <w:rsid w:val="002D1BDA"/>
    <w:rsid w:val="002D2B6A"/>
    <w:rsid w:val="002D2C2B"/>
    <w:rsid w:val="002D3418"/>
    <w:rsid w:val="002D349D"/>
    <w:rsid w:val="002D34E0"/>
    <w:rsid w:val="002D4815"/>
    <w:rsid w:val="002D4F72"/>
    <w:rsid w:val="002D59BD"/>
    <w:rsid w:val="002D5B0B"/>
    <w:rsid w:val="002D6687"/>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1EAF"/>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6E86"/>
    <w:rsid w:val="0033708D"/>
    <w:rsid w:val="00337143"/>
    <w:rsid w:val="00337577"/>
    <w:rsid w:val="00340764"/>
    <w:rsid w:val="00340949"/>
    <w:rsid w:val="00340CA4"/>
    <w:rsid w:val="0034307C"/>
    <w:rsid w:val="00343FA0"/>
    <w:rsid w:val="0034484B"/>
    <w:rsid w:val="00344974"/>
    <w:rsid w:val="00344A6F"/>
    <w:rsid w:val="003458C2"/>
    <w:rsid w:val="00345AA6"/>
    <w:rsid w:val="003460E0"/>
    <w:rsid w:val="0034687E"/>
    <w:rsid w:val="0034723A"/>
    <w:rsid w:val="003478F5"/>
    <w:rsid w:val="0035043E"/>
    <w:rsid w:val="00350764"/>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4E07"/>
    <w:rsid w:val="0038650F"/>
    <w:rsid w:val="00387003"/>
    <w:rsid w:val="00390531"/>
    <w:rsid w:val="00390612"/>
    <w:rsid w:val="00390F9D"/>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4430"/>
    <w:rsid w:val="003A5CE1"/>
    <w:rsid w:val="003B00A0"/>
    <w:rsid w:val="003B0E75"/>
    <w:rsid w:val="003B106A"/>
    <w:rsid w:val="003B1912"/>
    <w:rsid w:val="003B20FC"/>
    <w:rsid w:val="003B35DD"/>
    <w:rsid w:val="003B64A4"/>
    <w:rsid w:val="003B6C64"/>
    <w:rsid w:val="003B772A"/>
    <w:rsid w:val="003C070C"/>
    <w:rsid w:val="003C118A"/>
    <w:rsid w:val="003C149A"/>
    <w:rsid w:val="003C1592"/>
    <w:rsid w:val="003C1C0A"/>
    <w:rsid w:val="003C2805"/>
    <w:rsid w:val="003C2912"/>
    <w:rsid w:val="003C34D9"/>
    <w:rsid w:val="003C387D"/>
    <w:rsid w:val="003C3CFD"/>
    <w:rsid w:val="003C5643"/>
    <w:rsid w:val="003C5B3B"/>
    <w:rsid w:val="003C5EA7"/>
    <w:rsid w:val="003C63F8"/>
    <w:rsid w:val="003C70B9"/>
    <w:rsid w:val="003D059F"/>
    <w:rsid w:val="003D08E0"/>
    <w:rsid w:val="003D0E4C"/>
    <w:rsid w:val="003D1636"/>
    <w:rsid w:val="003D1C27"/>
    <w:rsid w:val="003D20B0"/>
    <w:rsid w:val="003D4085"/>
    <w:rsid w:val="003D4C58"/>
    <w:rsid w:val="003D4EBD"/>
    <w:rsid w:val="003D62F2"/>
    <w:rsid w:val="003D6969"/>
    <w:rsid w:val="003D6BB2"/>
    <w:rsid w:val="003D7B58"/>
    <w:rsid w:val="003E007A"/>
    <w:rsid w:val="003E00EF"/>
    <w:rsid w:val="003E02EA"/>
    <w:rsid w:val="003E06A8"/>
    <w:rsid w:val="003E1786"/>
    <w:rsid w:val="003E4D73"/>
    <w:rsid w:val="003E564E"/>
    <w:rsid w:val="003E590A"/>
    <w:rsid w:val="003E5A1C"/>
    <w:rsid w:val="003E61E1"/>
    <w:rsid w:val="003E64CC"/>
    <w:rsid w:val="003E6756"/>
    <w:rsid w:val="003E6AAE"/>
    <w:rsid w:val="003E7250"/>
    <w:rsid w:val="003E7F69"/>
    <w:rsid w:val="003F08E5"/>
    <w:rsid w:val="003F1C0C"/>
    <w:rsid w:val="003F2CDB"/>
    <w:rsid w:val="003F2DB6"/>
    <w:rsid w:val="003F3A83"/>
    <w:rsid w:val="003F3D5A"/>
    <w:rsid w:val="003F40F1"/>
    <w:rsid w:val="003F42C1"/>
    <w:rsid w:val="003F55EF"/>
    <w:rsid w:val="003F656C"/>
    <w:rsid w:val="003F6C06"/>
    <w:rsid w:val="003F7881"/>
    <w:rsid w:val="003F7B45"/>
    <w:rsid w:val="00401C4E"/>
    <w:rsid w:val="00402E01"/>
    <w:rsid w:val="00402FCA"/>
    <w:rsid w:val="004031F2"/>
    <w:rsid w:val="004043C4"/>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5F3"/>
    <w:rsid w:val="00460A58"/>
    <w:rsid w:val="004610B8"/>
    <w:rsid w:val="00461181"/>
    <w:rsid w:val="0046144D"/>
    <w:rsid w:val="00462BDB"/>
    <w:rsid w:val="00462BE0"/>
    <w:rsid w:val="00462D0E"/>
    <w:rsid w:val="00463179"/>
    <w:rsid w:val="004638B8"/>
    <w:rsid w:val="00464558"/>
    <w:rsid w:val="00465034"/>
    <w:rsid w:val="0046530F"/>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50F"/>
    <w:rsid w:val="00480BA0"/>
    <w:rsid w:val="004817F3"/>
    <w:rsid w:val="00481FD1"/>
    <w:rsid w:val="00482108"/>
    <w:rsid w:val="004824E9"/>
    <w:rsid w:val="00482D8F"/>
    <w:rsid w:val="004831CD"/>
    <w:rsid w:val="004835A3"/>
    <w:rsid w:val="00483BCC"/>
    <w:rsid w:val="0048518B"/>
    <w:rsid w:val="0048568A"/>
    <w:rsid w:val="004856BE"/>
    <w:rsid w:val="00486318"/>
    <w:rsid w:val="00486FDA"/>
    <w:rsid w:val="00487766"/>
    <w:rsid w:val="00487D52"/>
    <w:rsid w:val="00490561"/>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A5C"/>
    <w:rsid w:val="004C21AE"/>
    <w:rsid w:val="004C220F"/>
    <w:rsid w:val="004C32D7"/>
    <w:rsid w:val="004C3CC8"/>
    <w:rsid w:val="004C5120"/>
    <w:rsid w:val="004C552F"/>
    <w:rsid w:val="004C5D84"/>
    <w:rsid w:val="004C5E8A"/>
    <w:rsid w:val="004C6741"/>
    <w:rsid w:val="004C6B33"/>
    <w:rsid w:val="004C7211"/>
    <w:rsid w:val="004D02D4"/>
    <w:rsid w:val="004D0A73"/>
    <w:rsid w:val="004D0F12"/>
    <w:rsid w:val="004D1887"/>
    <w:rsid w:val="004D1C56"/>
    <w:rsid w:val="004D25DD"/>
    <w:rsid w:val="004D316D"/>
    <w:rsid w:val="004D5B09"/>
    <w:rsid w:val="004D6814"/>
    <w:rsid w:val="004D6EA2"/>
    <w:rsid w:val="004D6F52"/>
    <w:rsid w:val="004E2042"/>
    <w:rsid w:val="004E2136"/>
    <w:rsid w:val="004E3331"/>
    <w:rsid w:val="004E3A84"/>
    <w:rsid w:val="004E45F3"/>
    <w:rsid w:val="004E53AA"/>
    <w:rsid w:val="004E5C42"/>
    <w:rsid w:val="004E5F4C"/>
    <w:rsid w:val="004E6B92"/>
    <w:rsid w:val="004E78FB"/>
    <w:rsid w:val="004E7EEE"/>
    <w:rsid w:val="004F0A4F"/>
    <w:rsid w:val="004F17EA"/>
    <w:rsid w:val="004F2B13"/>
    <w:rsid w:val="004F5231"/>
    <w:rsid w:val="004F5651"/>
    <w:rsid w:val="004F5B8D"/>
    <w:rsid w:val="004F6727"/>
    <w:rsid w:val="004F713D"/>
    <w:rsid w:val="00500C25"/>
    <w:rsid w:val="00501464"/>
    <w:rsid w:val="00501721"/>
    <w:rsid w:val="005019D3"/>
    <w:rsid w:val="00501D8C"/>
    <w:rsid w:val="00502F1F"/>
    <w:rsid w:val="00502F7D"/>
    <w:rsid w:val="00503E34"/>
    <w:rsid w:val="00503E8D"/>
    <w:rsid w:val="00505141"/>
    <w:rsid w:val="005056E2"/>
    <w:rsid w:val="00505E2A"/>
    <w:rsid w:val="00505E2B"/>
    <w:rsid w:val="00507072"/>
    <w:rsid w:val="00510420"/>
    <w:rsid w:val="00510682"/>
    <w:rsid w:val="005119A5"/>
    <w:rsid w:val="00512837"/>
    <w:rsid w:val="00512A5D"/>
    <w:rsid w:val="00513108"/>
    <w:rsid w:val="00513A8A"/>
    <w:rsid w:val="00513CBD"/>
    <w:rsid w:val="005140D1"/>
    <w:rsid w:val="0051453B"/>
    <w:rsid w:val="00514E5B"/>
    <w:rsid w:val="00515BD8"/>
    <w:rsid w:val="0051633D"/>
    <w:rsid w:val="00516D5F"/>
    <w:rsid w:val="0051714F"/>
    <w:rsid w:val="00517B82"/>
    <w:rsid w:val="00517DDA"/>
    <w:rsid w:val="00520249"/>
    <w:rsid w:val="00520E72"/>
    <w:rsid w:val="00521EC5"/>
    <w:rsid w:val="00522645"/>
    <w:rsid w:val="00523461"/>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B31"/>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5722E"/>
    <w:rsid w:val="0056272C"/>
    <w:rsid w:val="00562DD7"/>
    <w:rsid w:val="00564D8D"/>
    <w:rsid w:val="005655C7"/>
    <w:rsid w:val="00565777"/>
    <w:rsid w:val="00565939"/>
    <w:rsid w:val="00565CE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1D6"/>
    <w:rsid w:val="005C2FBE"/>
    <w:rsid w:val="005C30B8"/>
    <w:rsid w:val="005C3149"/>
    <w:rsid w:val="005C33E5"/>
    <w:rsid w:val="005C35EE"/>
    <w:rsid w:val="005C3CA1"/>
    <w:rsid w:val="005C4A80"/>
    <w:rsid w:val="005C4AE0"/>
    <w:rsid w:val="005C63EA"/>
    <w:rsid w:val="005C7912"/>
    <w:rsid w:val="005D158C"/>
    <w:rsid w:val="005D3546"/>
    <w:rsid w:val="005D3A3E"/>
    <w:rsid w:val="005D5C9B"/>
    <w:rsid w:val="005D5E33"/>
    <w:rsid w:val="005D5FD2"/>
    <w:rsid w:val="005D6738"/>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0E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3DC"/>
    <w:rsid w:val="0061079B"/>
    <w:rsid w:val="00612C4D"/>
    <w:rsid w:val="00613BD0"/>
    <w:rsid w:val="00613D0B"/>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A4C"/>
    <w:rsid w:val="00666401"/>
    <w:rsid w:val="00666EAD"/>
    <w:rsid w:val="00667028"/>
    <w:rsid w:val="0066791A"/>
    <w:rsid w:val="00670BC8"/>
    <w:rsid w:val="00670F26"/>
    <w:rsid w:val="00671476"/>
    <w:rsid w:val="006717A4"/>
    <w:rsid w:val="00671BE3"/>
    <w:rsid w:val="00673024"/>
    <w:rsid w:val="00673C67"/>
    <w:rsid w:val="00673EA2"/>
    <w:rsid w:val="00675EDF"/>
    <w:rsid w:val="00676469"/>
    <w:rsid w:val="00677DAD"/>
    <w:rsid w:val="00682BD8"/>
    <w:rsid w:val="00682CAB"/>
    <w:rsid w:val="00682E11"/>
    <w:rsid w:val="00683184"/>
    <w:rsid w:val="006838F8"/>
    <w:rsid w:val="00684C40"/>
    <w:rsid w:val="00685075"/>
    <w:rsid w:val="00686DC4"/>
    <w:rsid w:val="00686DF4"/>
    <w:rsid w:val="00686E1F"/>
    <w:rsid w:val="006871C2"/>
    <w:rsid w:val="006873B2"/>
    <w:rsid w:val="00690249"/>
    <w:rsid w:val="00690B2B"/>
    <w:rsid w:val="00691DC6"/>
    <w:rsid w:val="00691E4B"/>
    <w:rsid w:val="00692960"/>
    <w:rsid w:val="0069341C"/>
    <w:rsid w:val="00693CD8"/>
    <w:rsid w:val="0069401E"/>
    <w:rsid w:val="00694182"/>
    <w:rsid w:val="00694229"/>
    <w:rsid w:val="0069579A"/>
    <w:rsid w:val="0069619F"/>
    <w:rsid w:val="006974AC"/>
    <w:rsid w:val="006A0374"/>
    <w:rsid w:val="006A1894"/>
    <w:rsid w:val="006A2201"/>
    <w:rsid w:val="006A2C9A"/>
    <w:rsid w:val="006A47CE"/>
    <w:rsid w:val="006A4F63"/>
    <w:rsid w:val="006A56B2"/>
    <w:rsid w:val="006A6C76"/>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4C"/>
    <w:rsid w:val="006D699D"/>
    <w:rsid w:val="006D6CB5"/>
    <w:rsid w:val="006D6F6F"/>
    <w:rsid w:val="006D6FE4"/>
    <w:rsid w:val="006E08BD"/>
    <w:rsid w:val="006E2059"/>
    <w:rsid w:val="006E2671"/>
    <w:rsid w:val="006E3325"/>
    <w:rsid w:val="006E42D0"/>
    <w:rsid w:val="006E53D5"/>
    <w:rsid w:val="006E68BB"/>
    <w:rsid w:val="006E7B6E"/>
    <w:rsid w:val="006F075E"/>
    <w:rsid w:val="006F0D3A"/>
    <w:rsid w:val="006F1444"/>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10191"/>
    <w:rsid w:val="00710713"/>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4F9A"/>
    <w:rsid w:val="0072606B"/>
    <w:rsid w:val="007261CC"/>
    <w:rsid w:val="00726C85"/>
    <w:rsid w:val="00727F5A"/>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391"/>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7704"/>
    <w:rsid w:val="007879D1"/>
    <w:rsid w:val="00792171"/>
    <w:rsid w:val="00792E5B"/>
    <w:rsid w:val="00792F11"/>
    <w:rsid w:val="00793680"/>
    <w:rsid w:val="00793D80"/>
    <w:rsid w:val="00794091"/>
    <w:rsid w:val="007945EC"/>
    <w:rsid w:val="00795698"/>
    <w:rsid w:val="00795837"/>
    <w:rsid w:val="007972B6"/>
    <w:rsid w:val="00797C66"/>
    <w:rsid w:val="007A063B"/>
    <w:rsid w:val="007A131D"/>
    <w:rsid w:val="007A1626"/>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4CA3"/>
    <w:rsid w:val="007D5C98"/>
    <w:rsid w:val="007D5D17"/>
    <w:rsid w:val="007D646E"/>
    <w:rsid w:val="007D69C5"/>
    <w:rsid w:val="007E00E3"/>
    <w:rsid w:val="007E135D"/>
    <w:rsid w:val="007E1B0E"/>
    <w:rsid w:val="007E206D"/>
    <w:rsid w:val="007E2DEC"/>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644A"/>
    <w:rsid w:val="00807D6F"/>
    <w:rsid w:val="008107C6"/>
    <w:rsid w:val="00810BA4"/>
    <w:rsid w:val="00811CC5"/>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6E52"/>
    <w:rsid w:val="0083730B"/>
    <w:rsid w:val="00837846"/>
    <w:rsid w:val="008401B6"/>
    <w:rsid w:val="008412BB"/>
    <w:rsid w:val="00841A4A"/>
    <w:rsid w:val="00842ADD"/>
    <w:rsid w:val="00843638"/>
    <w:rsid w:val="00843781"/>
    <w:rsid w:val="00844C11"/>
    <w:rsid w:val="00844DC5"/>
    <w:rsid w:val="008450C7"/>
    <w:rsid w:val="00845319"/>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4B28"/>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3F3"/>
    <w:rsid w:val="008869DA"/>
    <w:rsid w:val="00886B86"/>
    <w:rsid w:val="008873EE"/>
    <w:rsid w:val="008875B1"/>
    <w:rsid w:val="0088779D"/>
    <w:rsid w:val="00887933"/>
    <w:rsid w:val="00887EBA"/>
    <w:rsid w:val="00892031"/>
    <w:rsid w:val="008928D2"/>
    <w:rsid w:val="00893DBE"/>
    <w:rsid w:val="008959DE"/>
    <w:rsid w:val="00895C4A"/>
    <w:rsid w:val="00896788"/>
    <w:rsid w:val="008A0673"/>
    <w:rsid w:val="008A2249"/>
    <w:rsid w:val="008A3A89"/>
    <w:rsid w:val="008A61FB"/>
    <w:rsid w:val="008A71A3"/>
    <w:rsid w:val="008A7277"/>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C6FE3"/>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5E4D"/>
    <w:rsid w:val="008E6114"/>
    <w:rsid w:val="008E6333"/>
    <w:rsid w:val="008E71C8"/>
    <w:rsid w:val="008E785D"/>
    <w:rsid w:val="008E7D6E"/>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6C2F"/>
    <w:rsid w:val="009B7133"/>
    <w:rsid w:val="009B73E6"/>
    <w:rsid w:val="009C0B8C"/>
    <w:rsid w:val="009C0F2F"/>
    <w:rsid w:val="009C16AA"/>
    <w:rsid w:val="009C1E15"/>
    <w:rsid w:val="009C1E5A"/>
    <w:rsid w:val="009C2FC1"/>
    <w:rsid w:val="009C3E30"/>
    <w:rsid w:val="009C5CDE"/>
    <w:rsid w:val="009C6ABC"/>
    <w:rsid w:val="009C6C41"/>
    <w:rsid w:val="009C7E45"/>
    <w:rsid w:val="009D0D11"/>
    <w:rsid w:val="009D33E9"/>
    <w:rsid w:val="009D4D9B"/>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0A3"/>
    <w:rsid w:val="009F7209"/>
    <w:rsid w:val="00A0069E"/>
    <w:rsid w:val="00A007D8"/>
    <w:rsid w:val="00A01768"/>
    <w:rsid w:val="00A0199C"/>
    <w:rsid w:val="00A024F4"/>
    <w:rsid w:val="00A027B0"/>
    <w:rsid w:val="00A02C1E"/>
    <w:rsid w:val="00A02E35"/>
    <w:rsid w:val="00A03AA8"/>
    <w:rsid w:val="00A04EBD"/>
    <w:rsid w:val="00A062CA"/>
    <w:rsid w:val="00A104A0"/>
    <w:rsid w:val="00A1090D"/>
    <w:rsid w:val="00A10F42"/>
    <w:rsid w:val="00A12508"/>
    <w:rsid w:val="00A127B0"/>
    <w:rsid w:val="00A137FC"/>
    <w:rsid w:val="00A13ECE"/>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2F05"/>
    <w:rsid w:val="00A33555"/>
    <w:rsid w:val="00A34321"/>
    <w:rsid w:val="00A364BD"/>
    <w:rsid w:val="00A36778"/>
    <w:rsid w:val="00A37543"/>
    <w:rsid w:val="00A37816"/>
    <w:rsid w:val="00A40374"/>
    <w:rsid w:val="00A40BBC"/>
    <w:rsid w:val="00A40C10"/>
    <w:rsid w:val="00A40DDF"/>
    <w:rsid w:val="00A42B19"/>
    <w:rsid w:val="00A43892"/>
    <w:rsid w:val="00A43F65"/>
    <w:rsid w:val="00A44083"/>
    <w:rsid w:val="00A443DD"/>
    <w:rsid w:val="00A44982"/>
    <w:rsid w:val="00A44F6F"/>
    <w:rsid w:val="00A4550A"/>
    <w:rsid w:val="00A46BAF"/>
    <w:rsid w:val="00A52C71"/>
    <w:rsid w:val="00A53E9A"/>
    <w:rsid w:val="00A54EEF"/>
    <w:rsid w:val="00A5690C"/>
    <w:rsid w:val="00A574E4"/>
    <w:rsid w:val="00A60267"/>
    <w:rsid w:val="00A605F5"/>
    <w:rsid w:val="00A60C27"/>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1FA6"/>
    <w:rsid w:val="00A72565"/>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3A6F"/>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D678E"/>
    <w:rsid w:val="00AD74F5"/>
    <w:rsid w:val="00AD7D6A"/>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7EBF"/>
    <w:rsid w:val="00B104E4"/>
    <w:rsid w:val="00B105D0"/>
    <w:rsid w:val="00B10BA0"/>
    <w:rsid w:val="00B12A5F"/>
    <w:rsid w:val="00B12BFB"/>
    <w:rsid w:val="00B12E02"/>
    <w:rsid w:val="00B1313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10A"/>
    <w:rsid w:val="00B444CB"/>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32FE"/>
    <w:rsid w:val="00B64139"/>
    <w:rsid w:val="00B642E5"/>
    <w:rsid w:val="00B64760"/>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5BDC"/>
    <w:rsid w:val="00B86389"/>
    <w:rsid w:val="00B8660C"/>
    <w:rsid w:val="00B868E6"/>
    <w:rsid w:val="00B86A32"/>
    <w:rsid w:val="00B87008"/>
    <w:rsid w:val="00B8701C"/>
    <w:rsid w:val="00B87582"/>
    <w:rsid w:val="00B87CA7"/>
    <w:rsid w:val="00B87D61"/>
    <w:rsid w:val="00B90DE7"/>
    <w:rsid w:val="00B914D7"/>
    <w:rsid w:val="00B94BB2"/>
    <w:rsid w:val="00B94E16"/>
    <w:rsid w:val="00B966D3"/>
    <w:rsid w:val="00B969DF"/>
    <w:rsid w:val="00B9727B"/>
    <w:rsid w:val="00B9735F"/>
    <w:rsid w:val="00B975FD"/>
    <w:rsid w:val="00B97B54"/>
    <w:rsid w:val="00BA0732"/>
    <w:rsid w:val="00BA1243"/>
    <w:rsid w:val="00BA12B8"/>
    <w:rsid w:val="00BA1AE1"/>
    <w:rsid w:val="00BA1CA4"/>
    <w:rsid w:val="00BA20D6"/>
    <w:rsid w:val="00BA3260"/>
    <w:rsid w:val="00BA3B15"/>
    <w:rsid w:val="00BA4232"/>
    <w:rsid w:val="00BA4298"/>
    <w:rsid w:val="00BA4D0D"/>
    <w:rsid w:val="00BA60F5"/>
    <w:rsid w:val="00BA6DA0"/>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3FF"/>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639"/>
    <w:rsid w:val="00BE0F19"/>
    <w:rsid w:val="00BE1A23"/>
    <w:rsid w:val="00BE1B18"/>
    <w:rsid w:val="00BE1B7B"/>
    <w:rsid w:val="00BE478D"/>
    <w:rsid w:val="00BE47C1"/>
    <w:rsid w:val="00BE4F23"/>
    <w:rsid w:val="00BE56CD"/>
    <w:rsid w:val="00BE5DC4"/>
    <w:rsid w:val="00BE6070"/>
    <w:rsid w:val="00BE658A"/>
    <w:rsid w:val="00BE6A19"/>
    <w:rsid w:val="00BE7138"/>
    <w:rsid w:val="00BE7FB6"/>
    <w:rsid w:val="00BF08B4"/>
    <w:rsid w:val="00BF1EE5"/>
    <w:rsid w:val="00BF215A"/>
    <w:rsid w:val="00BF2BC1"/>
    <w:rsid w:val="00BF32EA"/>
    <w:rsid w:val="00BF3452"/>
    <w:rsid w:val="00BF368A"/>
    <w:rsid w:val="00BF4704"/>
    <w:rsid w:val="00BF50E6"/>
    <w:rsid w:val="00BF6633"/>
    <w:rsid w:val="00C00E17"/>
    <w:rsid w:val="00C0175D"/>
    <w:rsid w:val="00C02AFD"/>
    <w:rsid w:val="00C02C71"/>
    <w:rsid w:val="00C03C87"/>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80B"/>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3DC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3E8A"/>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20B5"/>
    <w:rsid w:val="00CA2775"/>
    <w:rsid w:val="00CA2AF7"/>
    <w:rsid w:val="00CA3549"/>
    <w:rsid w:val="00CA3E2B"/>
    <w:rsid w:val="00CA413D"/>
    <w:rsid w:val="00CA41EA"/>
    <w:rsid w:val="00CA4326"/>
    <w:rsid w:val="00CA5C71"/>
    <w:rsid w:val="00CA6200"/>
    <w:rsid w:val="00CA6D35"/>
    <w:rsid w:val="00CA75CA"/>
    <w:rsid w:val="00CA7F58"/>
    <w:rsid w:val="00CB001A"/>
    <w:rsid w:val="00CB1D4F"/>
    <w:rsid w:val="00CB3244"/>
    <w:rsid w:val="00CB35D0"/>
    <w:rsid w:val="00CB360E"/>
    <w:rsid w:val="00CB37D6"/>
    <w:rsid w:val="00CB4656"/>
    <w:rsid w:val="00CB5AB5"/>
    <w:rsid w:val="00CB6246"/>
    <w:rsid w:val="00CB688D"/>
    <w:rsid w:val="00CB6A3F"/>
    <w:rsid w:val="00CB7CE6"/>
    <w:rsid w:val="00CC00BC"/>
    <w:rsid w:val="00CC0B7E"/>
    <w:rsid w:val="00CC14F4"/>
    <w:rsid w:val="00CC20D3"/>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AE7"/>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0FE3"/>
    <w:rsid w:val="00D119CD"/>
    <w:rsid w:val="00D11E05"/>
    <w:rsid w:val="00D13374"/>
    <w:rsid w:val="00D14E77"/>
    <w:rsid w:val="00D1501B"/>
    <w:rsid w:val="00D1584B"/>
    <w:rsid w:val="00D15A42"/>
    <w:rsid w:val="00D175A8"/>
    <w:rsid w:val="00D2093E"/>
    <w:rsid w:val="00D209F2"/>
    <w:rsid w:val="00D20C67"/>
    <w:rsid w:val="00D21755"/>
    <w:rsid w:val="00D21850"/>
    <w:rsid w:val="00D21A83"/>
    <w:rsid w:val="00D21C65"/>
    <w:rsid w:val="00D22364"/>
    <w:rsid w:val="00D2320B"/>
    <w:rsid w:val="00D233F8"/>
    <w:rsid w:val="00D2344E"/>
    <w:rsid w:val="00D26074"/>
    <w:rsid w:val="00D26118"/>
    <w:rsid w:val="00D26409"/>
    <w:rsid w:val="00D303C4"/>
    <w:rsid w:val="00D31B0B"/>
    <w:rsid w:val="00D3200E"/>
    <w:rsid w:val="00D32682"/>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3F89"/>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6FD3"/>
    <w:rsid w:val="00D678AD"/>
    <w:rsid w:val="00D70BDF"/>
    <w:rsid w:val="00D70E36"/>
    <w:rsid w:val="00D70FFC"/>
    <w:rsid w:val="00D73A73"/>
    <w:rsid w:val="00D73DB9"/>
    <w:rsid w:val="00D73DD3"/>
    <w:rsid w:val="00D74080"/>
    <w:rsid w:val="00D75B58"/>
    <w:rsid w:val="00D76428"/>
    <w:rsid w:val="00D76829"/>
    <w:rsid w:val="00D77100"/>
    <w:rsid w:val="00D77646"/>
    <w:rsid w:val="00D7798A"/>
    <w:rsid w:val="00D8059E"/>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87828"/>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C1"/>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AA4"/>
    <w:rsid w:val="00DC4EB4"/>
    <w:rsid w:val="00DC4EC9"/>
    <w:rsid w:val="00DC58A7"/>
    <w:rsid w:val="00DC62F2"/>
    <w:rsid w:val="00DC63FE"/>
    <w:rsid w:val="00DC65C5"/>
    <w:rsid w:val="00DC69D1"/>
    <w:rsid w:val="00DC6AAF"/>
    <w:rsid w:val="00DC7DF2"/>
    <w:rsid w:val="00DD12B5"/>
    <w:rsid w:val="00DD13DE"/>
    <w:rsid w:val="00DD1B02"/>
    <w:rsid w:val="00DD2AFF"/>
    <w:rsid w:val="00DD430C"/>
    <w:rsid w:val="00DD487B"/>
    <w:rsid w:val="00DD4B4B"/>
    <w:rsid w:val="00DD4EB6"/>
    <w:rsid w:val="00DD569B"/>
    <w:rsid w:val="00DE0CCC"/>
    <w:rsid w:val="00DE1648"/>
    <w:rsid w:val="00DE1A1C"/>
    <w:rsid w:val="00DE1D63"/>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5E25"/>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447"/>
    <w:rsid w:val="00E1074B"/>
    <w:rsid w:val="00E10A2A"/>
    <w:rsid w:val="00E11B51"/>
    <w:rsid w:val="00E11F62"/>
    <w:rsid w:val="00E1226D"/>
    <w:rsid w:val="00E122D8"/>
    <w:rsid w:val="00E12531"/>
    <w:rsid w:val="00E12B82"/>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3770"/>
    <w:rsid w:val="00E337C3"/>
    <w:rsid w:val="00E3390C"/>
    <w:rsid w:val="00E34BD8"/>
    <w:rsid w:val="00E34D84"/>
    <w:rsid w:val="00E35C61"/>
    <w:rsid w:val="00E40553"/>
    <w:rsid w:val="00E40C9F"/>
    <w:rsid w:val="00E43A93"/>
    <w:rsid w:val="00E4499A"/>
    <w:rsid w:val="00E457BA"/>
    <w:rsid w:val="00E46019"/>
    <w:rsid w:val="00E4628F"/>
    <w:rsid w:val="00E462F3"/>
    <w:rsid w:val="00E50FDE"/>
    <w:rsid w:val="00E510C1"/>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B1E"/>
    <w:rsid w:val="00EB2AA3"/>
    <w:rsid w:val="00EB474E"/>
    <w:rsid w:val="00EB62F2"/>
    <w:rsid w:val="00EB633F"/>
    <w:rsid w:val="00EB6430"/>
    <w:rsid w:val="00EB738B"/>
    <w:rsid w:val="00EB73DE"/>
    <w:rsid w:val="00EC01A5"/>
    <w:rsid w:val="00EC23B9"/>
    <w:rsid w:val="00EC2838"/>
    <w:rsid w:val="00EC2E2A"/>
    <w:rsid w:val="00EC3A6E"/>
    <w:rsid w:val="00EC5366"/>
    <w:rsid w:val="00EC65EB"/>
    <w:rsid w:val="00EC7916"/>
    <w:rsid w:val="00EC7EB8"/>
    <w:rsid w:val="00EC7F06"/>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AFC"/>
    <w:rsid w:val="00F21F34"/>
    <w:rsid w:val="00F223DD"/>
    <w:rsid w:val="00F22567"/>
    <w:rsid w:val="00F22866"/>
    <w:rsid w:val="00F229E2"/>
    <w:rsid w:val="00F243C4"/>
    <w:rsid w:val="00F251BE"/>
    <w:rsid w:val="00F254D5"/>
    <w:rsid w:val="00F25E05"/>
    <w:rsid w:val="00F26441"/>
    <w:rsid w:val="00F26956"/>
    <w:rsid w:val="00F27057"/>
    <w:rsid w:val="00F27DE8"/>
    <w:rsid w:val="00F30AEE"/>
    <w:rsid w:val="00F312FC"/>
    <w:rsid w:val="00F318A4"/>
    <w:rsid w:val="00F33354"/>
    <w:rsid w:val="00F33368"/>
    <w:rsid w:val="00F35B50"/>
    <w:rsid w:val="00F40C4C"/>
    <w:rsid w:val="00F4117B"/>
    <w:rsid w:val="00F41DDE"/>
    <w:rsid w:val="00F41EFE"/>
    <w:rsid w:val="00F439FF"/>
    <w:rsid w:val="00F45D5E"/>
    <w:rsid w:val="00F461A0"/>
    <w:rsid w:val="00F4716A"/>
    <w:rsid w:val="00F4735D"/>
    <w:rsid w:val="00F50954"/>
    <w:rsid w:val="00F5133A"/>
    <w:rsid w:val="00F5174D"/>
    <w:rsid w:val="00F51A1D"/>
    <w:rsid w:val="00F5226B"/>
    <w:rsid w:val="00F5246D"/>
    <w:rsid w:val="00F52CFA"/>
    <w:rsid w:val="00F5432D"/>
    <w:rsid w:val="00F54860"/>
    <w:rsid w:val="00F54F35"/>
    <w:rsid w:val="00F551D9"/>
    <w:rsid w:val="00F565C1"/>
    <w:rsid w:val="00F566E7"/>
    <w:rsid w:val="00F572C4"/>
    <w:rsid w:val="00F57695"/>
    <w:rsid w:val="00F57DD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6AF"/>
    <w:rsid w:val="00F76B09"/>
    <w:rsid w:val="00F76CFC"/>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3201"/>
    <w:rsid w:val="00F9469A"/>
    <w:rsid w:val="00F95C4B"/>
    <w:rsid w:val="00F95D4F"/>
    <w:rsid w:val="00F961CB"/>
    <w:rsid w:val="00FA0B6A"/>
    <w:rsid w:val="00FA1099"/>
    <w:rsid w:val="00FA14EB"/>
    <w:rsid w:val="00FA357F"/>
    <w:rsid w:val="00FA3B6B"/>
    <w:rsid w:val="00FA4DBE"/>
    <w:rsid w:val="00FA5B05"/>
    <w:rsid w:val="00FA5FB9"/>
    <w:rsid w:val="00FA67FE"/>
    <w:rsid w:val="00FA7249"/>
    <w:rsid w:val="00FA76A1"/>
    <w:rsid w:val="00FA7CDC"/>
    <w:rsid w:val="00FA7D88"/>
    <w:rsid w:val="00FA7FA4"/>
    <w:rsid w:val="00FB0733"/>
    <w:rsid w:val="00FB0C91"/>
    <w:rsid w:val="00FB152A"/>
    <w:rsid w:val="00FB18AE"/>
    <w:rsid w:val="00FB2986"/>
    <w:rsid w:val="00FB41B8"/>
    <w:rsid w:val="00FB5723"/>
    <w:rsid w:val="00FB5805"/>
    <w:rsid w:val="00FB5D11"/>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2ED5"/>
    <w:rsid w:val="00FD35CC"/>
    <w:rsid w:val="00FD3975"/>
    <w:rsid w:val="00FD3B06"/>
    <w:rsid w:val="00FD471B"/>
    <w:rsid w:val="00FD50FB"/>
    <w:rsid w:val="00FD5443"/>
    <w:rsid w:val="00FD561F"/>
    <w:rsid w:val="00FD5D29"/>
    <w:rsid w:val="00FE0013"/>
    <w:rsid w:val="00FE1DF5"/>
    <w:rsid w:val="00FE1EC0"/>
    <w:rsid w:val="00FE2241"/>
    <w:rsid w:val="00FE33C3"/>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F1B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4,Style 7,Footnote Reference1"/>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link w:val="ParaNumChar"/>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
    <w:locked/>
    <w:rsid w:val="001B01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4,Style 7,Footnote Reference1"/>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link w:val="ParaNumChar"/>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
    <w:locked/>
    <w:rsid w:val="001B01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697435846">
      <w:bodyDiv w:val="1"/>
      <w:marLeft w:val="0"/>
      <w:marRight w:val="0"/>
      <w:marTop w:val="0"/>
      <w:marBottom w:val="0"/>
      <w:divBdr>
        <w:top w:val="none" w:sz="0" w:space="0" w:color="auto"/>
        <w:left w:val="none" w:sz="0" w:space="0" w:color="auto"/>
        <w:bottom w:val="none" w:sz="0" w:space="0" w:color="auto"/>
        <w:right w:val="none" w:sz="0" w:space="0" w:color="auto"/>
      </w:divBdr>
    </w:div>
    <w:div w:id="757216002">
      <w:bodyDiv w:val="1"/>
      <w:marLeft w:val="0"/>
      <w:marRight w:val="0"/>
      <w:marTop w:val="0"/>
      <w:marBottom w:val="0"/>
      <w:divBdr>
        <w:top w:val="none" w:sz="0" w:space="0" w:color="auto"/>
        <w:left w:val="none" w:sz="0" w:space="0" w:color="auto"/>
        <w:bottom w:val="none" w:sz="0" w:space="0" w:color="auto"/>
        <w:right w:val="none" w:sz="0" w:space="0" w:color="auto"/>
      </w:divBdr>
      <w:divsChild>
        <w:div w:id="2130853740">
          <w:marLeft w:val="0"/>
          <w:marRight w:val="0"/>
          <w:marTop w:val="0"/>
          <w:marBottom w:val="0"/>
          <w:divBdr>
            <w:top w:val="none" w:sz="0" w:space="0" w:color="auto"/>
            <w:left w:val="none" w:sz="0" w:space="0" w:color="auto"/>
            <w:bottom w:val="none" w:sz="0" w:space="0" w:color="auto"/>
            <w:right w:val="none" w:sz="0" w:space="0" w:color="auto"/>
          </w:divBdr>
          <w:divsChild>
            <w:div w:id="2126340513">
              <w:marLeft w:val="0"/>
              <w:marRight w:val="0"/>
              <w:marTop w:val="0"/>
              <w:marBottom w:val="0"/>
              <w:divBdr>
                <w:top w:val="none" w:sz="0" w:space="0" w:color="auto"/>
                <w:left w:val="none" w:sz="0" w:space="0" w:color="auto"/>
                <w:bottom w:val="none" w:sz="0" w:space="0" w:color="auto"/>
                <w:right w:val="none" w:sz="0" w:space="0" w:color="auto"/>
              </w:divBdr>
              <w:divsChild>
                <w:div w:id="2139830479">
                  <w:marLeft w:val="0"/>
                  <w:marRight w:val="0"/>
                  <w:marTop w:val="0"/>
                  <w:marBottom w:val="0"/>
                  <w:divBdr>
                    <w:top w:val="none" w:sz="0" w:space="0" w:color="auto"/>
                    <w:left w:val="none" w:sz="0" w:space="0" w:color="auto"/>
                    <w:bottom w:val="none" w:sz="0" w:space="0" w:color="auto"/>
                    <w:right w:val="none" w:sz="0" w:space="0" w:color="auto"/>
                  </w:divBdr>
                  <w:divsChild>
                    <w:div w:id="1639340081">
                      <w:marLeft w:val="0"/>
                      <w:marRight w:val="0"/>
                      <w:marTop w:val="0"/>
                      <w:marBottom w:val="0"/>
                      <w:divBdr>
                        <w:top w:val="none" w:sz="0" w:space="0" w:color="auto"/>
                        <w:left w:val="none" w:sz="0" w:space="0" w:color="auto"/>
                        <w:bottom w:val="none" w:sz="0" w:space="0" w:color="auto"/>
                        <w:right w:val="none" w:sz="0" w:space="0" w:color="auto"/>
                      </w:divBdr>
                      <w:divsChild>
                        <w:div w:id="351149441">
                          <w:marLeft w:val="0"/>
                          <w:marRight w:val="0"/>
                          <w:marTop w:val="0"/>
                          <w:marBottom w:val="0"/>
                          <w:divBdr>
                            <w:top w:val="none" w:sz="0" w:space="0" w:color="auto"/>
                            <w:left w:val="none" w:sz="0" w:space="0" w:color="auto"/>
                            <w:bottom w:val="none" w:sz="0" w:space="0" w:color="auto"/>
                            <w:right w:val="none" w:sz="0" w:space="0" w:color="auto"/>
                          </w:divBdr>
                          <w:divsChild>
                            <w:div w:id="1141581954">
                              <w:marLeft w:val="0"/>
                              <w:marRight w:val="0"/>
                              <w:marTop w:val="0"/>
                              <w:marBottom w:val="0"/>
                              <w:divBdr>
                                <w:top w:val="none" w:sz="0" w:space="0" w:color="auto"/>
                                <w:left w:val="none" w:sz="0" w:space="0" w:color="auto"/>
                                <w:bottom w:val="none" w:sz="0" w:space="0" w:color="auto"/>
                                <w:right w:val="none" w:sz="0" w:space="0" w:color="auto"/>
                              </w:divBdr>
                              <w:divsChild>
                                <w:div w:id="1248156323">
                                  <w:marLeft w:val="0"/>
                                  <w:marRight w:val="0"/>
                                  <w:marTop w:val="0"/>
                                  <w:marBottom w:val="540"/>
                                  <w:divBdr>
                                    <w:top w:val="none" w:sz="0" w:space="0" w:color="auto"/>
                                    <w:left w:val="single" w:sz="6" w:space="9" w:color="CCCCCC"/>
                                    <w:bottom w:val="single" w:sz="6" w:space="3" w:color="CCCCCC"/>
                                    <w:right w:val="single" w:sz="6" w:space="9" w:color="CCCCCC"/>
                                  </w:divBdr>
                                  <w:divsChild>
                                    <w:div w:id="1195538636">
                                      <w:marLeft w:val="0"/>
                                      <w:marRight w:val="1200"/>
                                      <w:marTop w:val="0"/>
                                      <w:marBottom w:val="0"/>
                                      <w:divBdr>
                                        <w:top w:val="none" w:sz="0" w:space="0" w:color="auto"/>
                                        <w:left w:val="none" w:sz="0" w:space="0" w:color="auto"/>
                                        <w:bottom w:val="none" w:sz="0" w:space="0" w:color="auto"/>
                                        <w:right w:val="none" w:sz="0" w:space="0" w:color="auto"/>
                                      </w:divBdr>
                                      <w:divsChild>
                                        <w:div w:id="10399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35345426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 w:id="1939874276">
      <w:bodyDiv w:val="1"/>
      <w:marLeft w:val="0"/>
      <w:marRight w:val="0"/>
      <w:marTop w:val="0"/>
      <w:marBottom w:val="0"/>
      <w:divBdr>
        <w:top w:val="none" w:sz="0" w:space="0" w:color="auto"/>
        <w:left w:val="none" w:sz="0" w:space="0" w:color="auto"/>
        <w:bottom w:val="none" w:sz="0" w:space="0" w:color="auto"/>
        <w:right w:val="none" w:sz="0" w:space="0" w:color="auto"/>
      </w:divBdr>
      <w:divsChild>
        <w:div w:id="1411730143">
          <w:marLeft w:val="0"/>
          <w:marRight w:val="0"/>
          <w:marTop w:val="0"/>
          <w:marBottom w:val="0"/>
          <w:divBdr>
            <w:top w:val="none" w:sz="0" w:space="0" w:color="auto"/>
            <w:left w:val="none" w:sz="0" w:space="0" w:color="auto"/>
            <w:bottom w:val="none" w:sz="0" w:space="0" w:color="auto"/>
            <w:right w:val="none" w:sz="0" w:space="0" w:color="auto"/>
          </w:divBdr>
          <w:divsChild>
            <w:div w:id="85346138">
              <w:marLeft w:val="0"/>
              <w:marRight w:val="0"/>
              <w:marTop w:val="0"/>
              <w:marBottom w:val="0"/>
              <w:divBdr>
                <w:top w:val="none" w:sz="0" w:space="0" w:color="auto"/>
                <w:left w:val="none" w:sz="0" w:space="0" w:color="auto"/>
                <w:bottom w:val="none" w:sz="0" w:space="0" w:color="auto"/>
                <w:right w:val="none" w:sz="0" w:space="0" w:color="auto"/>
              </w:divBdr>
              <w:divsChild>
                <w:div w:id="326709598">
                  <w:marLeft w:val="0"/>
                  <w:marRight w:val="0"/>
                  <w:marTop w:val="0"/>
                  <w:marBottom w:val="0"/>
                  <w:divBdr>
                    <w:top w:val="none" w:sz="0" w:space="0" w:color="auto"/>
                    <w:left w:val="none" w:sz="0" w:space="0" w:color="auto"/>
                    <w:bottom w:val="none" w:sz="0" w:space="0" w:color="auto"/>
                    <w:right w:val="none" w:sz="0" w:space="0" w:color="auto"/>
                  </w:divBdr>
                  <w:divsChild>
                    <w:div w:id="1307125019">
                      <w:marLeft w:val="0"/>
                      <w:marRight w:val="0"/>
                      <w:marTop w:val="0"/>
                      <w:marBottom w:val="0"/>
                      <w:divBdr>
                        <w:top w:val="none" w:sz="0" w:space="0" w:color="auto"/>
                        <w:left w:val="none" w:sz="0" w:space="0" w:color="auto"/>
                        <w:bottom w:val="none" w:sz="0" w:space="0" w:color="auto"/>
                        <w:right w:val="none" w:sz="0" w:space="0" w:color="auto"/>
                      </w:divBdr>
                      <w:divsChild>
                        <w:div w:id="598102003">
                          <w:marLeft w:val="0"/>
                          <w:marRight w:val="0"/>
                          <w:marTop w:val="0"/>
                          <w:marBottom w:val="0"/>
                          <w:divBdr>
                            <w:top w:val="none" w:sz="0" w:space="0" w:color="auto"/>
                            <w:left w:val="none" w:sz="0" w:space="0" w:color="auto"/>
                            <w:bottom w:val="none" w:sz="0" w:space="0" w:color="auto"/>
                            <w:right w:val="none" w:sz="0" w:space="0" w:color="auto"/>
                          </w:divBdr>
                          <w:divsChild>
                            <w:div w:id="685668051">
                              <w:marLeft w:val="0"/>
                              <w:marRight w:val="0"/>
                              <w:marTop w:val="0"/>
                              <w:marBottom w:val="0"/>
                              <w:divBdr>
                                <w:top w:val="none" w:sz="0" w:space="0" w:color="auto"/>
                                <w:left w:val="none" w:sz="0" w:space="0" w:color="auto"/>
                                <w:bottom w:val="none" w:sz="0" w:space="0" w:color="auto"/>
                                <w:right w:val="none" w:sz="0" w:space="0" w:color="auto"/>
                              </w:divBdr>
                              <w:divsChild>
                                <w:div w:id="1180974806">
                                  <w:marLeft w:val="0"/>
                                  <w:marRight w:val="0"/>
                                  <w:marTop w:val="0"/>
                                  <w:marBottom w:val="540"/>
                                  <w:divBdr>
                                    <w:top w:val="none" w:sz="0" w:space="0" w:color="auto"/>
                                    <w:left w:val="single" w:sz="6" w:space="9" w:color="CCCCCC"/>
                                    <w:bottom w:val="single" w:sz="6" w:space="3" w:color="CCCCCC"/>
                                    <w:right w:val="single" w:sz="6" w:space="9" w:color="CCCCCC"/>
                                  </w:divBdr>
                                  <w:divsChild>
                                    <w:div w:id="1937014341">
                                      <w:marLeft w:val="0"/>
                                      <w:marRight w:val="1200"/>
                                      <w:marTop w:val="0"/>
                                      <w:marBottom w:val="0"/>
                                      <w:divBdr>
                                        <w:top w:val="none" w:sz="0" w:space="0" w:color="auto"/>
                                        <w:left w:val="none" w:sz="0" w:space="0" w:color="auto"/>
                                        <w:bottom w:val="none" w:sz="0" w:space="0" w:color="auto"/>
                                        <w:right w:val="none" w:sz="0" w:space="0" w:color="auto"/>
                                      </w:divBdr>
                                      <w:divsChild>
                                        <w:div w:id="5781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Bernstein@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arles.Meisch@fcc.gov" TargetMode="External"/><Relationship Id="rId4" Type="http://schemas.openxmlformats.org/officeDocument/2006/relationships/settings" Target="settings.xml"/><Relationship Id="rId9" Type="http://schemas.openxmlformats.org/officeDocument/2006/relationships/hyperlink" Target="mailto:Kevin.Harding@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3867</Characters>
  <Application>Microsoft Office Word</Application>
  <DocSecurity>0</DocSecurity>
  <Lines>59</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4542</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2017-09-06T15:37:00Z</cp:lastPrinted>
  <dcterms:created xsi:type="dcterms:W3CDTF">2017-09-20T16:23:00Z</dcterms:created>
  <dcterms:modified xsi:type="dcterms:W3CDTF">2017-09-20T16:23:00Z</dcterms:modified>
  <cp:category> </cp:category>
  <cp:contentStatus> </cp:contentStatus>
</cp:coreProperties>
</file>