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53" w:rsidRDefault="00703C53" w:rsidP="0060268B">
      <w:pPr>
        <w:widowControl/>
        <w:jc w:val="center"/>
        <w:rPr>
          <w:b/>
        </w:rPr>
      </w:pPr>
      <w:bookmarkStart w:id="0" w:name="_GoBack"/>
      <w:bookmarkEnd w:id="0"/>
      <w:r>
        <w:rPr>
          <w:rFonts w:ascii="Times New Roman Bold" w:hAnsi="Times New Roman Bold"/>
          <w:b/>
          <w:szCs w:val="22"/>
        </w:rPr>
        <w:t>Before</w:t>
      </w:r>
      <w:r>
        <w:rPr>
          <w:b/>
        </w:rPr>
        <w:t xml:space="preserve"> the</w:t>
      </w:r>
    </w:p>
    <w:p w:rsidR="00703C53" w:rsidRDefault="00703C53" w:rsidP="0060268B">
      <w:pPr>
        <w:pStyle w:val="StyleBoldCentered"/>
        <w:widowControl/>
      </w:pPr>
      <w:r>
        <w:t>F</w:t>
      </w:r>
      <w:r>
        <w:rPr>
          <w:caps w:val="0"/>
        </w:rPr>
        <w:t>ederal Communications Commission</w:t>
      </w:r>
    </w:p>
    <w:p w:rsidR="00703C53" w:rsidRDefault="00703C53" w:rsidP="0060268B">
      <w:pPr>
        <w:pStyle w:val="StyleBoldCentered"/>
        <w:widowControl/>
      </w:pPr>
      <w:r>
        <w:rPr>
          <w:caps w:val="0"/>
        </w:rPr>
        <w:t>Washington</w:t>
      </w:r>
      <w:r>
        <w:t>, D.C. 20554</w:t>
      </w:r>
    </w:p>
    <w:p w:rsidR="00703C53" w:rsidRDefault="00703C53" w:rsidP="0060268B">
      <w:pPr>
        <w:widowControl/>
      </w:pPr>
    </w:p>
    <w:p w:rsidR="00703C53" w:rsidRDefault="00703C53" w:rsidP="0060268B">
      <w:pPr>
        <w:widowControl/>
      </w:pPr>
    </w:p>
    <w:tbl>
      <w:tblPr>
        <w:tblW w:w="0" w:type="auto"/>
        <w:tblLayout w:type="fixed"/>
        <w:tblLook w:val="0000" w:firstRow="0" w:lastRow="0" w:firstColumn="0" w:lastColumn="0" w:noHBand="0" w:noVBand="0"/>
      </w:tblPr>
      <w:tblGrid>
        <w:gridCol w:w="4698"/>
        <w:gridCol w:w="630"/>
        <w:gridCol w:w="4248"/>
      </w:tblGrid>
      <w:tr w:rsidR="00703C53" w:rsidTr="00033AF1">
        <w:trPr>
          <w:trHeight w:val="1620"/>
        </w:trPr>
        <w:tc>
          <w:tcPr>
            <w:tcW w:w="4698" w:type="dxa"/>
          </w:tcPr>
          <w:p w:rsidR="00703C53" w:rsidRDefault="00703C53" w:rsidP="0060268B">
            <w:pPr>
              <w:widowControl/>
              <w:tabs>
                <w:tab w:val="center" w:pos="4680"/>
              </w:tabs>
              <w:suppressAutoHyphens/>
              <w:rPr>
                <w:spacing w:val="-2"/>
              </w:rPr>
            </w:pPr>
            <w:r>
              <w:rPr>
                <w:spacing w:val="-2"/>
              </w:rPr>
              <w:t>In the Matter of</w:t>
            </w:r>
            <w:r w:rsidR="004C60AD">
              <w:rPr>
                <w:spacing w:val="-2"/>
              </w:rPr>
              <w:t xml:space="preserve"> </w:t>
            </w:r>
          </w:p>
          <w:p w:rsidR="004C60AD" w:rsidRDefault="004C60AD" w:rsidP="0060268B">
            <w:pPr>
              <w:widowControl/>
              <w:tabs>
                <w:tab w:val="center" w:pos="4680"/>
              </w:tabs>
              <w:suppressAutoHyphens/>
              <w:rPr>
                <w:spacing w:val="-2"/>
              </w:rPr>
            </w:pPr>
          </w:p>
          <w:p w:rsidR="004C60AD" w:rsidRDefault="005C4E5E" w:rsidP="0060268B">
            <w:pPr>
              <w:widowControl/>
              <w:tabs>
                <w:tab w:val="center" w:pos="4680"/>
              </w:tabs>
              <w:suppressAutoHyphens/>
              <w:rPr>
                <w:spacing w:val="-2"/>
              </w:rPr>
            </w:pPr>
            <w:r w:rsidRPr="005C4E5E">
              <w:rPr>
                <w:spacing w:val="-2"/>
              </w:rPr>
              <w:t xml:space="preserve">COMMONWEALTH OF </w:t>
            </w:r>
            <w:r w:rsidR="004C60AD">
              <w:rPr>
                <w:spacing w:val="-2"/>
              </w:rPr>
              <w:t>PUERTO RICO</w:t>
            </w:r>
          </w:p>
          <w:p w:rsidR="004C60AD" w:rsidRDefault="004C60AD" w:rsidP="0060268B">
            <w:pPr>
              <w:widowControl/>
              <w:tabs>
                <w:tab w:val="center" w:pos="4680"/>
              </w:tabs>
              <w:suppressAutoHyphens/>
              <w:rPr>
                <w:spacing w:val="-2"/>
              </w:rPr>
            </w:pPr>
          </w:p>
          <w:p w:rsidR="004C60AD" w:rsidRDefault="004C60AD" w:rsidP="0060268B">
            <w:pPr>
              <w:widowControl/>
              <w:tabs>
                <w:tab w:val="center" w:pos="4680"/>
              </w:tabs>
              <w:suppressAutoHyphens/>
              <w:rPr>
                <w:spacing w:val="-2"/>
              </w:rPr>
            </w:pPr>
            <w:r w:rsidRPr="004C60AD">
              <w:rPr>
                <w:spacing w:val="-2"/>
              </w:rPr>
              <w:t xml:space="preserve">Request for Waiver of Section </w:t>
            </w:r>
            <w:r w:rsidR="0041110A">
              <w:rPr>
                <w:spacing w:val="-2"/>
              </w:rPr>
              <w:t>1.949</w:t>
            </w:r>
            <w:r w:rsidRPr="004C60AD">
              <w:rPr>
                <w:spacing w:val="-2"/>
              </w:rPr>
              <w:t xml:space="preserve"> of the Commission’s Rules</w:t>
            </w:r>
          </w:p>
          <w:p w:rsidR="00703C53" w:rsidRDefault="00703C53" w:rsidP="004F732A">
            <w:pPr>
              <w:widowControl/>
              <w:tabs>
                <w:tab w:val="center" w:pos="4680"/>
              </w:tabs>
              <w:suppressAutoHyphens/>
              <w:rPr>
                <w:spacing w:val="-2"/>
              </w:rPr>
            </w:pPr>
          </w:p>
        </w:tc>
        <w:tc>
          <w:tcPr>
            <w:tcW w:w="630" w:type="dxa"/>
          </w:tcPr>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tc>
        <w:tc>
          <w:tcPr>
            <w:tcW w:w="4248" w:type="dxa"/>
          </w:tcPr>
          <w:p w:rsidR="00703C53" w:rsidRDefault="00703C53" w:rsidP="0060268B">
            <w:pPr>
              <w:widowControl/>
              <w:tabs>
                <w:tab w:val="center" w:pos="4680"/>
              </w:tabs>
              <w:suppressAutoHyphens/>
              <w:rPr>
                <w:spacing w:val="-2"/>
              </w:rPr>
            </w:pPr>
          </w:p>
          <w:p w:rsidR="00703C53" w:rsidRDefault="00703C53" w:rsidP="0060268B">
            <w:pPr>
              <w:pStyle w:val="TOAHeading"/>
              <w:widowControl/>
              <w:tabs>
                <w:tab w:val="clear" w:pos="9360"/>
                <w:tab w:val="center" w:pos="4680"/>
              </w:tabs>
              <w:rPr>
                <w:spacing w:val="-2"/>
              </w:rPr>
            </w:pPr>
          </w:p>
          <w:p w:rsidR="00703C53" w:rsidRDefault="00033AF1" w:rsidP="00FA0B91">
            <w:pPr>
              <w:widowControl/>
              <w:tabs>
                <w:tab w:val="center" w:pos="4680"/>
              </w:tabs>
              <w:suppressAutoHyphens/>
              <w:rPr>
                <w:spacing w:val="-2"/>
              </w:rPr>
            </w:pPr>
            <w:r>
              <w:rPr>
                <w:spacing w:val="-2"/>
              </w:rPr>
              <w:t xml:space="preserve">FCC </w:t>
            </w:r>
            <w:r w:rsidRPr="00033AF1">
              <w:rPr>
                <w:spacing w:val="-2"/>
              </w:rPr>
              <w:t>File No</w:t>
            </w:r>
            <w:r w:rsidRPr="0041110A">
              <w:rPr>
                <w:spacing w:val="-2"/>
                <w:szCs w:val="22"/>
              </w:rPr>
              <w:t xml:space="preserve">. </w:t>
            </w:r>
            <w:r w:rsidR="0041110A" w:rsidRPr="0041110A">
              <w:rPr>
                <w:szCs w:val="22"/>
              </w:rPr>
              <w:t>0007912651</w:t>
            </w:r>
          </w:p>
        </w:tc>
      </w:tr>
    </w:tbl>
    <w:p w:rsidR="00703C53" w:rsidRDefault="00703C53" w:rsidP="004C60AD">
      <w:pPr>
        <w:pStyle w:val="StyleBoldCentered"/>
        <w:widowControl/>
      </w:pPr>
      <w:r>
        <w:t>Order</w:t>
      </w:r>
    </w:p>
    <w:p w:rsidR="00033AF1" w:rsidRDefault="00033AF1" w:rsidP="00033AF1">
      <w:pPr>
        <w:pStyle w:val="StyleBoldCentered"/>
        <w:widowControl/>
        <w:jc w:val="left"/>
      </w:pPr>
    </w:p>
    <w:p w:rsidR="00033AF1" w:rsidRDefault="00033AF1" w:rsidP="00033AF1">
      <w:pPr>
        <w:pStyle w:val="StyleBoldCentered"/>
        <w:widowControl/>
        <w:jc w:val="left"/>
      </w:pPr>
      <w:r>
        <w:rPr>
          <w:caps w:val="0"/>
        </w:rPr>
        <w:t>Adopted:</w:t>
      </w:r>
      <w:r w:rsidR="0041110A">
        <w:rPr>
          <w:caps w:val="0"/>
        </w:rPr>
        <w:t xml:space="preserve"> </w:t>
      </w:r>
      <w:r w:rsidR="000954AC">
        <w:rPr>
          <w:caps w:val="0"/>
        </w:rPr>
        <w:t xml:space="preserve">September 22, </w:t>
      </w:r>
      <w:r w:rsidR="0041110A">
        <w:rPr>
          <w:caps w:val="0"/>
        </w:rPr>
        <w:t>2017</w:t>
      </w:r>
      <w:r>
        <w:rPr>
          <w:caps w:val="0"/>
        </w:rPr>
        <w:tab/>
      </w:r>
      <w:r>
        <w:rPr>
          <w:caps w:val="0"/>
        </w:rPr>
        <w:tab/>
      </w:r>
      <w:r>
        <w:rPr>
          <w:caps w:val="0"/>
        </w:rPr>
        <w:tab/>
      </w:r>
      <w:r>
        <w:rPr>
          <w:caps w:val="0"/>
        </w:rPr>
        <w:tab/>
      </w:r>
      <w:r>
        <w:rPr>
          <w:caps w:val="0"/>
        </w:rPr>
        <w:tab/>
      </w:r>
      <w:r>
        <w:rPr>
          <w:caps w:val="0"/>
        </w:rPr>
        <w:tab/>
        <w:t>Released:</w:t>
      </w:r>
      <w:r w:rsidR="00386622">
        <w:rPr>
          <w:caps w:val="0"/>
        </w:rPr>
        <w:t xml:space="preserve"> </w:t>
      </w:r>
      <w:r w:rsidR="000954AC">
        <w:rPr>
          <w:caps w:val="0"/>
        </w:rPr>
        <w:t>September 22,</w:t>
      </w:r>
      <w:r w:rsidR="00386622">
        <w:rPr>
          <w:caps w:val="0"/>
        </w:rPr>
        <w:t xml:space="preserve"> 201</w:t>
      </w:r>
      <w:r w:rsidR="0041110A">
        <w:rPr>
          <w:caps w:val="0"/>
        </w:rPr>
        <w:t>7</w:t>
      </w:r>
    </w:p>
    <w:p w:rsidR="00703C53" w:rsidRDefault="00703C53" w:rsidP="0060268B">
      <w:pPr>
        <w:widowControl/>
      </w:pPr>
    </w:p>
    <w:p w:rsidR="00703C53" w:rsidRDefault="00703C53" w:rsidP="0060268B">
      <w:pPr>
        <w:widowControl/>
        <w:rPr>
          <w:spacing w:val="-2"/>
        </w:rPr>
      </w:pPr>
      <w:r>
        <w:t xml:space="preserve">By the </w:t>
      </w:r>
      <w:r w:rsidR="0041110A">
        <w:t>Acting</w:t>
      </w:r>
      <w:r>
        <w:t xml:space="preserve"> Chief, Policy and Licensing Division, Public Safety and Homeland Security Bureau</w:t>
      </w:r>
      <w:r>
        <w:rPr>
          <w:spacing w:val="-2"/>
        </w:rPr>
        <w:t xml:space="preserve">:  </w:t>
      </w:r>
      <w:r>
        <w:rPr>
          <w:szCs w:val="22"/>
        </w:rPr>
        <w:t xml:space="preserve"> </w:t>
      </w:r>
      <w:r>
        <w:rPr>
          <w:spacing w:val="-2"/>
        </w:rPr>
        <w:t xml:space="preserve"> </w:t>
      </w:r>
    </w:p>
    <w:p w:rsidR="00703C53" w:rsidRDefault="00703C53" w:rsidP="0060268B">
      <w:pPr>
        <w:widowControl/>
      </w:pPr>
      <w:bookmarkStart w:id="1" w:name="TOChere"/>
    </w:p>
    <w:p w:rsidR="0041110A" w:rsidRDefault="00703C53" w:rsidP="0041110A">
      <w:pPr>
        <w:pStyle w:val="Heading1"/>
        <w:widowControl/>
        <w:spacing w:after="220"/>
      </w:pPr>
      <w:bookmarkStart w:id="2" w:name="_Toc202589907"/>
      <w:bookmarkStart w:id="3" w:name="_Toc202781493"/>
      <w:bookmarkStart w:id="4" w:name="_Toc202782110"/>
      <w:bookmarkStart w:id="5" w:name="_Toc202783829"/>
      <w:bookmarkStart w:id="6" w:name="_Toc202784152"/>
      <w:bookmarkStart w:id="7" w:name="_Toc202858172"/>
      <w:bookmarkStart w:id="8" w:name="_Toc202858289"/>
      <w:bookmarkStart w:id="9" w:name="_Toc202858511"/>
      <w:bookmarkStart w:id="10" w:name="_Toc203270817"/>
      <w:bookmarkStart w:id="11" w:name="_Toc204662402"/>
      <w:bookmarkStart w:id="12" w:name="_Toc204779955"/>
      <w:bookmarkEnd w:id="1"/>
      <w:r>
        <w:t>introduction</w:t>
      </w:r>
      <w:bookmarkEnd w:id="2"/>
      <w:bookmarkEnd w:id="3"/>
      <w:bookmarkEnd w:id="4"/>
      <w:bookmarkEnd w:id="5"/>
      <w:bookmarkEnd w:id="6"/>
      <w:bookmarkEnd w:id="7"/>
      <w:bookmarkEnd w:id="8"/>
      <w:bookmarkEnd w:id="9"/>
      <w:bookmarkEnd w:id="10"/>
      <w:bookmarkEnd w:id="11"/>
      <w:bookmarkEnd w:id="12"/>
      <w:r>
        <w:t xml:space="preserve"> </w:t>
      </w:r>
    </w:p>
    <w:p w:rsidR="0041110A" w:rsidRDefault="0041110A" w:rsidP="0041110A">
      <w:pPr>
        <w:pStyle w:val="ParaNum"/>
      </w:pPr>
      <w:r>
        <w:t>On August 31, 2017, the Commonwealth of Puerto Rico (Puerto Rico) filed a request to accept its late-filed renewal application for its 700 MHz state license authorized under call sign WPTZ852.</w:t>
      </w:r>
      <w:r>
        <w:rPr>
          <w:rStyle w:val="FootnoteReference"/>
        </w:rPr>
        <w:footnoteReference w:id="2"/>
      </w:r>
      <w:r>
        <w:t xml:space="preserve">  For the reasons set forth below, we grant Puerto Rico’s request.</w:t>
      </w:r>
    </w:p>
    <w:p w:rsidR="0041110A" w:rsidRPr="0041110A" w:rsidRDefault="0041110A" w:rsidP="0041110A">
      <w:pPr>
        <w:pStyle w:val="Heading1"/>
        <w:widowControl/>
        <w:spacing w:after="220"/>
      </w:pPr>
      <w:r>
        <w:t xml:space="preserve">BACKGROUND </w:t>
      </w:r>
    </w:p>
    <w:p w:rsidR="0041110A" w:rsidRDefault="0041110A" w:rsidP="0041110A">
      <w:pPr>
        <w:pStyle w:val="ParaNum"/>
        <w:rPr>
          <w:rFonts w:eastAsiaTheme="minorHAnsi"/>
          <w:szCs w:val="22"/>
        </w:rPr>
      </w:pPr>
      <w:r w:rsidRPr="0041110A">
        <w:rPr>
          <w:rFonts w:eastAsiaTheme="minorHAnsi"/>
          <w:szCs w:val="22"/>
        </w:rPr>
        <w:t>Puerto Rico holds a license permitting it to operate on state channels in the 700 MHz</w:t>
      </w:r>
      <w:r w:rsidRPr="0041110A">
        <w:rPr>
          <w:szCs w:val="22"/>
        </w:rPr>
        <w:t xml:space="preserve"> </w:t>
      </w:r>
      <w:r w:rsidRPr="0041110A">
        <w:rPr>
          <w:rFonts w:eastAsiaTheme="minorHAnsi"/>
          <w:szCs w:val="22"/>
        </w:rPr>
        <w:t>band under call sign WPTZ852.  The state channels consist of ninety-six channel pairs (12.5 kHz</w:t>
      </w:r>
      <w:r w:rsidRPr="0041110A">
        <w:rPr>
          <w:szCs w:val="22"/>
        </w:rPr>
        <w:t xml:space="preserve"> </w:t>
      </w:r>
      <w:r w:rsidRPr="0041110A">
        <w:rPr>
          <w:rFonts w:eastAsiaTheme="minorHAnsi"/>
          <w:szCs w:val="22"/>
        </w:rPr>
        <w:t>bandwidth) from the public safety narrowband segment (769-775 MHz-799-8</w:t>
      </w:r>
      <w:r>
        <w:rPr>
          <w:rFonts w:eastAsiaTheme="minorHAnsi"/>
          <w:szCs w:val="22"/>
        </w:rPr>
        <w:t>0</w:t>
      </w:r>
      <w:r w:rsidRPr="0041110A">
        <w:rPr>
          <w:rFonts w:eastAsiaTheme="minorHAnsi"/>
          <w:szCs w:val="22"/>
        </w:rPr>
        <w:t>5 MHz) of the 700 MHz band that are reserved for use by</w:t>
      </w:r>
      <w:r w:rsidRPr="0041110A">
        <w:rPr>
          <w:szCs w:val="22"/>
        </w:rPr>
        <w:t xml:space="preserve"> </w:t>
      </w:r>
      <w:r w:rsidRPr="0041110A">
        <w:rPr>
          <w:rFonts w:eastAsiaTheme="minorHAnsi"/>
          <w:szCs w:val="22"/>
        </w:rPr>
        <w:t>each state, territory, district or possession (state licensees) on a geographic-area basis.</w:t>
      </w:r>
      <w:r>
        <w:rPr>
          <w:rStyle w:val="FootnoteReference"/>
          <w:rFonts w:eastAsiaTheme="minorHAnsi"/>
          <w:szCs w:val="22"/>
        </w:rPr>
        <w:footnoteReference w:id="3"/>
      </w:r>
      <w:r w:rsidRPr="0041110A">
        <w:rPr>
          <w:rFonts w:eastAsiaTheme="minorHAnsi"/>
          <w:szCs w:val="22"/>
        </w:rPr>
        <w:t xml:space="preserve">  In order to ensure efficient use of the state</w:t>
      </w:r>
      <w:r w:rsidRPr="0041110A">
        <w:rPr>
          <w:szCs w:val="22"/>
        </w:rPr>
        <w:t xml:space="preserve"> </w:t>
      </w:r>
      <w:r w:rsidRPr="0041110A">
        <w:rPr>
          <w:rFonts w:eastAsiaTheme="minorHAnsi"/>
          <w:szCs w:val="22"/>
        </w:rPr>
        <w:t>channels, the Commission established a five-year interim and a ten-year final benchmark for state licensees to provide specified levels of “substantial service” within their statewide license areas.</w:t>
      </w:r>
      <w:r>
        <w:rPr>
          <w:rStyle w:val="FootnoteReference"/>
          <w:rFonts w:eastAsiaTheme="minorHAnsi"/>
          <w:szCs w:val="22"/>
        </w:rPr>
        <w:footnoteReference w:id="4"/>
      </w:r>
      <w:r w:rsidRPr="0041110A">
        <w:rPr>
          <w:rFonts w:eastAsiaTheme="minorHAnsi"/>
          <w:szCs w:val="22"/>
        </w:rPr>
        <w:t xml:space="preserve">  </w:t>
      </w:r>
    </w:p>
    <w:p w:rsidR="0041110A" w:rsidRDefault="0041110A" w:rsidP="0041110A">
      <w:pPr>
        <w:pStyle w:val="ParaNum"/>
        <w:rPr>
          <w:rFonts w:eastAsiaTheme="minorHAnsi"/>
          <w:szCs w:val="22"/>
        </w:rPr>
      </w:pPr>
      <w:r w:rsidRPr="0041110A">
        <w:rPr>
          <w:rFonts w:eastAsiaTheme="minorHAnsi"/>
          <w:szCs w:val="22"/>
        </w:rPr>
        <w:t xml:space="preserve">The Commission explained that </w:t>
      </w:r>
      <w:r w:rsidRPr="0041110A">
        <w:rPr>
          <w:color w:val="212121"/>
          <w:szCs w:val="22"/>
        </w:rPr>
        <w:t>States can renew 700 MHz state licenses for additional ten-year periods.</w:t>
      </w:r>
      <w:r>
        <w:rPr>
          <w:rStyle w:val="FootnoteReference"/>
          <w:color w:val="212121"/>
          <w:szCs w:val="22"/>
        </w:rPr>
        <w:footnoteReference w:id="5"/>
      </w:r>
      <w:r w:rsidRPr="0041110A">
        <w:rPr>
          <w:color w:val="212121"/>
          <w:szCs w:val="22"/>
        </w:rPr>
        <w:t xml:space="preserve">  The Commission added that renewal will not be automatic, but state licensees will have a renewal expectancy subject to certain licensing and operational conditions, including satisfying the substantial service requirements.</w:t>
      </w:r>
      <w:r>
        <w:rPr>
          <w:rStyle w:val="FootnoteReference"/>
          <w:color w:val="212121"/>
          <w:szCs w:val="22"/>
        </w:rPr>
        <w:footnoteReference w:id="6"/>
      </w:r>
      <w:r w:rsidRPr="0041110A">
        <w:rPr>
          <w:color w:val="212121"/>
          <w:szCs w:val="22"/>
        </w:rPr>
        <w:t xml:space="preserve">  </w:t>
      </w:r>
      <w:r w:rsidRPr="0041110A">
        <w:rPr>
          <w:szCs w:val="22"/>
        </w:rPr>
        <w:t xml:space="preserve">On September 20, 2016, we granted Puerto Rico’s initial substantial </w:t>
      </w:r>
      <w:r w:rsidRPr="0041110A">
        <w:rPr>
          <w:szCs w:val="22"/>
        </w:rPr>
        <w:lastRenderedPageBreak/>
        <w:t xml:space="preserve">service showing, </w:t>
      </w:r>
      <w:r w:rsidRPr="0041110A">
        <w:rPr>
          <w:rFonts w:eastAsiaTheme="minorHAnsi"/>
          <w:szCs w:val="22"/>
        </w:rPr>
        <w:t>after confirming that Puerto Rico, prior to June 13, 2014, deployed a 700 MHz state license land mobile radio system that supports interoperability communications among its public safety agencies and serves over one-third of its population and geographic territory.</w:t>
      </w:r>
      <w:r w:rsidRPr="0041110A">
        <w:rPr>
          <w:rStyle w:val="FootnoteReference"/>
          <w:szCs w:val="22"/>
        </w:rPr>
        <w:t xml:space="preserve"> </w:t>
      </w:r>
      <w:r w:rsidRPr="00897B08">
        <w:rPr>
          <w:rStyle w:val="FootnoteReference"/>
          <w:szCs w:val="22"/>
        </w:rPr>
        <w:footnoteReference w:id="7"/>
      </w:r>
      <w:r w:rsidRPr="0041110A">
        <w:rPr>
          <w:rFonts w:eastAsiaTheme="minorHAnsi"/>
          <w:szCs w:val="22"/>
        </w:rPr>
        <w:t xml:space="preserve">  </w:t>
      </w:r>
    </w:p>
    <w:p w:rsidR="0041110A" w:rsidRPr="0041110A" w:rsidRDefault="0041110A" w:rsidP="0041110A">
      <w:pPr>
        <w:pStyle w:val="ParaNum"/>
        <w:rPr>
          <w:rFonts w:eastAsiaTheme="minorHAnsi"/>
          <w:szCs w:val="22"/>
        </w:rPr>
      </w:pPr>
      <w:r w:rsidRPr="0041110A">
        <w:rPr>
          <w:szCs w:val="22"/>
        </w:rPr>
        <w:t>On February 20,</w:t>
      </w:r>
      <w:r w:rsidRPr="00D2289C">
        <w:t xml:space="preserve"> 2017, the Commission issued Puerto Rico a renewal reminder notice for Station WPTZ852.</w:t>
      </w:r>
      <w:r>
        <w:rPr>
          <w:rStyle w:val="FootnoteReference"/>
        </w:rPr>
        <w:footnoteReference w:id="8"/>
      </w:r>
      <w:r w:rsidRPr="00D2289C">
        <w:t xml:space="preserve">  Puerto Rico failed to renew its license before May 14, 2017.  The authorization for call sign WPTZ852 expired on May 14, 2017 and </w:t>
      </w:r>
      <w:r w:rsidR="0046052A">
        <w:t xml:space="preserve">was </w:t>
      </w:r>
      <w:r w:rsidRPr="00D2289C">
        <w:t xml:space="preserve">cancelled on July 15, 2017.  </w:t>
      </w:r>
    </w:p>
    <w:p w:rsidR="0041110A" w:rsidRDefault="0041110A" w:rsidP="0041110A">
      <w:pPr>
        <w:pStyle w:val="ParaNum"/>
        <w:rPr>
          <w:rFonts w:eastAsiaTheme="minorHAnsi"/>
          <w:szCs w:val="22"/>
        </w:rPr>
      </w:pPr>
      <w:r w:rsidRPr="0041110A">
        <w:rPr>
          <w:szCs w:val="22"/>
        </w:rPr>
        <w:t xml:space="preserve">On August 31, 2017 Puerto Rico submitted the above-captioned application and a request for waiver of Section 1.949 of the Commission’s </w:t>
      </w:r>
      <w:r w:rsidR="00975348">
        <w:rPr>
          <w:szCs w:val="22"/>
        </w:rPr>
        <w:t>r</w:t>
      </w:r>
      <w:r w:rsidRPr="0041110A">
        <w:rPr>
          <w:szCs w:val="22"/>
        </w:rPr>
        <w:t>ules</w:t>
      </w:r>
      <w:r w:rsidRPr="00BC7D8B">
        <w:rPr>
          <w:rStyle w:val="FootnoteReference"/>
          <w:szCs w:val="22"/>
        </w:rPr>
        <w:footnoteReference w:id="9"/>
      </w:r>
      <w:r w:rsidRPr="0041110A">
        <w:rPr>
          <w:szCs w:val="22"/>
        </w:rPr>
        <w:t xml:space="preserve"> seeking renewal of its license to operate Station WPTZ852.</w:t>
      </w:r>
      <w:r w:rsidRPr="00BC7D8B">
        <w:rPr>
          <w:rStyle w:val="FootnoteReference"/>
          <w:szCs w:val="22"/>
        </w:rPr>
        <w:footnoteReference w:id="10"/>
      </w:r>
      <w:r w:rsidRPr="0041110A">
        <w:rPr>
          <w:szCs w:val="22"/>
        </w:rPr>
        <w:t xml:space="preserve">  Puerto Rico explains that the </w:t>
      </w:r>
      <w:r w:rsidRPr="0041110A">
        <w:rPr>
          <w:rFonts w:eastAsiaTheme="minorHAnsi"/>
          <w:szCs w:val="22"/>
        </w:rPr>
        <w:t xml:space="preserve">Puerto Rico Emergency Management Agency (PREMA) has a </w:t>
      </w:r>
      <w:r>
        <w:rPr>
          <w:rFonts w:eastAsiaTheme="minorHAnsi"/>
          <w:szCs w:val="22"/>
        </w:rPr>
        <w:t>“</w:t>
      </w:r>
      <w:r w:rsidRPr="0041110A">
        <w:rPr>
          <w:rFonts w:eastAsiaTheme="minorHAnsi"/>
          <w:szCs w:val="22"/>
        </w:rPr>
        <w:t>new</w:t>
      </w:r>
      <w:r w:rsidRPr="0041110A">
        <w:rPr>
          <w:szCs w:val="22"/>
        </w:rPr>
        <w:t xml:space="preserve"> </w:t>
      </w:r>
      <w:r w:rsidRPr="0041110A">
        <w:rPr>
          <w:rFonts w:eastAsiaTheme="minorHAnsi"/>
          <w:szCs w:val="22"/>
        </w:rPr>
        <w:t>administration working with the reorganization of all the departments and agencies.</w:t>
      </w:r>
      <w:r>
        <w:rPr>
          <w:rFonts w:eastAsiaTheme="minorHAnsi"/>
          <w:szCs w:val="22"/>
        </w:rPr>
        <w:t>”</w:t>
      </w:r>
      <w:r>
        <w:rPr>
          <w:rStyle w:val="FootnoteReference"/>
          <w:rFonts w:eastAsiaTheme="minorHAnsi"/>
          <w:szCs w:val="22"/>
        </w:rPr>
        <w:footnoteReference w:id="11"/>
      </w:r>
      <w:r w:rsidRPr="0041110A">
        <w:rPr>
          <w:szCs w:val="22"/>
        </w:rPr>
        <w:t xml:space="preserve">  Puerto </w:t>
      </w:r>
      <w:r w:rsidR="00C84ED0">
        <w:rPr>
          <w:szCs w:val="22"/>
        </w:rPr>
        <w:t xml:space="preserve">Rico </w:t>
      </w:r>
      <w:r w:rsidRPr="0041110A">
        <w:rPr>
          <w:szCs w:val="22"/>
        </w:rPr>
        <w:t xml:space="preserve">notes that </w:t>
      </w:r>
      <w:r w:rsidRPr="0041110A">
        <w:rPr>
          <w:rFonts w:eastAsiaTheme="minorHAnsi"/>
          <w:szCs w:val="22"/>
        </w:rPr>
        <w:t>call sign WPTZ852 supports the State Interoperability System for state and local</w:t>
      </w:r>
      <w:r w:rsidRPr="0041110A">
        <w:rPr>
          <w:szCs w:val="22"/>
        </w:rPr>
        <w:t xml:space="preserve"> </w:t>
      </w:r>
      <w:r w:rsidRPr="0041110A">
        <w:rPr>
          <w:rFonts w:eastAsiaTheme="minorHAnsi"/>
          <w:szCs w:val="22"/>
        </w:rPr>
        <w:t>responders and that the operation of this system serves</w:t>
      </w:r>
      <w:r w:rsidRPr="0041110A">
        <w:rPr>
          <w:szCs w:val="22"/>
        </w:rPr>
        <w:t xml:space="preserve"> </w:t>
      </w:r>
      <w:r w:rsidRPr="0041110A">
        <w:rPr>
          <w:rFonts w:eastAsiaTheme="minorHAnsi"/>
          <w:szCs w:val="22"/>
        </w:rPr>
        <w:t>over 3 million citizens.</w:t>
      </w:r>
      <w:r>
        <w:rPr>
          <w:rStyle w:val="FootnoteReference"/>
          <w:rFonts w:eastAsiaTheme="minorHAnsi"/>
          <w:szCs w:val="22"/>
        </w:rPr>
        <w:footnoteReference w:id="12"/>
      </w:r>
      <w:r w:rsidRPr="0041110A">
        <w:rPr>
          <w:rFonts w:eastAsiaTheme="minorHAnsi"/>
          <w:szCs w:val="22"/>
        </w:rPr>
        <w:t xml:space="preserve">  Puerto Rico adds that the renewal reminder letter “was never received by appropriate personnel to submit the license to the renewal process.”</w:t>
      </w:r>
      <w:r>
        <w:rPr>
          <w:rStyle w:val="FootnoteReference"/>
          <w:rFonts w:eastAsiaTheme="minorHAnsi"/>
          <w:szCs w:val="22"/>
        </w:rPr>
        <w:footnoteReference w:id="13"/>
      </w:r>
    </w:p>
    <w:p w:rsidR="0041110A" w:rsidRPr="0041110A" w:rsidRDefault="0041110A" w:rsidP="0041110A">
      <w:pPr>
        <w:pStyle w:val="Heading1"/>
        <w:widowControl/>
        <w:spacing w:after="220"/>
      </w:pPr>
      <w:r>
        <w:t>DISCUSSION</w:t>
      </w:r>
    </w:p>
    <w:p w:rsidR="0041110A" w:rsidRPr="0041110A" w:rsidRDefault="0041110A" w:rsidP="0041110A">
      <w:pPr>
        <w:pStyle w:val="ParaNum"/>
        <w:rPr>
          <w:rFonts w:eastAsiaTheme="minorHAnsi"/>
          <w:szCs w:val="22"/>
        </w:rPr>
      </w:pPr>
      <w:r w:rsidRPr="0041110A">
        <w:rPr>
          <w:szCs w:val="22"/>
        </w:rPr>
        <w:t>In 1999, the Commission adopted a policy regarding treatment of late-filed renewal applications in the wireless services.</w:t>
      </w:r>
      <w:r w:rsidRPr="00C25044">
        <w:rPr>
          <w:rStyle w:val="FootnoteReference"/>
          <w:szCs w:val="22"/>
        </w:rPr>
        <w:footnoteReference w:id="14"/>
      </w:r>
      <w:r w:rsidRPr="0041110A">
        <w:rPr>
          <w:szCs w:val="22"/>
        </w:rPr>
        <w:t xml:space="preserve">  Renewal applications that are filed up to thirty days after the expiration date of the license will be granted </w:t>
      </w:r>
      <w:r w:rsidRPr="0041110A">
        <w:rPr>
          <w:i/>
          <w:szCs w:val="22"/>
        </w:rPr>
        <w:t>nunc pro tunc</w:t>
      </w:r>
      <w:r w:rsidRPr="0041110A">
        <w:rPr>
          <w:szCs w:val="22"/>
        </w:rPr>
        <w:t xml:space="preserve"> if the application is otherwise sufficient under our rules, but the licensee may be subject to an enforcement action for untimely filing and unauthorized operation during the time between the expiration of the license and the untimely renewal filing.</w:t>
      </w:r>
      <w:r w:rsidRPr="00C25044">
        <w:rPr>
          <w:rStyle w:val="FootnoteReference"/>
          <w:szCs w:val="22"/>
        </w:rPr>
        <w:footnoteReference w:id="15"/>
      </w:r>
      <w:r w:rsidRPr="0041110A">
        <w:rPr>
          <w:szCs w:val="22"/>
        </w:rPr>
        <w:t xml:space="preserve">  Applicants who file renewal applications more than thirty days after the license expiration date may also request that the license be renewed </w:t>
      </w:r>
      <w:r w:rsidRPr="0041110A">
        <w:rPr>
          <w:i/>
          <w:szCs w:val="22"/>
        </w:rPr>
        <w:t>nunc pro tunc</w:t>
      </w:r>
      <w:r w:rsidRPr="0041110A">
        <w:rPr>
          <w:szCs w:val="22"/>
        </w:rPr>
        <w:t>, but such requests will not be routinely granted, will be subject to stricter review, and also may be accompanied by enforcement action, including more significant fines or forfeitures.</w:t>
      </w:r>
      <w:r w:rsidRPr="00C25044">
        <w:rPr>
          <w:rStyle w:val="FootnoteReference"/>
          <w:szCs w:val="22"/>
        </w:rPr>
        <w:footnoteReference w:id="16"/>
      </w:r>
      <w:r w:rsidRPr="0041110A">
        <w:rPr>
          <w:szCs w:val="22"/>
        </w:rPr>
        <w:t xml:space="preserve">  In determining whether to grant a late-filed renewal application, we take into consideration all of the facts and circumstances, including the length of the delay in filing, the reasons for the failure to timely file, the potential consequences to the public if the license should terminate, and the performance record of the licensee.</w:t>
      </w:r>
      <w:r w:rsidRPr="00C25044">
        <w:rPr>
          <w:rStyle w:val="FootnoteReference"/>
          <w:szCs w:val="22"/>
        </w:rPr>
        <w:footnoteReference w:id="17"/>
      </w:r>
    </w:p>
    <w:p w:rsidR="0041110A" w:rsidRPr="0041110A" w:rsidRDefault="0041110A" w:rsidP="0041110A">
      <w:pPr>
        <w:pStyle w:val="ParaNum"/>
        <w:rPr>
          <w:rFonts w:eastAsiaTheme="minorHAnsi"/>
          <w:szCs w:val="22"/>
        </w:rPr>
      </w:pPr>
      <w:r w:rsidRPr="0041110A">
        <w:rPr>
          <w:szCs w:val="22"/>
        </w:rPr>
        <w:t xml:space="preserve">Taking into account all of the facts and circumstances, including Puerto Rico satisfying the Commission’s initial substantial service requirement, we conclude that Puerto Rico’s request should be granted.  In this particular case, we conclude that dismissal of Puerto Rico’s application would be </w:t>
      </w:r>
      <w:r w:rsidRPr="0041110A">
        <w:rPr>
          <w:szCs w:val="22"/>
        </w:rPr>
        <w:lastRenderedPageBreak/>
        <w:t>unduly harsh and contrary to public interest.  In particular, we believe that two of the specific factors set forth by the Commission – the potential consequences to the public if the licensee should terminate, and the performance record of the licensee – militate in favor of reinstating Puerto Rico’s licenses.  Given the adverse impact to public safety that a disruption of emergency radio communications could create and Puerto Rico’s compliance with Commission’s substantial service rules</w:t>
      </w:r>
      <w:r>
        <w:rPr>
          <w:szCs w:val="22"/>
        </w:rPr>
        <w:t xml:space="preserve"> applicable to state licenses</w:t>
      </w:r>
      <w:r w:rsidRPr="0041110A">
        <w:rPr>
          <w:szCs w:val="22"/>
        </w:rPr>
        <w:t xml:space="preserve">, we believe that the late-filed renewal application for call sign WPTZ852 should be granted. </w:t>
      </w:r>
    </w:p>
    <w:p w:rsidR="0041110A" w:rsidRDefault="0041110A" w:rsidP="0041110A">
      <w:pPr>
        <w:pStyle w:val="ParaNum"/>
        <w:rPr>
          <w:szCs w:val="22"/>
        </w:rPr>
      </w:pPr>
      <w:r w:rsidRPr="0041110A">
        <w:rPr>
          <w:szCs w:val="22"/>
        </w:rPr>
        <w:t>Notwithstanding our decision in this case, we reiterate that a licensee will not be afforded special consideration when it fails to file a timely renewal application simply because it engages in public safety activities.</w:t>
      </w:r>
      <w:r w:rsidRPr="00C25044">
        <w:rPr>
          <w:rStyle w:val="FootnoteReference"/>
          <w:szCs w:val="22"/>
        </w:rPr>
        <w:footnoteReference w:id="18"/>
      </w:r>
      <w:r w:rsidRPr="0041110A">
        <w:rPr>
          <w:szCs w:val="22"/>
        </w:rPr>
        <w:t xml:space="preserve">  The Commission also has stated that turnover in recordkeeping personnel, failure to check computer records, or simple forgetfulness are not valid excuses for failure to file a timely renewal application.</w:t>
      </w:r>
      <w:r w:rsidRPr="00C25044">
        <w:rPr>
          <w:rStyle w:val="FootnoteReference"/>
          <w:szCs w:val="22"/>
        </w:rPr>
        <w:footnoteReference w:id="19"/>
      </w:r>
      <w:r w:rsidRPr="0041110A">
        <w:rPr>
          <w:szCs w:val="22"/>
        </w:rPr>
        <w:t xml:space="preserve">  Furthermore, the failure to receive a renewal notice is not a unique circumstance that justifies a waiver.</w:t>
      </w:r>
      <w:r w:rsidRPr="00C25044">
        <w:rPr>
          <w:rStyle w:val="FootnoteReference"/>
          <w:szCs w:val="22"/>
        </w:rPr>
        <w:footnoteReference w:id="20"/>
      </w:r>
      <w:r w:rsidRPr="0041110A">
        <w:rPr>
          <w:szCs w:val="22"/>
        </w:rPr>
        <w:t xml:space="preserve">  </w:t>
      </w:r>
    </w:p>
    <w:p w:rsidR="0041110A" w:rsidRPr="0041110A" w:rsidRDefault="0041110A" w:rsidP="0041110A">
      <w:pPr>
        <w:pStyle w:val="Heading1"/>
        <w:widowControl/>
        <w:spacing w:after="220"/>
      </w:pPr>
      <w:r>
        <w:t>ORDERING CLAUSES</w:t>
      </w:r>
    </w:p>
    <w:p w:rsidR="0041110A" w:rsidRDefault="0041110A" w:rsidP="0041110A">
      <w:pPr>
        <w:pStyle w:val="ParaNum"/>
        <w:rPr>
          <w:szCs w:val="22"/>
        </w:rPr>
      </w:pPr>
      <w:r w:rsidRPr="0041110A">
        <w:rPr>
          <w:szCs w:val="22"/>
        </w:rPr>
        <w:t xml:space="preserve">Accordingly, IT IS ORDERED pursuant to Section 4(i) of the Communications Act of 1934, as amended, 47 U.S.C. § 154(i), and Section 1.925 of the Commission's Rules, 47 CFR § 1.925, that the waiver request submitted by the Commonwealth of Puerto Rico on August 31, 2017, IS GRANTED.  We instruct staff to process the renewal application, FCC File number 0007912651, in accordance with this </w:t>
      </w:r>
      <w:r w:rsidRPr="0041110A">
        <w:rPr>
          <w:i/>
          <w:szCs w:val="22"/>
        </w:rPr>
        <w:t>Order</w:t>
      </w:r>
      <w:r w:rsidRPr="0041110A">
        <w:rPr>
          <w:szCs w:val="22"/>
        </w:rPr>
        <w:t>.</w:t>
      </w:r>
    </w:p>
    <w:p w:rsidR="0041110A" w:rsidRPr="0041110A" w:rsidRDefault="0041110A" w:rsidP="0041110A">
      <w:pPr>
        <w:pStyle w:val="ParaNum"/>
        <w:rPr>
          <w:szCs w:val="22"/>
        </w:rPr>
      </w:pPr>
      <w:r w:rsidRPr="0041110A">
        <w:rPr>
          <w:rFonts w:eastAsiaTheme="minorHAnsi"/>
          <w:szCs w:val="22"/>
        </w:rPr>
        <w:t>This action is taken under delegated authority pursuant to Sections 0.191 and 0.392 of the</w:t>
      </w:r>
      <w:r w:rsidRPr="0041110A">
        <w:rPr>
          <w:szCs w:val="22"/>
        </w:rPr>
        <w:t xml:space="preserve"> </w:t>
      </w:r>
      <w:r w:rsidRPr="0041110A">
        <w:rPr>
          <w:rFonts w:eastAsiaTheme="minorHAnsi"/>
          <w:szCs w:val="22"/>
        </w:rPr>
        <w:t>Commission’s rules, 47 CFR §§ 0.191, 0.392.</w:t>
      </w:r>
    </w:p>
    <w:p w:rsidR="0041110A" w:rsidRPr="00E01933" w:rsidRDefault="0041110A" w:rsidP="0041110A">
      <w:pPr>
        <w:rPr>
          <w:szCs w:val="22"/>
        </w:rPr>
      </w:pPr>
    </w:p>
    <w:p w:rsidR="0041110A" w:rsidRPr="00E01933" w:rsidRDefault="0041110A" w:rsidP="0041110A">
      <w:pPr>
        <w:tabs>
          <w:tab w:val="left" w:pos="-1440"/>
          <w:tab w:val="left" w:pos="-720"/>
          <w:tab w:val="left" w:pos="3240"/>
          <w:tab w:val="left" w:pos="3600"/>
          <w:tab w:val="left" w:pos="11970"/>
        </w:tabs>
        <w:suppressAutoHyphens/>
        <w:rPr>
          <w:spacing w:val="-2"/>
          <w:szCs w:val="22"/>
        </w:rPr>
      </w:pPr>
      <w:r w:rsidRPr="00E01933">
        <w:rPr>
          <w:spacing w:val="-2"/>
          <w:szCs w:val="22"/>
        </w:rPr>
        <w:tab/>
      </w:r>
      <w:r w:rsidRPr="00E01933">
        <w:rPr>
          <w:spacing w:val="-2"/>
          <w:szCs w:val="22"/>
        </w:rPr>
        <w:tab/>
        <w:t>FEDERAL COMMUNICATIONS COMMISSION</w:t>
      </w:r>
    </w:p>
    <w:p w:rsidR="0041110A" w:rsidRPr="00E01933" w:rsidRDefault="0041110A" w:rsidP="0041110A">
      <w:pPr>
        <w:tabs>
          <w:tab w:val="left" w:pos="-1440"/>
          <w:tab w:val="left" w:pos="-720"/>
        </w:tabs>
        <w:suppressAutoHyphens/>
        <w:ind w:firstLine="3945"/>
        <w:rPr>
          <w:spacing w:val="-2"/>
          <w:szCs w:val="22"/>
        </w:rPr>
      </w:pPr>
    </w:p>
    <w:p w:rsidR="0041110A" w:rsidRPr="00E01933" w:rsidRDefault="0041110A" w:rsidP="0041110A">
      <w:pPr>
        <w:tabs>
          <w:tab w:val="left" w:pos="-1440"/>
          <w:tab w:val="left" w:pos="-720"/>
        </w:tabs>
        <w:suppressAutoHyphens/>
        <w:jc w:val="both"/>
        <w:rPr>
          <w:spacing w:val="-2"/>
          <w:szCs w:val="22"/>
        </w:rPr>
      </w:pPr>
    </w:p>
    <w:p w:rsidR="0041110A" w:rsidRPr="00E01933" w:rsidRDefault="0041110A" w:rsidP="0041110A">
      <w:pPr>
        <w:tabs>
          <w:tab w:val="left" w:pos="-1440"/>
          <w:tab w:val="left" w:pos="-720"/>
        </w:tabs>
        <w:suppressAutoHyphens/>
        <w:jc w:val="both"/>
        <w:rPr>
          <w:spacing w:val="-2"/>
          <w:szCs w:val="22"/>
        </w:rPr>
      </w:pPr>
    </w:p>
    <w:p w:rsidR="0041110A" w:rsidRPr="00E01933" w:rsidRDefault="0041110A" w:rsidP="0041110A">
      <w:pPr>
        <w:tabs>
          <w:tab w:val="left" w:pos="-1440"/>
          <w:tab w:val="left" w:pos="-720"/>
        </w:tabs>
        <w:suppressAutoHyphens/>
        <w:jc w:val="both"/>
        <w:rPr>
          <w:spacing w:val="-2"/>
          <w:szCs w:val="22"/>
        </w:rPr>
      </w:pPr>
    </w:p>
    <w:p w:rsidR="0041110A" w:rsidRPr="00E01933" w:rsidRDefault="0041110A" w:rsidP="0041110A">
      <w:pPr>
        <w:tabs>
          <w:tab w:val="left" w:pos="-1440"/>
          <w:tab w:val="left" w:pos="-720"/>
        </w:tabs>
        <w:suppressAutoHyphens/>
        <w:jc w:val="both"/>
        <w:rPr>
          <w:spacing w:val="-2"/>
          <w:szCs w:val="22"/>
        </w:rPr>
      </w:pPr>
      <w:r w:rsidRPr="00E01933">
        <w:rPr>
          <w:spacing w:val="-2"/>
          <w:szCs w:val="22"/>
        </w:rPr>
        <w:tab/>
      </w:r>
      <w:r w:rsidRPr="00E01933">
        <w:rPr>
          <w:spacing w:val="-2"/>
          <w:szCs w:val="22"/>
        </w:rPr>
        <w:tab/>
      </w:r>
      <w:r w:rsidRPr="00E01933">
        <w:rPr>
          <w:spacing w:val="-2"/>
          <w:szCs w:val="22"/>
        </w:rPr>
        <w:tab/>
      </w:r>
      <w:r w:rsidRPr="00E01933">
        <w:rPr>
          <w:spacing w:val="-2"/>
          <w:szCs w:val="22"/>
        </w:rPr>
        <w:tab/>
      </w:r>
      <w:r w:rsidRPr="00E01933">
        <w:rPr>
          <w:spacing w:val="-2"/>
          <w:szCs w:val="22"/>
        </w:rPr>
        <w:tab/>
        <w:t xml:space="preserve">Michael J. Wilhelm </w:t>
      </w:r>
    </w:p>
    <w:p w:rsidR="0041110A" w:rsidRPr="00E01933" w:rsidRDefault="0041110A" w:rsidP="0041110A">
      <w:pPr>
        <w:tabs>
          <w:tab w:val="left" w:pos="-1440"/>
          <w:tab w:val="left" w:pos="-720"/>
        </w:tabs>
        <w:suppressAutoHyphens/>
        <w:jc w:val="both"/>
        <w:rPr>
          <w:spacing w:val="-2"/>
          <w:szCs w:val="22"/>
        </w:rPr>
      </w:pPr>
      <w:r w:rsidRPr="00E01933">
        <w:rPr>
          <w:spacing w:val="-2"/>
          <w:szCs w:val="22"/>
        </w:rPr>
        <w:tab/>
      </w:r>
      <w:r w:rsidRPr="00E01933">
        <w:rPr>
          <w:spacing w:val="-2"/>
          <w:szCs w:val="22"/>
        </w:rPr>
        <w:tab/>
      </w:r>
      <w:r w:rsidRPr="00E01933">
        <w:rPr>
          <w:spacing w:val="-2"/>
          <w:szCs w:val="22"/>
        </w:rPr>
        <w:tab/>
      </w:r>
      <w:r w:rsidRPr="00E01933">
        <w:rPr>
          <w:spacing w:val="-2"/>
          <w:szCs w:val="22"/>
        </w:rPr>
        <w:tab/>
      </w:r>
      <w:r w:rsidRPr="00E01933">
        <w:rPr>
          <w:spacing w:val="-2"/>
          <w:szCs w:val="22"/>
        </w:rPr>
        <w:tab/>
        <w:t>Acting Chief, Policy and Licensing Division</w:t>
      </w:r>
    </w:p>
    <w:p w:rsidR="0041110A" w:rsidRPr="00E01933" w:rsidRDefault="0041110A" w:rsidP="0041110A">
      <w:pPr>
        <w:tabs>
          <w:tab w:val="left" w:pos="-1440"/>
          <w:tab w:val="left" w:pos="-720"/>
        </w:tabs>
        <w:suppressAutoHyphens/>
        <w:jc w:val="both"/>
        <w:rPr>
          <w:szCs w:val="22"/>
        </w:rPr>
      </w:pPr>
      <w:r w:rsidRPr="00E01933">
        <w:rPr>
          <w:szCs w:val="22"/>
        </w:rPr>
        <w:tab/>
      </w:r>
      <w:r w:rsidRPr="00E01933">
        <w:rPr>
          <w:szCs w:val="22"/>
        </w:rPr>
        <w:tab/>
      </w:r>
      <w:r w:rsidRPr="00E01933">
        <w:rPr>
          <w:szCs w:val="22"/>
        </w:rPr>
        <w:tab/>
      </w:r>
      <w:r w:rsidRPr="00E01933">
        <w:rPr>
          <w:szCs w:val="22"/>
        </w:rPr>
        <w:tab/>
      </w:r>
      <w:r w:rsidRPr="00E01933">
        <w:rPr>
          <w:szCs w:val="22"/>
        </w:rPr>
        <w:tab/>
        <w:t>Public Safety and Homeland Security Bureau</w:t>
      </w:r>
    </w:p>
    <w:p w:rsidR="00703C53" w:rsidRDefault="00703C53" w:rsidP="0041110A">
      <w:pPr>
        <w:pStyle w:val="Heading1"/>
        <w:widowControl/>
        <w:numPr>
          <w:ilvl w:val="0"/>
          <w:numId w:val="0"/>
        </w:numPr>
        <w:rPr>
          <w:szCs w:val="22"/>
        </w:rPr>
      </w:pPr>
    </w:p>
    <w:sectPr w:rsidR="00703C5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C9" w:rsidRDefault="009742C9">
      <w:pPr>
        <w:spacing w:line="20" w:lineRule="exact"/>
      </w:pPr>
    </w:p>
  </w:endnote>
  <w:endnote w:type="continuationSeparator" w:id="0">
    <w:p w:rsidR="009742C9" w:rsidRDefault="009742C9">
      <w:r>
        <w:t xml:space="preserve"> </w:t>
      </w:r>
    </w:p>
  </w:endnote>
  <w:endnote w:type="continuationNotice" w:id="1">
    <w:p w:rsidR="009742C9" w:rsidRDefault="009742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3C53" w:rsidRDefault="00703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0123">
      <w:rPr>
        <w:rStyle w:val="PageNumber"/>
        <w:noProof/>
      </w:rPr>
      <w:t>2</w:t>
    </w:r>
    <w:r>
      <w:rPr>
        <w:rStyle w:val="PageNumber"/>
      </w:rPr>
      <w:fldChar w:fldCharType="end"/>
    </w:r>
  </w:p>
  <w:p w:rsidR="00703C53" w:rsidRDefault="00703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p>
  <w:p w:rsidR="00703C53" w:rsidRDefault="00703C53">
    <w:pPr>
      <w:pStyle w:val="Footer"/>
      <w:framePr w:wrap="around" w:vAnchor="text" w:hAnchor="margin" w:xAlign="center" w:y="1"/>
      <w:rPr>
        <w:rStyle w:val="PageNumber"/>
      </w:rPr>
    </w:pPr>
  </w:p>
  <w:p w:rsidR="00703C53" w:rsidRDefault="00703C53">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C9" w:rsidRDefault="009742C9">
      <w:r>
        <w:separator/>
      </w:r>
    </w:p>
  </w:footnote>
  <w:footnote w:type="continuationSeparator" w:id="0">
    <w:p w:rsidR="009742C9" w:rsidRDefault="009742C9">
      <w:pPr>
        <w:rPr>
          <w:sz w:val="20"/>
        </w:rPr>
      </w:pPr>
      <w:r>
        <w:rPr>
          <w:sz w:val="20"/>
        </w:rPr>
        <w:t xml:space="preserve">(Continued from previous page)  </w:t>
      </w:r>
      <w:r>
        <w:rPr>
          <w:sz w:val="20"/>
        </w:rPr>
        <w:separator/>
      </w:r>
    </w:p>
  </w:footnote>
  <w:footnote w:type="continuationNotice" w:id="1">
    <w:p w:rsidR="009742C9" w:rsidRDefault="009742C9">
      <w:pPr>
        <w:rPr>
          <w:sz w:val="20"/>
        </w:rPr>
      </w:pPr>
      <w:r>
        <w:rPr>
          <w:sz w:val="20"/>
        </w:rPr>
        <w:t>(continued….)</w:t>
      </w:r>
    </w:p>
  </w:footnote>
  <w:footnote w:id="2">
    <w:p w:rsidR="0041110A" w:rsidRPr="00D26737" w:rsidRDefault="0041110A" w:rsidP="0041110A">
      <w:pPr>
        <w:pStyle w:val="FootnoteText"/>
      </w:pPr>
      <w:r w:rsidRPr="00D26737">
        <w:rPr>
          <w:rStyle w:val="FootnoteReference"/>
        </w:rPr>
        <w:footnoteRef/>
      </w:r>
      <w:r w:rsidRPr="00D26737">
        <w:t xml:space="preserve"> </w:t>
      </w:r>
      <w:r w:rsidRPr="00D26737">
        <w:rPr>
          <w:i/>
        </w:rPr>
        <w:t>See</w:t>
      </w:r>
      <w:r w:rsidRPr="00D26737">
        <w:t xml:space="preserve"> Letter from Abner Gomez Cortes, Puerto Rico Emergency Management Authority to FCC (dated Aug. 30, 2017) (Waiver Request), attached to FCC File No. 0007912651 (Aug. 31, 2017).  Although styled as a Petition for Reconsideration, Puerto Rico essentially seeks a waiver of Section 1</w:t>
      </w:r>
      <w:r>
        <w:t>.949 of the Commission’s rules,</w:t>
      </w:r>
      <w:r w:rsidRPr="00D26737">
        <w:t xml:space="preserve"> 47 CFR § 1.949.  Accordingly we treat the request as a waiver to permit the acceptance of Puerto Rico’s late-filed renewal application.</w:t>
      </w:r>
    </w:p>
  </w:footnote>
  <w:footnote w:id="3">
    <w:p w:rsidR="0041110A" w:rsidRPr="00D26737" w:rsidRDefault="0041110A" w:rsidP="0041110A">
      <w:pPr>
        <w:pStyle w:val="FootnoteText"/>
      </w:pPr>
      <w:r w:rsidRPr="00D26737">
        <w:rPr>
          <w:rStyle w:val="FootnoteReference"/>
        </w:rPr>
        <w:footnoteRef/>
      </w:r>
      <w:r w:rsidRPr="00D26737">
        <w:t xml:space="preserve"> 47 CFR §</w:t>
      </w:r>
      <w:r w:rsidR="00EC7612">
        <w:t xml:space="preserve">§ 90.529 and </w:t>
      </w:r>
      <w:r w:rsidRPr="00D26737">
        <w:t>90.531(b)(5).</w:t>
      </w:r>
    </w:p>
  </w:footnote>
  <w:footnote w:id="4">
    <w:p w:rsidR="0041110A" w:rsidRPr="00D26737" w:rsidRDefault="0041110A" w:rsidP="0041110A">
      <w:pPr>
        <w:pStyle w:val="FootnoteText"/>
      </w:pPr>
      <w:r w:rsidRPr="00D26737">
        <w:rPr>
          <w:rStyle w:val="FootnoteReference"/>
        </w:rPr>
        <w:footnoteRef/>
      </w:r>
      <w:r w:rsidRPr="00D26737">
        <w:t xml:space="preserve"> </w:t>
      </w:r>
      <w:r w:rsidRPr="00D26737">
        <w:rPr>
          <w:rFonts w:eastAsiaTheme="minorHAnsi"/>
          <w:color w:val="010101"/>
        </w:rPr>
        <w:t xml:space="preserve">“Substantial service” is defined as the construction and operation of facilities on state channels which is “sound, favorable, and substantially above a level of mediocre service which just might minimally warrant renewal.” </w:t>
      </w:r>
      <w:r w:rsidRPr="00D26737">
        <w:rPr>
          <w:rFonts w:eastAsiaTheme="minorHAnsi"/>
          <w:i/>
          <w:iCs/>
          <w:color w:val="010101"/>
        </w:rPr>
        <w:t xml:space="preserve">See </w:t>
      </w:r>
      <w:r w:rsidRPr="00D26737">
        <w:rPr>
          <w:rFonts w:eastAsiaTheme="minorHAnsi"/>
          <w:color w:val="010101"/>
        </w:rPr>
        <w:t xml:space="preserve">47 CFR </w:t>
      </w:r>
      <w:r w:rsidRPr="00D26737">
        <w:rPr>
          <w:rFonts w:eastAsiaTheme="minorHAnsi"/>
          <w:color w:val="000000"/>
        </w:rPr>
        <w:t>§ 90.529(c).</w:t>
      </w:r>
    </w:p>
  </w:footnote>
  <w:footnote w:id="5">
    <w:p w:rsidR="0041110A" w:rsidRPr="00D26737" w:rsidRDefault="0041110A" w:rsidP="0041110A">
      <w:pPr>
        <w:pStyle w:val="FootnoteText"/>
      </w:pPr>
      <w:r w:rsidRPr="00D26737">
        <w:rPr>
          <w:rStyle w:val="FootnoteReference"/>
        </w:rPr>
        <w:footnoteRef/>
      </w:r>
      <w:r w:rsidRPr="00D26737">
        <w:t xml:space="preserve"> </w:t>
      </w:r>
      <w:r w:rsidRPr="00D26737">
        <w:rPr>
          <w:rFonts w:eastAsiaTheme="minorHAnsi"/>
          <w:i/>
          <w:iCs/>
          <w:color w:val="010101"/>
        </w:rPr>
        <w:t xml:space="preserve">See </w:t>
      </w:r>
      <w:r w:rsidRPr="00D26737">
        <w:rPr>
          <w:rFonts w:eastAsiaTheme="minorHAnsi"/>
          <w:i/>
          <w:color w:val="010101"/>
        </w:rPr>
        <w:t>Development of Operational, Technical and Spectrum Requirements for Meeting Federal, State and Local Public Safety Agency Communications Requirements Through the Year 2010</w:t>
      </w:r>
      <w:r w:rsidRPr="00D26737">
        <w:t>, Third Memorandum Opinion and Order and Third Report and Order, 15 FCC Rcd 19844, 19871 para. 61 (2000).</w:t>
      </w:r>
    </w:p>
  </w:footnote>
  <w:footnote w:id="6">
    <w:p w:rsidR="0041110A" w:rsidRPr="00D26737" w:rsidRDefault="0041110A" w:rsidP="0041110A">
      <w:pPr>
        <w:autoSpaceDE w:val="0"/>
        <w:autoSpaceDN w:val="0"/>
        <w:adjustRightInd w:val="0"/>
        <w:spacing w:after="120"/>
        <w:rPr>
          <w:rFonts w:eastAsiaTheme="minorHAnsi"/>
          <w:color w:val="010101"/>
          <w:sz w:val="20"/>
        </w:rPr>
      </w:pPr>
      <w:r w:rsidRPr="00D26737">
        <w:rPr>
          <w:rStyle w:val="FootnoteReference"/>
        </w:rPr>
        <w:footnoteRef/>
      </w:r>
      <w:r w:rsidRPr="00D26737">
        <w:rPr>
          <w:sz w:val="20"/>
        </w:rPr>
        <w:t xml:space="preserve"> </w:t>
      </w:r>
      <w:r w:rsidRPr="00D26737">
        <w:rPr>
          <w:rFonts w:eastAsiaTheme="minorHAnsi"/>
          <w:i/>
          <w:color w:val="010101"/>
          <w:sz w:val="20"/>
        </w:rPr>
        <w:t>Id.</w:t>
      </w:r>
      <w:r w:rsidRPr="00D26737">
        <w:rPr>
          <w:sz w:val="20"/>
        </w:rPr>
        <w:t xml:space="preserve"> at 19871 paras. 61-64.</w:t>
      </w:r>
    </w:p>
  </w:footnote>
  <w:footnote w:id="7">
    <w:p w:rsidR="0041110A" w:rsidRPr="00D26737" w:rsidRDefault="0041110A" w:rsidP="0041110A">
      <w:pPr>
        <w:autoSpaceDE w:val="0"/>
        <w:autoSpaceDN w:val="0"/>
        <w:adjustRightInd w:val="0"/>
        <w:spacing w:after="120"/>
        <w:rPr>
          <w:rFonts w:eastAsiaTheme="minorHAnsi"/>
          <w:color w:val="010101"/>
          <w:sz w:val="20"/>
        </w:rPr>
      </w:pPr>
      <w:r w:rsidRPr="00D26737">
        <w:rPr>
          <w:rStyle w:val="FootnoteReference"/>
        </w:rPr>
        <w:footnoteRef/>
      </w:r>
      <w:r w:rsidRPr="00D26737">
        <w:rPr>
          <w:sz w:val="20"/>
        </w:rPr>
        <w:t xml:space="preserve"> </w:t>
      </w:r>
      <w:r w:rsidRPr="00D26737">
        <w:rPr>
          <w:i/>
          <w:sz w:val="20"/>
        </w:rPr>
        <w:t>See</w:t>
      </w:r>
      <w:r w:rsidRPr="00D26737">
        <w:rPr>
          <w:sz w:val="20"/>
        </w:rPr>
        <w:t xml:space="preserve"> </w:t>
      </w:r>
      <w:r w:rsidRPr="00D26737">
        <w:rPr>
          <w:i/>
          <w:sz w:val="20"/>
        </w:rPr>
        <w:t>Puerto Rico, Commonwealth of</w:t>
      </w:r>
      <w:r w:rsidRPr="00D26737">
        <w:rPr>
          <w:sz w:val="20"/>
        </w:rPr>
        <w:t xml:space="preserve">, Order, </w:t>
      </w:r>
      <w:r w:rsidRPr="00D26737">
        <w:rPr>
          <w:iCs/>
          <w:color w:val="333333"/>
          <w:sz w:val="20"/>
        </w:rPr>
        <w:t>31 FCC Rcd 10524 (PSHSB 2016)</w:t>
      </w:r>
      <w:r>
        <w:rPr>
          <w:sz w:val="20"/>
        </w:rPr>
        <w:t>.</w:t>
      </w:r>
    </w:p>
  </w:footnote>
  <w:footnote w:id="8">
    <w:p w:rsidR="0041110A" w:rsidRPr="00D26737" w:rsidRDefault="0041110A" w:rsidP="0041110A">
      <w:pPr>
        <w:pStyle w:val="FootnoteText"/>
      </w:pPr>
      <w:r w:rsidRPr="00D26737">
        <w:rPr>
          <w:rStyle w:val="FootnoteReference"/>
        </w:rPr>
        <w:footnoteRef/>
      </w:r>
      <w:r w:rsidRPr="00D26737">
        <w:t xml:space="preserve"> </w:t>
      </w:r>
      <w:r w:rsidRPr="00D26737">
        <w:rPr>
          <w:i/>
        </w:rPr>
        <w:t>See</w:t>
      </w:r>
      <w:r w:rsidRPr="00D26737">
        <w:t xml:space="preserve"> Renewal Reminder Notice, FCC Reference No. </w:t>
      </w:r>
      <w:r w:rsidRPr="00D26737">
        <w:rPr>
          <w:rFonts w:eastAsiaTheme="minorHAnsi"/>
        </w:rPr>
        <w:t>6232631</w:t>
      </w:r>
      <w:r w:rsidRPr="00D26737">
        <w:t xml:space="preserve"> (dated Feb. 20, 2017).</w:t>
      </w:r>
    </w:p>
  </w:footnote>
  <w:footnote w:id="9">
    <w:p w:rsidR="0041110A" w:rsidRPr="00D26737" w:rsidRDefault="0041110A" w:rsidP="0041110A">
      <w:pPr>
        <w:pStyle w:val="FootnoteText"/>
      </w:pPr>
      <w:r w:rsidRPr="00D26737">
        <w:rPr>
          <w:rStyle w:val="FootnoteReference"/>
        </w:rPr>
        <w:footnoteRef/>
      </w:r>
      <w:r w:rsidRPr="00D26737">
        <w:t xml:space="preserve"> 47 CFR § 1.949.  </w:t>
      </w:r>
    </w:p>
  </w:footnote>
  <w:footnote w:id="10">
    <w:p w:rsidR="0041110A" w:rsidRPr="00D26737" w:rsidRDefault="0041110A" w:rsidP="0041110A">
      <w:pPr>
        <w:pStyle w:val="FootnoteText"/>
      </w:pPr>
      <w:r w:rsidRPr="00D26737">
        <w:rPr>
          <w:rStyle w:val="FootnoteReference"/>
        </w:rPr>
        <w:footnoteRef/>
      </w:r>
      <w:r w:rsidRPr="00D26737">
        <w:t xml:space="preserve">  </w:t>
      </w:r>
      <w:r w:rsidRPr="00D26737">
        <w:rPr>
          <w:i/>
        </w:rPr>
        <w:t>See</w:t>
      </w:r>
      <w:r>
        <w:t xml:space="preserve"> Waiver Request at 1.</w:t>
      </w:r>
      <w:r w:rsidRPr="00D26737">
        <w:t xml:space="preserve"> </w:t>
      </w:r>
    </w:p>
  </w:footnote>
  <w:footnote w:id="11">
    <w:p w:rsidR="0041110A" w:rsidRPr="00D26737" w:rsidRDefault="0041110A" w:rsidP="0041110A">
      <w:pPr>
        <w:pStyle w:val="FootnoteText"/>
      </w:pPr>
      <w:r w:rsidRPr="00D26737">
        <w:rPr>
          <w:rStyle w:val="FootnoteReference"/>
        </w:rPr>
        <w:footnoteRef/>
      </w:r>
      <w:r w:rsidRPr="00D26737">
        <w:t xml:space="preserve"> </w:t>
      </w:r>
      <w:r w:rsidRPr="00D26737">
        <w:rPr>
          <w:i/>
        </w:rPr>
        <w:t>Id</w:t>
      </w:r>
      <w:r>
        <w:t>.</w:t>
      </w:r>
    </w:p>
  </w:footnote>
  <w:footnote w:id="12">
    <w:p w:rsidR="0041110A" w:rsidRPr="00D26737" w:rsidRDefault="0041110A" w:rsidP="0041110A">
      <w:pPr>
        <w:pStyle w:val="FootnoteText"/>
      </w:pPr>
      <w:r w:rsidRPr="00D26737">
        <w:rPr>
          <w:rStyle w:val="FootnoteReference"/>
        </w:rPr>
        <w:footnoteRef/>
      </w:r>
      <w:r w:rsidRPr="00D26737">
        <w:t xml:space="preserve"> </w:t>
      </w:r>
      <w:r w:rsidRPr="00D26737">
        <w:rPr>
          <w:i/>
        </w:rPr>
        <w:t>Id</w:t>
      </w:r>
      <w:r w:rsidRPr="00D26737">
        <w:t>.</w:t>
      </w:r>
    </w:p>
  </w:footnote>
  <w:footnote w:id="13">
    <w:p w:rsidR="0041110A" w:rsidRDefault="0041110A" w:rsidP="0041110A">
      <w:pPr>
        <w:pStyle w:val="FootnoteText"/>
      </w:pPr>
      <w:r>
        <w:rPr>
          <w:rStyle w:val="FootnoteReference"/>
        </w:rPr>
        <w:footnoteRef/>
      </w:r>
      <w:r>
        <w:t xml:space="preserve"> </w:t>
      </w:r>
      <w:r w:rsidRPr="00F61F15">
        <w:rPr>
          <w:i/>
        </w:rPr>
        <w:t>Id</w:t>
      </w:r>
      <w:r>
        <w:t>.</w:t>
      </w:r>
    </w:p>
  </w:footnote>
  <w:footnote w:id="14">
    <w:p w:rsidR="0041110A" w:rsidRPr="00D26737" w:rsidRDefault="0041110A" w:rsidP="0041110A">
      <w:pPr>
        <w:pStyle w:val="FootnoteText"/>
      </w:pPr>
      <w:r w:rsidRPr="00D26737">
        <w:rPr>
          <w:rStyle w:val="FootnoteReference"/>
        </w:rPr>
        <w:footnoteRef/>
      </w:r>
      <w:r w:rsidRPr="00D26737">
        <w:t xml:space="preserve"> </w:t>
      </w:r>
      <w:r w:rsidRPr="00D26737">
        <w:rPr>
          <w:i/>
        </w:rPr>
        <w:t>See Biennial Regulatory Review – Amendment of Parts 0, 1, 13, 22, 24, 26, 27, 80, 87, 90, 95, and 101 of the Commission’s Rules to Facilitate Development and Use of the Universal Licensing System in the Wireless Telecommunications Service</w:t>
      </w:r>
      <w:r w:rsidRPr="00D26737">
        <w:t>, Memorandum Opinion and Order on Reconsideration, 14 FCC Rcd 11476 (1999) (</w:t>
      </w:r>
      <w:r w:rsidRPr="00D26737">
        <w:rPr>
          <w:i/>
        </w:rPr>
        <w:t>ULS MO&amp;O</w:t>
      </w:r>
      <w:r w:rsidRPr="00D26737">
        <w:t>).</w:t>
      </w:r>
    </w:p>
  </w:footnote>
  <w:footnote w:id="15">
    <w:p w:rsidR="0041110A" w:rsidRPr="00D26737" w:rsidRDefault="0041110A" w:rsidP="0041110A">
      <w:pPr>
        <w:pStyle w:val="FootnoteText"/>
        <w:jc w:val="both"/>
      </w:pPr>
      <w:r w:rsidRPr="00D26737">
        <w:rPr>
          <w:rStyle w:val="FootnoteReference"/>
        </w:rPr>
        <w:footnoteRef/>
      </w:r>
      <w:r w:rsidRPr="00D26737">
        <w:t xml:space="preserve"> </w:t>
      </w:r>
      <w:r w:rsidRPr="00D26737">
        <w:rPr>
          <w:i/>
        </w:rPr>
        <w:t>See id.</w:t>
      </w:r>
      <w:r w:rsidRPr="00D26737">
        <w:t xml:space="preserve"> at 11485 para. 22.</w:t>
      </w:r>
    </w:p>
  </w:footnote>
  <w:footnote w:id="16">
    <w:p w:rsidR="0041110A" w:rsidRPr="00D26737" w:rsidRDefault="0041110A" w:rsidP="0041110A">
      <w:pPr>
        <w:pStyle w:val="FootnoteText"/>
        <w:jc w:val="both"/>
      </w:pPr>
      <w:r w:rsidRPr="00D26737">
        <w:rPr>
          <w:rStyle w:val="FootnoteReference"/>
        </w:rPr>
        <w:footnoteRef/>
      </w:r>
      <w:r w:rsidRPr="00D26737">
        <w:t xml:space="preserve"> </w:t>
      </w:r>
      <w:r w:rsidR="005C4E5E" w:rsidRPr="00E50257">
        <w:rPr>
          <w:i/>
        </w:rPr>
        <w:t>Id</w:t>
      </w:r>
      <w:r w:rsidR="005C4E5E" w:rsidRPr="00E50257">
        <w:t>.</w:t>
      </w:r>
      <w:r w:rsidR="005C4E5E">
        <w:t xml:space="preserve"> </w:t>
      </w:r>
    </w:p>
  </w:footnote>
  <w:footnote w:id="17">
    <w:p w:rsidR="0041110A" w:rsidRPr="00D26737" w:rsidRDefault="0041110A" w:rsidP="0041110A">
      <w:pPr>
        <w:pStyle w:val="FootnoteText"/>
        <w:jc w:val="both"/>
      </w:pPr>
      <w:r w:rsidRPr="00D26737">
        <w:rPr>
          <w:rStyle w:val="FootnoteReference"/>
        </w:rPr>
        <w:footnoteRef/>
      </w:r>
      <w:r w:rsidR="005C4E5E" w:rsidRPr="005C4E5E">
        <w:rPr>
          <w:i/>
        </w:rPr>
        <w:t>Id</w:t>
      </w:r>
      <w:r w:rsidRPr="005C4E5E">
        <w:rPr>
          <w:i/>
        </w:rPr>
        <w:t>.</w:t>
      </w:r>
      <w:r w:rsidR="005C4E5E">
        <w:t xml:space="preserve"> </w:t>
      </w:r>
    </w:p>
  </w:footnote>
  <w:footnote w:id="18">
    <w:p w:rsidR="0041110A" w:rsidRPr="00D26737" w:rsidRDefault="0041110A" w:rsidP="0041110A">
      <w:pPr>
        <w:pStyle w:val="FootnoteText"/>
      </w:pPr>
      <w:r w:rsidRPr="00D26737">
        <w:rPr>
          <w:rStyle w:val="FootnoteReference"/>
        </w:rPr>
        <w:footnoteRef/>
      </w:r>
      <w:r w:rsidRPr="00D26737">
        <w:t xml:space="preserve"> </w:t>
      </w:r>
      <w:r w:rsidRPr="00D26737">
        <w:rPr>
          <w:i/>
        </w:rPr>
        <w:t>See</w:t>
      </w:r>
      <w:r w:rsidRPr="00D26737">
        <w:t xml:space="preserve"> </w:t>
      </w:r>
      <w:r w:rsidRPr="0041110A">
        <w:rPr>
          <w:i/>
        </w:rPr>
        <w:t>Amendment of Parts 1 and 90 of the Commission’s Rules Concerning the Construction, Licensing and Operation of Private Land Mobile Radio Stations</w:t>
      </w:r>
      <w:r w:rsidRPr="00D26737">
        <w:t xml:space="preserve">, </w:t>
      </w:r>
      <w:r w:rsidRPr="0041110A">
        <w:t>Report and Order</w:t>
      </w:r>
      <w:r w:rsidRPr="00D26737">
        <w:t>, 6 FCC Rcd 7297, 7301 para. 20 (1991).</w:t>
      </w:r>
    </w:p>
  </w:footnote>
  <w:footnote w:id="19">
    <w:p w:rsidR="0041110A" w:rsidRPr="00D26737" w:rsidRDefault="0041110A" w:rsidP="0041110A">
      <w:pPr>
        <w:pStyle w:val="FootnoteText"/>
        <w:jc w:val="both"/>
      </w:pPr>
      <w:r w:rsidRPr="00D26737">
        <w:rPr>
          <w:rStyle w:val="FootnoteReference"/>
        </w:rPr>
        <w:footnoteRef/>
      </w:r>
      <w:r w:rsidRPr="00D26737">
        <w:t xml:space="preserve"> </w:t>
      </w:r>
      <w:r w:rsidRPr="00D26737">
        <w:rPr>
          <w:i/>
        </w:rPr>
        <w:t>See</w:t>
      </w:r>
      <w:r w:rsidRPr="00D26737">
        <w:t xml:space="preserve"> </w:t>
      </w:r>
      <w:r w:rsidRPr="00D26737">
        <w:rPr>
          <w:i/>
        </w:rPr>
        <w:t>ULS Reconsideration MO&amp;O</w:t>
      </w:r>
      <w:r w:rsidRPr="00D26737">
        <w:t>, 14 FCC Rcd</w:t>
      </w:r>
      <w:r w:rsidRPr="00D26737">
        <w:rPr>
          <w:i/>
        </w:rPr>
        <w:t xml:space="preserve"> </w:t>
      </w:r>
      <w:r>
        <w:t>at 11485 and</w:t>
      </w:r>
      <w:r w:rsidRPr="00D26737">
        <w:t xml:space="preserve"> n.21.</w:t>
      </w:r>
    </w:p>
  </w:footnote>
  <w:footnote w:id="20">
    <w:p w:rsidR="0041110A" w:rsidRPr="00D26737" w:rsidRDefault="0041110A" w:rsidP="0041110A">
      <w:pPr>
        <w:pStyle w:val="FootnoteText"/>
      </w:pPr>
      <w:r w:rsidRPr="00D26737">
        <w:rPr>
          <w:rStyle w:val="FootnoteReference"/>
        </w:rPr>
        <w:footnoteRef/>
      </w:r>
      <w:r w:rsidRPr="00D26737">
        <w:t xml:space="preserve">  </w:t>
      </w:r>
      <w:r w:rsidRPr="00D26737">
        <w:rPr>
          <w:i/>
        </w:rPr>
        <w:t>See Biennial Regulatory Review – Amendment of Parts 0, 1, 13, 22, 24, 26, 27, 80, 87, 90, 95, and 101 of the Commission’s Rules to Facilitate Development and Use of the Universal Licensing System in the Wireless Telecommunications Service,</w:t>
      </w:r>
      <w:r w:rsidRPr="00D26737">
        <w:t xml:space="preserve"> Report and Order, </w:t>
      </w:r>
      <w:r>
        <w:t>13 FCC Rcd 21027, 21073 para.</w:t>
      </w:r>
      <w:r w:rsidRPr="00D26737">
        <w:t xml:space="preserve"> 98 (1998) (“not receiving a renewal reminder notice does not excuse the licensee’s failure to seek a timely renewal”).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E5" w:rsidRDefault="000C3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Header"/>
      <w:pBdr>
        <w:bottom w:val="single" w:sz="12" w:space="0" w:color="auto"/>
      </w:pBdr>
      <w:rPr>
        <w:b w:val="0"/>
      </w:rPr>
    </w:pPr>
    <w:r>
      <w:tab/>
      <w:t>Federal Communications Commission</w:t>
    </w:r>
    <w:r>
      <w:tab/>
      <w:t xml:space="preserve">DA </w:t>
    </w:r>
    <w:r w:rsidR="00E16E6B" w:rsidRPr="00E16E6B">
      <w:t>1</w:t>
    </w:r>
    <w:r w:rsidR="0041110A">
      <w:t>7</w:t>
    </w:r>
    <w:r w:rsidR="00E16E6B" w:rsidRPr="00E16E6B">
      <w:t>-</w:t>
    </w:r>
    <w:r w:rsidR="000954AC">
      <w:t>920</w:t>
    </w:r>
  </w:p>
  <w:p w:rsidR="00703C53" w:rsidRDefault="00703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Header"/>
      <w:pBdr>
        <w:bottom w:val="single" w:sz="12" w:space="1" w:color="auto"/>
      </w:pBdr>
      <w:rPr>
        <w:b w:val="0"/>
      </w:rPr>
    </w:pPr>
    <w:r>
      <w:tab/>
      <w:t>Federal Communications Commission</w:t>
    </w:r>
    <w:r>
      <w:tab/>
    </w:r>
    <w:r w:rsidR="00E373AD" w:rsidRPr="00E373AD">
      <w:t>DA 1</w:t>
    </w:r>
    <w:r w:rsidR="0041110A">
      <w:t>7</w:t>
    </w:r>
    <w:r w:rsidR="00E373AD" w:rsidRPr="00E373AD">
      <w:t>-</w:t>
    </w:r>
    <w:r w:rsidR="007470B1">
      <w:t>920</w:t>
    </w:r>
  </w:p>
  <w:p w:rsidR="00703C53" w:rsidRDefault="00703C53"/>
  <w:p w:rsidR="00703C53" w:rsidRDefault="00703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3F1933"/>
    <w:multiLevelType w:val="singleLevel"/>
    <w:tmpl w:val="0000000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3">
    <w:nsid w:val="1D5F0B24"/>
    <w:multiLevelType w:val="singleLevel"/>
    <w:tmpl w:val="9FD2E0D8"/>
    <w:lvl w:ilvl="0">
      <w:start w:val="1"/>
      <w:numFmt w:val="decimal"/>
      <w:pStyle w:val="NumberedParagraphs"/>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D571270"/>
    <w:multiLevelType w:val="singleLevel"/>
    <w:tmpl w:val="1C8C94E0"/>
    <w:lvl w:ilvl="0">
      <w:start w:val="1"/>
      <w:numFmt w:val="decimal"/>
      <w:lvlText w:val="%1."/>
      <w:lvlJc w:val="left"/>
      <w:pPr>
        <w:tabs>
          <w:tab w:val="num" w:pos="1440"/>
        </w:tabs>
        <w:ind w:left="1440" w:hanging="720"/>
      </w:pPr>
      <w:rPr>
        <w:rFonts w:hint="default"/>
      </w:rPr>
    </w:lvl>
  </w:abstractNum>
  <w:abstractNum w:abstractNumId="8">
    <w:nsid w:val="30002CD4"/>
    <w:multiLevelType w:val="singleLevel"/>
    <w:tmpl w:val="1C8C94E0"/>
    <w:lvl w:ilvl="0">
      <w:start w:val="1"/>
      <w:numFmt w:val="decimal"/>
      <w:lvlText w:val="%1."/>
      <w:lvlJc w:val="left"/>
      <w:pPr>
        <w:tabs>
          <w:tab w:val="num" w:pos="1440"/>
        </w:tabs>
        <w:ind w:left="1440" w:hanging="720"/>
      </w:pPr>
      <w:rPr>
        <w:rFont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0E225D9"/>
    <w:multiLevelType w:val="hybridMultilevel"/>
    <w:tmpl w:val="6F56B5B2"/>
    <w:lvl w:ilvl="0" w:tplc="5E569490">
      <w:start w:val="1"/>
      <w:numFmt w:val="bullet"/>
      <w:lvlText w:val=""/>
      <w:lvlJc w:val="left"/>
      <w:pPr>
        <w:tabs>
          <w:tab w:val="num" w:pos="720"/>
        </w:tabs>
        <w:ind w:left="720" w:hanging="360"/>
      </w:pPr>
      <w:rPr>
        <w:rFonts w:ascii="Wingdings" w:hAnsi="Wingdings" w:hint="default"/>
      </w:rPr>
    </w:lvl>
    <w:lvl w:ilvl="1" w:tplc="BEA44C08">
      <w:start w:val="1"/>
      <w:numFmt w:val="bullet"/>
      <w:lvlText w:val="o"/>
      <w:lvlJc w:val="left"/>
      <w:pPr>
        <w:tabs>
          <w:tab w:val="num" w:pos="720"/>
        </w:tabs>
        <w:ind w:left="720" w:hanging="360"/>
      </w:pPr>
      <w:rPr>
        <w:rFonts w:ascii="Courier New" w:hAnsi="Courier New" w:cs="Courier New" w:hint="default"/>
      </w:rPr>
    </w:lvl>
    <w:lvl w:ilvl="2" w:tplc="5B08C580">
      <w:start w:val="1"/>
      <w:numFmt w:val="bullet"/>
      <w:lvlText w:val=""/>
      <w:lvlJc w:val="left"/>
      <w:pPr>
        <w:tabs>
          <w:tab w:val="num" w:pos="1440"/>
        </w:tabs>
        <w:ind w:left="1440" w:hanging="360"/>
      </w:pPr>
      <w:rPr>
        <w:rFonts w:ascii="Wingdings" w:hAnsi="Wingdings" w:hint="default"/>
      </w:rPr>
    </w:lvl>
    <w:lvl w:ilvl="3" w:tplc="6D4A0E18" w:tentative="1">
      <w:start w:val="1"/>
      <w:numFmt w:val="bullet"/>
      <w:lvlText w:val=""/>
      <w:lvlJc w:val="left"/>
      <w:pPr>
        <w:tabs>
          <w:tab w:val="num" w:pos="2160"/>
        </w:tabs>
        <w:ind w:left="2160" w:hanging="360"/>
      </w:pPr>
      <w:rPr>
        <w:rFonts w:ascii="Symbol" w:hAnsi="Symbol" w:hint="default"/>
      </w:rPr>
    </w:lvl>
    <w:lvl w:ilvl="4" w:tplc="250EDF7A" w:tentative="1">
      <w:start w:val="1"/>
      <w:numFmt w:val="bullet"/>
      <w:lvlText w:val="o"/>
      <w:lvlJc w:val="left"/>
      <w:pPr>
        <w:tabs>
          <w:tab w:val="num" w:pos="2880"/>
        </w:tabs>
        <w:ind w:left="2880" w:hanging="360"/>
      </w:pPr>
      <w:rPr>
        <w:rFonts w:ascii="Courier New" w:hAnsi="Courier New" w:cs="Courier New" w:hint="default"/>
      </w:rPr>
    </w:lvl>
    <w:lvl w:ilvl="5" w:tplc="C67E881E" w:tentative="1">
      <w:start w:val="1"/>
      <w:numFmt w:val="bullet"/>
      <w:lvlText w:val=""/>
      <w:lvlJc w:val="left"/>
      <w:pPr>
        <w:tabs>
          <w:tab w:val="num" w:pos="3600"/>
        </w:tabs>
        <w:ind w:left="3600" w:hanging="360"/>
      </w:pPr>
      <w:rPr>
        <w:rFonts w:ascii="Wingdings" w:hAnsi="Wingdings" w:hint="default"/>
      </w:rPr>
    </w:lvl>
    <w:lvl w:ilvl="6" w:tplc="6C4629F6" w:tentative="1">
      <w:start w:val="1"/>
      <w:numFmt w:val="bullet"/>
      <w:lvlText w:val=""/>
      <w:lvlJc w:val="left"/>
      <w:pPr>
        <w:tabs>
          <w:tab w:val="num" w:pos="4320"/>
        </w:tabs>
        <w:ind w:left="4320" w:hanging="360"/>
      </w:pPr>
      <w:rPr>
        <w:rFonts w:ascii="Symbol" w:hAnsi="Symbol" w:hint="default"/>
      </w:rPr>
    </w:lvl>
    <w:lvl w:ilvl="7" w:tplc="0B922692" w:tentative="1">
      <w:start w:val="1"/>
      <w:numFmt w:val="bullet"/>
      <w:lvlText w:val="o"/>
      <w:lvlJc w:val="left"/>
      <w:pPr>
        <w:tabs>
          <w:tab w:val="num" w:pos="5040"/>
        </w:tabs>
        <w:ind w:left="5040" w:hanging="360"/>
      </w:pPr>
      <w:rPr>
        <w:rFonts w:ascii="Courier New" w:hAnsi="Courier New" w:cs="Courier New" w:hint="default"/>
      </w:rPr>
    </w:lvl>
    <w:lvl w:ilvl="8" w:tplc="1014226C" w:tentative="1">
      <w:start w:val="1"/>
      <w:numFmt w:val="bullet"/>
      <w:lvlText w:val=""/>
      <w:lvlJc w:val="left"/>
      <w:pPr>
        <w:tabs>
          <w:tab w:val="num" w:pos="5760"/>
        </w:tabs>
        <w:ind w:left="576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631020E"/>
    <w:multiLevelType w:val="hybridMultilevel"/>
    <w:tmpl w:val="D1123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4"/>
  </w:num>
  <w:num w:numId="2">
    <w:abstractNumId w:val="12"/>
  </w:num>
  <w:num w:numId="3">
    <w:abstractNumId w:val="6"/>
  </w:num>
  <w:num w:numId="4">
    <w:abstractNumId w:val="11"/>
  </w:num>
  <w:num w:numId="5">
    <w:abstractNumId w:val="14"/>
  </w:num>
  <w:num w:numId="6">
    <w:abstractNumId w:val="3"/>
  </w:num>
  <w:num w:numId="7">
    <w:abstractNumId w:val="6"/>
    <w:lvlOverride w:ilvl="0">
      <w:startOverride w:val="4"/>
    </w:lvlOverride>
  </w:num>
  <w:num w:numId="8">
    <w:abstractNumId w:val="10"/>
  </w:num>
  <w:num w:numId="9">
    <w:abstractNumId w:val="5"/>
  </w:num>
  <w:num w:numId="10">
    <w:abstractNumId w:val="1"/>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9"/>
  </w:num>
  <w:num w:numId="20">
    <w:abstractNumId w:val="9"/>
    <w:lvlOverride w:ilvl="0">
      <w:startOverride w:val="1"/>
    </w:lvlOverride>
  </w:num>
  <w:num w:numId="21">
    <w:abstractNumId w:val="9"/>
  </w:num>
  <w:num w:numId="22">
    <w:abstractNumId w:val="9"/>
  </w:num>
  <w:num w:numId="23">
    <w:abstractNumId w:val="13"/>
  </w:num>
  <w:num w:numId="24">
    <w:abstractNumId w:val="12"/>
  </w:num>
  <w:num w:numId="25">
    <w:abstractNumId w:val="12"/>
  </w:num>
  <w:num w:numId="26">
    <w:abstractNumId w:val="6"/>
  </w:num>
  <w:num w:numId="27">
    <w:abstractNumId w:val="0"/>
  </w:num>
  <w:num w:numId="28">
    <w:abstractNumId w:val="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7"/>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6A"/>
    <w:rsid w:val="000016E1"/>
    <w:rsid w:val="0000586F"/>
    <w:rsid w:val="00007AAD"/>
    <w:rsid w:val="00012288"/>
    <w:rsid w:val="0001522D"/>
    <w:rsid w:val="0002786A"/>
    <w:rsid w:val="00033AF1"/>
    <w:rsid w:val="00037918"/>
    <w:rsid w:val="0004350D"/>
    <w:rsid w:val="00050FA1"/>
    <w:rsid w:val="00052572"/>
    <w:rsid w:val="00081D3C"/>
    <w:rsid w:val="000954AC"/>
    <w:rsid w:val="000A2E70"/>
    <w:rsid w:val="000A61DE"/>
    <w:rsid w:val="000B3EE8"/>
    <w:rsid w:val="000B481B"/>
    <w:rsid w:val="000B6660"/>
    <w:rsid w:val="000B6751"/>
    <w:rsid w:val="000B76D9"/>
    <w:rsid w:val="000C32E5"/>
    <w:rsid w:val="000C3605"/>
    <w:rsid w:val="000D15D1"/>
    <w:rsid w:val="000D583E"/>
    <w:rsid w:val="000E1A88"/>
    <w:rsid w:val="000E3B4F"/>
    <w:rsid w:val="00101EC5"/>
    <w:rsid w:val="001023F3"/>
    <w:rsid w:val="00107476"/>
    <w:rsid w:val="001126D6"/>
    <w:rsid w:val="0011785B"/>
    <w:rsid w:val="00117DE1"/>
    <w:rsid w:val="00120A69"/>
    <w:rsid w:val="0013362D"/>
    <w:rsid w:val="0014187E"/>
    <w:rsid w:val="00141B4C"/>
    <w:rsid w:val="00150084"/>
    <w:rsid w:val="00162B75"/>
    <w:rsid w:val="001632D7"/>
    <w:rsid w:val="001657A8"/>
    <w:rsid w:val="00167742"/>
    <w:rsid w:val="00170745"/>
    <w:rsid w:val="0017453D"/>
    <w:rsid w:val="001A3A69"/>
    <w:rsid w:val="001B1BD2"/>
    <w:rsid w:val="001B6556"/>
    <w:rsid w:val="001C451D"/>
    <w:rsid w:val="001D22DF"/>
    <w:rsid w:val="001D3C9C"/>
    <w:rsid w:val="001D425F"/>
    <w:rsid w:val="001D6166"/>
    <w:rsid w:val="001D684C"/>
    <w:rsid w:val="001E1B55"/>
    <w:rsid w:val="001F59EE"/>
    <w:rsid w:val="001F7E1D"/>
    <w:rsid w:val="00204E30"/>
    <w:rsid w:val="00211E8A"/>
    <w:rsid w:val="00213BF5"/>
    <w:rsid w:val="00220306"/>
    <w:rsid w:val="002205A6"/>
    <w:rsid w:val="00226363"/>
    <w:rsid w:val="0023012C"/>
    <w:rsid w:val="00230B22"/>
    <w:rsid w:val="00231640"/>
    <w:rsid w:val="002424CB"/>
    <w:rsid w:val="00253E1A"/>
    <w:rsid w:val="00260161"/>
    <w:rsid w:val="0026651D"/>
    <w:rsid w:val="0027329F"/>
    <w:rsid w:val="00273421"/>
    <w:rsid w:val="00275E9C"/>
    <w:rsid w:val="0028477C"/>
    <w:rsid w:val="002A5DA3"/>
    <w:rsid w:val="002B1E27"/>
    <w:rsid w:val="002B57F0"/>
    <w:rsid w:val="002E3C70"/>
    <w:rsid w:val="002F3BF8"/>
    <w:rsid w:val="003020CB"/>
    <w:rsid w:val="003064E2"/>
    <w:rsid w:val="00315FFB"/>
    <w:rsid w:val="00324525"/>
    <w:rsid w:val="00326FA4"/>
    <w:rsid w:val="003370EE"/>
    <w:rsid w:val="00343357"/>
    <w:rsid w:val="00345BA5"/>
    <w:rsid w:val="003635EF"/>
    <w:rsid w:val="00386622"/>
    <w:rsid w:val="003951D6"/>
    <w:rsid w:val="003A0C39"/>
    <w:rsid w:val="003B2C90"/>
    <w:rsid w:val="003C63E8"/>
    <w:rsid w:val="003D24EE"/>
    <w:rsid w:val="003D73F0"/>
    <w:rsid w:val="003E2CF2"/>
    <w:rsid w:val="003E2DC0"/>
    <w:rsid w:val="003E4598"/>
    <w:rsid w:val="00400841"/>
    <w:rsid w:val="0040777C"/>
    <w:rsid w:val="0041110A"/>
    <w:rsid w:val="00446C8B"/>
    <w:rsid w:val="0046052A"/>
    <w:rsid w:val="0046693C"/>
    <w:rsid w:val="00470B80"/>
    <w:rsid w:val="004740A1"/>
    <w:rsid w:val="00496C6E"/>
    <w:rsid w:val="00496ED8"/>
    <w:rsid w:val="004A65D1"/>
    <w:rsid w:val="004A7437"/>
    <w:rsid w:val="004B1B9D"/>
    <w:rsid w:val="004B27DB"/>
    <w:rsid w:val="004B3938"/>
    <w:rsid w:val="004B77A8"/>
    <w:rsid w:val="004C4F65"/>
    <w:rsid w:val="004C55FE"/>
    <w:rsid w:val="004C60AD"/>
    <w:rsid w:val="004E3FCC"/>
    <w:rsid w:val="004F5BEA"/>
    <w:rsid w:val="004F5BF9"/>
    <w:rsid w:val="004F732A"/>
    <w:rsid w:val="00505EF0"/>
    <w:rsid w:val="00511089"/>
    <w:rsid w:val="00512F84"/>
    <w:rsid w:val="0052560F"/>
    <w:rsid w:val="00527776"/>
    <w:rsid w:val="00531A5B"/>
    <w:rsid w:val="00532F84"/>
    <w:rsid w:val="00535B19"/>
    <w:rsid w:val="0054037F"/>
    <w:rsid w:val="005549B6"/>
    <w:rsid w:val="00572E0F"/>
    <w:rsid w:val="005748F9"/>
    <w:rsid w:val="00580F55"/>
    <w:rsid w:val="00582948"/>
    <w:rsid w:val="00586C0A"/>
    <w:rsid w:val="00587767"/>
    <w:rsid w:val="005A020F"/>
    <w:rsid w:val="005C4E5E"/>
    <w:rsid w:val="005C57FD"/>
    <w:rsid w:val="005D1B9E"/>
    <w:rsid w:val="005F6516"/>
    <w:rsid w:val="0060268B"/>
    <w:rsid w:val="00603A67"/>
    <w:rsid w:val="006271D6"/>
    <w:rsid w:val="00631046"/>
    <w:rsid w:val="00633AEB"/>
    <w:rsid w:val="00646E80"/>
    <w:rsid w:val="00650D12"/>
    <w:rsid w:val="00667B34"/>
    <w:rsid w:val="00672292"/>
    <w:rsid w:val="00680D54"/>
    <w:rsid w:val="00693EE5"/>
    <w:rsid w:val="006A36FE"/>
    <w:rsid w:val="006C1FBD"/>
    <w:rsid w:val="006C4AA4"/>
    <w:rsid w:val="006E5929"/>
    <w:rsid w:val="006E7CAE"/>
    <w:rsid w:val="006E7F9F"/>
    <w:rsid w:val="006F209A"/>
    <w:rsid w:val="006F3F03"/>
    <w:rsid w:val="006F3F0E"/>
    <w:rsid w:val="00700123"/>
    <w:rsid w:val="00703C53"/>
    <w:rsid w:val="00703CDF"/>
    <w:rsid w:val="007075BA"/>
    <w:rsid w:val="00715EAC"/>
    <w:rsid w:val="00743E30"/>
    <w:rsid w:val="00746342"/>
    <w:rsid w:val="007470B1"/>
    <w:rsid w:val="007529FC"/>
    <w:rsid w:val="0076031E"/>
    <w:rsid w:val="007743B2"/>
    <w:rsid w:val="00774FA5"/>
    <w:rsid w:val="00781D40"/>
    <w:rsid w:val="00782AAD"/>
    <w:rsid w:val="007B29A9"/>
    <w:rsid w:val="007B2BD2"/>
    <w:rsid w:val="007C3733"/>
    <w:rsid w:val="007C6ECC"/>
    <w:rsid w:val="007D092F"/>
    <w:rsid w:val="007D2634"/>
    <w:rsid w:val="007D3DF6"/>
    <w:rsid w:val="007D7E00"/>
    <w:rsid w:val="007E4C1C"/>
    <w:rsid w:val="007E515C"/>
    <w:rsid w:val="007F01EF"/>
    <w:rsid w:val="007F1F49"/>
    <w:rsid w:val="00800E0B"/>
    <w:rsid w:val="00805C8D"/>
    <w:rsid w:val="00805F1D"/>
    <w:rsid w:val="008104B1"/>
    <w:rsid w:val="00814C80"/>
    <w:rsid w:val="0081557C"/>
    <w:rsid w:val="00817875"/>
    <w:rsid w:val="00820650"/>
    <w:rsid w:val="00825570"/>
    <w:rsid w:val="00840007"/>
    <w:rsid w:val="008436AA"/>
    <w:rsid w:val="008457DF"/>
    <w:rsid w:val="0085711A"/>
    <w:rsid w:val="00863F72"/>
    <w:rsid w:val="008745A6"/>
    <w:rsid w:val="00874645"/>
    <w:rsid w:val="008766C5"/>
    <w:rsid w:val="00882CF2"/>
    <w:rsid w:val="008B33B7"/>
    <w:rsid w:val="008B6770"/>
    <w:rsid w:val="008D35B5"/>
    <w:rsid w:val="008E00FF"/>
    <w:rsid w:val="008E131F"/>
    <w:rsid w:val="00907FDC"/>
    <w:rsid w:val="0091148C"/>
    <w:rsid w:val="00922CEF"/>
    <w:rsid w:val="0093161D"/>
    <w:rsid w:val="00933569"/>
    <w:rsid w:val="009366C2"/>
    <w:rsid w:val="009366DD"/>
    <w:rsid w:val="0095000B"/>
    <w:rsid w:val="009620B6"/>
    <w:rsid w:val="00962CEB"/>
    <w:rsid w:val="009742C9"/>
    <w:rsid w:val="00975348"/>
    <w:rsid w:val="009764B7"/>
    <w:rsid w:val="00992BCC"/>
    <w:rsid w:val="009A0098"/>
    <w:rsid w:val="009A05BC"/>
    <w:rsid w:val="009A255C"/>
    <w:rsid w:val="009A4374"/>
    <w:rsid w:val="009A5BCE"/>
    <w:rsid w:val="009A65E0"/>
    <w:rsid w:val="009C1EDE"/>
    <w:rsid w:val="009C26B6"/>
    <w:rsid w:val="009C4D01"/>
    <w:rsid w:val="009C62BD"/>
    <w:rsid w:val="009D1890"/>
    <w:rsid w:val="009D5895"/>
    <w:rsid w:val="009E0338"/>
    <w:rsid w:val="009E5062"/>
    <w:rsid w:val="009F6D4B"/>
    <w:rsid w:val="00A159DF"/>
    <w:rsid w:val="00A17DC4"/>
    <w:rsid w:val="00A26DE4"/>
    <w:rsid w:val="00A3129D"/>
    <w:rsid w:val="00A34105"/>
    <w:rsid w:val="00A4589C"/>
    <w:rsid w:val="00A536FB"/>
    <w:rsid w:val="00A56722"/>
    <w:rsid w:val="00A62B8C"/>
    <w:rsid w:val="00A75728"/>
    <w:rsid w:val="00A76189"/>
    <w:rsid w:val="00A76C93"/>
    <w:rsid w:val="00A81E81"/>
    <w:rsid w:val="00A93E71"/>
    <w:rsid w:val="00AA167C"/>
    <w:rsid w:val="00AA64B9"/>
    <w:rsid w:val="00AD0908"/>
    <w:rsid w:val="00AD2751"/>
    <w:rsid w:val="00AE38FF"/>
    <w:rsid w:val="00AE4B11"/>
    <w:rsid w:val="00AE7B17"/>
    <w:rsid w:val="00AF37E7"/>
    <w:rsid w:val="00AF40A6"/>
    <w:rsid w:val="00B021F3"/>
    <w:rsid w:val="00B07CA5"/>
    <w:rsid w:val="00B11274"/>
    <w:rsid w:val="00B153EB"/>
    <w:rsid w:val="00B1580E"/>
    <w:rsid w:val="00B221E4"/>
    <w:rsid w:val="00B25A2F"/>
    <w:rsid w:val="00B32E6A"/>
    <w:rsid w:val="00B36128"/>
    <w:rsid w:val="00B36FD2"/>
    <w:rsid w:val="00B41231"/>
    <w:rsid w:val="00B47BF6"/>
    <w:rsid w:val="00B667BF"/>
    <w:rsid w:val="00B85A7E"/>
    <w:rsid w:val="00B97463"/>
    <w:rsid w:val="00BA1CD5"/>
    <w:rsid w:val="00BA200A"/>
    <w:rsid w:val="00BB0FA3"/>
    <w:rsid w:val="00BE3EE0"/>
    <w:rsid w:val="00BE5AC0"/>
    <w:rsid w:val="00C01990"/>
    <w:rsid w:val="00C11988"/>
    <w:rsid w:val="00C2382C"/>
    <w:rsid w:val="00C33852"/>
    <w:rsid w:val="00C50518"/>
    <w:rsid w:val="00C53B0F"/>
    <w:rsid w:val="00C6490D"/>
    <w:rsid w:val="00C71B8E"/>
    <w:rsid w:val="00C724B4"/>
    <w:rsid w:val="00C746B0"/>
    <w:rsid w:val="00C821D1"/>
    <w:rsid w:val="00C84ED0"/>
    <w:rsid w:val="00CA0261"/>
    <w:rsid w:val="00CA3E64"/>
    <w:rsid w:val="00CB3924"/>
    <w:rsid w:val="00CC0C75"/>
    <w:rsid w:val="00CC5021"/>
    <w:rsid w:val="00CC649F"/>
    <w:rsid w:val="00CE4E43"/>
    <w:rsid w:val="00CF1340"/>
    <w:rsid w:val="00CF713D"/>
    <w:rsid w:val="00D10EFA"/>
    <w:rsid w:val="00D21C09"/>
    <w:rsid w:val="00D23C78"/>
    <w:rsid w:val="00D32D56"/>
    <w:rsid w:val="00D35C4B"/>
    <w:rsid w:val="00D545C9"/>
    <w:rsid w:val="00D628C6"/>
    <w:rsid w:val="00D71D8B"/>
    <w:rsid w:val="00D72FA0"/>
    <w:rsid w:val="00D86778"/>
    <w:rsid w:val="00D91276"/>
    <w:rsid w:val="00D9218E"/>
    <w:rsid w:val="00D96743"/>
    <w:rsid w:val="00DA1263"/>
    <w:rsid w:val="00DA60DA"/>
    <w:rsid w:val="00DB0032"/>
    <w:rsid w:val="00DB2704"/>
    <w:rsid w:val="00DB3B3C"/>
    <w:rsid w:val="00DC0DF7"/>
    <w:rsid w:val="00DC267A"/>
    <w:rsid w:val="00DC41F2"/>
    <w:rsid w:val="00DC4A2D"/>
    <w:rsid w:val="00DD0A30"/>
    <w:rsid w:val="00DD1BFE"/>
    <w:rsid w:val="00DD4D21"/>
    <w:rsid w:val="00DD559C"/>
    <w:rsid w:val="00DD5DF0"/>
    <w:rsid w:val="00DE1AFC"/>
    <w:rsid w:val="00E006B9"/>
    <w:rsid w:val="00E051DA"/>
    <w:rsid w:val="00E1178E"/>
    <w:rsid w:val="00E128CB"/>
    <w:rsid w:val="00E16E6B"/>
    <w:rsid w:val="00E2169A"/>
    <w:rsid w:val="00E244F3"/>
    <w:rsid w:val="00E321F6"/>
    <w:rsid w:val="00E373AD"/>
    <w:rsid w:val="00E42D1F"/>
    <w:rsid w:val="00E560AD"/>
    <w:rsid w:val="00E62684"/>
    <w:rsid w:val="00E65939"/>
    <w:rsid w:val="00E65ABC"/>
    <w:rsid w:val="00E756B5"/>
    <w:rsid w:val="00EB056D"/>
    <w:rsid w:val="00EB2012"/>
    <w:rsid w:val="00EB2D9B"/>
    <w:rsid w:val="00EB3236"/>
    <w:rsid w:val="00EB40F0"/>
    <w:rsid w:val="00EB4497"/>
    <w:rsid w:val="00EB464C"/>
    <w:rsid w:val="00EC0133"/>
    <w:rsid w:val="00EC7612"/>
    <w:rsid w:val="00ED2FD0"/>
    <w:rsid w:val="00ED4C49"/>
    <w:rsid w:val="00EE040E"/>
    <w:rsid w:val="00EE6B15"/>
    <w:rsid w:val="00F02B6F"/>
    <w:rsid w:val="00F07E16"/>
    <w:rsid w:val="00F21D18"/>
    <w:rsid w:val="00F26CD0"/>
    <w:rsid w:val="00F55797"/>
    <w:rsid w:val="00F672A8"/>
    <w:rsid w:val="00F7382B"/>
    <w:rsid w:val="00F83322"/>
    <w:rsid w:val="00F8539C"/>
    <w:rsid w:val="00FA0B91"/>
    <w:rsid w:val="00FA0CAC"/>
    <w:rsid w:val="00FB0618"/>
    <w:rsid w:val="00FB131D"/>
    <w:rsid w:val="00FC17A9"/>
    <w:rsid w:val="00FE1FFE"/>
    <w:rsid w:val="00FF2B43"/>
    <w:rsid w:val="00FF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C0"/>
    <w:pPr>
      <w:widowControl w:val="0"/>
    </w:pPr>
    <w:rPr>
      <w:snapToGrid w:val="0"/>
      <w:kern w:val="28"/>
      <w:sz w:val="22"/>
    </w:rPr>
  </w:style>
  <w:style w:type="paragraph" w:styleId="Heading1">
    <w:name w:val="heading 1"/>
    <w:basedOn w:val="Normal"/>
    <w:next w:val="ParaNum"/>
    <w:qFormat/>
    <w:rsid w:val="00BE5A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BE5AC0"/>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BE5AC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BE5AC0"/>
    <w:pPr>
      <w:keepNext/>
      <w:numPr>
        <w:ilvl w:val="3"/>
        <w:numId w:val="3"/>
      </w:numPr>
      <w:tabs>
        <w:tab w:val="left" w:pos="2880"/>
      </w:tabs>
      <w:spacing w:after="120"/>
      <w:outlineLvl w:val="3"/>
    </w:pPr>
    <w:rPr>
      <w:b/>
    </w:rPr>
  </w:style>
  <w:style w:type="paragraph" w:styleId="Heading5">
    <w:name w:val="heading 5"/>
    <w:basedOn w:val="Normal"/>
    <w:next w:val="ParaNum"/>
    <w:qFormat/>
    <w:rsid w:val="00BE5AC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E5AC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E5A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5AC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E5A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E5AC0"/>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BE5AC0"/>
    <w:rPr>
      <w:sz w:val="20"/>
    </w:rPr>
  </w:style>
  <w:style w:type="character" w:styleId="EndnoteReference">
    <w:name w:val="endnote reference"/>
    <w:semiHidden/>
    <w:rsid w:val="00BE5AC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BE5AC0"/>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
    <w:rsid w:val="00BE5AC0"/>
    <w:rPr>
      <w:rFonts w:ascii="Times New Roman" w:hAnsi="Times New Roman"/>
      <w:dstrike w:val="0"/>
      <w:color w:val="auto"/>
      <w:sz w:val="20"/>
      <w:vertAlign w:val="superscript"/>
    </w:rPr>
  </w:style>
  <w:style w:type="paragraph" w:styleId="TOC1">
    <w:name w:val="toc 1"/>
    <w:basedOn w:val="Normal"/>
    <w:next w:val="Normal"/>
    <w:semiHidden/>
    <w:rsid w:val="00BE5A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5AC0"/>
    <w:pPr>
      <w:tabs>
        <w:tab w:val="left" w:pos="720"/>
        <w:tab w:val="right" w:leader="dot" w:pos="9360"/>
      </w:tabs>
      <w:suppressAutoHyphens/>
      <w:ind w:left="720" w:right="720" w:hanging="360"/>
    </w:pPr>
    <w:rPr>
      <w:noProof/>
    </w:rPr>
  </w:style>
  <w:style w:type="paragraph" w:styleId="TOC3">
    <w:name w:val="toc 3"/>
    <w:basedOn w:val="Normal"/>
    <w:next w:val="Normal"/>
    <w:semiHidden/>
    <w:rsid w:val="00BE5A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5A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5A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5A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5A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5A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5A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5AC0"/>
    <w:pPr>
      <w:tabs>
        <w:tab w:val="right" w:pos="9360"/>
      </w:tabs>
      <w:suppressAutoHyphens/>
    </w:pPr>
  </w:style>
  <w:style w:type="character" w:customStyle="1" w:styleId="EquationCaption">
    <w:name w:val="_Equation Caption"/>
    <w:rsid w:val="00BE5AC0"/>
  </w:style>
  <w:style w:type="paragraph" w:styleId="Header">
    <w:name w:val="header"/>
    <w:basedOn w:val="Normal"/>
    <w:autoRedefine/>
    <w:rsid w:val="00BE5AC0"/>
    <w:pPr>
      <w:tabs>
        <w:tab w:val="center" w:pos="4680"/>
        <w:tab w:val="right" w:pos="9360"/>
      </w:tabs>
    </w:pPr>
    <w:rPr>
      <w:b/>
    </w:rPr>
  </w:style>
  <w:style w:type="paragraph" w:styleId="Footer">
    <w:name w:val="footer"/>
    <w:basedOn w:val="Normal"/>
    <w:rsid w:val="00BE5AC0"/>
    <w:pPr>
      <w:tabs>
        <w:tab w:val="center" w:pos="4320"/>
        <w:tab w:val="right" w:pos="8640"/>
      </w:tabs>
    </w:pPr>
  </w:style>
  <w:style w:type="character" w:styleId="PageNumber">
    <w:name w:val="page number"/>
    <w:basedOn w:val="DefaultParagraphFont"/>
    <w:rsid w:val="00BE5AC0"/>
  </w:style>
  <w:style w:type="paragraph" w:styleId="BlockText">
    <w:name w:val="Block Text"/>
    <w:basedOn w:val="Normal"/>
    <w:rsid w:val="00BE5AC0"/>
    <w:pPr>
      <w:spacing w:after="240"/>
      <w:ind w:left="1440" w:right="1440"/>
    </w:pPr>
  </w:style>
  <w:style w:type="paragraph" w:customStyle="1" w:styleId="Paratitle">
    <w:name w:val="Para title"/>
    <w:basedOn w:val="Normal"/>
    <w:rsid w:val="00BE5AC0"/>
    <w:pPr>
      <w:tabs>
        <w:tab w:val="center" w:pos="9270"/>
      </w:tabs>
      <w:spacing w:after="240"/>
    </w:pPr>
    <w:rPr>
      <w:spacing w:val="-2"/>
    </w:rPr>
  </w:style>
  <w:style w:type="paragraph" w:customStyle="1" w:styleId="Bullet">
    <w:name w:val="Bullet"/>
    <w:basedOn w:val="Normal"/>
    <w:rsid w:val="00BE5AC0"/>
    <w:pPr>
      <w:tabs>
        <w:tab w:val="left" w:pos="2160"/>
      </w:tabs>
      <w:spacing w:after="220"/>
      <w:ind w:left="2160" w:hanging="720"/>
    </w:pPr>
  </w:style>
  <w:style w:type="paragraph" w:customStyle="1" w:styleId="TableFormat">
    <w:name w:val="TableFormat"/>
    <w:basedOn w:val="Bullet"/>
    <w:rsid w:val="00BE5AC0"/>
    <w:pPr>
      <w:tabs>
        <w:tab w:val="clear" w:pos="2160"/>
        <w:tab w:val="left" w:pos="5040"/>
      </w:tabs>
      <w:ind w:left="5040" w:hanging="3600"/>
    </w:pPr>
  </w:style>
  <w:style w:type="paragraph" w:customStyle="1" w:styleId="TOCTitle">
    <w:name w:val="TOC Title"/>
    <w:basedOn w:val="Normal"/>
    <w:rsid w:val="00BE5A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5AC0"/>
    <w:pPr>
      <w:jc w:val="center"/>
    </w:pPr>
    <w:rPr>
      <w:rFonts w:ascii="Times New Roman Bold" w:hAnsi="Times New Roman Bold"/>
      <w:b/>
      <w:bCs/>
      <w:caps/>
      <w:szCs w:val="22"/>
    </w:rPr>
  </w:style>
  <w:style w:type="character" w:styleId="Hyperlink">
    <w:name w:val="Hyperlink"/>
    <w:rsid w:val="00BE5AC0"/>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uiPriority w:val="20"/>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fn Char"/>
    <w:uiPriority w:val="99"/>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character" w:styleId="PlaceholderText">
    <w:name w:val="Placeholder Text"/>
    <w:basedOn w:val="DefaultParagraphFont"/>
    <w:uiPriority w:val="99"/>
    <w:semiHidden/>
    <w:rsid w:val="00531A5B"/>
    <w:rPr>
      <w:color w:val="808080"/>
    </w:rPr>
  </w:style>
  <w:style w:type="character" w:customStyle="1" w:styleId="cosearchterm">
    <w:name w:val="co_searchterm"/>
    <w:basedOn w:val="DefaultParagraphFont"/>
    <w:rsid w:val="00170745"/>
  </w:style>
  <w:style w:type="character" w:customStyle="1" w:styleId="apple-converted-space">
    <w:name w:val="apple-converted-space"/>
    <w:basedOn w:val="DefaultParagraphFont"/>
    <w:rsid w:val="00170745"/>
  </w:style>
  <w:style w:type="paragraph" w:styleId="ListParagraph">
    <w:name w:val="List Paragraph"/>
    <w:basedOn w:val="Normal"/>
    <w:uiPriority w:val="34"/>
    <w:qFormat/>
    <w:rsid w:val="0041110A"/>
    <w:pPr>
      <w:widowControl/>
      <w:ind w:left="720"/>
      <w:contextualSpacing/>
    </w:pPr>
    <w:rPr>
      <w:snapToGrid/>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C0"/>
    <w:pPr>
      <w:widowControl w:val="0"/>
    </w:pPr>
    <w:rPr>
      <w:snapToGrid w:val="0"/>
      <w:kern w:val="28"/>
      <w:sz w:val="22"/>
    </w:rPr>
  </w:style>
  <w:style w:type="paragraph" w:styleId="Heading1">
    <w:name w:val="heading 1"/>
    <w:basedOn w:val="Normal"/>
    <w:next w:val="ParaNum"/>
    <w:qFormat/>
    <w:rsid w:val="00BE5A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BE5AC0"/>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BE5AC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BE5AC0"/>
    <w:pPr>
      <w:keepNext/>
      <w:numPr>
        <w:ilvl w:val="3"/>
        <w:numId w:val="3"/>
      </w:numPr>
      <w:tabs>
        <w:tab w:val="left" w:pos="2880"/>
      </w:tabs>
      <w:spacing w:after="120"/>
      <w:outlineLvl w:val="3"/>
    </w:pPr>
    <w:rPr>
      <w:b/>
    </w:rPr>
  </w:style>
  <w:style w:type="paragraph" w:styleId="Heading5">
    <w:name w:val="heading 5"/>
    <w:basedOn w:val="Normal"/>
    <w:next w:val="ParaNum"/>
    <w:qFormat/>
    <w:rsid w:val="00BE5AC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E5AC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E5A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5AC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E5A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E5AC0"/>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BE5AC0"/>
    <w:rPr>
      <w:sz w:val="20"/>
    </w:rPr>
  </w:style>
  <w:style w:type="character" w:styleId="EndnoteReference">
    <w:name w:val="endnote reference"/>
    <w:semiHidden/>
    <w:rsid w:val="00BE5AC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BE5AC0"/>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
    <w:rsid w:val="00BE5AC0"/>
    <w:rPr>
      <w:rFonts w:ascii="Times New Roman" w:hAnsi="Times New Roman"/>
      <w:dstrike w:val="0"/>
      <w:color w:val="auto"/>
      <w:sz w:val="20"/>
      <w:vertAlign w:val="superscript"/>
    </w:rPr>
  </w:style>
  <w:style w:type="paragraph" w:styleId="TOC1">
    <w:name w:val="toc 1"/>
    <w:basedOn w:val="Normal"/>
    <w:next w:val="Normal"/>
    <w:semiHidden/>
    <w:rsid w:val="00BE5A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5AC0"/>
    <w:pPr>
      <w:tabs>
        <w:tab w:val="left" w:pos="720"/>
        <w:tab w:val="right" w:leader="dot" w:pos="9360"/>
      </w:tabs>
      <w:suppressAutoHyphens/>
      <w:ind w:left="720" w:right="720" w:hanging="360"/>
    </w:pPr>
    <w:rPr>
      <w:noProof/>
    </w:rPr>
  </w:style>
  <w:style w:type="paragraph" w:styleId="TOC3">
    <w:name w:val="toc 3"/>
    <w:basedOn w:val="Normal"/>
    <w:next w:val="Normal"/>
    <w:semiHidden/>
    <w:rsid w:val="00BE5A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5A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5A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5A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5A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5A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5A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5AC0"/>
    <w:pPr>
      <w:tabs>
        <w:tab w:val="right" w:pos="9360"/>
      </w:tabs>
      <w:suppressAutoHyphens/>
    </w:pPr>
  </w:style>
  <w:style w:type="character" w:customStyle="1" w:styleId="EquationCaption">
    <w:name w:val="_Equation Caption"/>
    <w:rsid w:val="00BE5AC0"/>
  </w:style>
  <w:style w:type="paragraph" w:styleId="Header">
    <w:name w:val="header"/>
    <w:basedOn w:val="Normal"/>
    <w:autoRedefine/>
    <w:rsid w:val="00BE5AC0"/>
    <w:pPr>
      <w:tabs>
        <w:tab w:val="center" w:pos="4680"/>
        <w:tab w:val="right" w:pos="9360"/>
      </w:tabs>
    </w:pPr>
    <w:rPr>
      <w:b/>
    </w:rPr>
  </w:style>
  <w:style w:type="paragraph" w:styleId="Footer">
    <w:name w:val="footer"/>
    <w:basedOn w:val="Normal"/>
    <w:rsid w:val="00BE5AC0"/>
    <w:pPr>
      <w:tabs>
        <w:tab w:val="center" w:pos="4320"/>
        <w:tab w:val="right" w:pos="8640"/>
      </w:tabs>
    </w:pPr>
  </w:style>
  <w:style w:type="character" w:styleId="PageNumber">
    <w:name w:val="page number"/>
    <w:basedOn w:val="DefaultParagraphFont"/>
    <w:rsid w:val="00BE5AC0"/>
  </w:style>
  <w:style w:type="paragraph" w:styleId="BlockText">
    <w:name w:val="Block Text"/>
    <w:basedOn w:val="Normal"/>
    <w:rsid w:val="00BE5AC0"/>
    <w:pPr>
      <w:spacing w:after="240"/>
      <w:ind w:left="1440" w:right="1440"/>
    </w:pPr>
  </w:style>
  <w:style w:type="paragraph" w:customStyle="1" w:styleId="Paratitle">
    <w:name w:val="Para title"/>
    <w:basedOn w:val="Normal"/>
    <w:rsid w:val="00BE5AC0"/>
    <w:pPr>
      <w:tabs>
        <w:tab w:val="center" w:pos="9270"/>
      </w:tabs>
      <w:spacing w:after="240"/>
    </w:pPr>
    <w:rPr>
      <w:spacing w:val="-2"/>
    </w:rPr>
  </w:style>
  <w:style w:type="paragraph" w:customStyle="1" w:styleId="Bullet">
    <w:name w:val="Bullet"/>
    <w:basedOn w:val="Normal"/>
    <w:rsid w:val="00BE5AC0"/>
    <w:pPr>
      <w:tabs>
        <w:tab w:val="left" w:pos="2160"/>
      </w:tabs>
      <w:spacing w:after="220"/>
      <w:ind w:left="2160" w:hanging="720"/>
    </w:pPr>
  </w:style>
  <w:style w:type="paragraph" w:customStyle="1" w:styleId="TableFormat">
    <w:name w:val="TableFormat"/>
    <w:basedOn w:val="Bullet"/>
    <w:rsid w:val="00BE5AC0"/>
    <w:pPr>
      <w:tabs>
        <w:tab w:val="clear" w:pos="2160"/>
        <w:tab w:val="left" w:pos="5040"/>
      </w:tabs>
      <w:ind w:left="5040" w:hanging="3600"/>
    </w:pPr>
  </w:style>
  <w:style w:type="paragraph" w:customStyle="1" w:styleId="TOCTitle">
    <w:name w:val="TOC Title"/>
    <w:basedOn w:val="Normal"/>
    <w:rsid w:val="00BE5A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5AC0"/>
    <w:pPr>
      <w:jc w:val="center"/>
    </w:pPr>
    <w:rPr>
      <w:rFonts w:ascii="Times New Roman Bold" w:hAnsi="Times New Roman Bold"/>
      <w:b/>
      <w:bCs/>
      <w:caps/>
      <w:szCs w:val="22"/>
    </w:rPr>
  </w:style>
  <w:style w:type="character" w:styleId="Hyperlink">
    <w:name w:val="Hyperlink"/>
    <w:rsid w:val="00BE5AC0"/>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uiPriority w:val="20"/>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fn Char"/>
    <w:uiPriority w:val="99"/>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character" w:styleId="PlaceholderText">
    <w:name w:val="Placeholder Text"/>
    <w:basedOn w:val="DefaultParagraphFont"/>
    <w:uiPriority w:val="99"/>
    <w:semiHidden/>
    <w:rsid w:val="00531A5B"/>
    <w:rPr>
      <w:color w:val="808080"/>
    </w:rPr>
  </w:style>
  <w:style w:type="character" w:customStyle="1" w:styleId="cosearchterm">
    <w:name w:val="co_searchterm"/>
    <w:basedOn w:val="DefaultParagraphFont"/>
    <w:rsid w:val="00170745"/>
  </w:style>
  <w:style w:type="character" w:customStyle="1" w:styleId="apple-converted-space">
    <w:name w:val="apple-converted-space"/>
    <w:basedOn w:val="DefaultParagraphFont"/>
    <w:rsid w:val="00170745"/>
  </w:style>
  <w:style w:type="paragraph" w:styleId="ListParagraph">
    <w:name w:val="List Paragraph"/>
    <w:basedOn w:val="Normal"/>
    <w:uiPriority w:val="34"/>
    <w:qFormat/>
    <w:rsid w:val="0041110A"/>
    <w:pPr>
      <w:widowControl/>
      <w:ind w:left="720"/>
      <w:contextualSpacing/>
    </w:pPr>
    <w:rPr>
      <w:snapToGrid/>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2165">
      <w:bodyDiv w:val="1"/>
      <w:marLeft w:val="0"/>
      <w:marRight w:val="0"/>
      <w:marTop w:val="0"/>
      <w:marBottom w:val="0"/>
      <w:divBdr>
        <w:top w:val="none" w:sz="0" w:space="0" w:color="auto"/>
        <w:left w:val="none" w:sz="0" w:space="0" w:color="auto"/>
        <w:bottom w:val="none" w:sz="0" w:space="0" w:color="auto"/>
        <w:right w:val="none" w:sz="0" w:space="0" w:color="auto"/>
      </w:divBdr>
    </w:div>
    <w:div w:id="119736906">
      <w:bodyDiv w:val="1"/>
      <w:marLeft w:val="0"/>
      <w:marRight w:val="0"/>
      <w:marTop w:val="0"/>
      <w:marBottom w:val="0"/>
      <w:divBdr>
        <w:top w:val="none" w:sz="0" w:space="0" w:color="auto"/>
        <w:left w:val="none" w:sz="0" w:space="0" w:color="auto"/>
        <w:bottom w:val="none" w:sz="0" w:space="0" w:color="auto"/>
        <w:right w:val="none" w:sz="0" w:space="0" w:color="auto"/>
      </w:divBdr>
    </w:div>
    <w:div w:id="179779614">
      <w:bodyDiv w:val="1"/>
      <w:marLeft w:val="0"/>
      <w:marRight w:val="0"/>
      <w:marTop w:val="0"/>
      <w:marBottom w:val="0"/>
      <w:divBdr>
        <w:top w:val="none" w:sz="0" w:space="0" w:color="auto"/>
        <w:left w:val="none" w:sz="0" w:space="0" w:color="auto"/>
        <w:bottom w:val="none" w:sz="0" w:space="0" w:color="auto"/>
        <w:right w:val="none" w:sz="0" w:space="0" w:color="auto"/>
      </w:divBdr>
    </w:div>
    <w:div w:id="193083492">
      <w:bodyDiv w:val="1"/>
      <w:marLeft w:val="0"/>
      <w:marRight w:val="0"/>
      <w:marTop w:val="0"/>
      <w:marBottom w:val="0"/>
      <w:divBdr>
        <w:top w:val="none" w:sz="0" w:space="0" w:color="auto"/>
        <w:left w:val="none" w:sz="0" w:space="0" w:color="auto"/>
        <w:bottom w:val="none" w:sz="0" w:space="0" w:color="auto"/>
        <w:right w:val="none" w:sz="0" w:space="0" w:color="auto"/>
      </w:divBdr>
    </w:div>
    <w:div w:id="235215006">
      <w:bodyDiv w:val="1"/>
      <w:marLeft w:val="0"/>
      <w:marRight w:val="0"/>
      <w:marTop w:val="0"/>
      <w:marBottom w:val="0"/>
      <w:divBdr>
        <w:top w:val="none" w:sz="0" w:space="0" w:color="auto"/>
        <w:left w:val="none" w:sz="0" w:space="0" w:color="auto"/>
        <w:bottom w:val="none" w:sz="0" w:space="0" w:color="auto"/>
        <w:right w:val="none" w:sz="0" w:space="0" w:color="auto"/>
      </w:divBdr>
      <w:divsChild>
        <w:div w:id="1246525692">
          <w:marLeft w:val="0"/>
          <w:marRight w:val="0"/>
          <w:marTop w:val="0"/>
          <w:marBottom w:val="0"/>
          <w:divBdr>
            <w:top w:val="none" w:sz="0" w:space="0" w:color="auto"/>
            <w:left w:val="none" w:sz="0" w:space="0" w:color="auto"/>
            <w:bottom w:val="none" w:sz="0" w:space="0" w:color="auto"/>
            <w:right w:val="none" w:sz="0" w:space="0" w:color="auto"/>
          </w:divBdr>
          <w:divsChild>
            <w:div w:id="4030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491">
      <w:bodyDiv w:val="1"/>
      <w:marLeft w:val="0"/>
      <w:marRight w:val="0"/>
      <w:marTop w:val="0"/>
      <w:marBottom w:val="0"/>
      <w:divBdr>
        <w:top w:val="none" w:sz="0" w:space="0" w:color="auto"/>
        <w:left w:val="none" w:sz="0" w:space="0" w:color="auto"/>
        <w:bottom w:val="none" w:sz="0" w:space="0" w:color="auto"/>
        <w:right w:val="none" w:sz="0" w:space="0" w:color="auto"/>
      </w:divBdr>
    </w:div>
    <w:div w:id="514392430">
      <w:bodyDiv w:val="1"/>
      <w:marLeft w:val="0"/>
      <w:marRight w:val="0"/>
      <w:marTop w:val="0"/>
      <w:marBottom w:val="0"/>
      <w:divBdr>
        <w:top w:val="none" w:sz="0" w:space="0" w:color="auto"/>
        <w:left w:val="none" w:sz="0" w:space="0" w:color="auto"/>
        <w:bottom w:val="none" w:sz="0" w:space="0" w:color="auto"/>
        <w:right w:val="none" w:sz="0" w:space="0" w:color="auto"/>
      </w:divBdr>
    </w:div>
    <w:div w:id="535387846">
      <w:bodyDiv w:val="1"/>
      <w:marLeft w:val="0"/>
      <w:marRight w:val="0"/>
      <w:marTop w:val="0"/>
      <w:marBottom w:val="0"/>
      <w:divBdr>
        <w:top w:val="none" w:sz="0" w:space="0" w:color="auto"/>
        <w:left w:val="none" w:sz="0" w:space="0" w:color="auto"/>
        <w:bottom w:val="none" w:sz="0" w:space="0" w:color="auto"/>
        <w:right w:val="none" w:sz="0" w:space="0" w:color="auto"/>
      </w:divBdr>
    </w:div>
    <w:div w:id="633103496">
      <w:bodyDiv w:val="1"/>
      <w:marLeft w:val="0"/>
      <w:marRight w:val="0"/>
      <w:marTop w:val="0"/>
      <w:marBottom w:val="0"/>
      <w:divBdr>
        <w:top w:val="none" w:sz="0" w:space="0" w:color="auto"/>
        <w:left w:val="none" w:sz="0" w:space="0" w:color="auto"/>
        <w:bottom w:val="none" w:sz="0" w:space="0" w:color="auto"/>
        <w:right w:val="none" w:sz="0" w:space="0" w:color="auto"/>
      </w:divBdr>
    </w:div>
    <w:div w:id="698355110">
      <w:bodyDiv w:val="1"/>
      <w:marLeft w:val="30"/>
      <w:marRight w:val="30"/>
      <w:marTop w:val="30"/>
      <w:marBottom w:val="30"/>
      <w:divBdr>
        <w:top w:val="none" w:sz="0" w:space="0" w:color="auto"/>
        <w:left w:val="none" w:sz="0" w:space="0" w:color="auto"/>
        <w:bottom w:val="none" w:sz="0" w:space="0" w:color="auto"/>
        <w:right w:val="none" w:sz="0" w:space="0" w:color="auto"/>
      </w:divBdr>
      <w:divsChild>
        <w:div w:id="1072047464">
          <w:marLeft w:val="0"/>
          <w:marRight w:val="0"/>
          <w:marTop w:val="0"/>
          <w:marBottom w:val="0"/>
          <w:divBdr>
            <w:top w:val="none" w:sz="0" w:space="0" w:color="auto"/>
            <w:left w:val="none" w:sz="0" w:space="0" w:color="auto"/>
            <w:bottom w:val="none" w:sz="0" w:space="0" w:color="auto"/>
            <w:right w:val="none" w:sz="0" w:space="0" w:color="auto"/>
          </w:divBdr>
          <w:divsChild>
            <w:div w:id="612051475">
              <w:marLeft w:val="45"/>
              <w:marRight w:val="45"/>
              <w:marTop w:val="45"/>
              <w:marBottom w:val="45"/>
              <w:divBdr>
                <w:top w:val="none" w:sz="0" w:space="0" w:color="auto"/>
                <w:left w:val="none" w:sz="0" w:space="0" w:color="auto"/>
                <w:bottom w:val="none" w:sz="0" w:space="0" w:color="auto"/>
                <w:right w:val="none" w:sz="0" w:space="0" w:color="auto"/>
              </w:divBdr>
              <w:divsChild>
                <w:div w:id="592402382">
                  <w:marLeft w:val="0"/>
                  <w:marRight w:val="0"/>
                  <w:marTop w:val="0"/>
                  <w:marBottom w:val="0"/>
                  <w:divBdr>
                    <w:top w:val="none" w:sz="0" w:space="0" w:color="auto"/>
                    <w:left w:val="none" w:sz="0" w:space="0" w:color="auto"/>
                    <w:bottom w:val="none" w:sz="0" w:space="0" w:color="auto"/>
                    <w:right w:val="none" w:sz="0" w:space="0" w:color="auto"/>
                  </w:divBdr>
                  <w:divsChild>
                    <w:div w:id="9554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76706">
      <w:bodyDiv w:val="1"/>
      <w:marLeft w:val="0"/>
      <w:marRight w:val="0"/>
      <w:marTop w:val="0"/>
      <w:marBottom w:val="0"/>
      <w:divBdr>
        <w:top w:val="none" w:sz="0" w:space="0" w:color="auto"/>
        <w:left w:val="none" w:sz="0" w:space="0" w:color="auto"/>
        <w:bottom w:val="none" w:sz="0" w:space="0" w:color="auto"/>
        <w:right w:val="none" w:sz="0" w:space="0" w:color="auto"/>
      </w:divBdr>
    </w:div>
    <w:div w:id="738791138">
      <w:bodyDiv w:val="1"/>
      <w:marLeft w:val="0"/>
      <w:marRight w:val="0"/>
      <w:marTop w:val="0"/>
      <w:marBottom w:val="0"/>
      <w:divBdr>
        <w:top w:val="none" w:sz="0" w:space="0" w:color="auto"/>
        <w:left w:val="none" w:sz="0" w:space="0" w:color="auto"/>
        <w:bottom w:val="none" w:sz="0" w:space="0" w:color="auto"/>
        <w:right w:val="none" w:sz="0" w:space="0" w:color="auto"/>
      </w:divBdr>
    </w:div>
    <w:div w:id="825247928">
      <w:bodyDiv w:val="1"/>
      <w:marLeft w:val="0"/>
      <w:marRight w:val="0"/>
      <w:marTop w:val="0"/>
      <w:marBottom w:val="0"/>
      <w:divBdr>
        <w:top w:val="none" w:sz="0" w:space="0" w:color="auto"/>
        <w:left w:val="none" w:sz="0" w:space="0" w:color="auto"/>
        <w:bottom w:val="none" w:sz="0" w:space="0" w:color="auto"/>
        <w:right w:val="none" w:sz="0" w:space="0" w:color="auto"/>
      </w:divBdr>
    </w:div>
    <w:div w:id="839006687">
      <w:bodyDiv w:val="1"/>
      <w:marLeft w:val="0"/>
      <w:marRight w:val="0"/>
      <w:marTop w:val="0"/>
      <w:marBottom w:val="0"/>
      <w:divBdr>
        <w:top w:val="none" w:sz="0" w:space="0" w:color="auto"/>
        <w:left w:val="none" w:sz="0" w:space="0" w:color="auto"/>
        <w:bottom w:val="none" w:sz="0" w:space="0" w:color="auto"/>
        <w:right w:val="none" w:sz="0" w:space="0" w:color="auto"/>
      </w:divBdr>
    </w:div>
    <w:div w:id="847599799">
      <w:bodyDiv w:val="1"/>
      <w:marLeft w:val="0"/>
      <w:marRight w:val="0"/>
      <w:marTop w:val="0"/>
      <w:marBottom w:val="0"/>
      <w:divBdr>
        <w:top w:val="none" w:sz="0" w:space="0" w:color="auto"/>
        <w:left w:val="none" w:sz="0" w:space="0" w:color="auto"/>
        <w:bottom w:val="none" w:sz="0" w:space="0" w:color="auto"/>
        <w:right w:val="none" w:sz="0" w:space="0" w:color="auto"/>
      </w:divBdr>
    </w:div>
    <w:div w:id="1068721760">
      <w:bodyDiv w:val="1"/>
      <w:marLeft w:val="0"/>
      <w:marRight w:val="0"/>
      <w:marTop w:val="0"/>
      <w:marBottom w:val="0"/>
      <w:divBdr>
        <w:top w:val="none" w:sz="0" w:space="0" w:color="auto"/>
        <w:left w:val="none" w:sz="0" w:space="0" w:color="auto"/>
        <w:bottom w:val="none" w:sz="0" w:space="0" w:color="auto"/>
        <w:right w:val="none" w:sz="0" w:space="0" w:color="auto"/>
      </w:divBdr>
      <w:divsChild>
        <w:div w:id="2004891140">
          <w:marLeft w:val="0"/>
          <w:marRight w:val="0"/>
          <w:marTop w:val="0"/>
          <w:marBottom w:val="0"/>
          <w:divBdr>
            <w:top w:val="none" w:sz="0" w:space="0" w:color="auto"/>
            <w:left w:val="none" w:sz="0" w:space="0" w:color="auto"/>
            <w:bottom w:val="none" w:sz="0" w:space="0" w:color="auto"/>
            <w:right w:val="none" w:sz="0" w:space="0" w:color="auto"/>
          </w:divBdr>
          <w:divsChild>
            <w:div w:id="587542811">
              <w:marLeft w:val="0"/>
              <w:marRight w:val="0"/>
              <w:marTop w:val="0"/>
              <w:marBottom w:val="75"/>
              <w:divBdr>
                <w:top w:val="none" w:sz="0" w:space="0" w:color="auto"/>
                <w:left w:val="none" w:sz="0" w:space="0" w:color="auto"/>
                <w:bottom w:val="none" w:sz="0" w:space="0" w:color="auto"/>
                <w:right w:val="none" w:sz="0" w:space="0" w:color="auto"/>
              </w:divBdr>
              <w:divsChild>
                <w:div w:id="673654260">
                  <w:marLeft w:val="0"/>
                  <w:marRight w:val="0"/>
                  <w:marTop w:val="0"/>
                  <w:marBottom w:val="0"/>
                  <w:divBdr>
                    <w:top w:val="none" w:sz="0" w:space="0" w:color="auto"/>
                    <w:left w:val="none" w:sz="0" w:space="0" w:color="auto"/>
                    <w:bottom w:val="none" w:sz="0" w:space="0" w:color="auto"/>
                    <w:right w:val="none" w:sz="0" w:space="0" w:color="auto"/>
                  </w:divBdr>
                  <w:divsChild>
                    <w:div w:id="1085029501">
                      <w:marLeft w:val="0"/>
                      <w:marRight w:val="0"/>
                      <w:marTop w:val="0"/>
                      <w:marBottom w:val="0"/>
                      <w:divBdr>
                        <w:top w:val="none" w:sz="0" w:space="0" w:color="auto"/>
                        <w:left w:val="none" w:sz="0" w:space="0" w:color="auto"/>
                        <w:bottom w:val="none" w:sz="0" w:space="0" w:color="auto"/>
                        <w:right w:val="none" w:sz="0" w:space="0" w:color="auto"/>
                      </w:divBdr>
                      <w:divsChild>
                        <w:div w:id="2008896860">
                          <w:marLeft w:val="0"/>
                          <w:marRight w:val="0"/>
                          <w:marTop w:val="0"/>
                          <w:marBottom w:val="0"/>
                          <w:divBdr>
                            <w:top w:val="none" w:sz="0" w:space="0" w:color="auto"/>
                            <w:left w:val="none" w:sz="0" w:space="0" w:color="auto"/>
                            <w:bottom w:val="none" w:sz="0" w:space="0" w:color="auto"/>
                            <w:right w:val="none" w:sz="0" w:space="0" w:color="auto"/>
                          </w:divBdr>
                          <w:divsChild>
                            <w:div w:id="1709256043">
                              <w:marLeft w:val="0"/>
                              <w:marRight w:val="0"/>
                              <w:marTop w:val="0"/>
                              <w:marBottom w:val="0"/>
                              <w:divBdr>
                                <w:top w:val="none" w:sz="0" w:space="0" w:color="auto"/>
                                <w:left w:val="none" w:sz="0" w:space="0" w:color="auto"/>
                                <w:bottom w:val="none" w:sz="0" w:space="0" w:color="auto"/>
                                <w:right w:val="none" w:sz="0" w:space="0" w:color="auto"/>
                              </w:divBdr>
                              <w:divsChild>
                                <w:div w:id="12468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240086">
      <w:bodyDiv w:val="1"/>
      <w:marLeft w:val="0"/>
      <w:marRight w:val="0"/>
      <w:marTop w:val="0"/>
      <w:marBottom w:val="0"/>
      <w:divBdr>
        <w:top w:val="none" w:sz="0" w:space="0" w:color="auto"/>
        <w:left w:val="none" w:sz="0" w:space="0" w:color="auto"/>
        <w:bottom w:val="none" w:sz="0" w:space="0" w:color="auto"/>
        <w:right w:val="none" w:sz="0" w:space="0" w:color="auto"/>
      </w:divBdr>
    </w:div>
    <w:div w:id="1130855538">
      <w:bodyDiv w:val="1"/>
      <w:marLeft w:val="30"/>
      <w:marRight w:val="30"/>
      <w:marTop w:val="30"/>
      <w:marBottom w:val="30"/>
      <w:divBdr>
        <w:top w:val="none" w:sz="0" w:space="0" w:color="auto"/>
        <w:left w:val="none" w:sz="0" w:space="0" w:color="auto"/>
        <w:bottom w:val="none" w:sz="0" w:space="0" w:color="auto"/>
        <w:right w:val="none" w:sz="0" w:space="0" w:color="auto"/>
      </w:divBdr>
      <w:divsChild>
        <w:div w:id="248735466">
          <w:marLeft w:val="0"/>
          <w:marRight w:val="0"/>
          <w:marTop w:val="0"/>
          <w:marBottom w:val="0"/>
          <w:divBdr>
            <w:top w:val="none" w:sz="0" w:space="0" w:color="auto"/>
            <w:left w:val="none" w:sz="0" w:space="0" w:color="auto"/>
            <w:bottom w:val="none" w:sz="0" w:space="0" w:color="auto"/>
            <w:right w:val="none" w:sz="0" w:space="0" w:color="auto"/>
          </w:divBdr>
          <w:divsChild>
            <w:div w:id="172962289">
              <w:marLeft w:val="45"/>
              <w:marRight w:val="45"/>
              <w:marTop w:val="45"/>
              <w:marBottom w:val="45"/>
              <w:divBdr>
                <w:top w:val="none" w:sz="0" w:space="0" w:color="auto"/>
                <w:left w:val="none" w:sz="0" w:space="0" w:color="auto"/>
                <w:bottom w:val="none" w:sz="0" w:space="0" w:color="auto"/>
                <w:right w:val="none" w:sz="0" w:space="0" w:color="auto"/>
              </w:divBdr>
              <w:divsChild>
                <w:div w:id="1393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6150">
      <w:bodyDiv w:val="1"/>
      <w:marLeft w:val="0"/>
      <w:marRight w:val="0"/>
      <w:marTop w:val="0"/>
      <w:marBottom w:val="0"/>
      <w:divBdr>
        <w:top w:val="none" w:sz="0" w:space="0" w:color="auto"/>
        <w:left w:val="none" w:sz="0" w:space="0" w:color="auto"/>
        <w:bottom w:val="none" w:sz="0" w:space="0" w:color="auto"/>
        <w:right w:val="none" w:sz="0" w:space="0" w:color="auto"/>
      </w:divBdr>
      <w:divsChild>
        <w:div w:id="1552303671">
          <w:marLeft w:val="0"/>
          <w:marRight w:val="0"/>
          <w:marTop w:val="0"/>
          <w:marBottom w:val="0"/>
          <w:divBdr>
            <w:top w:val="none" w:sz="0" w:space="0" w:color="auto"/>
            <w:left w:val="none" w:sz="0" w:space="0" w:color="auto"/>
            <w:bottom w:val="none" w:sz="0" w:space="0" w:color="auto"/>
            <w:right w:val="none" w:sz="0" w:space="0" w:color="auto"/>
          </w:divBdr>
          <w:divsChild>
            <w:div w:id="20953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7821">
      <w:bodyDiv w:val="1"/>
      <w:marLeft w:val="0"/>
      <w:marRight w:val="0"/>
      <w:marTop w:val="0"/>
      <w:marBottom w:val="0"/>
      <w:divBdr>
        <w:top w:val="none" w:sz="0" w:space="0" w:color="auto"/>
        <w:left w:val="none" w:sz="0" w:space="0" w:color="auto"/>
        <w:bottom w:val="none" w:sz="0" w:space="0" w:color="auto"/>
        <w:right w:val="none" w:sz="0" w:space="0" w:color="auto"/>
      </w:divBdr>
      <w:divsChild>
        <w:div w:id="390928241">
          <w:marLeft w:val="0"/>
          <w:marRight w:val="0"/>
          <w:marTop w:val="240"/>
          <w:marBottom w:val="0"/>
          <w:divBdr>
            <w:top w:val="none" w:sz="0" w:space="0" w:color="auto"/>
            <w:left w:val="none" w:sz="0" w:space="0" w:color="auto"/>
            <w:bottom w:val="none" w:sz="0" w:space="0" w:color="auto"/>
            <w:right w:val="none" w:sz="0" w:space="0" w:color="auto"/>
          </w:divBdr>
        </w:div>
        <w:div w:id="598099915">
          <w:marLeft w:val="0"/>
          <w:marRight w:val="0"/>
          <w:marTop w:val="240"/>
          <w:marBottom w:val="0"/>
          <w:divBdr>
            <w:top w:val="none" w:sz="0" w:space="0" w:color="auto"/>
            <w:left w:val="none" w:sz="0" w:space="0" w:color="auto"/>
            <w:bottom w:val="none" w:sz="0" w:space="0" w:color="auto"/>
            <w:right w:val="none" w:sz="0" w:space="0" w:color="auto"/>
          </w:divBdr>
          <w:divsChild>
            <w:div w:id="1150095919">
              <w:marLeft w:val="0"/>
              <w:marRight w:val="0"/>
              <w:marTop w:val="0"/>
              <w:marBottom w:val="0"/>
              <w:divBdr>
                <w:top w:val="none" w:sz="0" w:space="0" w:color="auto"/>
                <w:left w:val="none" w:sz="0" w:space="0" w:color="auto"/>
                <w:bottom w:val="none" w:sz="0" w:space="0" w:color="auto"/>
                <w:right w:val="none" w:sz="0" w:space="0" w:color="auto"/>
              </w:divBdr>
              <w:divsChild>
                <w:div w:id="263851077">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2663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4528">
      <w:bodyDiv w:val="1"/>
      <w:marLeft w:val="0"/>
      <w:marRight w:val="0"/>
      <w:marTop w:val="0"/>
      <w:marBottom w:val="0"/>
      <w:divBdr>
        <w:top w:val="none" w:sz="0" w:space="0" w:color="auto"/>
        <w:left w:val="none" w:sz="0" w:space="0" w:color="auto"/>
        <w:bottom w:val="none" w:sz="0" w:space="0" w:color="auto"/>
        <w:right w:val="none" w:sz="0" w:space="0" w:color="auto"/>
      </w:divBdr>
    </w:div>
    <w:div w:id="1407610598">
      <w:bodyDiv w:val="1"/>
      <w:marLeft w:val="0"/>
      <w:marRight w:val="0"/>
      <w:marTop w:val="0"/>
      <w:marBottom w:val="0"/>
      <w:divBdr>
        <w:top w:val="none" w:sz="0" w:space="0" w:color="auto"/>
        <w:left w:val="none" w:sz="0" w:space="0" w:color="auto"/>
        <w:bottom w:val="none" w:sz="0" w:space="0" w:color="auto"/>
        <w:right w:val="none" w:sz="0" w:space="0" w:color="auto"/>
      </w:divBdr>
    </w:div>
    <w:div w:id="1507016181">
      <w:bodyDiv w:val="1"/>
      <w:marLeft w:val="0"/>
      <w:marRight w:val="0"/>
      <w:marTop w:val="0"/>
      <w:marBottom w:val="0"/>
      <w:divBdr>
        <w:top w:val="none" w:sz="0" w:space="0" w:color="auto"/>
        <w:left w:val="none" w:sz="0" w:space="0" w:color="auto"/>
        <w:bottom w:val="none" w:sz="0" w:space="0" w:color="auto"/>
        <w:right w:val="none" w:sz="0" w:space="0" w:color="auto"/>
      </w:divBdr>
    </w:div>
    <w:div w:id="1607348082">
      <w:bodyDiv w:val="1"/>
      <w:marLeft w:val="0"/>
      <w:marRight w:val="0"/>
      <w:marTop w:val="0"/>
      <w:marBottom w:val="0"/>
      <w:divBdr>
        <w:top w:val="none" w:sz="0" w:space="0" w:color="auto"/>
        <w:left w:val="none" w:sz="0" w:space="0" w:color="auto"/>
        <w:bottom w:val="none" w:sz="0" w:space="0" w:color="auto"/>
        <w:right w:val="none" w:sz="0" w:space="0" w:color="auto"/>
      </w:divBdr>
    </w:div>
    <w:div w:id="1688485301">
      <w:bodyDiv w:val="1"/>
      <w:marLeft w:val="0"/>
      <w:marRight w:val="0"/>
      <w:marTop w:val="0"/>
      <w:marBottom w:val="0"/>
      <w:divBdr>
        <w:top w:val="none" w:sz="0" w:space="0" w:color="auto"/>
        <w:left w:val="none" w:sz="0" w:space="0" w:color="auto"/>
        <w:bottom w:val="none" w:sz="0" w:space="0" w:color="auto"/>
        <w:right w:val="none" w:sz="0" w:space="0" w:color="auto"/>
      </w:divBdr>
    </w:div>
    <w:div w:id="1702511871">
      <w:bodyDiv w:val="1"/>
      <w:marLeft w:val="0"/>
      <w:marRight w:val="0"/>
      <w:marTop w:val="0"/>
      <w:marBottom w:val="0"/>
      <w:divBdr>
        <w:top w:val="none" w:sz="0" w:space="0" w:color="auto"/>
        <w:left w:val="none" w:sz="0" w:space="0" w:color="auto"/>
        <w:bottom w:val="none" w:sz="0" w:space="0" w:color="auto"/>
        <w:right w:val="none" w:sz="0" w:space="0" w:color="auto"/>
      </w:divBdr>
    </w:div>
    <w:div w:id="1761096934">
      <w:bodyDiv w:val="1"/>
      <w:marLeft w:val="0"/>
      <w:marRight w:val="0"/>
      <w:marTop w:val="0"/>
      <w:marBottom w:val="0"/>
      <w:divBdr>
        <w:top w:val="none" w:sz="0" w:space="0" w:color="auto"/>
        <w:left w:val="none" w:sz="0" w:space="0" w:color="auto"/>
        <w:bottom w:val="none" w:sz="0" w:space="0" w:color="auto"/>
        <w:right w:val="none" w:sz="0" w:space="0" w:color="auto"/>
      </w:divBdr>
    </w:div>
    <w:div w:id="1815877693">
      <w:bodyDiv w:val="1"/>
      <w:marLeft w:val="30"/>
      <w:marRight w:val="30"/>
      <w:marTop w:val="30"/>
      <w:marBottom w:val="30"/>
      <w:divBdr>
        <w:top w:val="none" w:sz="0" w:space="0" w:color="auto"/>
        <w:left w:val="none" w:sz="0" w:space="0" w:color="auto"/>
        <w:bottom w:val="none" w:sz="0" w:space="0" w:color="auto"/>
        <w:right w:val="none" w:sz="0" w:space="0" w:color="auto"/>
      </w:divBdr>
      <w:divsChild>
        <w:div w:id="1453523180">
          <w:marLeft w:val="0"/>
          <w:marRight w:val="0"/>
          <w:marTop w:val="0"/>
          <w:marBottom w:val="0"/>
          <w:divBdr>
            <w:top w:val="none" w:sz="0" w:space="0" w:color="auto"/>
            <w:left w:val="none" w:sz="0" w:space="0" w:color="auto"/>
            <w:bottom w:val="none" w:sz="0" w:space="0" w:color="auto"/>
            <w:right w:val="none" w:sz="0" w:space="0" w:color="auto"/>
          </w:divBdr>
          <w:divsChild>
            <w:div w:id="1859654379">
              <w:marLeft w:val="45"/>
              <w:marRight w:val="45"/>
              <w:marTop w:val="45"/>
              <w:marBottom w:val="45"/>
              <w:divBdr>
                <w:top w:val="none" w:sz="0" w:space="0" w:color="auto"/>
                <w:left w:val="none" w:sz="0" w:space="0" w:color="auto"/>
                <w:bottom w:val="none" w:sz="0" w:space="0" w:color="auto"/>
                <w:right w:val="none" w:sz="0" w:space="0" w:color="auto"/>
              </w:divBdr>
              <w:divsChild>
                <w:div w:id="1896966831">
                  <w:marLeft w:val="0"/>
                  <w:marRight w:val="0"/>
                  <w:marTop w:val="0"/>
                  <w:marBottom w:val="0"/>
                  <w:divBdr>
                    <w:top w:val="none" w:sz="0" w:space="0" w:color="auto"/>
                    <w:left w:val="none" w:sz="0" w:space="0" w:color="auto"/>
                    <w:bottom w:val="none" w:sz="0" w:space="0" w:color="auto"/>
                    <w:right w:val="none" w:sz="0" w:space="0" w:color="auto"/>
                  </w:divBdr>
                  <w:divsChild>
                    <w:div w:id="203906566">
                      <w:marLeft w:val="0"/>
                      <w:marRight w:val="0"/>
                      <w:marTop w:val="0"/>
                      <w:marBottom w:val="0"/>
                      <w:divBdr>
                        <w:top w:val="none" w:sz="0" w:space="0" w:color="auto"/>
                        <w:left w:val="none" w:sz="0" w:space="0" w:color="auto"/>
                        <w:bottom w:val="none" w:sz="0" w:space="0" w:color="auto"/>
                        <w:right w:val="none" w:sz="0" w:space="0" w:color="auto"/>
                      </w:divBdr>
                    </w:div>
                    <w:div w:id="240795602">
                      <w:marLeft w:val="180"/>
                      <w:marRight w:val="0"/>
                      <w:marTop w:val="0"/>
                      <w:marBottom w:val="0"/>
                      <w:divBdr>
                        <w:top w:val="none" w:sz="0" w:space="0" w:color="auto"/>
                        <w:left w:val="none" w:sz="0" w:space="0" w:color="auto"/>
                        <w:bottom w:val="none" w:sz="0" w:space="0" w:color="auto"/>
                        <w:right w:val="none" w:sz="0" w:space="0" w:color="auto"/>
                      </w:divBdr>
                    </w:div>
                    <w:div w:id="512191323">
                      <w:marLeft w:val="180"/>
                      <w:marRight w:val="0"/>
                      <w:marTop w:val="0"/>
                      <w:marBottom w:val="0"/>
                      <w:divBdr>
                        <w:top w:val="none" w:sz="0" w:space="0" w:color="auto"/>
                        <w:left w:val="none" w:sz="0" w:space="0" w:color="auto"/>
                        <w:bottom w:val="none" w:sz="0" w:space="0" w:color="auto"/>
                        <w:right w:val="none" w:sz="0" w:space="0" w:color="auto"/>
                      </w:divBdr>
                    </w:div>
                    <w:div w:id="73231231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7685">
      <w:bodyDiv w:val="1"/>
      <w:marLeft w:val="0"/>
      <w:marRight w:val="0"/>
      <w:marTop w:val="0"/>
      <w:marBottom w:val="0"/>
      <w:divBdr>
        <w:top w:val="none" w:sz="0" w:space="0" w:color="auto"/>
        <w:left w:val="none" w:sz="0" w:space="0" w:color="auto"/>
        <w:bottom w:val="none" w:sz="0" w:space="0" w:color="auto"/>
        <w:right w:val="none" w:sz="0" w:space="0" w:color="auto"/>
      </w:divBdr>
    </w:div>
    <w:div w:id="21436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an.Marenco\AppData\Local\Microsoft\Windows\Temporary%20Internet%20Files\Content.MSO\34639B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34639B0B</Template>
  <TotalTime>0</TotalTime>
  <Pages>3</Pages>
  <Words>971</Words>
  <Characters>5348</Characters>
  <Application>Microsoft Office Word</Application>
  <DocSecurity>0</DocSecurity>
  <Lines>102</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2011-07-27T15:03:00Z</cp:lastPrinted>
  <dcterms:created xsi:type="dcterms:W3CDTF">2017-09-21T23:13:00Z</dcterms:created>
  <dcterms:modified xsi:type="dcterms:W3CDTF">2017-09-21T23:13:00Z</dcterms:modified>
  <cp:category> </cp:category>
  <cp:contentStatus> </cp:contentStatus>
</cp:coreProperties>
</file>