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614" w:rsidRDefault="009D71CF" w:rsidP="009D71CF">
      <w:pPr>
        <w:jc w:val="center"/>
        <w:rPr>
          <w:sz w:val="22"/>
          <w:szCs w:val="22"/>
        </w:rPr>
      </w:pPr>
      <w:bookmarkStart w:id="0" w:name="_GoBack"/>
      <w:bookmarkEnd w:id="0"/>
      <w:r>
        <w:rPr>
          <w:sz w:val="22"/>
          <w:szCs w:val="22"/>
        </w:rPr>
        <w:t>September 26, 2017</w:t>
      </w:r>
    </w:p>
    <w:p w:rsidR="00910614" w:rsidRDefault="00910614">
      <w:pPr>
        <w:jc w:val="center"/>
        <w:rPr>
          <w:sz w:val="22"/>
          <w:szCs w:val="22"/>
        </w:rPr>
      </w:pPr>
    </w:p>
    <w:p w:rsidR="00910614" w:rsidRPr="00617783" w:rsidRDefault="00910614">
      <w:pPr>
        <w:rPr>
          <w:b/>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0C26EA">
        <w:rPr>
          <w:b/>
          <w:sz w:val="22"/>
          <w:szCs w:val="22"/>
        </w:rPr>
        <w:t>DA 17-934</w:t>
      </w:r>
    </w:p>
    <w:p w:rsidR="00910614" w:rsidRDefault="000C26EA">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910614">
        <w:rPr>
          <w:b/>
          <w:sz w:val="22"/>
          <w:szCs w:val="22"/>
        </w:rPr>
        <w:t xml:space="preserve">Released: </w:t>
      </w:r>
      <w:r w:rsidR="009D71CF">
        <w:rPr>
          <w:b/>
          <w:sz w:val="22"/>
          <w:szCs w:val="22"/>
        </w:rPr>
        <w:t>September 26</w:t>
      </w:r>
      <w:r>
        <w:rPr>
          <w:b/>
          <w:sz w:val="22"/>
          <w:szCs w:val="22"/>
        </w:rPr>
        <w:t>, 2017</w:t>
      </w:r>
    </w:p>
    <w:p w:rsidR="00910614" w:rsidRDefault="00910614">
      <w:pPr>
        <w:rPr>
          <w:sz w:val="22"/>
          <w:szCs w:val="22"/>
        </w:rPr>
      </w:pPr>
    </w:p>
    <w:p w:rsidR="00617783" w:rsidRPr="00617783" w:rsidRDefault="00617783" w:rsidP="00617783">
      <w:pPr>
        <w:rPr>
          <w:sz w:val="22"/>
          <w:szCs w:val="22"/>
        </w:rPr>
      </w:pPr>
      <w:r>
        <w:rPr>
          <w:sz w:val="22"/>
          <w:szCs w:val="22"/>
        </w:rPr>
        <w:t>Colby M. May , Esq.</w:t>
      </w:r>
    </w:p>
    <w:p w:rsidR="00617783" w:rsidRPr="00617783" w:rsidRDefault="00617783" w:rsidP="00617783">
      <w:pPr>
        <w:rPr>
          <w:sz w:val="22"/>
          <w:szCs w:val="22"/>
        </w:rPr>
      </w:pPr>
      <w:r w:rsidRPr="00617783">
        <w:rPr>
          <w:sz w:val="22"/>
          <w:szCs w:val="22"/>
        </w:rPr>
        <w:t>P.</w:t>
      </w:r>
      <w:r>
        <w:rPr>
          <w:sz w:val="22"/>
          <w:szCs w:val="22"/>
        </w:rPr>
        <w:t xml:space="preserve">O. Box </w:t>
      </w:r>
      <w:r w:rsidRPr="00617783">
        <w:rPr>
          <w:sz w:val="22"/>
          <w:szCs w:val="22"/>
        </w:rPr>
        <w:t>15473</w:t>
      </w:r>
    </w:p>
    <w:p w:rsidR="00910614" w:rsidRDefault="00617783">
      <w:pPr>
        <w:rPr>
          <w:sz w:val="22"/>
          <w:szCs w:val="22"/>
        </w:rPr>
      </w:pPr>
      <w:r w:rsidRPr="00617783">
        <w:rPr>
          <w:sz w:val="22"/>
          <w:szCs w:val="22"/>
        </w:rPr>
        <w:t>W</w:t>
      </w:r>
      <w:r>
        <w:rPr>
          <w:sz w:val="22"/>
          <w:szCs w:val="22"/>
        </w:rPr>
        <w:t>ashington, DC</w:t>
      </w:r>
      <w:r w:rsidRPr="00617783">
        <w:rPr>
          <w:sz w:val="22"/>
          <w:szCs w:val="22"/>
        </w:rPr>
        <w:t xml:space="preserve"> 20003</w:t>
      </w:r>
    </w:p>
    <w:p w:rsidR="00910614" w:rsidRDefault="00910614">
      <w:pPr>
        <w:rPr>
          <w:sz w:val="22"/>
          <w:szCs w:val="22"/>
        </w:rPr>
      </w:pPr>
    </w:p>
    <w:p w:rsidR="00617783" w:rsidRDefault="00910614">
      <w:pPr>
        <w:ind w:left="5040" w:hanging="720"/>
        <w:rPr>
          <w:sz w:val="22"/>
          <w:szCs w:val="22"/>
        </w:rPr>
      </w:pPr>
      <w:r>
        <w:rPr>
          <w:sz w:val="22"/>
          <w:szCs w:val="22"/>
        </w:rPr>
        <w:t>Re:</w:t>
      </w:r>
      <w:r>
        <w:rPr>
          <w:sz w:val="22"/>
          <w:szCs w:val="22"/>
        </w:rPr>
        <w:tab/>
      </w:r>
      <w:r w:rsidR="00B147A6">
        <w:rPr>
          <w:sz w:val="22"/>
          <w:szCs w:val="22"/>
        </w:rPr>
        <w:t>WGTW-TV, Millville</w:t>
      </w:r>
      <w:r w:rsidR="00617783">
        <w:rPr>
          <w:sz w:val="22"/>
          <w:szCs w:val="22"/>
        </w:rPr>
        <w:t>, NJ</w:t>
      </w:r>
    </w:p>
    <w:p w:rsidR="00910614" w:rsidRDefault="00617783" w:rsidP="00617783">
      <w:pPr>
        <w:ind w:left="5040"/>
        <w:rPr>
          <w:sz w:val="22"/>
          <w:szCs w:val="22"/>
        </w:rPr>
      </w:pPr>
      <w:r>
        <w:rPr>
          <w:sz w:val="22"/>
          <w:szCs w:val="22"/>
        </w:rPr>
        <w:t>Fac.</w:t>
      </w:r>
      <w:r w:rsidR="00910614">
        <w:rPr>
          <w:sz w:val="22"/>
          <w:szCs w:val="22"/>
        </w:rPr>
        <w:t xml:space="preserve"> ID No. </w:t>
      </w:r>
      <w:r>
        <w:rPr>
          <w:sz w:val="22"/>
          <w:szCs w:val="22"/>
        </w:rPr>
        <w:t>7623</w:t>
      </w:r>
    </w:p>
    <w:p w:rsidR="00910614" w:rsidRDefault="00910614" w:rsidP="00617783">
      <w:pPr>
        <w:ind w:left="5040" w:hanging="720"/>
        <w:rPr>
          <w:sz w:val="22"/>
          <w:szCs w:val="22"/>
        </w:rPr>
      </w:pPr>
      <w:r>
        <w:rPr>
          <w:sz w:val="22"/>
          <w:szCs w:val="22"/>
        </w:rPr>
        <w:tab/>
      </w:r>
      <w:r w:rsidR="00617783">
        <w:rPr>
          <w:sz w:val="22"/>
          <w:szCs w:val="22"/>
        </w:rPr>
        <w:t>LMS File No. 26792</w:t>
      </w:r>
    </w:p>
    <w:p w:rsidR="00617783" w:rsidRDefault="00617783" w:rsidP="00617783">
      <w:pPr>
        <w:ind w:left="5040" w:hanging="720"/>
        <w:rPr>
          <w:sz w:val="22"/>
          <w:szCs w:val="22"/>
        </w:rPr>
      </w:pPr>
      <w:r>
        <w:rPr>
          <w:sz w:val="22"/>
          <w:szCs w:val="22"/>
        </w:rPr>
        <w:tab/>
        <w:t>Request for Waiver of Main Studio Rule</w:t>
      </w:r>
    </w:p>
    <w:p w:rsidR="00910614" w:rsidRDefault="00910614">
      <w:pPr>
        <w:rPr>
          <w:sz w:val="22"/>
          <w:szCs w:val="22"/>
        </w:rPr>
      </w:pPr>
    </w:p>
    <w:p w:rsidR="00910614" w:rsidRDefault="00910614">
      <w:pPr>
        <w:rPr>
          <w:sz w:val="22"/>
          <w:szCs w:val="22"/>
        </w:rPr>
      </w:pPr>
      <w:r>
        <w:rPr>
          <w:sz w:val="22"/>
          <w:szCs w:val="22"/>
        </w:rPr>
        <w:t>Dear Counsel:</w:t>
      </w:r>
    </w:p>
    <w:p w:rsidR="00910614" w:rsidRDefault="00910614">
      <w:pPr>
        <w:rPr>
          <w:sz w:val="22"/>
          <w:szCs w:val="22"/>
        </w:rPr>
      </w:pPr>
    </w:p>
    <w:p w:rsidR="00910614" w:rsidRDefault="00910614" w:rsidP="000D4344">
      <w:pPr>
        <w:ind w:firstLine="720"/>
        <w:rPr>
          <w:sz w:val="22"/>
          <w:szCs w:val="22"/>
        </w:rPr>
      </w:pPr>
      <w:r>
        <w:rPr>
          <w:sz w:val="22"/>
          <w:szCs w:val="22"/>
        </w:rPr>
        <w:t>This letter is in reference t</w:t>
      </w:r>
      <w:r w:rsidR="0071019C">
        <w:rPr>
          <w:sz w:val="22"/>
          <w:szCs w:val="22"/>
        </w:rPr>
        <w:t xml:space="preserve">o the </w:t>
      </w:r>
      <w:r>
        <w:rPr>
          <w:sz w:val="22"/>
          <w:szCs w:val="22"/>
        </w:rPr>
        <w:t>above-captioned application</w:t>
      </w:r>
      <w:r w:rsidR="00DF2FF7">
        <w:rPr>
          <w:sz w:val="22"/>
          <w:szCs w:val="22"/>
        </w:rPr>
        <w:t xml:space="preserve"> for construction permit filed by </w:t>
      </w:r>
      <w:r w:rsidR="00DF2FF7" w:rsidRPr="00DF2FF7">
        <w:rPr>
          <w:sz w:val="22"/>
          <w:szCs w:val="22"/>
        </w:rPr>
        <w:t>Trinity Christian Center of Santa Ana, Inc.</w:t>
      </w:r>
      <w:r w:rsidR="00DF2FF7">
        <w:rPr>
          <w:sz w:val="22"/>
          <w:szCs w:val="22"/>
        </w:rPr>
        <w:t xml:space="preserve">, </w:t>
      </w:r>
      <w:r w:rsidR="0071019C">
        <w:rPr>
          <w:sz w:val="22"/>
          <w:szCs w:val="22"/>
        </w:rPr>
        <w:t>d</w:t>
      </w:r>
      <w:r w:rsidR="00DF2FF7" w:rsidRPr="00DF2FF7">
        <w:rPr>
          <w:sz w:val="22"/>
          <w:szCs w:val="22"/>
        </w:rPr>
        <w:t xml:space="preserve">oing </w:t>
      </w:r>
      <w:r w:rsidR="0071019C">
        <w:rPr>
          <w:sz w:val="22"/>
          <w:szCs w:val="22"/>
        </w:rPr>
        <w:t>b</w:t>
      </w:r>
      <w:r w:rsidR="00DF2FF7" w:rsidRPr="00DF2FF7">
        <w:rPr>
          <w:sz w:val="22"/>
          <w:szCs w:val="22"/>
        </w:rPr>
        <w:t xml:space="preserve">usiness </w:t>
      </w:r>
      <w:r w:rsidR="0071019C">
        <w:rPr>
          <w:sz w:val="22"/>
          <w:szCs w:val="22"/>
        </w:rPr>
        <w:t>a</w:t>
      </w:r>
      <w:r w:rsidR="00DF2FF7" w:rsidRPr="00DF2FF7">
        <w:rPr>
          <w:sz w:val="22"/>
          <w:szCs w:val="22"/>
        </w:rPr>
        <w:t>s T</w:t>
      </w:r>
      <w:r w:rsidR="00DF2FF7">
        <w:rPr>
          <w:sz w:val="22"/>
          <w:szCs w:val="22"/>
        </w:rPr>
        <w:t xml:space="preserve">rinity Broadcasting Network (Trinity) to implement channel sharing for WGTW-TV, </w:t>
      </w:r>
      <w:r w:rsidR="000D4344">
        <w:rPr>
          <w:sz w:val="22"/>
          <w:szCs w:val="22"/>
        </w:rPr>
        <w:t xml:space="preserve">Millville (formerly </w:t>
      </w:r>
      <w:r w:rsidR="00DF2FF7">
        <w:rPr>
          <w:sz w:val="22"/>
          <w:szCs w:val="22"/>
        </w:rPr>
        <w:t>Burlington</w:t>
      </w:r>
      <w:r w:rsidR="000D4344">
        <w:rPr>
          <w:sz w:val="22"/>
          <w:szCs w:val="22"/>
        </w:rPr>
        <w:t>)</w:t>
      </w:r>
      <w:r w:rsidR="00DF2FF7">
        <w:rPr>
          <w:sz w:val="22"/>
          <w:szCs w:val="22"/>
        </w:rPr>
        <w:t>, New Jersey (</w:t>
      </w:r>
      <w:r w:rsidR="00D5524B">
        <w:rPr>
          <w:sz w:val="22"/>
          <w:szCs w:val="22"/>
        </w:rPr>
        <w:t xml:space="preserve">WGTW-TV or </w:t>
      </w:r>
      <w:r w:rsidR="00DF2FF7">
        <w:rPr>
          <w:sz w:val="22"/>
          <w:szCs w:val="22"/>
        </w:rPr>
        <w:t xml:space="preserve">station).  Trinity </w:t>
      </w:r>
      <w:r>
        <w:rPr>
          <w:sz w:val="22"/>
          <w:szCs w:val="22"/>
        </w:rPr>
        <w:t xml:space="preserve">has requested a </w:t>
      </w:r>
      <w:r w:rsidR="00F84906">
        <w:rPr>
          <w:sz w:val="22"/>
          <w:szCs w:val="22"/>
        </w:rPr>
        <w:t xml:space="preserve">permanent </w:t>
      </w:r>
      <w:r w:rsidR="00DF2FF7">
        <w:rPr>
          <w:sz w:val="22"/>
          <w:szCs w:val="22"/>
        </w:rPr>
        <w:t>w</w:t>
      </w:r>
      <w:r w:rsidR="000D4344">
        <w:rPr>
          <w:sz w:val="22"/>
          <w:szCs w:val="22"/>
        </w:rPr>
        <w:t>aiver of s</w:t>
      </w:r>
      <w:r>
        <w:rPr>
          <w:sz w:val="22"/>
          <w:szCs w:val="22"/>
        </w:rPr>
        <w:t xml:space="preserve">ection 73.1125 of the </w:t>
      </w:r>
      <w:r w:rsidR="00B61395">
        <w:rPr>
          <w:sz w:val="22"/>
          <w:szCs w:val="22"/>
        </w:rPr>
        <w:t xml:space="preserve">Federal Communications </w:t>
      </w:r>
      <w:r>
        <w:rPr>
          <w:sz w:val="22"/>
          <w:szCs w:val="22"/>
        </w:rPr>
        <w:t>Commission’s</w:t>
      </w:r>
      <w:r w:rsidR="00B61395">
        <w:rPr>
          <w:sz w:val="22"/>
          <w:szCs w:val="22"/>
        </w:rPr>
        <w:t xml:space="preserve"> (Commission)</w:t>
      </w:r>
      <w:r>
        <w:rPr>
          <w:sz w:val="22"/>
          <w:szCs w:val="22"/>
        </w:rPr>
        <w:t xml:space="preserve"> rules</w:t>
      </w:r>
      <w:r>
        <w:rPr>
          <w:rStyle w:val="FootnoteReference"/>
          <w:sz w:val="22"/>
          <w:szCs w:val="22"/>
        </w:rPr>
        <w:footnoteReference w:id="1"/>
      </w:r>
      <w:r>
        <w:rPr>
          <w:sz w:val="22"/>
          <w:szCs w:val="22"/>
        </w:rPr>
        <w:t xml:space="preserve"> to </w:t>
      </w:r>
      <w:r w:rsidR="00DF2FF7">
        <w:rPr>
          <w:sz w:val="22"/>
          <w:szCs w:val="22"/>
        </w:rPr>
        <w:t xml:space="preserve">continue to use the station’s existing studio as its main studio location.  </w:t>
      </w:r>
      <w:r>
        <w:rPr>
          <w:sz w:val="22"/>
          <w:szCs w:val="22"/>
        </w:rPr>
        <w:t xml:space="preserve">For the reasons set forth below, we </w:t>
      </w:r>
      <w:r w:rsidR="00617783">
        <w:rPr>
          <w:sz w:val="22"/>
          <w:szCs w:val="22"/>
        </w:rPr>
        <w:t xml:space="preserve">deny Trinity’s </w:t>
      </w:r>
      <w:r w:rsidR="000D4344">
        <w:rPr>
          <w:sz w:val="22"/>
          <w:szCs w:val="22"/>
        </w:rPr>
        <w:t xml:space="preserve">request for </w:t>
      </w:r>
      <w:r w:rsidR="00F84906">
        <w:rPr>
          <w:sz w:val="22"/>
          <w:szCs w:val="22"/>
        </w:rPr>
        <w:t xml:space="preserve">permanent </w:t>
      </w:r>
      <w:r w:rsidR="00617783">
        <w:rPr>
          <w:sz w:val="22"/>
          <w:szCs w:val="22"/>
        </w:rPr>
        <w:t>waiver</w:t>
      </w:r>
      <w:r w:rsidR="00B61395">
        <w:rPr>
          <w:sz w:val="22"/>
          <w:szCs w:val="22"/>
        </w:rPr>
        <w:t>,</w:t>
      </w:r>
      <w:r w:rsidR="00617783">
        <w:rPr>
          <w:sz w:val="22"/>
          <w:szCs w:val="22"/>
        </w:rPr>
        <w:t xml:space="preserve"> </w:t>
      </w:r>
      <w:r w:rsidR="00F84906">
        <w:rPr>
          <w:sz w:val="22"/>
          <w:szCs w:val="22"/>
        </w:rPr>
        <w:t xml:space="preserve">but </w:t>
      </w:r>
      <w:r w:rsidR="00ED1A74">
        <w:rPr>
          <w:sz w:val="22"/>
          <w:szCs w:val="22"/>
        </w:rPr>
        <w:t xml:space="preserve">on our own motion we </w:t>
      </w:r>
      <w:r w:rsidR="00F84906">
        <w:rPr>
          <w:sz w:val="22"/>
          <w:szCs w:val="22"/>
        </w:rPr>
        <w:t xml:space="preserve">grant </w:t>
      </w:r>
      <w:r w:rsidR="000D4344">
        <w:rPr>
          <w:sz w:val="22"/>
          <w:szCs w:val="22"/>
        </w:rPr>
        <w:t xml:space="preserve">Trinity </w:t>
      </w:r>
      <w:r w:rsidR="000D4344" w:rsidRPr="000D4344">
        <w:rPr>
          <w:sz w:val="22"/>
          <w:szCs w:val="22"/>
        </w:rPr>
        <w:t>a te</w:t>
      </w:r>
      <w:r w:rsidR="000D4344">
        <w:rPr>
          <w:sz w:val="22"/>
          <w:szCs w:val="22"/>
        </w:rPr>
        <w:t xml:space="preserve">mporary waiver to permit it </w:t>
      </w:r>
      <w:r w:rsidR="000D4344" w:rsidRPr="000D4344">
        <w:rPr>
          <w:sz w:val="22"/>
          <w:szCs w:val="22"/>
        </w:rPr>
        <w:t>to operate the station without a main studio that complies with the rule for a period not to exceed one year from the date of this letter</w:t>
      </w:r>
      <w:r>
        <w:rPr>
          <w:sz w:val="22"/>
          <w:szCs w:val="22"/>
        </w:rPr>
        <w:t>.</w:t>
      </w:r>
    </w:p>
    <w:p w:rsidR="00910614" w:rsidRDefault="00910614">
      <w:pPr>
        <w:ind w:firstLine="720"/>
        <w:rPr>
          <w:sz w:val="22"/>
          <w:szCs w:val="22"/>
        </w:rPr>
      </w:pPr>
    </w:p>
    <w:p w:rsidR="004B0112" w:rsidRDefault="00112A96">
      <w:pPr>
        <w:ind w:firstLine="720"/>
        <w:rPr>
          <w:sz w:val="22"/>
          <w:szCs w:val="22"/>
        </w:rPr>
      </w:pPr>
      <w:r>
        <w:rPr>
          <w:i/>
          <w:sz w:val="22"/>
          <w:szCs w:val="22"/>
        </w:rPr>
        <w:t xml:space="preserve">Background.  </w:t>
      </w:r>
      <w:r w:rsidR="00687172">
        <w:rPr>
          <w:sz w:val="22"/>
          <w:szCs w:val="22"/>
        </w:rPr>
        <w:t xml:space="preserve">Trinity was a winning </w:t>
      </w:r>
      <w:r w:rsidR="001B7129">
        <w:rPr>
          <w:sz w:val="22"/>
          <w:szCs w:val="22"/>
        </w:rPr>
        <w:t>“</w:t>
      </w:r>
      <w:r w:rsidR="00687172">
        <w:rPr>
          <w:sz w:val="22"/>
          <w:szCs w:val="22"/>
        </w:rPr>
        <w:t>relinquishment</w:t>
      </w:r>
      <w:r w:rsidR="001B7129">
        <w:rPr>
          <w:sz w:val="22"/>
          <w:szCs w:val="22"/>
        </w:rPr>
        <w:t>”</w:t>
      </w:r>
      <w:r w:rsidR="00687172">
        <w:rPr>
          <w:sz w:val="22"/>
          <w:szCs w:val="22"/>
        </w:rPr>
        <w:t xml:space="preserve"> bidder in the Commission’s incentive auction (Auction 1000) and entered into a</w:t>
      </w:r>
      <w:r w:rsidR="001B7129">
        <w:rPr>
          <w:sz w:val="22"/>
          <w:szCs w:val="22"/>
        </w:rPr>
        <w:t xml:space="preserve"> channel sharing agreement</w:t>
      </w:r>
      <w:r w:rsidR="00687172">
        <w:rPr>
          <w:sz w:val="22"/>
          <w:szCs w:val="22"/>
        </w:rPr>
        <w:t xml:space="preserve"> (CSA) to share channel </w:t>
      </w:r>
      <w:r w:rsidR="00B61395">
        <w:rPr>
          <w:sz w:val="22"/>
          <w:szCs w:val="22"/>
        </w:rPr>
        <w:t xml:space="preserve">36 with </w:t>
      </w:r>
      <w:r w:rsidR="00687172">
        <w:rPr>
          <w:sz w:val="22"/>
          <w:szCs w:val="22"/>
        </w:rPr>
        <w:t>WMGM-TV, Wildwood, New Jersey</w:t>
      </w:r>
      <w:r w:rsidR="00D5524B">
        <w:rPr>
          <w:sz w:val="22"/>
          <w:szCs w:val="22"/>
        </w:rPr>
        <w:t xml:space="preserve">, licensed </w:t>
      </w:r>
      <w:r w:rsidR="00D5524B" w:rsidRPr="00D5524B">
        <w:rPr>
          <w:sz w:val="22"/>
          <w:szCs w:val="22"/>
        </w:rPr>
        <w:t>to LocusPoint WMGM Licensee, LLC</w:t>
      </w:r>
      <w:r w:rsidR="00687172">
        <w:rPr>
          <w:sz w:val="22"/>
          <w:szCs w:val="22"/>
        </w:rPr>
        <w:t>.</w:t>
      </w:r>
      <w:r w:rsidR="001B7129">
        <w:rPr>
          <w:rStyle w:val="FootnoteReference"/>
          <w:sz w:val="22"/>
          <w:szCs w:val="22"/>
        </w:rPr>
        <w:footnoteReference w:id="2"/>
      </w:r>
      <w:r w:rsidR="00687172">
        <w:rPr>
          <w:sz w:val="22"/>
          <w:szCs w:val="22"/>
        </w:rPr>
        <w:t xml:space="preserve">  In order to implement the shared operation and continue to comply with the Commission’s rule concerning coverage to the station’s community of license,</w:t>
      </w:r>
      <w:r w:rsidR="001B7129">
        <w:rPr>
          <w:rStyle w:val="FootnoteReference"/>
          <w:sz w:val="22"/>
          <w:szCs w:val="22"/>
        </w:rPr>
        <w:footnoteReference w:id="3"/>
      </w:r>
      <w:r w:rsidR="00687172">
        <w:rPr>
          <w:sz w:val="22"/>
          <w:szCs w:val="22"/>
        </w:rPr>
        <w:t xml:space="preserve"> Trinity proposed moving </w:t>
      </w:r>
      <w:r w:rsidR="00D5524B">
        <w:rPr>
          <w:sz w:val="22"/>
          <w:szCs w:val="22"/>
        </w:rPr>
        <w:t>WGTW-TV’s</w:t>
      </w:r>
      <w:r w:rsidR="00687172">
        <w:rPr>
          <w:sz w:val="22"/>
          <w:szCs w:val="22"/>
        </w:rPr>
        <w:t xml:space="preserve"> community of license from Burlington, New Jersey to Millville, New Jersey.</w:t>
      </w:r>
      <w:r w:rsidR="00104FE9">
        <w:rPr>
          <w:sz w:val="22"/>
          <w:szCs w:val="22"/>
        </w:rPr>
        <w:t xml:space="preserve"> </w:t>
      </w:r>
      <w:r w:rsidR="00687172">
        <w:rPr>
          <w:sz w:val="22"/>
          <w:szCs w:val="22"/>
        </w:rPr>
        <w:t>Trinity notes in its waiver request</w:t>
      </w:r>
      <w:r w:rsidR="00104FE9">
        <w:rPr>
          <w:sz w:val="22"/>
          <w:szCs w:val="22"/>
        </w:rPr>
        <w:t xml:space="preserve"> that its current</w:t>
      </w:r>
      <w:r w:rsidR="004B0112">
        <w:rPr>
          <w:sz w:val="22"/>
          <w:szCs w:val="22"/>
        </w:rPr>
        <w:t xml:space="preserve"> main studio </w:t>
      </w:r>
      <w:r w:rsidR="00104FE9">
        <w:rPr>
          <w:sz w:val="22"/>
          <w:szCs w:val="22"/>
        </w:rPr>
        <w:t xml:space="preserve">is located </w:t>
      </w:r>
      <w:r w:rsidR="004B0112">
        <w:rPr>
          <w:sz w:val="22"/>
          <w:szCs w:val="22"/>
        </w:rPr>
        <w:t xml:space="preserve">at </w:t>
      </w:r>
      <w:r w:rsidR="004B0112" w:rsidRPr="004B0112">
        <w:rPr>
          <w:sz w:val="22"/>
          <w:szCs w:val="22"/>
        </w:rPr>
        <w:t>1810 Columbia Avenue in Folcroft, Pennsylvania</w:t>
      </w:r>
      <w:r w:rsidR="004B0112">
        <w:rPr>
          <w:sz w:val="22"/>
          <w:szCs w:val="22"/>
        </w:rPr>
        <w:t xml:space="preserve"> </w:t>
      </w:r>
      <w:r w:rsidR="00104FE9">
        <w:rPr>
          <w:sz w:val="22"/>
          <w:szCs w:val="22"/>
        </w:rPr>
        <w:t>and that location would not satisfy the main studio rule once the station relocates to Millville.</w:t>
      </w:r>
      <w:r w:rsidR="004B0112">
        <w:rPr>
          <w:sz w:val="22"/>
          <w:szCs w:val="22"/>
        </w:rPr>
        <w:t xml:space="preserve">  Trinity seeks a waiver of the main studio rule in order to </w:t>
      </w:r>
      <w:r w:rsidR="004B0112" w:rsidRPr="004B0112">
        <w:rPr>
          <w:sz w:val="22"/>
          <w:szCs w:val="22"/>
        </w:rPr>
        <w:t xml:space="preserve">continue to locate the </w:t>
      </w:r>
      <w:r w:rsidR="004B0112">
        <w:rPr>
          <w:sz w:val="22"/>
          <w:szCs w:val="22"/>
        </w:rPr>
        <w:t xml:space="preserve">station’s </w:t>
      </w:r>
      <w:r w:rsidR="004B0112" w:rsidRPr="004B0112">
        <w:rPr>
          <w:sz w:val="22"/>
          <w:szCs w:val="22"/>
        </w:rPr>
        <w:t xml:space="preserve">main studio </w:t>
      </w:r>
      <w:r w:rsidR="004B0112">
        <w:rPr>
          <w:sz w:val="22"/>
          <w:szCs w:val="22"/>
        </w:rPr>
        <w:t>at the Folcroft location.</w:t>
      </w:r>
    </w:p>
    <w:p w:rsidR="004B0112" w:rsidRDefault="004B0112">
      <w:pPr>
        <w:ind w:firstLine="720"/>
        <w:rPr>
          <w:sz w:val="22"/>
          <w:szCs w:val="22"/>
        </w:rPr>
      </w:pPr>
    </w:p>
    <w:p w:rsidR="004B0112" w:rsidRPr="004B0112" w:rsidRDefault="004B0112" w:rsidP="004B0112">
      <w:pPr>
        <w:rPr>
          <w:sz w:val="22"/>
          <w:szCs w:val="22"/>
        </w:rPr>
      </w:pPr>
      <w:r>
        <w:rPr>
          <w:sz w:val="22"/>
          <w:szCs w:val="22"/>
        </w:rPr>
        <w:tab/>
      </w:r>
      <w:r w:rsidR="00617783">
        <w:rPr>
          <w:sz w:val="22"/>
          <w:szCs w:val="22"/>
        </w:rPr>
        <w:t>Trinity maintains that</w:t>
      </w:r>
      <w:r>
        <w:rPr>
          <w:sz w:val="22"/>
          <w:szCs w:val="22"/>
        </w:rPr>
        <w:t xml:space="preserve"> waiver of the</w:t>
      </w:r>
      <w:r w:rsidR="001B7129">
        <w:rPr>
          <w:sz w:val="22"/>
          <w:szCs w:val="22"/>
        </w:rPr>
        <w:t xml:space="preserve"> main studio</w:t>
      </w:r>
      <w:r>
        <w:rPr>
          <w:sz w:val="22"/>
          <w:szCs w:val="22"/>
        </w:rPr>
        <w:t xml:space="preserve"> rule </w:t>
      </w:r>
      <w:r w:rsidR="001B7129">
        <w:rPr>
          <w:sz w:val="22"/>
          <w:szCs w:val="22"/>
        </w:rPr>
        <w:t xml:space="preserve">in this case </w:t>
      </w:r>
      <w:r>
        <w:rPr>
          <w:sz w:val="22"/>
          <w:szCs w:val="22"/>
        </w:rPr>
        <w:t>is consistent with Commission precedent.  Trinity argues that “t</w:t>
      </w:r>
      <w:r w:rsidRPr="004B0112">
        <w:rPr>
          <w:sz w:val="22"/>
          <w:szCs w:val="22"/>
        </w:rPr>
        <w:t xml:space="preserve">he Commission repeatedly has waived the main studio rule for television </w:t>
      </w:r>
      <w:r w:rsidRPr="004B0112">
        <w:rPr>
          <w:sz w:val="22"/>
          <w:szCs w:val="22"/>
        </w:rPr>
        <w:lastRenderedPageBreak/>
        <w:t>broadcasters licensed to communities that could not support a main studio.</w:t>
      </w:r>
      <w:r>
        <w:rPr>
          <w:sz w:val="22"/>
          <w:szCs w:val="22"/>
        </w:rPr>
        <w:t>”</w:t>
      </w:r>
      <w:r w:rsidR="001B7129">
        <w:rPr>
          <w:rStyle w:val="FootnoteReference"/>
          <w:sz w:val="22"/>
          <w:szCs w:val="22"/>
        </w:rPr>
        <w:footnoteReference w:id="4"/>
      </w:r>
      <w:r w:rsidR="001B7129">
        <w:rPr>
          <w:sz w:val="22"/>
          <w:szCs w:val="22"/>
        </w:rPr>
        <w:t xml:space="preserve"> </w:t>
      </w:r>
      <w:r>
        <w:rPr>
          <w:sz w:val="22"/>
          <w:szCs w:val="22"/>
        </w:rPr>
        <w:t xml:space="preserve"> Trinity cites to </w:t>
      </w:r>
      <w:r w:rsidR="001B7129">
        <w:rPr>
          <w:sz w:val="22"/>
          <w:szCs w:val="22"/>
        </w:rPr>
        <w:t>de</w:t>
      </w:r>
      <w:r>
        <w:rPr>
          <w:sz w:val="22"/>
          <w:szCs w:val="22"/>
        </w:rPr>
        <w:t>cisions where the Commission co</w:t>
      </w:r>
      <w:r w:rsidRPr="004B0112">
        <w:rPr>
          <w:sz w:val="22"/>
          <w:szCs w:val="22"/>
        </w:rPr>
        <w:t>nsidered, among other things, declining population in the county containing the community of license, the median income in the community of license compared to the rest of the state, and the distance between the community of license and the main studio.</w:t>
      </w:r>
      <w:r w:rsidR="0077191B">
        <w:rPr>
          <w:rStyle w:val="FootnoteReference"/>
          <w:sz w:val="22"/>
          <w:szCs w:val="22"/>
        </w:rPr>
        <w:footnoteReference w:id="5"/>
      </w:r>
      <w:r w:rsidRPr="004B0112">
        <w:rPr>
          <w:sz w:val="22"/>
          <w:szCs w:val="22"/>
        </w:rPr>
        <w:t xml:space="preserve">   In this case, </w:t>
      </w:r>
      <w:r w:rsidR="001B7129">
        <w:rPr>
          <w:sz w:val="22"/>
          <w:szCs w:val="22"/>
        </w:rPr>
        <w:t>Trinity represents</w:t>
      </w:r>
      <w:r>
        <w:rPr>
          <w:sz w:val="22"/>
          <w:szCs w:val="22"/>
        </w:rPr>
        <w:t xml:space="preserve"> that </w:t>
      </w:r>
      <w:r w:rsidRPr="004B0112">
        <w:rPr>
          <w:sz w:val="22"/>
          <w:szCs w:val="22"/>
        </w:rPr>
        <w:t>Millville, New Jersey, had just over 28,000 residents as of 2016, a decline since the 2010 Census.</w:t>
      </w:r>
      <w:r w:rsidR="001B7129">
        <w:rPr>
          <w:rStyle w:val="FootnoteReference"/>
          <w:sz w:val="22"/>
          <w:szCs w:val="22"/>
        </w:rPr>
        <w:footnoteReference w:id="6"/>
      </w:r>
      <w:r w:rsidRPr="004B0112">
        <w:rPr>
          <w:sz w:val="22"/>
          <w:szCs w:val="22"/>
        </w:rPr>
        <w:t xml:space="preserve">   </w:t>
      </w:r>
      <w:r>
        <w:rPr>
          <w:sz w:val="22"/>
          <w:szCs w:val="22"/>
        </w:rPr>
        <w:t xml:space="preserve">Trinity also notes that </w:t>
      </w:r>
      <w:r w:rsidRPr="004B0112">
        <w:rPr>
          <w:sz w:val="22"/>
          <w:szCs w:val="22"/>
        </w:rPr>
        <w:t xml:space="preserve">Millville is located in Cumberland County, the population of which </w:t>
      </w:r>
      <w:r w:rsidR="00594921">
        <w:rPr>
          <w:sz w:val="22"/>
          <w:szCs w:val="22"/>
        </w:rPr>
        <w:t xml:space="preserve">Trinity maintains </w:t>
      </w:r>
      <w:r w:rsidRPr="004B0112">
        <w:rPr>
          <w:sz w:val="22"/>
          <w:szCs w:val="22"/>
        </w:rPr>
        <w:t>likewise has declined since the 2010 Census.</w:t>
      </w:r>
      <w:r w:rsidR="00594921">
        <w:rPr>
          <w:rStyle w:val="FootnoteReference"/>
          <w:sz w:val="22"/>
          <w:szCs w:val="22"/>
        </w:rPr>
        <w:footnoteReference w:id="7"/>
      </w:r>
      <w:r w:rsidRPr="004B0112">
        <w:rPr>
          <w:sz w:val="22"/>
          <w:szCs w:val="22"/>
        </w:rPr>
        <w:t xml:space="preserve">   </w:t>
      </w:r>
      <w:r>
        <w:rPr>
          <w:sz w:val="22"/>
          <w:szCs w:val="22"/>
        </w:rPr>
        <w:t>In addition, Trinity notes that t</w:t>
      </w:r>
      <w:r w:rsidRPr="004B0112">
        <w:rPr>
          <w:sz w:val="22"/>
          <w:szCs w:val="22"/>
        </w:rPr>
        <w:t>he median household income in Millville, $49,133, is just 68</w:t>
      </w:r>
      <w:r w:rsidR="00D5524B">
        <w:rPr>
          <w:sz w:val="22"/>
          <w:szCs w:val="22"/>
        </w:rPr>
        <w:t xml:space="preserve"> percent</w:t>
      </w:r>
      <w:r w:rsidRPr="004B0112">
        <w:rPr>
          <w:sz w:val="22"/>
          <w:szCs w:val="22"/>
        </w:rPr>
        <w:t xml:space="preserve"> of the statewide average, $72,093.</w:t>
      </w:r>
      <w:r w:rsidR="00594921">
        <w:rPr>
          <w:rStyle w:val="FootnoteReference"/>
          <w:sz w:val="22"/>
          <w:szCs w:val="22"/>
        </w:rPr>
        <w:footnoteReference w:id="8"/>
      </w:r>
      <w:r w:rsidRPr="004B0112">
        <w:rPr>
          <w:sz w:val="22"/>
          <w:szCs w:val="22"/>
        </w:rPr>
        <w:t xml:space="preserve">   </w:t>
      </w:r>
      <w:r>
        <w:rPr>
          <w:sz w:val="22"/>
          <w:szCs w:val="22"/>
        </w:rPr>
        <w:t xml:space="preserve">Finally, Trinity </w:t>
      </w:r>
      <w:r w:rsidR="004962A8">
        <w:rPr>
          <w:sz w:val="22"/>
          <w:szCs w:val="22"/>
        </w:rPr>
        <w:t xml:space="preserve">argues that </w:t>
      </w:r>
      <w:r>
        <w:rPr>
          <w:sz w:val="22"/>
          <w:szCs w:val="22"/>
        </w:rPr>
        <w:t>station’s</w:t>
      </w:r>
      <w:r w:rsidRPr="004B0112">
        <w:rPr>
          <w:sz w:val="22"/>
          <w:szCs w:val="22"/>
        </w:rPr>
        <w:t xml:space="preserve"> </w:t>
      </w:r>
      <w:r w:rsidR="004962A8">
        <w:rPr>
          <w:sz w:val="22"/>
          <w:szCs w:val="22"/>
        </w:rPr>
        <w:t xml:space="preserve">Folcroft </w:t>
      </w:r>
      <w:r w:rsidRPr="004B0112">
        <w:rPr>
          <w:sz w:val="22"/>
          <w:szCs w:val="22"/>
        </w:rPr>
        <w:t xml:space="preserve">main studio is located less than 37 miles from Millville, </w:t>
      </w:r>
      <w:r w:rsidR="00594921">
        <w:rPr>
          <w:sz w:val="22"/>
          <w:szCs w:val="22"/>
        </w:rPr>
        <w:t xml:space="preserve">which Trinity </w:t>
      </w:r>
      <w:r w:rsidR="004962A8">
        <w:rPr>
          <w:sz w:val="22"/>
          <w:szCs w:val="22"/>
        </w:rPr>
        <w:t>notes is less than an hour’s drive and is “</w:t>
      </w:r>
      <w:r w:rsidRPr="004B0112">
        <w:rPr>
          <w:sz w:val="22"/>
          <w:szCs w:val="22"/>
        </w:rPr>
        <w:t>far closer than the 70 and 90 mile distances</w:t>
      </w:r>
      <w:r w:rsidR="004962A8">
        <w:rPr>
          <w:sz w:val="22"/>
          <w:szCs w:val="22"/>
        </w:rPr>
        <w:t>”</w:t>
      </w:r>
      <w:r w:rsidRPr="004B0112">
        <w:rPr>
          <w:sz w:val="22"/>
          <w:szCs w:val="22"/>
        </w:rPr>
        <w:t xml:space="preserve"> approved in </w:t>
      </w:r>
      <w:r w:rsidR="004962A8">
        <w:rPr>
          <w:sz w:val="22"/>
          <w:szCs w:val="22"/>
        </w:rPr>
        <w:t>other Commission decisions.</w:t>
      </w:r>
      <w:r w:rsidR="004962A8">
        <w:rPr>
          <w:rStyle w:val="FootnoteReference"/>
          <w:sz w:val="22"/>
          <w:szCs w:val="22"/>
        </w:rPr>
        <w:footnoteReference w:id="9"/>
      </w:r>
    </w:p>
    <w:p w:rsidR="004B0112" w:rsidRPr="004B0112" w:rsidRDefault="004B0112" w:rsidP="004B0112">
      <w:pPr>
        <w:rPr>
          <w:sz w:val="22"/>
          <w:szCs w:val="22"/>
        </w:rPr>
      </w:pPr>
    </w:p>
    <w:p w:rsidR="004B0112" w:rsidRPr="004B0112" w:rsidRDefault="004B0112" w:rsidP="004B0112">
      <w:pPr>
        <w:ind w:firstLine="720"/>
        <w:rPr>
          <w:sz w:val="22"/>
          <w:szCs w:val="22"/>
        </w:rPr>
      </w:pPr>
      <w:r>
        <w:rPr>
          <w:sz w:val="22"/>
          <w:szCs w:val="22"/>
        </w:rPr>
        <w:t xml:space="preserve">Trinity also pledges that it </w:t>
      </w:r>
      <w:r w:rsidRPr="004B0112">
        <w:rPr>
          <w:sz w:val="22"/>
          <w:szCs w:val="22"/>
        </w:rPr>
        <w:t xml:space="preserve">will continue to staff </w:t>
      </w:r>
      <w:r w:rsidR="00D5524B">
        <w:rPr>
          <w:sz w:val="22"/>
          <w:szCs w:val="22"/>
        </w:rPr>
        <w:t>WGTW-TV’s</w:t>
      </w:r>
      <w:r w:rsidRPr="004B0112">
        <w:rPr>
          <w:sz w:val="22"/>
          <w:szCs w:val="22"/>
        </w:rPr>
        <w:t xml:space="preserve"> main studio as required by the current rule, and the </w:t>
      </w:r>
      <w:r w:rsidR="00D5524B">
        <w:rPr>
          <w:sz w:val="22"/>
          <w:szCs w:val="22"/>
        </w:rPr>
        <w:t>S</w:t>
      </w:r>
      <w:r w:rsidRPr="004B0112">
        <w:rPr>
          <w:sz w:val="22"/>
          <w:szCs w:val="22"/>
        </w:rPr>
        <w:t>tation has fully transitioned to an online public file</w:t>
      </w:r>
      <w:r w:rsidR="004962A8">
        <w:rPr>
          <w:sz w:val="22"/>
          <w:szCs w:val="22"/>
        </w:rPr>
        <w:t>.  F</w:t>
      </w:r>
      <w:r w:rsidRPr="004B0112">
        <w:rPr>
          <w:sz w:val="22"/>
          <w:szCs w:val="22"/>
        </w:rPr>
        <w:t xml:space="preserve">urther, </w:t>
      </w:r>
      <w:r w:rsidR="003F0A9C">
        <w:rPr>
          <w:sz w:val="22"/>
          <w:szCs w:val="22"/>
        </w:rPr>
        <w:t xml:space="preserve">Trinity maintains that </w:t>
      </w:r>
      <w:r w:rsidRPr="004B0112">
        <w:rPr>
          <w:sz w:val="22"/>
          <w:szCs w:val="22"/>
        </w:rPr>
        <w:t xml:space="preserve">allowing </w:t>
      </w:r>
      <w:r w:rsidR="003F0A9C">
        <w:rPr>
          <w:sz w:val="22"/>
          <w:szCs w:val="22"/>
        </w:rPr>
        <w:t xml:space="preserve">the </w:t>
      </w:r>
      <w:r w:rsidR="00D5524B">
        <w:rPr>
          <w:sz w:val="22"/>
          <w:szCs w:val="22"/>
        </w:rPr>
        <w:t>S</w:t>
      </w:r>
      <w:r w:rsidR="003F0A9C">
        <w:rPr>
          <w:sz w:val="22"/>
          <w:szCs w:val="22"/>
        </w:rPr>
        <w:t>tation t</w:t>
      </w:r>
      <w:r w:rsidRPr="004B0112">
        <w:rPr>
          <w:sz w:val="22"/>
          <w:szCs w:val="22"/>
        </w:rPr>
        <w:t xml:space="preserve">o maintain its main studio at its current location will allow any community members desiring to visit the </w:t>
      </w:r>
      <w:r w:rsidR="00D5524B">
        <w:rPr>
          <w:sz w:val="22"/>
          <w:szCs w:val="22"/>
        </w:rPr>
        <w:t>S</w:t>
      </w:r>
      <w:r w:rsidRPr="004B0112">
        <w:rPr>
          <w:sz w:val="22"/>
          <w:szCs w:val="22"/>
        </w:rPr>
        <w:t xml:space="preserve">tation’s main studio to do so at its current, familiar location.  In addition, while this waiver is in effect, Trinity </w:t>
      </w:r>
      <w:r w:rsidR="003F0A9C">
        <w:rPr>
          <w:sz w:val="22"/>
          <w:szCs w:val="22"/>
        </w:rPr>
        <w:t xml:space="preserve">pledges to </w:t>
      </w:r>
      <w:r w:rsidRPr="004B0112">
        <w:rPr>
          <w:sz w:val="22"/>
          <w:szCs w:val="22"/>
        </w:rPr>
        <w:t>maintain a telephone number local to its community of license or, in the alternative, a toll-free number.</w:t>
      </w:r>
    </w:p>
    <w:p w:rsidR="004B0112" w:rsidRPr="004B0112" w:rsidRDefault="004B0112" w:rsidP="004B0112">
      <w:pPr>
        <w:rPr>
          <w:sz w:val="22"/>
          <w:szCs w:val="22"/>
        </w:rPr>
      </w:pPr>
    </w:p>
    <w:p w:rsidR="004B0112" w:rsidRDefault="003F0A9C" w:rsidP="003F0A9C">
      <w:pPr>
        <w:ind w:firstLine="720"/>
        <w:rPr>
          <w:sz w:val="22"/>
          <w:szCs w:val="22"/>
        </w:rPr>
      </w:pPr>
      <w:r>
        <w:rPr>
          <w:sz w:val="22"/>
          <w:szCs w:val="22"/>
        </w:rPr>
        <w:t xml:space="preserve">Finally, Trinity notes that the Commission </w:t>
      </w:r>
      <w:r w:rsidR="004B0112" w:rsidRPr="004B0112">
        <w:rPr>
          <w:sz w:val="22"/>
          <w:szCs w:val="22"/>
        </w:rPr>
        <w:t xml:space="preserve">has proposed to eliminate the </w:t>
      </w:r>
      <w:r>
        <w:rPr>
          <w:sz w:val="22"/>
          <w:szCs w:val="22"/>
        </w:rPr>
        <w:t>main studio rule.</w:t>
      </w:r>
      <w:r w:rsidR="00F80745">
        <w:rPr>
          <w:rStyle w:val="FootnoteReference"/>
          <w:sz w:val="22"/>
          <w:szCs w:val="22"/>
        </w:rPr>
        <w:footnoteReference w:id="10"/>
      </w:r>
      <w:r>
        <w:rPr>
          <w:sz w:val="22"/>
          <w:szCs w:val="22"/>
        </w:rPr>
        <w:t xml:space="preserve">  T</w:t>
      </w:r>
      <w:r w:rsidR="004B0112" w:rsidRPr="004B0112">
        <w:rPr>
          <w:sz w:val="22"/>
          <w:szCs w:val="22"/>
        </w:rPr>
        <w:t xml:space="preserve">rinity </w:t>
      </w:r>
      <w:r>
        <w:rPr>
          <w:sz w:val="22"/>
          <w:szCs w:val="22"/>
        </w:rPr>
        <w:t xml:space="preserve">argues that it </w:t>
      </w:r>
      <w:r w:rsidR="004B0112" w:rsidRPr="004B0112">
        <w:rPr>
          <w:sz w:val="22"/>
          <w:szCs w:val="22"/>
        </w:rPr>
        <w:t>does not seek relief from the r</w:t>
      </w:r>
      <w:r>
        <w:rPr>
          <w:sz w:val="22"/>
          <w:szCs w:val="22"/>
        </w:rPr>
        <w:t>ule in its entirety</w:t>
      </w:r>
      <w:r w:rsidR="004962A8">
        <w:rPr>
          <w:sz w:val="22"/>
          <w:szCs w:val="22"/>
        </w:rPr>
        <w:t xml:space="preserve"> but, instead, is asking that </w:t>
      </w:r>
      <w:r w:rsidR="004B0112" w:rsidRPr="004B0112">
        <w:rPr>
          <w:sz w:val="22"/>
          <w:szCs w:val="22"/>
        </w:rPr>
        <w:t xml:space="preserve">it be permitted to maintain the </w:t>
      </w:r>
      <w:r>
        <w:rPr>
          <w:sz w:val="22"/>
          <w:szCs w:val="22"/>
        </w:rPr>
        <w:t>station’s s</w:t>
      </w:r>
      <w:r w:rsidR="004B0112" w:rsidRPr="004B0112">
        <w:rPr>
          <w:sz w:val="22"/>
          <w:szCs w:val="22"/>
        </w:rPr>
        <w:t>tudio at its current location</w:t>
      </w:r>
      <w:r>
        <w:rPr>
          <w:sz w:val="22"/>
          <w:szCs w:val="22"/>
        </w:rPr>
        <w:t xml:space="preserve">.  Trinity argues that </w:t>
      </w:r>
      <w:r w:rsidR="004B0112" w:rsidRPr="004B0112">
        <w:rPr>
          <w:sz w:val="22"/>
          <w:szCs w:val="22"/>
        </w:rPr>
        <w:t xml:space="preserve">maintaining </w:t>
      </w:r>
      <w:r w:rsidR="00D5524B">
        <w:rPr>
          <w:sz w:val="22"/>
          <w:szCs w:val="22"/>
        </w:rPr>
        <w:t>WGTW-TV’s c</w:t>
      </w:r>
      <w:r w:rsidR="004B0112" w:rsidRPr="004B0112">
        <w:rPr>
          <w:sz w:val="22"/>
          <w:szCs w:val="22"/>
        </w:rPr>
        <w:t xml:space="preserve">urrent main studio location allows a continuity of service and access by the public during a time of </w:t>
      </w:r>
      <w:r w:rsidR="004962A8">
        <w:rPr>
          <w:sz w:val="22"/>
          <w:szCs w:val="22"/>
        </w:rPr>
        <w:t>what Trinity describes as a “</w:t>
      </w:r>
      <w:r w:rsidR="004B0112" w:rsidRPr="004B0112">
        <w:rPr>
          <w:sz w:val="22"/>
          <w:szCs w:val="22"/>
        </w:rPr>
        <w:t>significant change in the broadcast industry.</w:t>
      </w:r>
      <w:r w:rsidR="004962A8">
        <w:rPr>
          <w:sz w:val="22"/>
          <w:szCs w:val="22"/>
        </w:rPr>
        <w:t>”</w:t>
      </w:r>
      <w:r w:rsidR="004962A8">
        <w:rPr>
          <w:rStyle w:val="FootnoteReference"/>
          <w:sz w:val="22"/>
          <w:szCs w:val="22"/>
        </w:rPr>
        <w:footnoteReference w:id="11"/>
      </w:r>
      <w:r w:rsidR="004B0112" w:rsidRPr="004B0112">
        <w:rPr>
          <w:sz w:val="22"/>
          <w:szCs w:val="22"/>
        </w:rPr>
        <w:t xml:space="preserve"> </w:t>
      </w:r>
      <w:r>
        <w:rPr>
          <w:sz w:val="22"/>
          <w:szCs w:val="22"/>
        </w:rPr>
        <w:t>Trinity points out that</w:t>
      </w:r>
      <w:r w:rsidR="00F80745">
        <w:rPr>
          <w:sz w:val="22"/>
          <w:szCs w:val="22"/>
        </w:rPr>
        <w:t xml:space="preserve">, as a result of the </w:t>
      </w:r>
      <w:r>
        <w:rPr>
          <w:sz w:val="22"/>
          <w:szCs w:val="22"/>
        </w:rPr>
        <w:t>incentive auction and repacking</w:t>
      </w:r>
      <w:r w:rsidR="00F80745">
        <w:rPr>
          <w:sz w:val="22"/>
          <w:szCs w:val="22"/>
        </w:rPr>
        <w:t>, e</w:t>
      </w:r>
      <w:r w:rsidR="004B0112" w:rsidRPr="004B0112">
        <w:rPr>
          <w:sz w:val="22"/>
          <w:szCs w:val="22"/>
        </w:rPr>
        <w:t xml:space="preserve">stablished community and public service relationships will be </w:t>
      </w:r>
      <w:r w:rsidR="004962A8">
        <w:rPr>
          <w:sz w:val="22"/>
          <w:szCs w:val="22"/>
        </w:rPr>
        <w:t>“</w:t>
      </w:r>
      <w:r w:rsidR="004B0112" w:rsidRPr="004B0112">
        <w:rPr>
          <w:sz w:val="22"/>
          <w:szCs w:val="22"/>
        </w:rPr>
        <w:t>upset and changed, causing public confusion as stations move to new channels and communities.</w:t>
      </w:r>
      <w:r w:rsidR="004962A8">
        <w:rPr>
          <w:sz w:val="22"/>
          <w:szCs w:val="22"/>
        </w:rPr>
        <w:t>”</w:t>
      </w:r>
      <w:r w:rsidR="004962A8">
        <w:rPr>
          <w:rStyle w:val="FootnoteReference"/>
          <w:sz w:val="22"/>
          <w:szCs w:val="22"/>
        </w:rPr>
        <w:footnoteReference w:id="12"/>
      </w:r>
      <w:r w:rsidR="004B0112" w:rsidRPr="004B0112">
        <w:rPr>
          <w:sz w:val="22"/>
          <w:szCs w:val="22"/>
        </w:rPr>
        <w:t xml:space="preserve"> </w:t>
      </w:r>
      <w:r w:rsidR="00D5524B">
        <w:rPr>
          <w:sz w:val="22"/>
          <w:szCs w:val="22"/>
        </w:rPr>
        <w:t xml:space="preserve"> </w:t>
      </w:r>
      <w:r w:rsidR="004B0112" w:rsidRPr="004B0112">
        <w:rPr>
          <w:sz w:val="22"/>
          <w:szCs w:val="22"/>
        </w:rPr>
        <w:t xml:space="preserve">Allowing </w:t>
      </w:r>
      <w:r w:rsidR="00F80745">
        <w:rPr>
          <w:sz w:val="22"/>
          <w:szCs w:val="22"/>
        </w:rPr>
        <w:t>the station t</w:t>
      </w:r>
      <w:r w:rsidR="004B0112" w:rsidRPr="004B0112">
        <w:rPr>
          <w:sz w:val="22"/>
          <w:szCs w:val="22"/>
        </w:rPr>
        <w:t xml:space="preserve">o maintain its </w:t>
      </w:r>
      <w:r w:rsidR="00F80745">
        <w:rPr>
          <w:sz w:val="22"/>
          <w:szCs w:val="22"/>
        </w:rPr>
        <w:t xml:space="preserve">current </w:t>
      </w:r>
      <w:r w:rsidR="004B0112" w:rsidRPr="004B0112">
        <w:rPr>
          <w:sz w:val="22"/>
          <w:szCs w:val="22"/>
        </w:rPr>
        <w:t>main studio location</w:t>
      </w:r>
      <w:r w:rsidR="00F80745">
        <w:rPr>
          <w:sz w:val="22"/>
          <w:szCs w:val="22"/>
        </w:rPr>
        <w:t>, Trinity argues, “</w:t>
      </w:r>
      <w:r w:rsidR="004B0112" w:rsidRPr="004B0112">
        <w:rPr>
          <w:sz w:val="22"/>
          <w:szCs w:val="22"/>
        </w:rPr>
        <w:t>will ease some of this confusion and the impact of the changes, and allow continuity for the public.</w:t>
      </w:r>
      <w:r w:rsidR="00F80745">
        <w:rPr>
          <w:sz w:val="22"/>
          <w:szCs w:val="22"/>
        </w:rPr>
        <w:t>”</w:t>
      </w:r>
      <w:r w:rsidR="004962A8">
        <w:rPr>
          <w:rStyle w:val="FootnoteReference"/>
          <w:sz w:val="22"/>
          <w:szCs w:val="22"/>
        </w:rPr>
        <w:footnoteReference w:id="13"/>
      </w:r>
      <w:r w:rsidR="00F80745">
        <w:rPr>
          <w:sz w:val="22"/>
          <w:szCs w:val="22"/>
        </w:rPr>
        <w:t xml:space="preserve">  Trinity concludes that “t</w:t>
      </w:r>
      <w:r w:rsidR="004B0112" w:rsidRPr="004B0112">
        <w:rPr>
          <w:sz w:val="22"/>
          <w:szCs w:val="22"/>
        </w:rPr>
        <w:t>his is a meaningful and important pu</w:t>
      </w:r>
      <w:r w:rsidR="00F80745">
        <w:rPr>
          <w:sz w:val="22"/>
          <w:szCs w:val="22"/>
        </w:rPr>
        <w:t>blic service supporting waiver.”</w:t>
      </w:r>
      <w:r w:rsidR="004962A8">
        <w:rPr>
          <w:rStyle w:val="FootnoteReference"/>
          <w:sz w:val="22"/>
          <w:szCs w:val="22"/>
        </w:rPr>
        <w:footnoteReference w:id="14"/>
      </w:r>
    </w:p>
    <w:p w:rsidR="004B0112" w:rsidRDefault="004B0112" w:rsidP="004B0112">
      <w:pPr>
        <w:rPr>
          <w:sz w:val="22"/>
          <w:szCs w:val="22"/>
        </w:rPr>
      </w:pPr>
    </w:p>
    <w:p w:rsidR="00894151" w:rsidRDefault="00112A96" w:rsidP="00894151">
      <w:pPr>
        <w:ind w:firstLine="720"/>
        <w:rPr>
          <w:sz w:val="22"/>
          <w:szCs w:val="22"/>
        </w:rPr>
      </w:pPr>
      <w:r>
        <w:rPr>
          <w:i/>
          <w:sz w:val="22"/>
          <w:szCs w:val="22"/>
        </w:rPr>
        <w:t xml:space="preserve">Discussion.  </w:t>
      </w:r>
      <w:r w:rsidR="000517F6">
        <w:rPr>
          <w:sz w:val="22"/>
          <w:szCs w:val="22"/>
        </w:rPr>
        <w:t>For the reasons set forth below, w</w:t>
      </w:r>
      <w:r w:rsidR="00910614">
        <w:rPr>
          <w:sz w:val="22"/>
          <w:szCs w:val="22"/>
        </w:rPr>
        <w:t xml:space="preserve">e </w:t>
      </w:r>
      <w:r w:rsidR="00617783">
        <w:rPr>
          <w:sz w:val="22"/>
          <w:szCs w:val="22"/>
        </w:rPr>
        <w:t>deny Trinity’s</w:t>
      </w:r>
      <w:r w:rsidR="000D4344">
        <w:rPr>
          <w:sz w:val="22"/>
          <w:szCs w:val="22"/>
        </w:rPr>
        <w:t xml:space="preserve"> </w:t>
      </w:r>
      <w:r w:rsidR="00617783">
        <w:rPr>
          <w:sz w:val="22"/>
          <w:szCs w:val="22"/>
        </w:rPr>
        <w:t>request</w:t>
      </w:r>
      <w:r w:rsidR="000D4344">
        <w:rPr>
          <w:sz w:val="22"/>
          <w:szCs w:val="22"/>
        </w:rPr>
        <w:t xml:space="preserve"> for permanent waiver of the main studio rule</w:t>
      </w:r>
      <w:r w:rsidR="00617783">
        <w:rPr>
          <w:sz w:val="22"/>
          <w:szCs w:val="22"/>
        </w:rPr>
        <w:t>.</w:t>
      </w:r>
      <w:r w:rsidR="00894151">
        <w:rPr>
          <w:sz w:val="22"/>
          <w:szCs w:val="22"/>
        </w:rPr>
        <w:t xml:space="preserve"> Although we find that permanent waiver is not in the public interest, in order to facilitate the implementation of Trinity’s post-incentive auction channel sharing arrangement and </w:t>
      </w:r>
      <w:r w:rsidR="00894151">
        <w:rPr>
          <w:sz w:val="22"/>
          <w:szCs w:val="22"/>
        </w:rPr>
        <w:lastRenderedPageBreak/>
        <w:t xml:space="preserve">minimize as much disruption of service to the public as possible, we </w:t>
      </w:r>
      <w:r w:rsidR="00894151" w:rsidRPr="00F84906">
        <w:rPr>
          <w:sz w:val="22"/>
          <w:szCs w:val="22"/>
        </w:rPr>
        <w:t>will gra</w:t>
      </w:r>
      <w:r w:rsidR="00894151">
        <w:rPr>
          <w:sz w:val="22"/>
          <w:szCs w:val="22"/>
        </w:rPr>
        <w:t>nt Trinity a temporary waiver of the main studio rule.</w:t>
      </w:r>
      <w:r w:rsidR="00894151">
        <w:rPr>
          <w:rStyle w:val="FootnoteReference"/>
          <w:sz w:val="22"/>
          <w:szCs w:val="22"/>
        </w:rPr>
        <w:footnoteReference w:id="15"/>
      </w:r>
      <w:r w:rsidR="00894151">
        <w:rPr>
          <w:sz w:val="22"/>
          <w:szCs w:val="22"/>
        </w:rPr>
        <w:t xml:space="preserve">   We will permit Trinity </w:t>
      </w:r>
      <w:r w:rsidR="00894151" w:rsidRPr="00F84906">
        <w:rPr>
          <w:sz w:val="22"/>
          <w:szCs w:val="22"/>
        </w:rPr>
        <w:t xml:space="preserve">to operate </w:t>
      </w:r>
      <w:r w:rsidR="00894151">
        <w:rPr>
          <w:sz w:val="22"/>
          <w:szCs w:val="22"/>
        </w:rPr>
        <w:t>the station w</w:t>
      </w:r>
      <w:r w:rsidR="00894151" w:rsidRPr="00F84906">
        <w:rPr>
          <w:sz w:val="22"/>
          <w:szCs w:val="22"/>
        </w:rPr>
        <w:t xml:space="preserve">ithout a main studio </w:t>
      </w:r>
      <w:r w:rsidR="00894151">
        <w:rPr>
          <w:sz w:val="22"/>
          <w:szCs w:val="22"/>
        </w:rPr>
        <w:t xml:space="preserve">that complies with the rule </w:t>
      </w:r>
      <w:r w:rsidR="00894151" w:rsidRPr="00F84906">
        <w:rPr>
          <w:sz w:val="22"/>
          <w:szCs w:val="22"/>
        </w:rPr>
        <w:t>for a period not to exceed one year from the date of this letter.</w:t>
      </w:r>
      <w:r w:rsidR="00894151">
        <w:rPr>
          <w:sz w:val="22"/>
          <w:szCs w:val="22"/>
        </w:rPr>
        <w:t xml:space="preserve">  Given the unique circumstances, we find providing such temporary relief is both warranted and consistent with Video Division precedent.</w:t>
      </w:r>
      <w:r w:rsidR="00894151">
        <w:rPr>
          <w:rStyle w:val="FootnoteReference"/>
          <w:sz w:val="22"/>
          <w:szCs w:val="22"/>
        </w:rPr>
        <w:footnoteReference w:id="16"/>
      </w:r>
    </w:p>
    <w:p w:rsidR="00894151" w:rsidRDefault="00894151" w:rsidP="004962A8">
      <w:pPr>
        <w:ind w:firstLine="720"/>
        <w:rPr>
          <w:sz w:val="22"/>
          <w:szCs w:val="22"/>
        </w:rPr>
      </w:pPr>
    </w:p>
    <w:p w:rsidR="005B25F1" w:rsidRDefault="004962A8" w:rsidP="004962A8">
      <w:pPr>
        <w:ind w:firstLine="720"/>
        <w:rPr>
          <w:sz w:val="22"/>
          <w:szCs w:val="22"/>
        </w:rPr>
      </w:pPr>
      <w:r w:rsidRPr="005B25F1">
        <w:rPr>
          <w:sz w:val="22"/>
          <w:szCs w:val="22"/>
        </w:rPr>
        <w:t>When an applicant seeks a waiver, it must plead</w:t>
      </w:r>
      <w:r>
        <w:rPr>
          <w:sz w:val="22"/>
          <w:szCs w:val="22"/>
        </w:rPr>
        <w:t xml:space="preserve"> </w:t>
      </w:r>
      <w:r w:rsidRPr="005B25F1">
        <w:rPr>
          <w:sz w:val="22"/>
          <w:szCs w:val="22"/>
        </w:rPr>
        <w:t>with particularity the facts and circumstances which warrant such action</w:t>
      </w:r>
      <w:r>
        <w:rPr>
          <w:rStyle w:val="FootnoteReference"/>
          <w:sz w:val="22"/>
          <w:szCs w:val="22"/>
        </w:rPr>
        <w:footnoteReference w:id="17"/>
      </w:r>
      <w:r w:rsidR="00D5524B">
        <w:rPr>
          <w:sz w:val="22"/>
          <w:szCs w:val="22"/>
        </w:rPr>
        <w:t xml:space="preserve"> and</w:t>
      </w:r>
      <w:r w:rsidRPr="005B25F1">
        <w:rPr>
          <w:sz w:val="22"/>
          <w:szCs w:val="22"/>
        </w:rPr>
        <w:t xml:space="preserve"> “</w:t>
      </w:r>
      <w:r w:rsidR="00D5524B">
        <w:rPr>
          <w:sz w:val="22"/>
          <w:szCs w:val="22"/>
        </w:rPr>
        <w:t>[a]</w:t>
      </w:r>
      <w:r w:rsidRPr="005B25F1">
        <w:rPr>
          <w:sz w:val="22"/>
          <w:szCs w:val="22"/>
        </w:rPr>
        <w:t xml:space="preserve"> waiver is appropriate only if special</w:t>
      </w:r>
      <w:r>
        <w:rPr>
          <w:sz w:val="22"/>
          <w:szCs w:val="22"/>
        </w:rPr>
        <w:t xml:space="preserve"> </w:t>
      </w:r>
      <w:r w:rsidRPr="005B25F1">
        <w:rPr>
          <w:sz w:val="22"/>
          <w:szCs w:val="22"/>
        </w:rPr>
        <w:t>circumstances warrant a deviation from the general rule and such deviation will serve the public interest.”</w:t>
      </w:r>
      <w:r>
        <w:rPr>
          <w:rStyle w:val="FootnoteReference"/>
          <w:sz w:val="22"/>
          <w:szCs w:val="22"/>
        </w:rPr>
        <w:footnoteReference w:id="18"/>
      </w:r>
      <w:r>
        <w:rPr>
          <w:sz w:val="22"/>
          <w:szCs w:val="22"/>
        </w:rPr>
        <w:t xml:space="preserve">  </w:t>
      </w:r>
      <w:r w:rsidR="00F80745">
        <w:rPr>
          <w:sz w:val="22"/>
          <w:szCs w:val="22"/>
        </w:rPr>
        <w:t xml:space="preserve">We do not find that the public interest will be served by </w:t>
      </w:r>
      <w:r w:rsidR="000D4344">
        <w:rPr>
          <w:sz w:val="22"/>
          <w:szCs w:val="22"/>
        </w:rPr>
        <w:t xml:space="preserve">permanent </w:t>
      </w:r>
      <w:r w:rsidR="00F80745">
        <w:rPr>
          <w:sz w:val="22"/>
          <w:szCs w:val="22"/>
        </w:rPr>
        <w:t>waiver of the main studio rule</w:t>
      </w:r>
      <w:r>
        <w:rPr>
          <w:sz w:val="22"/>
          <w:szCs w:val="22"/>
        </w:rPr>
        <w:t xml:space="preserve"> in this case</w:t>
      </w:r>
      <w:r w:rsidR="00F80745">
        <w:rPr>
          <w:sz w:val="22"/>
          <w:szCs w:val="22"/>
        </w:rPr>
        <w:t xml:space="preserve">. </w:t>
      </w:r>
    </w:p>
    <w:p w:rsidR="005B25F1" w:rsidRDefault="005B25F1" w:rsidP="00112A96">
      <w:pPr>
        <w:ind w:firstLine="720"/>
        <w:rPr>
          <w:sz w:val="22"/>
          <w:szCs w:val="22"/>
        </w:rPr>
      </w:pPr>
    </w:p>
    <w:p w:rsidR="00112A96" w:rsidRPr="00112A96" w:rsidRDefault="00F80745" w:rsidP="00112A96">
      <w:pPr>
        <w:ind w:firstLine="720"/>
        <w:rPr>
          <w:sz w:val="22"/>
          <w:szCs w:val="22"/>
        </w:rPr>
      </w:pPr>
      <w:r>
        <w:rPr>
          <w:sz w:val="22"/>
          <w:szCs w:val="22"/>
        </w:rPr>
        <w:t xml:space="preserve"> </w:t>
      </w:r>
      <w:r w:rsidR="00C0675B">
        <w:rPr>
          <w:sz w:val="22"/>
          <w:szCs w:val="22"/>
        </w:rPr>
        <w:t xml:space="preserve">The </w:t>
      </w:r>
      <w:r w:rsidR="00112A96" w:rsidRPr="00112A96">
        <w:rPr>
          <w:sz w:val="22"/>
          <w:szCs w:val="22"/>
        </w:rPr>
        <w:t>main studio rule requires a station to locate its main studio:  (1) within its principal community contour; (2) within the principal community contour of any other broadcast station licensed to its community of license; or (3) within 25 miles of the center of its community of license.</w:t>
      </w:r>
      <w:r w:rsidR="007C6F74">
        <w:rPr>
          <w:rStyle w:val="FootnoteReference"/>
          <w:sz w:val="22"/>
          <w:szCs w:val="22"/>
        </w:rPr>
        <w:footnoteReference w:id="19"/>
      </w:r>
      <w:r w:rsidR="00112A96" w:rsidRPr="00112A96">
        <w:rPr>
          <w:sz w:val="22"/>
          <w:szCs w:val="22"/>
        </w:rPr>
        <w:t xml:space="preserve">   A licensee must acquire written authorization from the Commission to move and maintain a main studio outside of these locations</w:t>
      </w:r>
      <w:r w:rsidR="00112A96">
        <w:rPr>
          <w:sz w:val="22"/>
          <w:szCs w:val="22"/>
        </w:rPr>
        <w:t>.</w:t>
      </w:r>
      <w:r w:rsidR="007C6F74">
        <w:rPr>
          <w:rStyle w:val="FootnoteReference"/>
          <w:sz w:val="22"/>
          <w:szCs w:val="22"/>
        </w:rPr>
        <w:footnoteReference w:id="20"/>
      </w:r>
    </w:p>
    <w:p w:rsidR="00112A96" w:rsidRDefault="00112A96" w:rsidP="00462A65">
      <w:pPr>
        <w:ind w:firstLine="720"/>
        <w:rPr>
          <w:sz w:val="22"/>
          <w:szCs w:val="22"/>
        </w:rPr>
      </w:pPr>
    </w:p>
    <w:p w:rsidR="00A6408B" w:rsidRDefault="00112A96" w:rsidP="009050AC">
      <w:pPr>
        <w:ind w:firstLine="720"/>
        <w:rPr>
          <w:sz w:val="22"/>
          <w:szCs w:val="22"/>
        </w:rPr>
      </w:pPr>
      <w:r>
        <w:rPr>
          <w:sz w:val="22"/>
          <w:szCs w:val="22"/>
        </w:rPr>
        <w:t>C</w:t>
      </w:r>
      <w:r w:rsidR="00F80745">
        <w:rPr>
          <w:sz w:val="22"/>
          <w:szCs w:val="22"/>
        </w:rPr>
        <w:t xml:space="preserve">ontrary to Trinity’s claims, waiver in this case is not </w:t>
      </w:r>
      <w:r w:rsidR="003F0A9C">
        <w:rPr>
          <w:sz w:val="22"/>
          <w:szCs w:val="22"/>
        </w:rPr>
        <w:t>supported by</w:t>
      </w:r>
      <w:r w:rsidR="00853DFE">
        <w:rPr>
          <w:sz w:val="22"/>
          <w:szCs w:val="22"/>
        </w:rPr>
        <w:t xml:space="preserve"> the</w:t>
      </w:r>
      <w:r w:rsidR="003F0A9C">
        <w:rPr>
          <w:sz w:val="22"/>
          <w:szCs w:val="22"/>
        </w:rPr>
        <w:t xml:space="preserve"> precedent</w:t>
      </w:r>
      <w:r w:rsidR="00853DFE">
        <w:rPr>
          <w:sz w:val="22"/>
          <w:szCs w:val="22"/>
        </w:rPr>
        <w:t xml:space="preserve"> it cites</w:t>
      </w:r>
      <w:r w:rsidR="00F80745">
        <w:rPr>
          <w:sz w:val="22"/>
          <w:szCs w:val="22"/>
        </w:rPr>
        <w:t>.</w:t>
      </w:r>
      <w:r w:rsidR="004962A8">
        <w:rPr>
          <w:sz w:val="22"/>
          <w:szCs w:val="22"/>
        </w:rPr>
        <w:t xml:space="preserve">  </w:t>
      </w:r>
      <w:r w:rsidR="00F80745">
        <w:rPr>
          <w:sz w:val="22"/>
          <w:szCs w:val="22"/>
        </w:rPr>
        <w:t>All of the cases cited by Trinity involved television stations that had obtained approval from the Commission to operate (or continue to operate) as satellite stations.  In this case, the station is not a satellite of any other Trinity station and will be a fully operational local Millville, New Jersey station.</w:t>
      </w:r>
      <w:r w:rsidR="004962A8">
        <w:rPr>
          <w:sz w:val="22"/>
          <w:szCs w:val="22"/>
        </w:rPr>
        <w:t xml:space="preserve">  </w:t>
      </w:r>
      <w:r w:rsidR="005B25F1">
        <w:rPr>
          <w:sz w:val="22"/>
          <w:szCs w:val="22"/>
        </w:rPr>
        <w:t>Further, i</w:t>
      </w:r>
      <w:r w:rsidR="005B25F1" w:rsidRPr="005B25F1">
        <w:rPr>
          <w:sz w:val="22"/>
          <w:szCs w:val="22"/>
        </w:rPr>
        <w:t>n previous instances where a commercial licensee has attempted to justify a waiver</w:t>
      </w:r>
      <w:r w:rsidR="005B25F1">
        <w:rPr>
          <w:sz w:val="22"/>
          <w:szCs w:val="22"/>
        </w:rPr>
        <w:t xml:space="preserve"> </w:t>
      </w:r>
      <w:r w:rsidR="005B25F1" w:rsidRPr="005B25F1">
        <w:rPr>
          <w:sz w:val="22"/>
          <w:szCs w:val="22"/>
        </w:rPr>
        <w:t xml:space="preserve">of the </w:t>
      </w:r>
      <w:r w:rsidR="00853DFE">
        <w:rPr>
          <w:sz w:val="22"/>
          <w:szCs w:val="22"/>
        </w:rPr>
        <w:t>m</w:t>
      </w:r>
      <w:r w:rsidR="005B25F1" w:rsidRPr="005B25F1">
        <w:rPr>
          <w:sz w:val="22"/>
          <w:szCs w:val="22"/>
        </w:rPr>
        <w:t xml:space="preserve">ain </w:t>
      </w:r>
      <w:r w:rsidR="00853DFE">
        <w:rPr>
          <w:sz w:val="22"/>
          <w:szCs w:val="22"/>
        </w:rPr>
        <w:t>s</w:t>
      </w:r>
      <w:r w:rsidR="005B25F1" w:rsidRPr="005B25F1">
        <w:rPr>
          <w:sz w:val="22"/>
          <w:szCs w:val="22"/>
        </w:rPr>
        <w:t xml:space="preserve">tudio </w:t>
      </w:r>
      <w:r w:rsidR="00853DFE">
        <w:rPr>
          <w:sz w:val="22"/>
          <w:szCs w:val="22"/>
        </w:rPr>
        <w:t>r</w:t>
      </w:r>
      <w:r w:rsidR="005B25F1" w:rsidRPr="005B25F1">
        <w:rPr>
          <w:sz w:val="22"/>
          <w:szCs w:val="22"/>
        </w:rPr>
        <w:t>ule based solely on the economic benefit to the licensee, the Commission has denied the waiver.</w:t>
      </w:r>
      <w:r w:rsidR="005B25F1">
        <w:rPr>
          <w:rStyle w:val="FootnoteReference"/>
          <w:sz w:val="22"/>
          <w:szCs w:val="22"/>
        </w:rPr>
        <w:footnoteReference w:id="21"/>
      </w:r>
    </w:p>
    <w:p w:rsidR="00A6408B" w:rsidRDefault="00A6408B" w:rsidP="00A6408B">
      <w:pPr>
        <w:ind w:firstLine="720"/>
        <w:rPr>
          <w:sz w:val="22"/>
          <w:szCs w:val="22"/>
        </w:rPr>
      </w:pPr>
    </w:p>
    <w:p w:rsidR="00910614" w:rsidRDefault="00F80745" w:rsidP="00DB3FB8">
      <w:pPr>
        <w:ind w:firstLine="720"/>
        <w:rPr>
          <w:sz w:val="22"/>
          <w:szCs w:val="22"/>
        </w:rPr>
      </w:pPr>
      <w:r>
        <w:rPr>
          <w:sz w:val="22"/>
          <w:szCs w:val="22"/>
        </w:rPr>
        <w:t xml:space="preserve">Finally, the station was not </w:t>
      </w:r>
      <w:r w:rsidR="00B147A6">
        <w:rPr>
          <w:sz w:val="22"/>
          <w:szCs w:val="22"/>
        </w:rPr>
        <w:t>reassigned to a new channel as a result of the incentive auction and repacking process a</w:t>
      </w:r>
      <w:r>
        <w:rPr>
          <w:sz w:val="22"/>
          <w:szCs w:val="22"/>
        </w:rPr>
        <w:t xml:space="preserve">nd it was Trinity’s voluntary decision to </w:t>
      </w:r>
      <w:r w:rsidR="00B147A6">
        <w:rPr>
          <w:sz w:val="22"/>
          <w:szCs w:val="22"/>
        </w:rPr>
        <w:t xml:space="preserve">channel share with a Wildwood, New Jersey station and to seek to </w:t>
      </w:r>
      <w:r w:rsidR="000D4344">
        <w:rPr>
          <w:sz w:val="22"/>
          <w:szCs w:val="22"/>
        </w:rPr>
        <w:t>relocate</w:t>
      </w:r>
      <w:r>
        <w:rPr>
          <w:sz w:val="22"/>
          <w:szCs w:val="22"/>
        </w:rPr>
        <w:t xml:space="preserve"> its community of license</w:t>
      </w:r>
      <w:r w:rsidR="000D4344">
        <w:rPr>
          <w:sz w:val="22"/>
          <w:szCs w:val="22"/>
        </w:rPr>
        <w:t xml:space="preserve"> to Millville</w:t>
      </w:r>
      <w:r w:rsidR="00FD38CB">
        <w:rPr>
          <w:sz w:val="22"/>
          <w:szCs w:val="22"/>
        </w:rPr>
        <w:t>.  Although it</w:t>
      </w:r>
      <w:r>
        <w:rPr>
          <w:sz w:val="22"/>
          <w:szCs w:val="22"/>
        </w:rPr>
        <w:t xml:space="preserve"> encouraged channel </w:t>
      </w:r>
      <w:r>
        <w:rPr>
          <w:sz w:val="22"/>
          <w:szCs w:val="22"/>
        </w:rPr>
        <w:lastRenderedPageBreak/>
        <w:t>sharing among auction bidders and permitted stations’ to change their community of license in order to better implement their sharing arrangements</w:t>
      </w:r>
      <w:r w:rsidR="00B147A6">
        <w:rPr>
          <w:sz w:val="22"/>
          <w:szCs w:val="22"/>
        </w:rPr>
        <w:t>,</w:t>
      </w:r>
      <w:r w:rsidR="009050AC">
        <w:rPr>
          <w:sz w:val="22"/>
          <w:szCs w:val="22"/>
        </w:rPr>
        <w:t xml:space="preserve"> the Commission required channel sharing stations </w:t>
      </w:r>
      <w:r w:rsidR="00DB3FB8">
        <w:rPr>
          <w:sz w:val="22"/>
          <w:szCs w:val="22"/>
        </w:rPr>
        <w:t xml:space="preserve">to provide </w:t>
      </w:r>
      <w:r>
        <w:rPr>
          <w:sz w:val="22"/>
          <w:szCs w:val="22"/>
        </w:rPr>
        <w:t xml:space="preserve">the requisite </w:t>
      </w:r>
      <w:r w:rsidR="00B147A6">
        <w:rPr>
          <w:sz w:val="22"/>
          <w:szCs w:val="22"/>
        </w:rPr>
        <w:t xml:space="preserve">principal </w:t>
      </w:r>
      <w:r>
        <w:rPr>
          <w:sz w:val="22"/>
          <w:szCs w:val="22"/>
        </w:rPr>
        <w:t xml:space="preserve">contour coverage to their new community of license as provided for by the rules.  </w:t>
      </w:r>
      <w:r w:rsidR="007C6F74">
        <w:rPr>
          <w:sz w:val="22"/>
          <w:szCs w:val="22"/>
        </w:rPr>
        <w:t xml:space="preserve">Currently, channel </w:t>
      </w:r>
      <w:r w:rsidR="00B147A6">
        <w:rPr>
          <w:sz w:val="22"/>
          <w:szCs w:val="22"/>
        </w:rPr>
        <w:t xml:space="preserve">sharing </w:t>
      </w:r>
      <w:r>
        <w:rPr>
          <w:sz w:val="22"/>
          <w:szCs w:val="22"/>
        </w:rPr>
        <w:t xml:space="preserve">stations </w:t>
      </w:r>
      <w:r w:rsidR="009050AC">
        <w:rPr>
          <w:sz w:val="22"/>
          <w:szCs w:val="22"/>
        </w:rPr>
        <w:t xml:space="preserve">must also </w:t>
      </w:r>
      <w:r>
        <w:rPr>
          <w:sz w:val="22"/>
          <w:szCs w:val="22"/>
        </w:rPr>
        <w:t>maintain</w:t>
      </w:r>
      <w:r w:rsidR="009050AC">
        <w:rPr>
          <w:sz w:val="22"/>
          <w:szCs w:val="22"/>
        </w:rPr>
        <w:t xml:space="preserve"> a </w:t>
      </w:r>
      <w:r>
        <w:rPr>
          <w:sz w:val="22"/>
          <w:szCs w:val="22"/>
        </w:rPr>
        <w:t>main studio for their new community of license that complies with the requirements of the rule.</w:t>
      </w:r>
      <w:r w:rsidR="009050AC">
        <w:rPr>
          <w:rStyle w:val="FootnoteReference"/>
          <w:sz w:val="22"/>
          <w:szCs w:val="22"/>
        </w:rPr>
        <w:footnoteReference w:id="22"/>
      </w:r>
      <w:r>
        <w:rPr>
          <w:sz w:val="22"/>
          <w:szCs w:val="22"/>
        </w:rPr>
        <w:t xml:space="preserve">  </w:t>
      </w:r>
      <w:r w:rsidR="002557D3">
        <w:rPr>
          <w:sz w:val="22"/>
          <w:szCs w:val="22"/>
        </w:rPr>
        <w:t>While we recognize that the Commission has proposed to eliminate the main studio rule, t</w:t>
      </w:r>
      <w:r w:rsidR="009050AC" w:rsidRPr="009050AC">
        <w:rPr>
          <w:sz w:val="22"/>
          <w:szCs w:val="22"/>
        </w:rPr>
        <w:t>he Commission has established that, until such time as a policy has been modified or changed, it should be applied according to its terms</w:t>
      </w:r>
      <w:r w:rsidR="002557D3">
        <w:rPr>
          <w:sz w:val="22"/>
          <w:szCs w:val="22"/>
        </w:rPr>
        <w:t>, and the Commission has not issued an order formally eliminating the rule</w:t>
      </w:r>
      <w:r w:rsidR="00A6408B">
        <w:rPr>
          <w:sz w:val="22"/>
          <w:szCs w:val="22"/>
        </w:rPr>
        <w:t>.</w:t>
      </w:r>
      <w:r w:rsidR="00116172">
        <w:rPr>
          <w:rStyle w:val="FootnoteReference"/>
          <w:sz w:val="22"/>
          <w:szCs w:val="22"/>
        </w:rPr>
        <w:footnoteReference w:id="23"/>
      </w:r>
      <w:r w:rsidR="009050AC">
        <w:rPr>
          <w:sz w:val="22"/>
          <w:szCs w:val="22"/>
        </w:rPr>
        <w:t xml:space="preserve">  </w:t>
      </w:r>
      <w:r w:rsidR="009050AC" w:rsidRPr="009050AC">
        <w:rPr>
          <w:sz w:val="22"/>
          <w:szCs w:val="22"/>
        </w:rPr>
        <w:t>For these reasons, we deny Trinity’s request for permanent waiver of the main studio rule</w:t>
      </w:r>
      <w:r w:rsidR="00953D5A">
        <w:rPr>
          <w:sz w:val="22"/>
          <w:szCs w:val="22"/>
        </w:rPr>
        <w:t>.</w:t>
      </w:r>
    </w:p>
    <w:p w:rsidR="00617783" w:rsidRDefault="00617783">
      <w:pPr>
        <w:ind w:firstLine="720"/>
        <w:rPr>
          <w:sz w:val="22"/>
          <w:szCs w:val="22"/>
        </w:rPr>
      </w:pPr>
    </w:p>
    <w:p w:rsidR="00FD38CB" w:rsidRDefault="00F84906" w:rsidP="00894151">
      <w:pPr>
        <w:ind w:firstLine="720"/>
        <w:rPr>
          <w:sz w:val="22"/>
          <w:szCs w:val="22"/>
        </w:rPr>
      </w:pPr>
      <w:r w:rsidRPr="00F84906">
        <w:rPr>
          <w:sz w:val="22"/>
          <w:szCs w:val="22"/>
        </w:rPr>
        <w:t>ACCORDINGLY, a</w:t>
      </w:r>
      <w:r w:rsidR="00763685">
        <w:rPr>
          <w:sz w:val="22"/>
          <w:szCs w:val="22"/>
        </w:rPr>
        <w:t xml:space="preserve"> temporary</w:t>
      </w:r>
      <w:r w:rsidRPr="00F84906">
        <w:rPr>
          <w:sz w:val="22"/>
          <w:szCs w:val="22"/>
        </w:rPr>
        <w:t xml:space="preserve"> waiver of Section 73.1125 of the Commission's Rules with respect to </w:t>
      </w:r>
      <w:r>
        <w:rPr>
          <w:sz w:val="22"/>
          <w:szCs w:val="22"/>
        </w:rPr>
        <w:t>WGTW-TV’s</w:t>
      </w:r>
      <w:r w:rsidRPr="00F84906">
        <w:rPr>
          <w:sz w:val="22"/>
          <w:szCs w:val="22"/>
        </w:rPr>
        <w:t xml:space="preserve"> main studio, </w:t>
      </w:r>
      <w:r w:rsidRPr="00ED1A74">
        <w:rPr>
          <w:b/>
          <w:sz w:val="22"/>
          <w:szCs w:val="22"/>
        </w:rPr>
        <w:t>IS GRANTED</w:t>
      </w:r>
      <w:r w:rsidRPr="00F84906">
        <w:rPr>
          <w:sz w:val="22"/>
          <w:szCs w:val="22"/>
        </w:rPr>
        <w:t xml:space="preserve"> for a period not to exceed </w:t>
      </w:r>
      <w:r w:rsidR="00DB3FB8">
        <w:rPr>
          <w:sz w:val="22"/>
          <w:szCs w:val="22"/>
        </w:rPr>
        <w:t>one year f</w:t>
      </w:r>
      <w:r w:rsidRPr="00F84906">
        <w:rPr>
          <w:sz w:val="22"/>
          <w:szCs w:val="22"/>
        </w:rPr>
        <w:t>rom the date of this letter</w:t>
      </w:r>
      <w:r w:rsidR="002557D3">
        <w:rPr>
          <w:sz w:val="22"/>
          <w:szCs w:val="22"/>
        </w:rPr>
        <w:t>.</w:t>
      </w:r>
    </w:p>
    <w:p w:rsidR="00FD38CB" w:rsidRDefault="00FD38CB" w:rsidP="00F84906">
      <w:pPr>
        <w:ind w:firstLine="720"/>
        <w:rPr>
          <w:sz w:val="22"/>
          <w:szCs w:val="22"/>
        </w:rPr>
      </w:pPr>
    </w:p>
    <w:p w:rsidR="00F84906" w:rsidRDefault="00F84906" w:rsidP="00F84906">
      <w:pPr>
        <w:ind w:firstLine="720"/>
        <w:rPr>
          <w:sz w:val="22"/>
          <w:szCs w:val="22"/>
        </w:rPr>
      </w:pPr>
      <w:r w:rsidRPr="00F84906">
        <w:rPr>
          <w:sz w:val="22"/>
          <w:szCs w:val="22"/>
        </w:rPr>
        <w:t xml:space="preserve">FURTHERMORE, </w:t>
      </w:r>
      <w:r>
        <w:rPr>
          <w:sz w:val="22"/>
          <w:szCs w:val="22"/>
        </w:rPr>
        <w:t>Trinity</w:t>
      </w:r>
      <w:r w:rsidRPr="00F84906">
        <w:rPr>
          <w:sz w:val="22"/>
          <w:szCs w:val="22"/>
        </w:rPr>
        <w:t xml:space="preserve">'s </w:t>
      </w:r>
      <w:r>
        <w:rPr>
          <w:sz w:val="22"/>
          <w:szCs w:val="22"/>
        </w:rPr>
        <w:t xml:space="preserve">request </w:t>
      </w:r>
      <w:r w:rsidRPr="00F84906">
        <w:rPr>
          <w:sz w:val="22"/>
          <w:szCs w:val="22"/>
        </w:rPr>
        <w:t xml:space="preserve">for a </w:t>
      </w:r>
      <w:r w:rsidR="00763685">
        <w:rPr>
          <w:sz w:val="22"/>
          <w:szCs w:val="22"/>
        </w:rPr>
        <w:t xml:space="preserve">permanent </w:t>
      </w:r>
      <w:r w:rsidRPr="00F84906">
        <w:rPr>
          <w:sz w:val="22"/>
          <w:szCs w:val="22"/>
        </w:rPr>
        <w:t>waiver of Section 73.1</w:t>
      </w:r>
      <w:r>
        <w:rPr>
          <w:sz w:val="22"/>
          <w:szCs w:val="22"/>
        </w:rPr>
        <w:t>125 of the Commission's r</w:t>
      </w:r>
      <w:r w:rsidRPr="00F84906">
        <w:rPr>
          <w:sz w:val="22"/>
          <w:szCs w:val="22"/>
        </w:rPr>
        <w:t>ules with respect</w:t>
      </w:r>
      <w:r>
        <w:rPr>
          <w:sz w:val="22"/>
          <w:szCs w:val="22"/>
        </w:rPr>
        <w:t xml:space="preserve"> </w:t>
      </w:r>
      <w:r w:rsidRPr="00F84906">
        <w:rPr>
          <w:sz w:val="22"/>
          <w:szCs w:val="22"/>
        </w:rPr>
        <w:t xml:space="preserve">to </w:t>
      </w:r>
      <w:r>
        <w:rPr>
          <w:sz w:val="22"/>
          <w:szCs w:val="22"/>
        </w:rPr>
        <w:t>WGTW-TV’s</w:t>
      </w:r>
      <w:r w:rsidRPr="00F84906">
        <w:rPr>
          <w:sz w:val="22"/>
          <w:szCs w:val="22"/>
        </w:rPr>
        <w:t xml:space="preserve"> main studio, </w:t>
      </w:r>
      <w:r w:rsidRPr="00C21208">
        <w:rPr>
          <w:b/>
          <w:sz w:val="22"/>
          <w:szCs w:val="22"/>
        </w:rPr>
        <w:t>IS</w:t>
      </w:r>
      <w:r w:rsidRPr="00F84906">
        <w:rPr>
          <w:sz w:val="22"/>
          <w:szCs w:val="22"/>
        </w:rPr>
        <w:t xml:space="preserve"> </w:t>
      </w:r>
      <w:r w:rsidRPr="00763685">
        <w:rPr>
          <w:b/>
          <w:sz w:val="22"/>
          <w:szCs w:val="22"/>
        </w:rPr>
        <w:t>DENIED</w:t>
      </w:r>
      <w:r w:rsidRPr="00F84906">
        <w:rPr>
          <w:sz w:val="22"/>
          <w:szCs w:val="22"/>
        </w:rPr>
        <w:t>.</w:t>
      </w:r>
    </w:p>
    <w:p w:rsidR="00F84906" w:rsidRDefault="00F84906" w:rsidP="00F84906">
      <w:pPr>
        <w:ind w:firstLine="720"/>
        <w:rPr>
          <w:sz w:val="22"/>
          <w:szCs w:val="22"/>
        </w:rPr>
      </w:pPr>
    </w:p>
    <w:p w:rsidR="00910614" w:rsidRDefault="00910614">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Sincerely,</w:t>
      </w:r>
    </w:p>
    <w:p w:rsidR="00910614" w:rsidRDefault="00910614">
      <w:pPr>
        <w:rPr>
          <w:b/>
          <w:sz w:val="22"/>
          <w:szCs w:val="22"/>
        </w:rPr>
      </w:pPr>
    </w:p>
    <w:p w:rsidR="00910614" w:rsidRDefault="00910614">
      <w:pPr>
        <w:rPr>
          <w:b/>
          <w:sz w:val="22"/>
          <w:szCs w:val="22"/>
        </w:rPr>
      </w:pPr>
    </w:p>
    <w:p w:rsidR="00910614" w:rsidRDefault="00910614">
      <w:pPr>
        <w:rPr>
          <w:b/>
          <w:sz w:val="22"/>
          <w:szCs w:val="22"/>
        </w:rPr>
      </w:pPr>
      <w:r>
        <w:rPr>
          <w:b/>
          <w:sz w:val="22"/>
          <w:szCs w:val="22"/>
        </w:rPr>
        <w:tab/>
      </w:r>
    </w:p>
    <w:p w:rsidR="00910614" w:rsidRDefault="00910614">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Barbara A. Kreisman</w:t>
      </w:r>
      <w:r>
        <w:rPr>
          <w:sz w:val="22"/>
          <w:szCs w:val="22"/>
        </w:rPr>
        <w:tab/>
      </w:r>
    </w:p>
    <w:p w:rsidR="00910614" w:rsidRDefault="00910614">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Chief, Video Division</w:t>
      </w:r>
    </w:p>
    <w:p w:rsidR="00910614" w:rsidRDefault="00910614">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Media Bureau</w:t>
      </w:r>
    </w:p>
    <w:p w:rsidR="00910614" w:rsidRDefault="00910614">
      <w:pPr>
        <w:rPr>
          <w:sz w:val="22"/>
          <w:szCs w:val="22"/>
        </w:rPr>
      </w:pPr>
    </w:p>
    <w:p w:rsidR="00910614" w:rsidRDefault="00910614">
      <w:pPr>
        <w:rPr>
          <w:sz w:val="22"/>
          <w:szCs w:val="22"/>
        </w:rPr>
      </w:pPr>
    </w:p>
    <w:sectPr w:rsidR="00910614" w:rsidSect="00FD38C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3EF" w:rsidRDefault="00CC43EF">
      <w:r>
        <w:separator/>
      </w:r>
    </w:p>
  </w:endnote>
  <w:endnote w:type="continuationSeparator" w:id="0">
    <w:p w:rsidR="00CC43EF" w:rsidRDefault="00CC4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072" w:rsidRDefault="00EC30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614" w:rsidRDefault="00910614">
    <w:pPr>
      <w:pStyle w:val="Footer"/>
    </w:pPr>
    <w:r>
      <w:tab/>
      <w:t xml:space="preserve">- </w:t>
    </w:r>
    <w:r>
      <w:fldChar w:fldCharType="begin"/>
    </w:r>
    <w:r>
      <w:instrText xml:space="preserve"> PAGE </w:instrText>
    </w:r>
    <w:r>
      <w:fldChar w:fldCharType="separate"/>
    </w:r>
    <w:r w:rsidR="00B2789E">
      <w:rPr>
        <w:noProof/>
      </w:rPr>
      <w:t>4</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614" w:rsidRDefault="00910614">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3EF" w:rsidRDefault="00CC43EF">
      <w:r>
        <w:separator/>
      </w:r>
    </w:p>
  </w:footnote>
  <w:footnote w:type="continuationSeparator" w:id="0">
    <w:p w:rsidR="00CC43EF" w:rsidRDefault="00CC43EF">
      <w:r>
        <w:continuationSeparator/>
      </w:r>
    </w:p>
  </w:footnote>
  <w:footnote w:id="1">
    <w:p w:rsidR="00910614" w:rsidRDefault="00910614" w:rsidP="00FD38CB">
      <w:pPr>
        <w:pStyle w:val="FootnoteText"/>
        <w:spacing w:after="120"/>
      </w:pPr>
      <w:r>
        <w:rPr>
          <w:rStyle w:val="FootnoteReference"/>
        </w:rPr>
        <w:footnoteRef/>
      </w:r>
      <w:r w:rsidR="000D4344">
        <w:t xml:space="preserve"> 47 CFR</w:t>
      </w:r>
      <w:r>
        <w:t xml:space="preserve"> § 73.1125.</w:t>
      </w:r>
    </w:p>
  </w:footnote>
  <w:footnote w:id="2">
    <w:p w:rsidR="001B7129" w:rsidRDefault="001B7129" w:rsidP="00FD38CB">
      <w:pPr>
        <w:pStyle w:val="FootnoteText"/>
        <w:spacing w:after="120"/>
      </w:pPr>
      <w:r>
        <w:rPr>
          <w:rStyle w:val="FootnoteReference"/>
        </w:rPr>
        <w:footnoteRef/>
      </w:r>
      <w:r>
        <w:t xml:space="preserve"> </w:t>
      </w:r>
      <w:r w:rsidRPr="00225B62">
        <w:rPr>
          <w:i/>
        </w:rPr>
        <w:t>See Incentive Auction Closing and Channel Reassignment Public Notice:  The Broadcast Television Incentive Auction Closes; Reverse Auction and Forward Auction Results Announced; Final Television Band Channel Assignments Announced; Post-Auction Deadlines Announced</w:t>
      </w:r>
      <w:r w:rsidRPr="00225B62">
        <w:t xml:space="preserve">, Public Notice, </w:t>
      </w:r>
      <w:r>
        <w:t xml:space="preserve">32 FCC Rcd 2786 </w:t>
      </w:r>
      <w:r w:rsidRPr="00225B62">
        <w:t>(</w:t>
      </w:r>
      <w:r w:rsidR="00B61395">
        <w:t xml:space="preserve">MB &amp; WTB,  </w:t>
      </w:r>
      <w:r w:rsidRPr="00225B62">
        <w:t>2017)</w:t>
      </w:r>
      <w:r>
        <w:t>.</w:t>
      </w:r>
    </w:p>
  </w:footnote>
  <w:footnote w:id="3">
    <w:p w:rsidR="001B7129" w:rsidRDefault="001B7129" w:rsidP="00FD38CB">
      <w:pPr>
        <w:pStyle w:val="FootnoteText"/>
        <w:spacing w:after="120"/>
      </w:pPr>
      <w:r>
        <w:rPr>
          <w:rStyle w:val="FootnoteReference"/>
        </w:rPr>
        <w:footnoteRef/>
      </w:r>
      <w:r>
        <w:t xml:space="preserve"> </w:t>
      </w:r>
      <w:r>
        <w:rPr>
          <w:i/>
        </w:rPr>
        <w:t xml:space="preserve">See </w:t>
      </w:r>
      <w:r>
        <w:t>47 CFR § 73.</w:t>
      </w:r>
      <w:r w:rsidRPr="001B7129">
        <w:t>625.</w:t>
      </w:r>
    </w:p>
    <w:p w:rsidR="001B7129" w:rsidRPr="001B7129" w:rsidRDefault="001B7129" w:rsidP="00FD38CB">
      <w:pPr>
        <w:pStyle w:val="FootnoteText"/>
        <w:spacing w:after="120"/>
      </w:pPr>
    </w:p>
  </w:footnote>
  <w:footnote w:id="4">
    <w:p w:rsidR="001B7129" w:rsidRDefault="001B7129" w:rsidP="00FD38CB">
      <w:pPr>
        <w:pStyle w:val="FootnoteText"/>
        <w:spacing w:after="120"/>
      </w:pPr>
      <w:r>
        <w:rPr>
          <w:rStyle w:val="FootnoteReference"/>
        </w:rPr>
        <w:footnoteRef/>
      </w:r>
      <w:r>
        <w:t xml:space="preserve"> </w:t>
      </w:r>
      <w:r w:rsidR="00594921">
        <w:t>Waiver at 1</w:t>
      </w:r>
      <w:r>
        <w:t>.</w:t>
      </w:r>
    </w:p>
  </w:footnote>
  <w:footnote w:id="5">
    <w:p w:rsidR="001B7129" w:rsidRDefault="0077191B" w:rsidP="00FD38CB">
      <w:pPr>
        <w:pStyle w:val="FootnoteText"/>
      </w:pPr>
      <w:r>
        <w:rPr>
          <w:rStyle w:val="FootnoteReference"/>
        </w:rPr>
        <w:footnoteRef/>
      </w:r>
      <w:r>
        <w:t xml:space="preserve"> </w:t>
      </w:r>
      <w:r w:rsidR="001B7129">
        <w:rPr>
          <w:i/>
        </w:rPr>
        <w:t xml:space="preserve">See </w:t>
      </w:r>
      <w:r w:rsidRPr="007C1DBE">
        <w:rPr>
          <w:i/>
        </w:rPr>
        <w:t>KAKE(TV)</w:t>
      </w:r>
      <w:r w:rsidRPr="0077191B">
        <w:t>, 31 FCC Rcd 354 (</w:t>
      </w:r>
      <w:r w:rsidR="006D328C">
        <w:t>Vid. Div.</w:t>
      </w:r>
      <w:r w:rsidRPr="0077191B">
        <w:t xml:space="preserve"> 2016); </w:t>
      </w:r>
      <w:r w:rsidRPr="007C1DBE">
        <w:rPr>
          <w:i/>
        </w:rPr>
        <w:t>WFRV-TV</w:t>
      </w:r>
      <w:r w:rsidRPr="0077191B">
        <w:t>, 26 FCC Rcd 9236 (</w:t>
      </w:r>
      <w:r w:rsidR="006D328C">
        <w:t>Vid. Div.</w:t>
      </w:r>
      <w:r w:rsidRPr="0077191B">
        <w:t xml:space="preserve"> 2011); </w:t>
      </w:r>
      <w:r w:rsidRPr="007C1DBE">
        <w:rPr>
          <w:i/>
        </w:rPr>
        <w:t>Living Faith Ministries, Inc</w:t>
      </w:r>
      <w:r w:rsidRPr="0077191B">
        <w:t>., 21 FCC Rcd 5</w:t>
      </w:r>
      <w:r w:rsidR="001B7129">
        <w:t>046 (</w:t>
      </w:r>
      <w:r w:rsidR="006D328C">
        <w:t>Vid. Div.</w:t>
      </w:r>
      <w:r w:rsidR="001B7129">
        <w:t xml:space="preserve"> 2006)</w:t>
      </w:r>
      <w:r w:rsidR="004962A8">
        <w:t xml:space="preserve"> (</w:t>
      </w:r>
      <w:r w:rsidR="004962A8">
        <w:rPr>
          <w:i/>
        </w:rPr>
        <w:t>Living Faith</w:t>
      </w:r>
      <w:r w:rsidR="004962A8">
        <w:t>)</w:t>
      </w:r>
      <w:r w:rsidR="001B7129">
        <w:t>.</w:t>
      </w:r>
    </w:p>
  </w:footnote>
  <w:footnote w:id="6">
    <w:p w:rsidR="001B7129" w:rsidRDefault="001B7129" w:rsidP="00FD38CB">
      <w:pPr>
        <w:pStyle w:val="FootnoteText"/>
      </w:pPr>
    </w:p>
    <w:p w:rsidR="001B7129" w:rsidRDefault="001B7129" w:rsidP="00FD38CB">
      <w:pPr>
        <w:pStyle w:val="FootnoteText"/>
        <w:spacing w:after="120"/>
      </w:pPr>
      <w:r>
        <w:rPr>
          <w:rStyle w:val="FootnoteReference"/>
        </w:rPr>
        <w:footnoteRef/>
      </w:r>
      <w:r>
        <w:t xml:space="preserve"> </w:t>
      </w:r>
      <w:r w:rsidR="00594921">
        <w:t xml:space="preserve">Waiver at 1 citing </w:t>
      </w:r>
      <w:r w:rsidR="00594921" w:rsidRPr="00594921">
        <w:t>Bureau of the Census American FactFinder database, http://factfinder.census.gov.</w:t>
      </w:r>
    </w:p>
  </w:footnote>
  <w:footnote w:id="7">
    <w:p w:rsidR="00594921" w:rsidRPr="00594921" w:rsidRDefault="00594921" w:rsidP="00FD38CB">
      <w:pPr>
        <w:pStyle w:val="FootnoteText"/>
        <w:spacing w:after="120"/>
        <w:rPr>
          <w:i/>
        </w:rPr>
      </w:pPr>
      <w:r>
        <w:rPr>
          <w:rStyle w:val="FootnoteReference"/>
        </w:rPr>
        <w:footnoteRef/>
      </w:r>
      <w:r>
        <w:t xml:space="preserve"> </w:t>
      </w:r>
      <w:r>
        <w:rPr>
          <w:i/>
        </w:rPr>
        <w:t>Id.</w:t>
      </w:r>
    </w:p>
  </w:footnote>
  <w:footnote w:id="8">
    <w:p w:rsidR="00594921" w:rsidRPr="00594921" w:rsidRDefault="00594921" w:rsidP="00FD38CB">
      <w:pPr>
        <w:pStyle w:val="FootnoteText"/>
        <w:spacing w:after="120"/>
        <w:rPr>
          <w:i/>
        </w:rPr>
      </w:pPr>
      <w:r>
        <w:rPr>
          <w:rStyle w:val="FootnoteReference"/>
        </w:rPr>
        <w:footnoteRef/>
      </w:r>
      <w:r>
        <w:t xml:space="preserve"> </w:t>
      </w:r>
      <w:r>
        <w:rPr>
          <w:i/>
        </w:rPr>
        <w:t>Id.</w:t>
      </w:r>
    </w:p>
  </w:footnote>
  <w:footnote w:id="9">
    <w:p w:rsidR="004962A8" w:rsidRDefault="004962A8" w:rsidP="00FD38CB">
      <w:pPr>
        <w:pStyle w:val="FootnoteText"/>
        <w:spacing w:after="120"/>
        <w:jc w:val="both"/>
      </w:pPr>
      <w:r>
        <w:rPr>
          <w:rStyle w:val="FootnoteReference"/>
        </w:rPr>
        <w:footnoteRef/>
      </w:r>
      <w:r>
        <w:t xml:space="preserve"> Waiver at 1 citing </w:t>
      </w:r>
      <w:r w:rsidRPr="004962A8">
        <w:rPr>
          <w:i/>
        </w:rPr>
        <w:t>Living Faith</w:t>
      </w:r>
      <w:r>
        <w:t xml:space="preserve">, </w:t>
      </w:r>
      <w:r w:rsidRPr="004962A8">
        <w:rPr>
          <w:i/>
        </w:rPr>
        <w:t>supra</w:t>
      </w:r>
      <w:r>
        <w:t xml:space="preserve"> at n. 5.</w:t>
      </w:r>
    </w:p>
  </w:footnote>
  <w:footnote w:id="10">
    <w:p w:rsidR="005B25F1" w:rsidRDefault="00F80745" w:rsidP="00FD38CB">
      <w:pPr>
        <w:pStyle w:val="FootnoteText"/>
        <w:spacing w:after="120"/>
      </w:pPr>
      <w:r>
        <w:rPr>
          <w:rStyle w:val="FootnoteReference"/>
        </w:rPr>
        <w:footnoteRef/>
      </w:r>
      <w:r>
        <w:t xml:space="preserve">  </w:t>
      </w:r>
      <w:r w:rsidRPr="00F80745">
        <w:rPr>
          <w:i/>
        </w:rPr>
        <w:t>Elimination of Main Studio Rule</w:t>
      </w:r>
      <w:r w:rsidRPr="00F80745">
        <w:t>, Notice of Proposed Rulemaking, 32 FCC Rcd 4415, 4418 (2017)</w:t>
      </w:r>
      <w:r>
        <w:t>.</w:t>
      </w:r>
    </w:p>
  </w:footnote>
  <w:footnote w:id="11">
    <w:p w:rsidR="004962A8" w:rsidRDefault="004962A8" w:rsidP="00FD38CB">
      <w:pPr>
        <w:pStyle w:val="FootnoteText"/>
        <w:spacing w:after="120"/>
      </w:pPr>
      <w:r>
        <w:rPr>
          <w:rStyle w:val="FootnoteReference"/>
        </w:rPr>
        <w:footnoteRef/>
      </w:r>
      <w:r>
        <w:t xml:space="preserve"> Waiver at 1.</w:t>
      </w:r>
    </w:p>
  </w:footnote>
  <w:footnote w:id="12">
    <w:p w:rsidR="004962A8" w:rsidRPr="004962A8" w:rsidRDefault="004962A8" w:rsidP="00FD38CB">
      <w:pPr>
        <w:pStyle w:val="FootnoteText"/>
        <w:spacing w:after="120"/>
        <w:rPr>
          <w:i/>
        </w:rPr>
      </w:pPr>
      <w:r>
        <w:rPr>
          <w:rStyle w:val="FootnoteReference"/>
        </w:rPr>
        <w:footnoteRef/>
      </w:r>
      <w:r>
        <w:t xml:space="preserve"> </w:t>
      </w:r>
      <w:r>
        <w:rPr>
          <w:i/>
        </w:rPr>
        <w:t>Id.</w:t>
      </w:r>
    </w:p>
  </w:footnote>
  <w:footnote w:id="13">
    <w:p w:rsidR="004962A8" w:rsidRPr="004962A8" w:rsidRDefault="004962A8" w:rsidP="00FD38CB">
      <w:pPr>
        <w:pStyle w:val="FootnoteText"/>
        <w:spacing w:after="120"/>
        <w:rPr>
          <w:i/>
        </w:rPr>
      </w:pPr>
      <w:r>
        <w:rPr>
          <w:rStyle w:val="FootnoteReference"/>
        </w:rPr>
        <w:footnoteRef/>
      </w:r>
      <w:r>
        <w:t xml:space="preserve"> </w:t>
      </w:r>
      <w:r>
        <w:rPr>
          <w:i/>
        </w:rPr>
        <w:t>Id.</w:t>
      </w:r>
    </w:p>
  </w:footnote>
  <w:footnote w:id="14">
    <w:p w:rsidR="004962A8" w:rsidRDefault="004962A8" w:rsidP="00FD38CB">
      <w:pPr>
        <w:pStyle w:val="FootnoteText"/>
        <w:spacing w:after="120"/>
      </w:pPr>
      <w:r>
        <w:rPr>
          <w:rStyle w:val="FootnoteReference"/>
        </w:rPr>
        <w:footnoteRef/>
      </w:r>
      <w:r>
        <w:t xml:space="preserve"> </w:t>
      </w:r>
      <w:r>
        <w:rPr>
          <w:i/>
        </w:rPr>
        <w:t>Id.</w:t>
      </w:r>
      <w:r>
        <w:t xml:space="preserve"> at 2.</w:t>
      </w:r>
    </w:p>
  </w:footnote>
  <w:footnote w:id="15">
    <w:p w:rsidR="00894151" w:rsidRPr="006D328C" w:rsidRDefault="00894151" w:rsidP="00894151">
      <w:pPr>
        <w:pStyle w:val="FootnoteText"/>
      </w:pPr>
      <w:r>
        <w:rPr>
          <w:rStyle w:val="FootnoteReference"/>
        </w:rPr>
        <w:footnoteRef/>
      </w:r>
      <w:r>
        <w:t xml:space="preserve"> All winning relinquishment bidders that either entered into a pre-auction CSA or reserved the right to channel share are required to file a construction permit to channel share by November 24, 2017, and must terminate operations on their relinquished channel no later than January 23, 2018.  </w:t>
      </w:r>
      <w:r>
        <w:rPr>
          <w:i/>
        </w:rPr>
        <w:t xml:space="preserve">See </w:t>
      </w:r>
      <w:r w:rsidRPr="00763685">
        <w:t>47 CFR § 73.3700(b)(1)(vii), (b)(4)(ii)</w:t>
      </w:r>
      <w:r>
        <w:t xml:space="preserve">.  </w:t>
      </w:r>
      <w:r w:rsidRPr="00763685">
        <w:rPr>
          <w:i/>
        </w:rPr>
        <w:t>See also</w:t>
      </w:r>
      <w:r>
        <w:t xml:space="preserve"> </w:t>
      </w:r>
      <w:r>
        <w:rPr>
          <w:i/>
        </w:rPr>
        <w:t>Incentive Auction Task Force and Media Bureau Announce Procedures for the Post-Incentive Broadcast Transition</w:t>
      </w:r>
      <w:r>
        <w:t>, Public Notice, 32 FCC Rcd 858, 878-89, paras. 63-66 (MB 2017)</w:t>
      </w:r>
      <w:r>
        <w:rPr>
          <w:i/>
        </w:rPr>
        <w:t xml:space="preserve">; </w:t>
      </w:r>
      <w:r w:rsidRPr="00763685">
        <w:rPr>
          <w:i/>
        </w:rPr>
        <w:t xml:space="preserve">Incentive auction Task Force and </w:t>
      </w:r>
      <w:r>
        <w:rPr>
          <w:i/>
        </w:rPr>
        <w:t>M</w:t>
      </w:r>
      <w:r w:rsidRPr="00763685">
        <w:rPr>
          <w:i/>
        </w:rPr>
        <w:t>edia and Wireless Telecommunications Bureaus Announce the commission is Ready to Pay Reverse Auction Winning Bids</w:t>
      </w:r>
      <w:r>
        <w:t xml:space="preserve">, Public Notice, DA 17-702 (MB &amp; WTB, rel. Jul. 20, 2017) (for purposes of calculating post-auction deadlines a relinquishment bidder is considered to have received its </w:t>
      </w:r>
      <w:r w:rsidRPr="0017768D">
        <w:t xml:space="preserve">incentive payment five (5) business days after </w:t>
      </w:r>
      <w:r w:rsidRPr="006D328C">
        <w:t>the release date of this Public Notice).</w:t>
      </w:r>
    </w:p>
    <w:p w:rsidR="00894151" w:rsidRPr="000304D3" w:rsidRDefault="00894151" w:rsidP="00894151">
      <w:pPr>
        <w:pStyle w:val="FootnoteText"/>
      </w:pPr>
    </w:p>
  </w:footnote>
  <w:footnote w:id="16">
    <w:p w:rsidR="00894151" w:rsidRPr="006D328C" w:rsidRDefault="00894151" w:rsidP="00894151">
      <w:pPr>
        <w:pStyle w:val="FootnoteText"/>
        <w:spacing w:after="120"/>
        <w:rPr>
          <w:sz w:val="22"/>
          <w:szCs w:val="22"/>
        </w:rPr>
      </w:pPr>
      <w:r w:rsidRPr="006D328C">
        <w:rPr>
          <w:rStyle w:val="FootnoteReference"/>
        </w:rPr>
        <w:footnoteRef/>
      </w:r>
      <w:r w:rsidRPr="006D328C">
        <w:t xml:space="preserve"> </w:t>
      </w:r>
      <w:r w:rsidRPr="00FD38CB">
        <w:rPr>
          <w:i/>
        </w:rPr>
        <w:t>See</w:t>
      </w:r>
      <w:r>
        <w:t xml:space="preserve"> </w:t>
      </w:r>
      <w:r w:rsidRPr="006D328C">
        <w:rPr>
          <w:i/>
        </w:rPr>
        <w:t>Sunflower</w:t>
      </w:r>
      <w:r w:rsidRPr="006D328C">
        <w:t>, 22 FCC Rcd at 21530 (recognizing that changed circumstances may warrant temporary relief from the main studio rule).</w:t>
      </w:r>
      <w:r w:rsidRPr="006D328C">
        <w:rPr>
          <w:sz w:val="22"/>
          <w:szCs w:val="22"/>
        </w:rPr>
        <w:t xml:space="preserve"> </w:t>
      </w:r>
    </w:p>
  </w:footnote>
  <w:footnote w:id="17">
    <w:p w:rsidR="004962A8" w:rsidRDefault="004962A8" w:rsidP="00FD38CB">
      <w:pPr>
        <w:pStyle w:val="FootnoteText"/>
        <w:spacing w:after="120"/>
      </w:pPr>
      <w:r>
        <w:rPr>
          <w:rStyle w:val="FootnoteReference"/>
        </w:rPr>
        <w:footnoteRef/>
      </w:r>
      <w:r>
        <w:t xml:space="preserve"> </w:t>
      </w:r>
      <w:r w:rsidRPr="0071019C">
        <w:rPr>
          <w:i/>
        </w:rPr>
        <w:t>Rio Grande Family Radio Fellowship, Inc. v. FCC</w:t>
      </w:r>
      <w:r>
        <w:t xml:space="preserve">, 406 F.2d 664 (D.C. Cir. 1968). </w:t>
      </w:r>
      <w:r w:rsidR="00D5524B">
        <w:t xml:space="preserve"> </w:t>
      </w:r>
      <w:r>
        <w:t>In addition, Section 73.3566(a) of the Commission's radio broadcast rules provides that requests for waiver “shall show the nature of the waiver or exception desired and shall set forth the reasons in support thereof.” 47 C.F.R. § 73.3566(a).</w:t>
      </w:r>
    </w:p>
  </w:footnote>
  <w:footnote w:id="18">
    <w:p w:rsidR="004962A8" w:rsidRDefault="004962A8" w:rsidP="00FD38CB">
      <w:pPr>
        <w:pStyle w:val="FootnoteText"/>
        <w:spacing w:after="120"/>
      </w:pPr>
      <w:r>
        <w:rPr>
          <w:rStyle w:val="FootnoteReference"/>
        </w:rPr>
        <w:footnoteRef/>
      </w:r>
      <w:r>
        <w:t xml:space="preserve"> </w:t>
      </w:r>
      <w:r w:rsidRPr="0071019C">
        <w:rPr>
          <w:i/>
        </w:rPr>
        <w:t>Northeast Cellular Telephone Co. v. FCC</w:t>
      </w:r>
      <w:r>
        <w:t>, 897 F.2d 1164, 1166 (D.C. Cir. 1990) (</w:t>
      </w:r>
      <w:r w:rsidRPr="0071019C">
        <w:rPr>
          <w:i/>
        </w:rPr>
        <w:t>citing WAIT Radio v. FCC</w:t>
      </w:r>
      <w:r>
        <w:t>, 418 F.2d 1153, 1157-59 (D.C. Cir. 1969)).</w:t>
      </w:r>
      <w:r w:rsidR="00853DFE">
        <w:t xml:space="preserve">  </w:t>
      </w:r>
      <w:r w:rsidR="00853DFE" w:rsidRPr="009F1E1C">
        <w:rPr>
          <w:i/>
        </w:rPr>
        <w:t>See</w:t>
      </w:r>
      <w:r w:rsidR="00853DFE">
        <w:t xml:space="preserve"> 47 CFR § 1.3 (</w:t>
      </w:r>
      <w:r w:rsidR="00853DFE" w:rsidRPr="00864C3B">
        <w:t>waiver for good cause shown</w:t>
      </w:r>
      <w:r w:rsidR="00853DFE">
        <w:t xml:space="preserve">).  </w:t>
      </w:r>
    </w:p>
  </w:footnote>
  <w:footnote w:id="19">
    <w:p w:rsidR="007C6F74" w:rsidRDefault="007C6F74" w:rsidP="00530D78">
      <w:pPr>
        <w:pStyle w:val="FootnoteText"/>
        <w:spacing w:after="120"/>
      </w:pPr>
      <w:r>
        <w:rPr>
          <w:rStyle w:val="FootnoteReference"/>
        </w:rPr>
        <w:footnoteRef/>
      </w:r>
      <w:r>
        <w:t xml:space="preserve"> 47 C.F.R. § 73.1125(a).</w:t>
      </w:r>
    </w:p>
  </w:footnote>
  <w:footnote w:id="20">
    <w:p w:rsidR="007C6F74" w:rsidRDefault="007C6F74" w:rsidP="00530D78">
      <w:pPr>
        <w:pStyle w:val="FootnoteText"/>
        <w:spacing w:after="120"/>
      </w:pPr>
      <w:r>
        <w:rPr>
          <w:rStyle w:val="FootnoteReference"/>
        </w:rPr>
        <w:footnoteRef/>
      </w:r>
      <w:r>
        <w:t xml:space="preserve"> 47 C.F.R. § 73.1125(d)(2).</w:t>
      </w:r>
    </w:p>
  </w:footnote>
  <w:footnote w:id="21">
    <w:p w:rsidR="005B25F1" w:rsidRDefault="005B25F1" w:rsidP="00FD38CB">
      <w:pPr>
        <w:pStyle w:val="FootnoteText"/>
        <w:spacing w:after="120"/>
      </w:pPr>
      <w:r>
        <w:rPr>
          <w:rStyle w:val="FootnoteReference"/>
        </w:rPr>
        <w:footnoteRef/>
      </w:r>
      <w:r>
        <w:t xml:space="preserve"> </w:t>
      </w:r>
      <w:r w:rsidR="0071019C">
        <w:rPr>
          <w:i/>
        </w:rPr>
        <w:t>See</w:t>
      </w:r>
      <w:r w:rsidR="00116172" w:rsidRPr="00116172">
        <w:t xml:space="preserve"> </w:t>
      </w:r>
      <w:r w:rsidR="00116172" w:rsidRPr="00116172">
        <w:rPr>
          <w:i/>
        </w:rPr>
        <w:t>Maines Broadcasting, Inc.</w:t>
      </w:r>
      <w:r w:rsidR="00116172">
        <w:t xml:space="preserve">, </w:t>
      </w:r>
      <w:r w:rsidR="00673FEE">
        <w:t xml:space="preserve">Memorandum Opinion and Order, </w:t>
      </w:r>
      <w:r w:rsidR="00116172">
        <w:t>8 FCC Rcd 5501, 5502 (1993)</w:t>
      </w:r>
      <w:r w:rsidR="00673FEE">
        <w:t>;</w:t>
      </w:r>
      <w:r w:rsidR="00116172" w:rsidRPr="00116172">
        <w:rPr>
          <w:i/>
        </w:rPr>
        <w:t>Radio Redentor, Inc.</w:t>
      </w:r>
      <w:r w:rsidR="00116172">
        <w:t xml:space="preserve">, </w:t>
      </w:r>
      <w:r w:rsidR="00673FEE">
        <w:t xml:space="preserve">Letter Decision, </w:t>
      </w:r>
      <w:r w:rsidR="00116172">
        <w:t>14 FCC Rcd 17754, 17755 (</w:t>
      </w:r>
      <w:r w:rsidR="00673FEE">
        <w:t xml:space="preserve">MMB </w:t>
      </w:r>
      <w:r w:rsidR="00116172">
        <w:t xml:space="preserve">1999); </w:t>
      </w:r>
      <w:r w:rsidR="00116172" w:rsidRPr="00116172">
        <w:rPr>
          <w:i/>
        </w:rPr>
        <w:t>Eclectic Enterprises, Inc.</w:t>
      </w:r>
      <w:r w:rsidR="00116172" w:rsidRPr="00116172">
        <w:t>,</w:t>
      </w:r>
      <w:r w:rsidR="006D328C">
        <w:t xml:space="preserve"> Letter Decision,</w:t>
      </w:r>
      <w:r w:rsidR="00116172" w:rsidRPr="00116172">
        <w:t xml:space="preserve"> 14 FCC Rcd 17751 (</w:t>
      </w:r>
      <w:r w:rsidR="00673FEE">
        <w:t xml:space="preserve">MMB </w:t>
      </w:r>
      <w:r w:rsidR="00116172" w:rsidRPr="00116172">
        <w:t>1999)</w:t>
      </w:r>
      <w:r w:rsidR="00116172">
        <w:t xml:space="preserve"> (rejecting main studio rule waiver requests based on financial considerations).</w:t>
      </w:r>
    </w:p>
  </w:footnote>
  <w:footnote w:id="22">
    <w:p w:rsidR="009050AC" w:rsidRDefault="009050AC" w:rsidP="00530D78">
      <w:pPr>
        <w:pStyle w:val="FootnoteText"/>
        <w:spacing w:after="120"/>
      </w:pPr>
      <w:r>
        <w:rPr>
          <w:rStyle w:val="FootnoteReference"/>
        </w:rPr>
        <w:footnoteRef/>
      </w:r>
      <w:r>
        <w:t xml:space="preserve"> </w:t>
      </w:r>
      <w:r w:rsidRPr="00530D78">
        <w:rPr>
          <w:i/>
        </w:rPr>
        <w:t>Expanding the Economic and Innovation Opportunities of Spectrum Through Incentive Auctions</w:t>
      </w:r>
      <w:r w:rsidRPr="009050AC">
        <w:t xml:space="preserve">, Report and Order, 29 FCC Rcd 6567, 6728, para. 376 (2014), </w:t>
      </w:r>
      <w:r w:rsidRPr="00530D78">
        <w:rPr>
          <w:i/>
        </w:rPr>
        <w:t>subsequent history omitted.</w:t>
      </w:r>
    </w:p>
  </w:footnote>
  <w:footnote w:id="23">
    <w:p w:rsidR="00116172" w:rsidRDefault="00116172" w:rsidP="00FD38CB">
      <w:pPr>
        <w:pStyle w:val="FootnoteText"/>
        <w:spacing w:after="120"/>
      </w:pPr>
      <w:r>
        <w:rPr>
          <w:rStyle w:val="FootnoteReference"/>
        </w:rPr>
        <w:footnoteRef/>
      </w:r>
      <w:r>
        <w:t xml:space="preserve"> </w:t>
      </w:r>
      <w:r>
        <w:rPr>
          <w:i/>
        </w:rPr>
        <w:t>See</w:t>
      </w:r>
      <w:r>
        <w:t xml:space="preserve"> </w:t>
      </w:r>
      <w:r w:rsidRPr="00116172">
        <w:rPr>
          <w:i/>
        </w:rPr>
        <w:t>In re Application of Catoctin Broadcasting Corp., FCC 86-335 (July 31, 1986); Palm Beach Cable Television Co.,</w:t>
      </w:r>
      <w:r w:rsidR="00673FEE">
        <w:rPr>
          <w:i/>
        </w:rPr>
        <w:t xml:space="preserve"> </w:t>
      </w:r>
      <w:r w:rsidR="00673FEE">
        <w:t xml:space="preserve">Memorandum Opinion and Order, </w:t>
      </w:r>
      <w:r>
        <w:t>78 FCC 2d 1180, 1183 (1980</w:t>
      </w:r>
      <w:r w:rsidRPr="00116172">
        <w:rPr>
          <w:i/>
        </w:rPr>
        <w:t>); Metromedia, Inc. (WNEW-TV)</w:t>
      </w:r>
      <w:r>
        <w:t xml:space="preserve">, </w:t>
      </w:r>
      <w:r w:rsidR="00673FEE">
        <w:t xml:space="preserve">Opinion, </w:t>
      </w:r>
      <w:r>
        <w:t>66 FCC 2d 566, 568 (1977). Therefore, the pendency of the Commission’s proceeding to eliminate the main studio rule was not a factor in our decision.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072" w:rsidRDefault="00EC30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072" w:rsidRDefault="00EC30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614" w:rsidRDefault="00B2789E">
    <w:pPr>
      <w:pStyle w:val="Header"/>
      <w:tabs>
        <w:tab w:val="clear" w:pos="4320"/>
        <w:tab w:val="clear" w:pos="8640"/>
      </w:tabs>
      <w:spacing w:before="360" w:line="228" w:lineRule="auto"/>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1.8pt;margin-top:0;width:68.15pt;height:64.8pt;z-index:251657728" o:allowincell="f" filled="t" fillcolor="#3cc">
          <v:imagedata r:id="rId1" o:title="" gain="69719f"/>
          <w10:wrap type="topAndBottom"/>
        </v:shape>
      </w:pict>
    </w:r>
    <w:r w:rsidR="00910614">
      <w:rPr>
        <w:rFonts w:ascii="CG Times (W1)" w:hAnsi="CG Times (W1)"/>
        <w:sz w:val="28"/>
      </w:rPr>
      <w:t>Federal Communications Commission</w:t>
    </w:r>
  </w:p>
  <w:p w:rsidR="00910614" w:rsidRDefault="00910614">
    <w:pPr>
      <w:jc w:val="center"/>
    </w:pPr>
    <w:smartTag w:uri="urn:schemas-microsoft-com:office:smarttags" w:element="place">
      <w:smartTag w:uri="urn:schemas-microsoft-com:office:smarttags" w:element="City">
        <w:r>
          <w:rPr>
            <w:rFonts w:ascii="CG Times (W1)" w:hAnsi="CG Times (W1)"/>
            <w:sz w:val="28"/>
          </w:rPr>
          <w:t>Washington</w:t>
        </w:r>
      </w:smartTag>
      <w:r>
        <w:rPr>
          <w:rFonts w:ascii="CG Times (W1)" w:hAnsi="CG Times (W1)"/>
          <w:sz w:val="28"/>
        </w:rPr>
        <w:t xml:space="preserve">, </w:t>
      </w:r>
      <w:smartTag w:uri="urn:schemas-microsoft-com:office:smarttags" w:element="State">
        <w:r>
          <w:rPr>
            <w:rFonts w:ascii="CG Times (W1)" w:hAnsi="CG Times (W1)"/>
            <w:sz w:val="28"/>
          </w:rPr>
          <w:t>D.C.</w:t>
        </w:r>
      </w:smartTag>
      <w:r>
        <w:rPr>
          <w:rFonts w:ascii="CG Times (W1)" w:hAnsi="CG Times (W1)"/>
          <w:sz w:val="28"/>
        </w:rPr>
        <w:t xml:space="preserve"> </w:t>
      </w:r>
      <w:smartTag w:uri="urn:schemas-microsoft-com:office:smarttags" w:element="PostalCode">
        <w:r>
          <w:rPr>
            <w:rFonts w:ascii="CG Times (W1)" w:hAnsi="CG Times (W1)"/>
            <w:sz w:val="28"/>
          </w:rPr>
          <w:t>20554</w:t>
        </w:r>
      </w:smartTag>
    </w:smartTag>
  </w:p>
  <w:p w:rsidR="00910614" w:rsidRDefault="00910614">
    <w:pPr>
      <w:pStyle w:val="Header"/>
      <w:tabs>
        <w:tab w:val="clear" w:pos="4320"/>
      </w:tabs>
      <w:jc w:val="center"/>
      <w:rPr>
        <w:sz w:val="22"/>
      </w:rPr>
    </w:pPr>
  </w:p>
  <w:p w:rsidR="00910614" w:rsidRDefault="00910614">
    <w:pPr>
      <w:pStyle w:val="Header"/>
      <w:tabs>
        <w:tab w:val="clear" w:pos="4320"/>
      </w:tabs>
      <w:jc w:val="center"/>
      <w:rPr>
        <w:sz w:val="22"/>
      </w:rPr>
    </w:pPr>
  </w:p>
  <w:p w:rsidR="00910614" w:rsidRDefault="00910614">
    <w:pPr>
      <w:pStyle w:val="Header"/>
      <w:tabs>
        <w:tab w:val="clear" w:pos="4320"/>
      </w:tabs>
      <w:jc w:val="cent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F1C11"/>
    <w:multiLevelType w:val="hybridMultilevel"/>
    <w:tmpl w:val="B75852D0"/>
    <w:lvl w:ilvl="0" w:tplc="70A631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C0B31FC"/>
    <w:multiLevelType w:val="singleLevel"/>
    <w:tmpl w:val="75024346"/>
    <w:lvl w:ilvl="0">
      <w:start w:val="1"/>
      <w:numFmt w:val="decimal"/>
      <w:pStyle w:val="BodyText"/>
      <w:lvlText w:val="%1."/>
      <w:lvlJc w:val="left"/>
      <w:pPr>
        <w:tabs>
          <w:tab w:val="num" w:pos="1080"/>
        </w:tabs>
        <w:ind w:left="0" w:firstLine="720"/>
      </w:pPr>
      <w:rPr>
        <w:rFonts w:ascii="Times New Roman" w:hAnsi="Times New Roman" w:hint="default"/>
        <w:b w:val="0"/>
        <w:i w:val="0"/>
      </w:rPr>
    </w:lvl>
  </w:abstractNum>
  <w:abstractNum w:abstractNumId="2">
    <w:nsid w:val="7F762CD3"/>
    <w:multiLevelType w:val="hybridMultilevel"/>
    <w:tmpl w:val="BB2AC968"/>
    <w:lvl w:ilvl="0" w:tplc="ACEC4B0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7783"/>
    <w:rsid w:val="000517F6"/>
    <w:rsid w:val="000C26EA"/>
    <w:rsid w:val="000D4344"/>
    <w:rsid w:val="00104FE9"/>
    <w:rsid w:val="00112A96"/>
    <w:rsid w:val="00116172"/>
    <w:rsid w:val="0017768D"/>
    <w:rsid w:val="0019753F"/>
    <w:rsid w:val="001B7129"/>
    <w:rsid w:val="002557D3"/>
    <w:rsid w:val="00275A6F"/>
    <w:rsid w:val="002E1A71"/>
    <w:rsid w:val="003470FC"/>
    <w:rsid w:val="00382E96"/>
    <w:rsid w:val="003F0A9C"/>
    <w:rsid w:val="00462A65"/>
    <w:rsid w:val="004962A8"/>
    <w:rsid w:val="004B0112"/>
    <w:rsid w:val="00530D78"/>
    <w:rsid w:val="00594921"/>
    <w:rsid w:val="005B25F1"/>
    <w:rsid w:val="005F66DD"/>
    <w:rsid w:val="00617783"/>
    <w:rsid w:val="00673FEE"/>
    <w:rsid w:val="00687172"/>
    <w:rsid w:val="006A5A82"/>
    <w:rsid w:val="006B1911"/>
    <w:rsid w:val="006D328C"/>
    <w:rsid w:val="0071019C"/>
    <w:rsid w:val="00736C82"/>
    <w:rsid w:val="00760529"/>
    <w:rsid w:val="00763685"/>
    <w:rsid w:val="0077191B"/>
    <w:rsid w:val="007738EF"/>
    <w:rsid w:val="007C1DBE"/>
    <w:rsid w:val="007C6F74"/>
    <w:rsid w:val="00853DFE"/>
    <w:rsid w:val="00875B59"/>
    <w:rsid w:val="00894151"/>
    <w:rsid w:val="009050AC"/>
    <w:rsid w:val="00910614"/>
    <w:rsid w:val="009462B7"/>
    <w:rsid w:val="00953D5A"/>
    <w:rsid w:val="009D71CF"/>
    <w:rsid w:val="00A6408B"/>
    <w:rsid w:val="00AC3AF5"/>
    <w:rsid w:val="00B147A6"/>
    <w:rsid w:val="00B2789E"/>
    <w:rsid w:val="00B5247B"/>
    <w:rsid w:val="00B61395"/>
    <w:rsid w:val="00B7455F"/>
    <w:rsid w:val="00C0675B"/>
    <w:rsid w:val="00C21208"/>
    <w:rsid w:val="00C26559"/>
    <w:rsid w:val="00CC43EF"/>
    <w:rsid w:val="00CE3FE1"/>
    <w:rsid w:val="00D5524B"/>
    <w:rsid w:val="00DA254A"/>
    <w:rsid w:val="00DB3191"/>
    <w:rsid w:val="00DB3FB8"/>
    <w:rsid w:val="00DC4A58"/>
    <w:rsid w:val="00DF2FF7"/>
    <w:rsid w:val="00E43709"/>
    <w:rsid w:val="00E57BC2"/>
    <w:rsid w:val="00EC3072"/>
    <w:rsid w:val="00ED1A74"/>
    <w:rsid w:val="00EF5CE8"/>
    <w:rsid w:val="00F1007A"/>
    <w:rsid w:val="00F35DBA"/>
    <w:rsid w:val="00F80745"/>
    <w:rsid w:val="00F84906"/>
    <w:rsid w:val="00F94A20"/>
    <w:rsid w:val="00FD3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aliases w:val="Footnote Text Char2 Char3,Footnote Text Char Char6 Char,Footnote Text Char6 Char Char Char,Footnote Text Char Char6 Char Char1 Char1,Footnote Text Char4 Char2 Char Char Char Char,Footnote Text Char6 Char,fn,ALTS FOOTNOT"/>
    <w:basedOn w:val="Normal"/>
    <w:link w:val="FootnoteTextChar"/>
    <w:semiHidden/>
  </w:style>
  <w:style w:type="character" w:styleId="FootnoteReference">
    <w:name w:val="footnote reference"/>
    <w:semiHidden/>
    <w:rPr>
      <w:vertAlign w:val="superscript"/>
    </w:rPr>
  </w:style>
  <w:style w:type="paragraph" w:styleId="BodyText">
    <w:name w:val="Body Text"/>
    <w:basedOn w:val="Normal"/>
    <w:pPr>
      <w:widowControl w:val="0"/>
      <w:numPr>
        <w:numId w:val="1"/>
      </w:numPr>
      <w:spacing w:after="120"/>
      <w:jc w:val="both"/>
    </w:pPr>
    <w:rPr>
      <w:snapToGrid w:val="0"/>
      <w:kern w:val="28"/>
      <w:sz w:val="22"/>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FootnoteTextChar">
    <w:name w:val="Footnote Text Char"/>
    <w:aliases w:val="Footnote Text Char2 Char3 Char,Footnote Text Char Char6 Char Char,Footnote Text Char6 Char Char Char Char,Footnote Text Char Char6 Char Char1 Char1 Char,Footnote Text Char4 Char2 Char Char Char Char Char,Footnote Text Char6 Char Char"/>
    <w:link w:val="FootnoteText"/>
    <w:semiHidden/>
  </w:style>
  <w:style w:type="character" w:customStyle="1" w:styleId="emphi1">
    <w:name w:val="emphi1"/>
    <w:rPr>
      <w:i/>
      <w:iCs/>
    </w:rPr>
  </w:style>
  <w:style w:type="character" w:styleId="CommentReference">
    <w:name w:val="annotation reference"/>
    <w:rsid w:val="00853DFE"/>
    <w:rPr>
      <w:sz w:val="16"/>
      <w:szCs w:val="16"/>
    </w:rPr>
  </w:style>
  <w:style w:type="paragraph" w:styleId="CommentText">
    <w:name w:val="annotation text"/>
    <w:basedOn w:val="Normal"/>
    <w:link w:val="CommentTextChar"/>
    <w:rsid w:val="00853DFE"/>
  </w:style>
  <w:style w:type="character" w:customStyle="1" w:styleId="CommentTextChar">
    <w:name w:val="Comment Text Char"/>
    <w:basedOn w:val="DefaultParagraphFont"/>
    <w:link w:val="CommentText"/>
    <w:rsid w:val="00853DFE"/>
  </w:style>
  <w:style w:type="paragraph" w:styleId="CommentSubject">
    <w:name w:val="annotation subject"/>
    <w:basedOn w:val="CommentText"/>
    <w:next w:val="CommentText"/>
    <w:link w:val="CommentSubjectChar"/>
    <w:rsid w:val="00853DFE"/>
    <w:rPr>
      <w:b/>
      <w:bCs/>
    </w:rPr>
  </w:style>
  <w:style w:type="character" w:customStyle="1" w:styleId="CommentSubjectChar">
    <w:name w:val="Comment Subject Char"/>
    <w:link w:val="CommentSubject"/>
    <w:rsid w:val="00853DF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Template>
  <TotalTime>0</TotalTime>
  <Pages>4</Pages>
  <Words>1349</Words>
  <Characters>7126</Characters>
  <Application>Microsoft Office Word</Application>
  <DocSecurity>0</DocSecurity>
  <Lines>122</Lines>
  <Paragraphs>27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8531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2016-01-29T15:26:00Z</cp:lastPrinted>
  <dcterms:created xsi:type="dcterms:W3CDTF">2017-09-26T18:06:00Z</dcterms:created>
  <dcterms:modified xsi:type="dcterms:W3CDTF">2017-09-26T18:06:00Z</dcterms:modified>
  <cp:category> </cp:category>
  <cp:contentStatus> </cp:contentStatus>
</cp:coreProperties>
</file>