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53" w:rsidRDefault="00703C53" w:rsidP="0060268B">
      <w:pPr>
        <w:widowControl/>
        <w:jc w:val="center"/>
        <w:rPr>
          <w:b/>
        </w:rPr>
      </w:pPr>
      <w:bookmarkStart w:id="0" w:name="_GoBack"/>
      <w:bookmarkEnd w:id="0"/>
      <w:r>
        <w:rPr>
          <w:rFonts w:ascii="Times New Roman Bold" w:hAnsi="Times New Roman Bold"/>
          <w:b/>
          <w:szCs w:val="22"/>
        </w:rPr>
        <w:t>Before</w:t>
      </w:r>
      <w:r>
        <w:rPr>
          <w:b/>
        </w:rPr>
        <w:t xml:space="preserve"> the</w:t>
      </w:r>
    </w:p>
    <w:p w:rsidR="00703C53" w:rsidRDefault="00703C53" w:rsidP="0060268B">
      <w:pPr>
        <w:pStyle w:val="StyleBoldCentered"/>
        <w:widowControl/>
      </w:pPr>
      <w:r>
        <w:t>F</w:t>
      </w:r>
      <w:r>
        <w:rPr>
          <w:caps w:val="0"/>
        </w:rPr>
        <w:t>ederal Communications Commission</w:t>
      </w:r>
    </w:p>
    <w:p w:rsidR="00703C53" w:rsidRDefault="00703C53" w:rsidP="0060268B">
      <w:pPr>
        <w:pStyle w:val="StyleBoldCentered"/>
        <w:widowControl/>
      </w:pPr>
      <w:r>
        <w:rPr>
          <w:caps w:val="0"/>
        </w:rPr>
        <w:t>Washington</w:t>
      </w:r>
      <w:r>
        <w:t>, D.C. 20554</w:t>
      </w:r>
    </w:p>
    <w:p w:rsidR="00703C53" w:rsidRDefault="00703C53" w:rsidP="0060268B">
      <w:pPr>
        <w:widowControl/>
      </w:pPr>
    </w:p>
    <w:p w:rsidR="00703C53" w:rsidRDefault="00703C53" w:rsidP="0060268B">
      <w:pPr>
        <w:widowControl/>
      </w:pPr>
    </w:p>
    <w:tbl>
      <w:tblPr>
        <w:tblW w:w="0" w:type="auto"/>
        <w:tblLayout w:type="fixed"/>
        <w:tblLook w:val="0000" w:firstRow="0" w:lastRow="0" w:firstColumn="0" w:lastColumn="0" w:noHBand="0" w:noVBand="0"/>
      </w:tblPr>
      <w:tblGrid>
        <w:gridCol w:w="4698"/>
        <w:gridCol w:w="630"/>
        <w:gridCol w:w="4248"/>
      </w:tblGrid>
      <w:tr w:rsidR="00703C53" w:rsidTr="00033AF1">
        <w:trPr>
          <w:trHeight w:val="1620"/>
        </w:trPr>
        <w:tc>
          <w:tcPr>
            <w:tcW w:w="4698" w:type="dxa"/>
          </w:tcPr>
          <w:p w:rsidR="00703C53" w:rsidRDefault="00703C53" w:rsidP="0060268B">
            <w:pPr>
              <w:widowControl/>
              <w:tabs>
                <w:tab w:val="center" w:pos="4680"/>
              </w:tabs>
              <w:suppressAutoHyphens/>
              <w:rPr>
                <w:spacing w:val="-2"/>
              </w:rPr>
            </w:pPr>
            <w:r>
              <w:rPr>
                <w:spacing w:val="-2"/>
              </w:rPr>
              <w:t>In the Matter of</w:t>
            </w:r>
            <w:r w:rsidR="004C60AD">
              <w:rPr>
                <w:spacing w:val="-2"/>
              </w:rPr>
              <w:t xml:space="preserve"> </w:t>
            </w:r>
          </w:p>
          <w:p w:rsidR="004C60AD" w:rsidRDefault="004C60AD" w:rsidP="0060268B">
            <w:pPr>
              <w:widowControl/>
              <w:tabs>
                <w:tab w:val="center" w:pos="4680"/>
              </w:tabs>
              <w:suppressAutoHyphens/>
              <w:rPr>
                <w:spacing w:val="-2"/>
              </w:rPr>
            </w:pPr>
          </w:p>
          <w:p w:rsidR="004C60AD" w:rsidRDefault="005C4E5E" w:rsidP="0060268B">
            <w:pPr>
              <w:widowControl/>
              <w:tabs>
                <w:tab w:val="center" w:pos="4680"/>
              </w:tabs>
              <w:suppressAutoHyphens/>
              <w:rPr>
                <w:spacing w:val="-2"/>
              </w:rPr>
            </w:pPr>
            <w:r w:rsidRPr="005C4E5E">
              <w:rPr>
                <w:spacing w:val="-2"/>
              </w:rPr>
              <w:t xml:space="preserve">COMMONWEALTH OF </w:t>
            </w:r>
            <w:r w:rsidR="004C60AD">
              <w:rPr>
                <w:spacing w:val="-2"/>
              </w:rPr>
              <w:t>PUERTO RICO</w:t>
            </w:r>
            <w:r w:rsidR="002F0B26">
              <w:rPr>
                <w:spacing w:val="-2"/>
              </w:rPr>
              <w:t xml:space="preserve"> AND UNITED STATES VIRGIN ISLANDS</w:t>
            </w:r>
          </w:p>
          <w:p w:rsidR="004C60AD" w:rsidRDefault="004C60AD" w:rsidP="0060268B">
            <w:pPr>
              <w:widowControl/>
              <w:tabs>
                <w:tab w:val="center" w:pos="4680"/>
              </w:tabs>
              <w:suppressAutoHyphens/>
              <w:rPr>
                <w:spacing w:val="-2"/>
              </w:rPr>
            </w:pPr>
          </w:p>
          <w:p w:rsidR="004C60AD" w:rsidRDefault="004C60AD" w:rsidP="0060268B">
            <w:pPr>
              <w:widowControl/>
              <w:tabs>
                <w:tab w:val="center" w:pos="4680"/>
              </w:tabs>
              <w:suppressAutoHyphens/>
              <w:rPr>
                <w:spacing w:val="-2"/>
              </w:rPr>
            </w:pPr>
            <w:r w:rsidRPr="004C60AD">
              <w:rPr>
                <w:spacing w:val="-2"/>
              </w:rPr>
              <w:t xml:space="preserve">Waiver of Section </w:t>
            </w:r>
            <w:r w:rsidR="002F0B26">
              <w:rPr>
                <w:spacing w:val="-2"/>
              </w:rPr>
              <w:t>90.20(d)(28)</w:t>
            </w:r>
            <w:r w:rsidRPr="004C60AD">
              <w:rPr>
                <w:spacing w:val="-2"/>
              </w:rPr>
              <w:t xml:space="preserve"> of the Commission’s Rules</w:t>
            </w:r>
          </w:p>
          <w:p w:rsidR="00703C53" w:rsidRDefault="00703C53" w:rsidP="004F732A">
            <w:pPr>
              <w:widowControl/>
              <w:tabs>
                <w:tab w:val="center" w:pos="4680"/>
              </w:tabs>
              <w:suppressAutoHyphens/>
              <w:rPr>
                <w:spacing w:val="-2"/>
              </w:rPr>
            </w:pPr>
          </w:p>
        </w:tc>
        <w:tc>
          <w:tcPr>
            <w:tcW w:w="630" w:type="dxa"/>
          </w:tcPr>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572F6A" w:rsidRDefault="00572F6A" w:rsidP="0060268B">
            <w:pPr>
              <w:widowControl/>
              <w:tabs>
                <w:tab w:val="center" w:pos="4680"/>
              </w:tabs>
              <w:suppressAutoHyphens/>
              <w:rPr>
                <w:spacing w:val="-2"/>
              </w:rPr>
            </w:pPr>
            <w:r>
              <w:rPr>
                <w:spacing w:val="-2"/>
              </w:rPr>
              <w:t>)</w:t>
            </w:r>
          </w:p>
        </w:tc>
        <w:tc>
          <w:tcPr>
            <w:tcW w:w="4248" w:type="dxa"/>
          </w:tcPr>
          <w:p w:rsidR="00703C53" w:rsidRDefault="00703C53" w:rsidP="0060268B">
            <w:pPr>
              <w:widowControl/>
              <w:tabs>
                <w:tab w:val="center" w:pos="4680"/>
              </w:tabs>
              <w:suppressAutoHyphens/>
              <w:rPr>
                <w:spacing w:val="-2"/>
              </w:rPr>
            </w:pPr>
          </w:p>
          <w:p w:rsidR="00703C53" w:rsidRDefault="00703C53" w:rsidP="0060268B">
            <w:pPr>
              <w:pStyle w:val="TOAHeading"/>
              <w:widowControl/>
              <w:tabs>
                <w:tab w:val="clear" w:pos="9360"/>
                <w:tab w:val="center" w:pos="4680"/>
              </w:tabs>
              <w:rPr>
                <w:spacing w:val="-2"/>
              </w:rPr>
            </w:pPr>
          </w:p>
          <w:p w:rsidR="00703C53" w:rsidRDefault="00703C53" w:rsidP="00FA0B91">
            <w:pPr>
              <w:widowControl/>
              <w:tabs>
                <w:tab w:val="center" w:pos="4680"/>
              </w:tabs>
              <w:suppressAutoHyphens/>
              <w:rPr>
                <w:spacing w:val="-2"/>
              </w:rPr>
            </w:pPr>
          </w:p>
        </w:tc>
      </w:tr>
    </w:tbl>
    <w:p w:rsidR="00703C53" w:rsidRDefault="00703C53" w:rsidP="004C60AD">
      <w:pPr>
        <w:pStyle w:val="StyleBoldCentered"/>
        <w:widowControl/>
      </w:pPr>
      <w:r>
        <w:t>Order</w:t>
      </w:r>
    </w:p>
    <w:p w:rsidR="00033AF1" w:rsidRDefault="00033AF1" w:rsidP="00033AF1">
      <w:pPr>
        <w:pStyle w:val="StyleBoldCentered"/>
        <w:widowControl/>
        <w:jc w:val="left"/>
      </w:pPr>
    </w:p>
    <w:p w:rsidR="00033AF1" w:rsidRDefault="00033AF1" w:rsidP="00033AF1">
      <w:pPr>
        <w:pStyle w:val="StyleBoldCentered"/>
        <w:widowControl/>
        <w:jc w:val="left"/>
      </w:pPr>
      <w:r>
        <w:rPr>
          <w:caps w:val="0"/>
        </w:rPr>
        <w:t>Adopted:</w:t>
      </w:r>
      <w:r w:rsidR="0041110A">
        <w:rPr>
          <w:caps w:val="0"/>
        </w:rPr>
        <w:t xml:space="preserve"> </w:t>
      </w:r>
      <w:r w:rsidR="00572F6A">
        <w:rPr>
          <w:caps w:val="0"/>
        </w:rPr>
        <w:t xml:space="preserve">September </w:t>
      </w:r>
      <w:r w:rsidR="00A70E0C">
        <w:rPr>
          <w:caps w:val="0"/>
        </w:rPr>
        <w:t>28</w:t>
      </w:r>
      <w:r w:rsidR="000954AC">
        <w:rPr>
          <w:caps w:val="0"/>
        </w:rPr>
        <w:t xml:space="preserve">, </w:t>
      </w:r>
      <w:r w:rsidR="0041110A">
        <w:rPr>
          <w:caps w:val="0"/>
        </w:rPr>
        <w:t>2017</w:t>
      </w:r>
      <w:r w:rsidR="00E902DB">
        <w:rPr>
          <w:caps w:val="0"/>
        </w:rPr>
        <w:tab/>
      </w:r>
      <w:r w:rsidR="00E902DB">
        <w:rPr>
          <w:caps w:val="0"/>
        </w:rPr>
        <w:tab/>
      </w:r>
      <w:r w:rsidR="00E902DB">
        <w:rPr>
          <w:caps w:val="0"/>
        </w:rPr>
        <w:tab/>
      </w:r>
      <w:r w:rsidR="00E902DB">
        <w:rPr>
          <w:caps w:val="0"/>
        </w:rPr>
        <w:tab/>
      </w:r>
      <w:r w:rsidR="00E902DB">
        <w:rPr>
          <w:caps w:val="0"/>
        </w:rPr>
        <w:tab/>
      </w:r>
      <w:r>
        <w:rPr>
          <w:caps w:val="0"/>
        </w:rPr>
        <w:t>Released:</w:t>
      </w:r>
      <w:r w:rsidR="00386622">
        <w:rPr>
          <w:caps w:val="0"/>
        </w:rPr>
        <w:t xml:space="preserve"> </w:t>
      </w:r>
      <w:r w:rsidR="00572F6A">
        <w:rPr>
          <w:caps w:val="0"/>
        </w:rPr>
        <w:t xml:space="preserve">September </w:t>
      </w:r>
      <w:r w:rsidR="00A70E0C">
        <w:rPr>
          <w:caps w:val="0"/>
        </w:rPr>
        <w:t>28</w:t>
      </w:r>
      <w:r w:rsidR="000954AC">
        <w:rPr>
          <w:caps w:val="0"/>
        </w:rPr>
        <w:t>,</w:t>
      </w:r>
      <w:r w:rsidR="00386622">
        <w:rPr>
          <w:caps w:val="0"/>
        </w:rPr>
        <w:t xml:space="preserve"> 201</w:t>
      </w:r>
      <w:r w:rsidR="0041110A">
        <w:rPr>
          <w:caps w:val="0"/>
        </w:rPr>
        <w:t>7</w:t>
      </w:r>
    </w:p>
    <w:p w:rsidR="00703C53" w:rsidRDefault="00703C53" w:rsidP="0060268B">
      <w:pPr>
        <w:widowControl/>
      </w:pPr>
    </w:p>
    <w:p w:rsidR="00703C53" w:rsidRDefault="00703C53" w:rsidP="0060268B">
      <w:pPr>
        <w:widowControl/>
        <w:rPr>
          <w:spacing w:val="-2"/>
        </w:rPr>
      </w:pPr>
      <w:r>
        <w:t xml:space="preserve">By the </w:t>
      </w:r>
      <w:r w:rsidR="0041110A">
        <w:t>Acting</w:t>
      </w:r>
      <w:r>
        <w:t xml:space="preserve"> Chief, Policy and Licensing Division, Public Safety and Homeland Security Bureau</w:t>
      </w:r>
      <w:r>
        <w:rPr>
          <w:spacing w:val="-2"/>
        </w:rPr>
        <w:t xml:space="preserve">:  </w:t>
      </w:r>
      <w:r>
        <w:rPr>
          <w:szCs w:val="22"/>
        </w:rPr>
        <w:t xml:space="preserve"> </w:t>
      </w:r>
      <w:r>
        <w:rPr>
          <w:spacing w:val="-2"/>
        </w:rPr>
        <w:t xml:space="preserve"> </w:t>
      </w:r>
    </w:p>
    <w:p w:rsidR="00703C53" w:rsidRDefault="00703C53" w:rsidP="0060268B">
      <w:pPr>
        <w:widowControl/>
      </w:pPr>
      <w:bookmarkStart w:id="1" w:name="TOChere"/>
    </w:p>
    <w:p w:rsidR="0041110A" w:rsidRDefault="00703C53" w:rsidP="0041110A">
      <w:pPr>
        <w:pStyle w:val="Heading1"/>
        <w:widowControl/>
        <w:spacing w:after="220"/>
      </w:pPr>
      <w:bookmarkStart w:id="2" w:name="_Toc202589907"/>
      <w:bookmarkStart w:id="3" w:name="_Toc202781493"/>
      <w:bookmarkStart w:id="4" w:name="_Toc202782110"/>
      <w:bookmarkStart w:id="5" w:name="_Toc202783829"/>
      <w:bookmarkStart w:id="6" w:name="_Toc202784152"/>
      <w:bookmarkStart w:id="7" w:name="_Toc202858172"/>
      <w:bookmarkStart w:id="8" w:name="_Toc202858289"/>
      <w:bookmarkStart w:id="9" w:name="_Toc202858511"/>
      <w:bookmarkStart w:id="10" w:name="_Toc203270817"/>
      <w:bookmarkStart w:id="11" w:name="_Toc204662402"/>
      <w:bookmarkStart w:id="12" w:name="_Toc204779955"/>
      <w:bookmarkEnd w:id="1"/>
      <w:r>
        <w:t>introduction</w:t>
      </w:r>
      <w:bookmarkEnd w:id="2"/>
      <w:bookmarkEnd w:id="3"/>
      <w:bookmarkEnd w:id="4"/>
      <w:bookmarkEnd w:id="5"/>
      <w:bookmarkEnd w:id="6"/>
      <w:bookmarkEnd w:id="7"/>
      <w:bookmarkEnd w:id="8"/>
      <w:bookmarkEnd w:id="9"/>
      <w:bookmarkEnd w:id="10"/>
      <w:bookmarkEnd w:id="11"/>
      <w:bookmarkEnd w:id="12"/>
      <w:r>
        <w:t xml:space="preserve"> </w:t>
      </w:r>
    </w:p>
    <w:p w:rsidR="002F0B26" w:rsidRPr="002F0B26" w:rsidRDefault="00646A40" w:rsidP="002F0B26">
      <w:pPr>
        <w:pStyle w:val="ParaNum"/>
        <w:rPr>
          <w:szCs w:val="22"/>
        </w:rPr>
      </w:pPr>
      <w:r>
        <w:rPr>
          <w:szCs w:val="22"/>
        </w:rPr>
        <w:t xml:space="preserve">In this </w:t>
      </w:r>
      <w:r w:rsidRPr="008C79E2">
        <w:rPr>
          <w:i/>
          <w:szCs w:val="22"/>
        </w:rPr>
        <w:t>Order</w:t>
      </w:r>
      <w:r>
        <w:rPr>
          <w:szCs w:val="22"/>
        </w:rPr>
        <w:t>, the Policy and Licensing Division grants, o</w:t>
      </w:r>
      <w:r w:rsidR="002F0B26" w:rsidRPr="002F0B26">
        <w:rPr>
          <w:szCs w:val="22"/>
        </w:rPr>
        <w:t>n our own motion</w:t>
      </w:r>
      <w:r w:rsidR="0041110A" w:rsidRPr="002F0B26">
        <w:rPr>
          <w:szCs w:val="22"/>
        </w:rPr>
        <w:t xml:space="preserve">, </w:t>
      </w:r>
      <w:r w:rsidR="00572F6A">
        <w:rPr>
          <w:szCs w:val="22"/>
        </w:rPr>
        <w:t>a</w:t>
      </w:r>
      <w:r w:rsidR="002F0B26" w:rsidRPr="002F0B26">
        <w:rPr>
          <w:szCs w:val="22"/>
        </w:rPr>
        <w:t xml:space="preserve"> waive</w:t>
      </w:r>
      <w:r w:rsidR="00572F6A">
        <w:rPr>
          <w:szCs w:val="22"/>
        </w:rPr>
        <w:t>r</w:t>
      </w:r>
      <w:r w:rsidR="002F0B26" w:rsidRPr="002F0B26">
        <w:rPr>
          <w:szCs w:val="22"/>
        </w:rPr>
        <w:t xml:space="preserve"> </w:t>
      </w:r>
      <w:r w:rsidR="00572F6A">
        <w:rPr>
          <w:szCs w:val="22"/>
        </w:rPr>
        <w:t xml:space="preserve">of </w:t>
      </w:r>
      <w:r w:rsidR="00572F6A">
        <w:rPr>
          <w:color w:val="212121"/>
          <w:szCs w:val="22"/>
        </w:rPr>
        <w:t>Section</w:t>
      </w:r>
      <w:r w:rsidR="002F0B26" w:rsidRPr="002F0B26">
        <w:rPr>
          <w:color w:val="212121"/>
          <w:szCs w:val="22"/>
        </w:rPr>
        <w:t xml:space="preserve"> </w:t>
      </w:r>
      <w:r w:rsidR="002F0B26" w:rsidRPr="002F0B26">
        <w:rPr>
          <w:bCs/>
          <w:color w:val="252525"/>
          <w:szCs w:val="22"/>
        </w:rPr>
        <w:t>90</w:t>
      </w:r>
      <w:r w:rsidR="002F0B26" w:rsidRPr="002F0B26">
        <w:rPr>
          <w:color w:val="212121"/>
          <w:szCs w:val="22"/>
        </w:rPr>
        <w:t>.</w:t>
      </w:r>
      <w:r w:rsidR="002F0B26" w:rsidRPr="002F0B26">
        <w:rPr>
          <w:bCs/>
          <w:color w:val="252525"/>
          <w:szCs w:val="22"/>
        </w:rPr>
        <w:t>20</w:t>
      </w:r>
      <w:r w:rsidR="002F0B26" w:rsidRPr="002F0B26">
        <w:rPr>
          <w:color w:val="212121"/>
          <w:szCs w:val="22"/>
        </w:rPr>
        <w:t>(</w:t>
      </w:r>
      <w:r w:rsidR="002F0B26" w:rsidRPr="002F0B26">
        <w:rPr>
          <w:bCs/>
          <w:color w:val="252525"/>
          <w:szCs w:val="22"/>
        </w:rPr>
        <w:t>d</w:t>
      </w:r>
      <w:r w:rsidR="002F0B26" w:rsidRPr="002F0B26">
        <w:rPr>
          <w:color w:val="212121"/>
          <w:szCs w:val="22"/>
        </w:rPr>
        <w:t>)(28)</w:t>
      </w:r>
      <w:r w:rsidR="008C79E2">
        <w:rPr>
          <w:rStyle w:val="FootnoteReference"/>
          <w:szCs w:val="22"/>
        </w:rPr>
        <w:footnoteReference w:id="2"/>
      </w:r>
      <w:r w:rsidR="003B57F7">
        <w:rPr>
          <w:color w:val="212121"/>
          <w:szCs w:val="22"/>
        </w:rPr>
        <w:t xml:space="preserve"> of the Commission’</w:t>
      </w:r>
      <w:r w:rsidR="002F0B26" w:rsidRPr="002F0B26">
        <w:rPr>
          <w:color w:val="212121"/>
          <w:szCs w:val="22"/>
        </w:rPr>
        <w:t xml:space="preserve">s </w:t>
      </w:r>
      <w:r w:rsidR="00113ED1">
        <w:rPr>
          <w:color w:val="212121"/>
          <w:szCs w:val="22"/>
        </w:rPr>
        <w:t>r</w:t>
      </w:r>
      <w:r w:rsidR="002F0B26" w:rsidRPr="002F0B26">
        <w:rPr>
          <w:color w:val="212121"/>
          <w:szCs w:val="22"/>
        </w:rPr>
        <w:t xml:space="preserve">ules </w:t>
      </w:r>
      <w:r w:rsidR="002F0B26">
        <w:rPr>
          <w:color w:val="212121"/>
          <w:szCs w:val="22"/>
        </w:rPr>
        <w:t>to</w:t>
      </w:r>
      <w:r w:rsidR="002F0B26" w:rsidRPr="002F0B26">
        <w:rPr>
          <w:color w:val="212121"/>
          <w:szCs w:val="22"/>
        </w:rPr>
        <w:t xml:space="preserve"> </w:t>
      </w:r>
      <w:r w:rsidR="002F0B26">
        <w:rPr>
          <w:color w:val="212121"/>
          <w:szCs w:val="22"/>
        </w:rPr>
        <w:t xml:space="preserve">facilitate </w:t>
      </w:r>
      <w:r w:rsidR="002F0B26" w:rsidRPr="002F0B26">
        <w:rPr>
          <w:color w:val="212121"/>
          <w:szCs w:val="22"/>
        </w:rPr>
        <w:t>use of two nationwide interoperability channels (</w:t>
      </w:r>
      <w:r w:rsidR="004C0BD6">
        <w:rPr>
          <w:color w:val="212121"/>
          <w:szCs w:val="22"/>
        </w:rPr>
        <w:t xml:space="preserve">151.1375 MHz and 154.4525 </w:t>
      </w:r>
      <w:r w:rsidR="004C0BD6" w:rsidRPr="002F0B26">
        <w:rPr>
          <w:color w:val="212121"/>
          <w:szCs w:val="22"/>
        </w:rPr>
        <w:t>MHz</w:t>
      </w:r>
      <w:r w:rsidR="002F0B26" w:rsidRPr="002F0B26">
        <w:rPr>
          <w:color w:val="212121"/>
          <w:szCs w:val="22"/>
        </w:rPr>
        <w:t xml:space="preserve">) in the Commonwealth of Puerto Rico (Puerto Rico) and the United States Virgin Islands (USVI).  A waiver is necessary because Section 90.20(d)(28) </w:t>
      </w:r>
      <w:r w:rsidR="00113ED1">
        <w:rPr>
          <w:color w:val="212121"/>
          <w:szCs w:val="22"/>
        </w:rPr>
        <w:t xml:space="preserve">does not authorize </w:t>
      </w:r>
      <w:r w:rsidR="002F0B26" w:rsidRPr="00DA40E2">
        <w:rPr>
          <w:color w:val="212121"/>
          <w:szCs w:val="22"/>
        </w:rPr>
        <w:t xml:space="preserve">public safety use of the designated frequencies in Puerto Rico and the USVI. </w:t>
      </w:r>
      <w:r w:rsidR="00DA40E2">
        <w:rPr>
          <w:color w:val="212121"/>
          <w:szCs w:val="22"/>
        </w:rPr>
        <w:t xml:space="preserve"> </w:t>
      </w:r>
      <w:r w:rsidR="002F0B26" w:rsidRPr="00DA40E2">
        <w:rPr>
          <w:color w:val="212121"/>
          <w:szCs w:val="22"/>
        </w:rPr>
        <w:t>For the reasons discussed herein, we</w:t>
      </w:r>
      <w:r w:rsidR="00DA40E2" w:rsidRPr="00DA40E2">
        <w:rPr>
          <w:color w:val="212121"/>
          <w:szCs w:val="22"/>
        </w:rPr>
        <w:t xml:space="preserve"> </w:t>
      </w:r>
      <w:r w:rsidR="00572F6A">
        <w:rPr>
          <w:color w:val="212121"/>
          <w:szCs w:val="22"/>
        </w:rPr>
        <w:t xml:space="preserve">temporarily </w:t>
      </w:r>
      <w:r w:rsidR="00DA40E2" w:rsidRPr="00DA40E2">
        <w:rPr>
          <w:color w:val="212121"/>
          <w:szCs w:val="22"/>
        </w:rPr>
        <w:t>waive th</w:t>
      </w:r>
      <w:r w:rsidR="00113ED1">
        <w:rPr>
          <w:color w:val="212121"/>
          <w:szCs w:val="22"/>
        </w:rPr>
        <w:t xml:space="preserve">is </w:t>
      </w:r>
      <w:r w:rsidR="00DA40E2" w:rsidRPr="00DA40E2">
        <w:rPr>
          <w:color w:val="212121"/>
          <w:szCs w:val="22"/>
        </w:rPr>
        <w:t xml:space="preserve">limitation </w:t>
      </w:r>
      <w:r w:rsidR="00113ED1">
        <w:rPr>
          <w:color w:val="212121"/>
          <w:szCs w:val="22"/>
        </w:rPr>
        <w:t xml:space="preserve">to allow public safety agencies to use </w:t>
      </w:r>
      <w:r w:rsidR="00DA40E2" w:rsidRPr="00DA40E2">
        <w:rPr>
          <w:color w:val="212121"/>
          <w:szCs w:val="22"/>
        </w:rPr>
        <w:t>these frequencies</w:t>
      </w:r>
      <w:r w:rsidR="00113ED1">
        <w:rPr>
          <w:color w:val="212121"/>
          <w:szCs w:val="22"/>
        </w:rPr>
        <w:t xml:space="preserve"> in support of hurricane response and recovery activities</w:t>
      </w:r>
    </w:p>
    <w:p w:rsidR="0041110A" w:rsidRDefault="00646A40" w:rsidP="0041110A">
      <w:pPr>
        <w:pStyle w:val="Heading1"/>
        <w:widowControl/>
        <w:spacing w:after="220"/>
      </w:pPr>
      <w:r>
        <w:t>DISCUSSION</w:t>
      </w:r>
    </w:p>
    <w:p w:rsidR="00DA40E2" w:rsidRPr="00BE2748" w:rsidRDefault="00DA40E2" w:rsidP="00EA7C9F">
      <w:pPr>
        <w:pStyle w:val="ParaNum"/>
      </w:pPr>
      <w:r w:rsidRPr="00646A40">
        <w:rPr>
          <w:rFonts w:eastAsiaTheme="minorHAnsi"/>
        </w:rPr>
        <w:t>In 2000, the Commission</w:t>
      </w:r>
      <w:r w:rsidRPr="00646A40">
        <w:rPr>
          <w:snapToGrid/>
        </w:rPr>
        <w:t xml:space="preserve"> designated five channels in the public safety VHF band (150-174 MHz) for nationwide interoperability, including frequencies </w:t>
      </w:r>
      <w:r w:rsidRPr="00646A40">
        <w:rPr>
          <w:color w:val="212121"/>
        </w:rPr>
        <w:t>151.1375 MHz (VTAC1</w:t>
      </w:r>
      <w:r w:rsidR="00F01CE1">
        <w:rPr>
          <w:color w:val="212121"/>
        </w:rPr>
        <w:t>1</w:t>
      </w:r>
      <w:r w:rsidRPr="00646A40">
        <w:rPr>
          <w:color w:val="212121"/>
        </w:rPr>
        <w:t>) and 154.4525 MHz (VTAC</w:t>
      </w:r>
      <w:r w:rsidR="00F01CE1">
        <w:rPr>
          <w:color w:val="212121"/>
        </w:rPr>
        <w:t>1</w:t>
      </w:r>
      <w:r w:rsidRPr="00646A40">
        <w:rPr>
          <w:color w:val="212121"/>
        </w:rPr>
        <w:t>2).</w:t>
      </w:r>
      <w:r w:rsidR="00BE2748">
        <w:rPr>
          <w:rStyle w:val="FootnoteReference"/>
          <w:szCs w:val="22"/>
        </w:rPr>
        <w:footnoteReference w:id="3"/>
      </w:r>
      <w:r w:rsidR="007073FD" w:rsidRPr="00646A40">
        <w:rPr>
          <w:color w:val="212121"/>
        </w:rPr>
        <w:t xml:space="preserve">  T</w:t>
      </w:r>
      <w:r w:rsidR="00646A40" w:rsidRPr="00646A40">
        <w:rPr>
          <w:color w:val="212121"/>
        </w:rPr>
        <w:t>o facilitate interoperable use, t</w:t>
      </w:r>
      <w:r w:rsidR="007073FD" w:rsidRPr="00646A40">
        <w:rPr>
          <w:color w:val="212121"/>
        </w:rPr>
        <w:t xml:space="preserve">he Commission permitted </w:t>
      </w:r>
      <w:r w:rsidR="00646A40" w:rsidRPr="00646A40">
        <w:rPr>
          <w:snapToGrid/>
        </w:rPr>
        <w:t xml:space="preserve">mobile operation </w:t>
      </w:r>
      <w:r w:rsidR="007073FD" w:rsidRPr="00646A40">
        <w:rPr>
          <w:snapToGrid/>
        </w:rPr>
        <w:t>on these channels without an individual license (</w:t>
      </w:r>
      <w:r w:rsidR="007073FD" w:rsidRPr="00646A40">
        <w:rPr>
          <w:i/>
          <w:iCs/>
          <w:snapToGrid/>
        </w:rPr>
        <w:t>i.e.</w:t>
      </w:r>
      <w:r w:rsidR="007073FD" w:rsidRPr="00646A40">
        <w:rPr>
          <w:snapToGrid/>
        </w:rPr>
        <w:t>, a blanket licensing approach).</w:t>
      </w:r>
      <w:r w:rsidR="00BE2748">
        <w:rPr>
          <w:rStyle w:val="FootnoteReference"/>
          <w:snapToGrid/>
          <w:kern w:val="0"/>
          <w:szCs w:val="22"/>
        </w:rPr>
        <w:footnoteReference w:id="4"/>
      </w:r>
      <w:r w:rsidR="00646A40" w:rsidRPr="00646A40">
        <w:rPr>
          <w:snapToGrid/>
        </w:rPr>
        <w:t xml:space="preserve">  </w:t>
      </w:r>
      <w:r w:rsidR="007073FD" w:rsidRPr="00646A40">
        <w:rPr>
          <w:snapToGrid/>
        </w:rPr>
        <w:t xml:space="preserve">Thus, public safety licensees </w:t>
      </w:r>
      <w:r w:rsidR="00364CF5">
        <w:rPr>
          <w:snapToGrid/>
        </w:rPr>
        <w:t>that a</w:t>
      </w:r>
      <w:r w:rsidR="007073FD" w:rsidRPr="00646A40">
        <w:rPr>
          <w:snapToGrid/>
        </w:rPr>
        <w:t xml:space="preserve">re otherwise licensed under Part 90 of our </w:t>
      </w:r>
      <w:r w:rsidR="00364CF5">
        <w:rPr>
          <w:snapToGrid/>
        </w:rPr>
        <w:t>r</w:t>
      </w:r>
      <w:r w:rsidR="007073FD" w:rsidRPr="00646A40">
        <w:rPr>
          <w:snapToGrid/>
        </w:rPr>
        <w:t xml:space="preserve">ules </w:t>
      </w:r>
      <w:r w:rsidR="002E17EF">
        <w:rPr>
          <w:snapToGrid/>
        </w:rPr>
        <w:t xml:space="preserve">are authorized to </w:t>
      </w:r>
      <w:r w:rsidR="007073FD" w:rsidRPr="00646A40">
        <w:rPr>
          <w:snapToGrid/>
        </w:rPr>
        <w:t>operate mobile units on these interoperability channels without an individual license</w:t>
      </w:r>
      <w:r w:rsidR="00AB5B4C">
        <w:rPr>
          <w:snapToGrid/>
        </w:rPr>
        <w:t xml:space="preserve"> for those interoperability channels</w:t>
      </w:r>
      <w:r w:rsidR="007073FD" w:rsidRPr="00646A40">
        <w:rPr>
          <w:snapToGrid/>
        </w:rPr>
        <w:t>.</w:t>
      </w:r>
      <w:r w:rsidR="00BE2748">
        <w:rPr>
          <w:rStyle w:val="FootnoteReference"/>
          <w:snapToGrid/>
          <w:kern w:val="0"/>
          <w:szCs w:val="22"/>
        </w:rPr>
        <w:footnoteReference w:id="5"/>
      </w:r>
      <w:r w:rsidR="007073FD" w:rsidRPr="00646A40">
        <w:rPr>
          <w:snapToGrid/>
        </w:rPr>
        <w:t xml:space="preserve">  </w:t>
      </w:r>
      <w:r w:rsidRPr="00646A40">
        <w:rPr>
          <w:snapToGrid/>
        </w:rPr>
        <w:t xml:space="preserve">However, in Puerto Rico and the USVI, </w:t>
      </w:r>
      <w:r w:rsidR="00364CF5">
        <w:rPr>
          <w:snapToGrid/>
        </w:rPr>
        <w:t xml:space="preserve">only three of the five interoperability channels (VCALL10, VTAC13 and </w:t>
      </w:r>
      <w:r w:rsidR="00364CF5">
        <w:rPr>
          <w:snapToGrid/>
        </w:rPr>
        <w:lastRenderedPageBreak/>
        <w:t>VTAC14) are available for public safety use.</w:t>
      </w:r>
      <w:r w:rsidR="00EA7C9F">
        <w:rPr>
          <w:rStyle w:val="FootnoteReference"/>
          <w:snapToGrid/>
          <w:kern w:val="0"/>
          <w:szCs w:val="22"/>
        </w:rPr>
        <w:footnoteReference w:id="6"/>
      </w:r>
      <w:r w:rsidR="00364CF5">
        <w:rPr>
          <w:snapToGrid/>
        </w:rPr>
        <w:t xml:space="preserve">  </w:t>
      </w:r>
      <w:r w:rsidR="00EA7C9F">
        <w:rPr>
          <w:snapToGrid/>
        </w:rPr>
        <w:t>VTAC11</w:t>
      </w:r>
      <w:r w:rsidR="00EA7C9F" w:rsidRPr="00EA7C9F">
        <w:rPr>
          <w:snapToGrid/>
          <w:kern w:val="0"/>
          <w:szCs w:val="22"/>
        </w:rPr>
        <w:t xml:space="preserve"> </w:t>
      </w:r>
      <w:r w:rsidR="00EA7C9F">
        <w:rPr>
          <w:snapToGrid/>
          <w:kern w:val="0"/>
          <w:szCs w:val="22"/>
        </w:rPr>
        <w:t xml:space="preserve">is allocated to </w:t>
      </w:r>
      <w:r w:rsidR="00EA7C9F" w:rsidRPr="00EA7C9F">
        <w:rPr>
          <w:snapToGrid/>
          <w:kern w:val="0"/>
          <w:szCs w:val="22"/>
        </w:rPr>
        <w:t>the Industrial/Business Pool</w:t>
      </w:r>
      <w:r w:rsidR="00EA7C9F">
        <w:rPr>
          <w:snapToGrid/>
          <w:kern w:val="0"/>
          <w:szCs w:val="22"/>
        </w:rPr>
        <w:t xml:space="preserve"> in Puerto Rico and the USVI,</w:t>
      </w:r>
      <w:r w:rsidR="00EA7C9F">
        <w:rPr>
          <w:rStyle w:val="FootnoteReference"/>
          <w:szCs w:val="22"/>
        </w:rPr>
        <w:footnoteReference w:id="7"/>
      </w:r>
      <w:r w:rsidR="00EA7C9F" w:rsidRPr="00DA40E2">
        <w:rPr>
          <w:color w:val="212121"/>
          <w:szCs w:val="22"/>
        </w:rPr>
        <w:t xml:space="preserve"> </w:t>
      </w:r>
      <w:r w:rsidR="00EA7C9F">
        <w:rPr>
          <w:snapToGrid/>
          <w:kern w:val="0"/>
          <w:szCs w:val="22"/>
        </w:rPr>
        <w:t xml:space="preserve"> and </w:t>
      </w:r>
      <w:r w:rsidR="008C79E2">
        <w:rPr>
          <w:snapToGrid/>
        </w:rPr>
        <w:t>VTAC</w:t>
      </w:r>
      <w:r w:rsidR="00F1189C">
        <w:rPr>
          <w:snapToGrid/>
        </w:rPr>
        <w:t>1</w:t>
      </w:r>
      <w:r w:rsidR="008C79E2">
        <w:rPr>
          <w:snapToGrid/>
        </w:rPr>
        <w:t xml:space="preserve">2 </w:t>
      </w:r>
      <w:r w:rsidR="00EA7C9F">
        <w:rPr>
          <w:snapToGrid/>
        </w:rPr>
        <w:t>is currently unavailable for licensing in either location.</w:t>
      </w:r>
    </w:p>
    <w:p w:rsidR="00DE2FB5" w:rsidRPr="008C79E2" w:rsidRDefault="00646A40" w:rsidP="008C79E2">
      <w:pPr>
        <w:pStyle w:val="ParaNum"/>
      </w:pPr>
      <w:r>
        <w:t>Section 1.3 of the Commission’s rules authorizes waiver of Commission rule</w:t>
      </w:r>
      <w:r w:rsidR="002E17EF">
        <w:t>s</w:t>
      </w:r>
      <w:r>
        <w:t xml:space="preserve"> for good cause shown.</w:t>
      </w:r>
      <w:r>
        <w:rPr>
          <w:rStyle w:val="FootnoteReference"/>
        </w:rPr>
        <w:footnoteReference w:id="8"/>
      </w:r>
      <w:r>
        <w:t xml:space="preserve">  We find that good cause exists for a temporary waiver of the restriction on public safety use of </w:t>
      </w:r>
      <w:r w:rsidRPr="00BE2748">
        <w:rPr>
          <w:szCs w:val="22"/>
        </w:rPr>
        <w:t>VTAC</w:t>
      </w:r>
      <w:r w:rsidR="00F1189C">
        <w:rPr>
          <w:szCs w:val="22"/>
        </w:rPr>
        <w:t>1</w:t>
      </w:r>
      <w:r w:rsidRPr="00BE2748">
        <w:rPr>
          <w:szCs w:val="22"/>
        </w:rPr>
        <w:t>1 and VTAC</w:t>
      </w:r>
      <w:r w:rsidR="00F1189C">
        <w:rPr>
          <w:szCs w:val="22"/>
        </w:rPr>
        <w:t>1</w:t>
      </w:r>
      <w:r w:rsidRPr="00BE2748">
        <w:rPr>
          <w:szCs w:val="22"/>
        </w:rPr>
        <w:t>2 in Puerto Rico</w:t>
      </w:r>
      <w:r w:rsidR="00696246" w:rsidRPr="00BE2748">
        <w:rPr>
          <w:szCs w:val="22"/>
        </w:rPr>
        <w:t xml:space="preserve"> and the USVI</w:t>
      </w:r>
      <w:r w:rsidRPr="00BE2748">
        <w:rPr>
          <w:szCs w:val="22"/>
        </w:rPr>
        <w:t xml:space="preserve">. </w:t>
      </w:r>
      <w:r w:rsidR="00572F6A" w:rsidRPr="00BE2748">
        <w:rPr>
          <w:szCs w:val="22"/>
        </w:rPr>
        <w:t xml:space="preserve"> </w:t>
      </w:r>
      <w:r w:rsidR="00224711">
        <w:rPr>
          <w:szCs w:val="22"/>
        </w:rPr>
        <w:t xml:space="preserve">First, the combined impact of Hurricanes Irma and Maria has resulted in </w:t>
      </w:r>
      <w:r w:rsidR="007B7CA8" w:rsidRPr="00BE2748">
        <w:rPr>
          <w:snapToGrid/>
          <w:kern w:val="0"/>
          <w:szCs w:val="22"/>
        </w:rPr>
        <w:t xml:space="preserve">massive damage </w:t>
      </w:r>
      <w:r w:rsidR="00F760F6">
        <w:rPr>
          <w:snapToGrid/>
          <w:kern w:val="0"/>
          <w:szCs w:val="22"/>
        </w:rPr>
        <w:t xml:space="preserve">and communications outages in </w:t>
      </w:r>
      <w:r w:rsidR="007B7CA8" w:rsidRPr="00BE2748">
        <w:rPr>
          <w:snapToGrid/>
          <w:kern w:val="0"/>
          <w:szCs w:val="22"/>
        </w:rPr>
        <w:t xml:space="preserve">both </w:t>
      </w:r>
      <w:r w:rsidR="00F760F6">
        <w:rPr>
          <w:snapToGrid/>
          <w:kern w:val="0"/>
          <w:szCs w:val="22"/>
        </w:rPr>
        <w:t>locations</w:t>
      </w:r>
      <w:r w:rsidR="00402212">
        <w:rPr>
          <w:snapToGrid/>
          <w:kern w:val="0"/>
          <w:szCs w:val="22"/>
        </w:rPr>
        <w:t>.</w:t>
      </w:r>
      <w:r w:rsidR="00696246" w:rsidRPr="007B7CA8">
        <w:rPr>
          <w:rStyle w:val="FootnoteReference"/>
          <w:snapToGrid/>
          <w:kern w:val="0"/>
          <w:sz w:val="22"/>
          <w:szCs w:val="22"/>
        </w:rPr>
        <w:footnoteReference w:id="9"/>
      </w:r>
      <w:r w:rsidR="007B7CA8" w:rsidRPr="00BE2748">
        <w:rPr>
          <w:snapToGrid/>
          <w:kern w:val="0"/>
          <w:szCs w:val="22"/>
        </w:rPr>
        <w:t xml:space="preserve">  </w:t>
      </w:r>
      <w:r w:rsidR="00572F6A" w:rsidRPr="00BE2748">
        <w:rPr>
          <w:szCs w:val="22"/>
        </w:rPr>
        <w:t xml:space="preserve">Second, </w:t>
      </w:r>
      <w:r w:rsidR="00402212">
        <w:rPr>
          <w:szCs w:val="22"/>
        </w:rPr>
        <w:t>in response to Hurricanes Harvey, Irma</w:t>
      </w:r>
      <w:r w:rsidR="00224711">
        <w:rPr>
          <w:szCs w:val="22"/>
        </w:rPr>
        <w:t>,</w:t>
      </w:r>
      <w:r w:rsidR="00402212">
        <w:rPr>
          <w:szCs w:val="22"/>
        </w:rPr>
        <w:t xml:space="preserve"> and Maria, </w:t>
      </w:r>
      <w:r w:rsidR="00DE2FB5" w:rsidRPr="00BE2748">
        <w:rPr>
          <w:szCs w:val="22"/>
        </w:rPr>
        <w:t xml:space="preserve">the Commission </w:t>
      </w:r>
      <w:r w:rsidR="00F760F6">
        <w:rPr>
          <w:szCs w:val="22"/>
        </w:rPr>
        <w:t xml:space="preserve">has </w:t>
      </w:r>
      <w:r w:rsidR="00DE2FB5" w:rsidRPr="00BE2748">
        <w:rPr>
          <w:szCs w:val="22"/>
        </w:rPr>
        <w:t xml:space="preserve">issued </w:t>
      </w:r>
      <w:r w:rsidR="00B57B79">
        <w:rPr>
          <w:szCs w:val="22"/>
        </w:rPr>
        <w:t>Special Temporary Authorizations (</w:t>
      </w:r>
      <w:r w:rsidR="00DE2FB5" w:rsidRPr="00BE2748">
        <w:rPr>
          <w:snapToGrid/>
          <w:kern w:val="0"/>
          <w:szCs w:val="22"/>
        </w:rPr>
        <w:t>STAs</w:t>
      </w:r>
      <w:r w:rsidR="00B57B79">
        <w:rPr>
          <w:snapToGrid/>
          <w:kern w:val="0"/>
          <w:szCs w:val="22"/>
        </w:rPr>
        <w:t>)</w:t>
      </w:r>
      <w:r w:rsidR="00DE2FB5" w:rsidRPr="00BE2748">
        <w:rPr>
          <w:snapToGrid/>
          <w:kern w:val="0"/>
          <w:szCs w:val="22"/>
        </w:rPr>
        <w:t xml:space="preserve"> granting authority for out-of-area first responders</w:t>
      </w:r>
      <w:r w:rsidR="00D579AE">
        <w:rPr>
          <w:snapToGrid/>
          <w:kern w:val="0"/>
          <w:szCs w:val="22"/>
        </w:rPr>
        <w:t>, during re</w:t>
      </w:r>
      <w:r w:rsidR="002D700B">
        <w:rPr>
          <w:snapToGrid/>
          <w:kern w:val="0"/>
          <w:szCs w:val="22"/>
        </w:rPr>
        <w:t xml:space="preserve">covery </w:t>
      </w:r>
      <w:r w:rsidR="00D579AE">
        <w:rPr>
          <w:snapToGrid/>
          <w:kern w:val="0"/>
          <w:szCs w:val="22"/>
        </w:rPr>
        <w:t xml:space="preserve">operations, </w:t>
      </w:r>
      <w:r w:rsidR="00DE2FB5" w:rsidRPr="00BE2748">
        <w:rPr>
          <w:snapToGrid/>
          <w:kern w:val="0"/>
          <w:szCs w:val="22"/>
        </w:rPr>
        <w:t>to use land</w:t>
      </w:r>
      <w:r w:rsidR="007B7CA8" w:rsidRPr="00BE2748">
        <w:rPr>
          <w:snapToGrid/>
          <w:kern w:val="0"/>
          <w:szCs w:val="22"/>
        </w:rPr>
        <w:t xml:space="preserve"> </w:t>
      </w:r>
      <w:r w:rsidR="00DE2FB5" w:rsidRPr="00BE2748">
        <w:rPr>
          <w:snapToGrid/>
          <w:kern w:val="0"/>
          <w:szCs w:val="22"/>
        </w:rPr>
        <w:t xml:space="preserve">mobile radios licensed </w:t>
      </w:r>
      <w:r w:rsidR="002D700B">
        <w:rPr>
          <w:snapToGrid/>
          <w:kern w:val="0"/>
          <w:szCs w:val="22"/>
        </w:rPr>
        <w:t>to</w:t>
      </w:r>
      <w:r w:rsidR="00DE2FB5" w:rsidRPr="00BE2748">
        <w:rPr>
          <w:snapToGrid/>
          <w:kern w:val="0"/>
          <w:szCs w:val="22"/>
        </w:rPr>
        <w:t xml:space="preserve"> their home areas</w:t>
      </w:r>
      <w:r w:rsidR="00D579AE">
        <w:rPr>
          <w:snapToGrid/>
          <w:kern w:val="0"/>
          <w:szCs w:val="22"/>
        </w:rPr>
        <w:t>.</w:t>
      </w:r>
      <w:r w:rsidR="00696246">
        <w:rPr>
          <w:rStyle w:val="FootnoteReference"/>
          <w:snapToGrid/>
          <w:kern w:val="0"/>
          <w:szCs w:val="22"/>
        </w:rPr>
        <w:footnoteReference w:id="10"/>
      </w:r>
      <w:r w:rsidR="00DE2FB5" w:rsidRPr="00BE2748">
        <w:rPr>
          <w:snapToGrid/>
          <w:kern w:val="0"/>
          <w:szCs w:val="22"/>
        </w:rPr>
        <w:t xml:space="preserve">  Third, </w:t>
      </w:r>
      <w:r w:rsidR="0099008D">
        <w:rPr>
          <w:snapToGrid/>
          <w:kern w:val="0"/>
          <w:szCs w:val="22"/>
        </w:rPr>
        <w:t>w</w:t>
      </w:r>
      <w:r w:rsidR="00402212">
        <w:rPr>
          <w:snapToGrid/>
          <w:kern w:val="0"/>
          <w:szCs w:val="22"/>
        </w:rPr>
        <w:t xml:space="preserve">e anticipate </w:t>
      </w:r>
      <w:r w:rsidR="002E17EF">
        <w:rPr>
          <w:snapToGrid/>
          <w:kern w:val="0"/>
          <w:szCs w:val="22"/>
        </w:rPr>
        <w:t xml:space="preserve">that </w:t>
      </w:r>
      <w:r w:rsidR="00402212">
        <w:rPr>
          <w:snapToGrid/>
          <w:kern w:val="0"/>
          <w:szCs w:val="22"/>
        </w:rPr>
        <w:t>additional out-of-area first responders</w:t>
      </w:r>
      <w:r w:rsidR="00D579AE">
        <w:rPr>
          <w:snapToGrid/>
          <w:kern w:val="0"/>
          <w:szCs w:val="22"/>
        </w:rPr>
        <w:t xml:space="preserve"> </w:t>
      </w:r>
      <w:r w:rsidR="0099008D">
        <w:rPr>
          <w:snapToGrid/>
          <w:kern w:val="0"/>
          <w:szCs w:val="22"/>
        </w:rPr>
        <w:t xml:space="preserve">will </w:t>
      </w:r>
      <w:r w:rsidR="00F760F6">
        <w:rPr>
          <w:snapToGrid/>
          <w:kern w:val="0"/>
          <w:szCs w:val="22"/>
        </w:rPr>
        <w:t xml:space="preserve">deploy </w:t>
      </w:r>
      <w:r w:rsidR="002E17EF">
        <w:rPr>
          <w:snapToGrid/>
          <w:kern w:val="0"/>
          <w:szCs w:val="22"/>
        </w:rPr>
        <w:t xml:space="preserve">to </w:t>
      </w:r>
      <w:r w:rsidR="002E17EF" w:rsidRPr="00BE2748">
        <w:rPr>
          <w:snapToGrid/>
          <w:kern w:val="0"/>
          <w:szCs w:val="22"/>
        </w:rPr>
        <w:t>Puerto Rico and the U</w:t>
      </w:r>
      <w:r w:rsidR="002E17EF">
        <w:rPr>
          <w:snapToGrid/>
          <w:kern w:val="0"/>
          <w:szCs w:val="22"/>
        </w:rPr>
        <w:t xml:space="preserve">SVI </w:t>
      </w:r>
      <w:r w:rsidR="00F760F6">
        <w:rPr>
          <w:snapToGrid/>
          <w:kern w:val="0"/>
          <w:szCs w:val="22"/>
        </w:rPr>
        <w:t>with radios equipped with the VHF interoperability channels</w:t>
      </w:r>
      <w:r w:rsidR="00402212">
        <w:rPr>
          <w:snapToGrid/>
          <w:kern w:val="0"/>
          <w:szCs w:val="22"/>
        </w:rPr>
        <w:t>.  W</w:t>
      </w:r>
      <w:r w:rsidR="00DE2FB5" w:rsidRPr="00BE2748">
        <w:rPr>
          <w:snapToGrid/>
          <w:kern w:val="0"/>
          <w:szCs w:val="22"/>
        </w:rPr>
        <w:t xml:space="preserve">aiving the restriction against public safety use of </w:t>
      </w:r>
      <w:r w:rsidR="00402212">
        <w:rPr>
          <w:snapToGrid/>
          <w:kern w:val="0"/>
          <w:szCs w:val="22"/>
        </w:rPr>
        <w:t>VTAC1</w:t>
      </w:r>
      <w:r w:rsidR="002D700B">
        <w:rPr>
          <w:snapToGrid/>
          <w:kern w:val="0"/>
          <w:szCs w:val="22"/>
        </w:rPr>
        <w:t>1</w:t>
      </w:r>
      <w:r w:rsidR="00402212">
        <w:rPr>
          <w:snapToGrid/>
          <w:kern w:val="0"/>
          <w:szCs w:val="22"/>
        </w:rPr>
        <w:t xml:space="preserve"> and VTAC</w:t>
      </w:r>
      <w:r w:rsidR="002D700B">
        <w:rPr>
          <w:snapToGrid/>
          <w:kern w:val="0"/>
          <w:szCs w:val="22"/>
        </w:rPr>
        <w:t>1</w:t>
      </w:r>
      <w:r w:rsidR="00402212">
        <w:rPr>
          <w:snapToGrid/>
          <w:kern w:val="0"/>
          <w:szCs w:val="22"/>
        </w:rPr>
        <w:t>2</w:t>
      </w:r>
      <w:r w:rsidR="00DE2FB5" w:rsidRPr="00BE2748">
        <w:rPr>
          <w:snapToGrid/>
          <w:kern w:val="0"/>
          <w:szCs w:val="22"/>
        </w:rPr>
        <w:t xml:space="preserve"> will </w:t>
      </w:r>
      <w:r w:rsidR="00F760F6">
        <w:rPr>
          <w:snapToGrid/>
          <w:kern w:val="0"/>
          <w:szCs w:val="22"/>
        </w:rPr>
        <w:t xml:space="preserve">make all five interoperability channels available for use and </w:t>
      </w:r>
      <w:r w:rsidR="00D579AE">
        <w:rPr>
          <w:snapToGrid/>
          <w:kern w:val="0"/>
          <w:szCs w:val="22"/>
        </w:rPr>
        <w:t xml:space="preserve">obviate the need for </w:t>
      </w:r>
      <w:r w:rsidR="00F760F6">
        <w:rPr>
          <w:snapToGrid/>
          <w:kern w:val="0"/>
          <w:szCs w:val="22"/>
        </w:rPr>
        <w:t xml:space="preserve">these </w:t>
      </w:r>
      <w:r w:rsidR="00DE2FB5" w:rsidRPr="00BE2748">
        <w:rPr>
          <w:snapToGrid/>
          <w:kern w:val="0"/>
          <w:szCs w:val="22"/>
        </w:rPr>
        <w:t>out-of-</w:t>
      </w:r>
      <w:r w:rsidR="00F760F6">
        <w:rPr>
          <w:snapToGrid/>
          <w:kern w:val="0"/>
          <w:szCs w:val="22"/>
        </w:rPr>
        <w:t>area</w:t>
      </w:r>
      <w:r w:rsidR="00D579AE">
        <w:rPr>
          <w:snapToGrid/>
          <w:kern w:val="0"/>
          <w:szCs w:val="22"/>
        </w:rPr>
        <w:t xml:space="preserve"> </w:t>
      </w:r>
      <w:r w:rsidR="00DE2FB5" w:rsidRPr="00BE2748">
        <w:rPr>
          <w:snapToGrid/>
          <w:kern w:val="0"/>
          <w:szCs w:val="22"/>
        </w:rPr>
        <w:t xml:space="preserve">first responders </w:t>
      </w:r>
      <w:r w:rsidR="00D579AE">
        <w:rPr>
          <w:snapToGrid/>
          <w:kern w:val="0"/>
          <w:szCs w:val="22"/>
        </w:rPr>
        <w:t xml:space="preserve">to obtain individual STAs </w:t>
      </w:r>
      <w:r w:rsidR="00DE2FB5" w:rsidRPr="00BE2748">
        <w:rPr>
          <w:snapToGrid/>
          <w:kern w:val="0"/>
          <w:szCs w:val="22"/>
        </w:rPr>
        <w:t>to operat</w:t>
      </w:r>
      <w:r w:rsidR="00696246" w:rsidRPr="00BE2748">
        <w:rPr>
          <w:snapToGrid/>
          <w:kern w:val="0"/>
          <w:szCs w:val="22"/>
        </w:rPr>
        <w:t>e mobiles on VTAC</w:t>
      </w:r>
      <w:r w:rsidR="00F1189C">
        <w:rPr>
          <w:snapToGrid/>
          <w:kern w:val="0"/>
          <w:szCs w:val="22"/>
        </w:rPr>
        <w:t>1</w:t>
      </w:r>
      <w:r w:rsidR="00696246" w:rsidRPr="00BE2748">
        <w:rPr>
          <w:snapToGrid/>
          <w:kern w:val="0"/>
          <w:szCs w:val="22"/>
        </w:rPr>
        <w:t>1 and VTAC</w:t>
      </w:r>
      <w:r w:rsidR="00F1189C">
        <w:rPr>
          <w:snapToGrid/>
          <w:kern w:val="0"/>
          <w:szCs w:val="22"/>
        </w:rPr>
        <w:t>1</w:t>
      </w:r>
      <w:r w:rsidR="00696246" w:rsidRPr="00BE2748">
        <w:rPr>
          <w:snapToGrid/>
          <w:kern w:val="0"/>
          <w:szCs w:val="22"/>
        </w:rPr>
        <w:t>2</w:t>
      </w:r>
      <w:r w:rsidR="00F760F6">
        <w:rPr>
          <w:snapToGrid/>
          <w:kern w:val="0"/>
          <w:szCs w:val="22"/>
        </w:rPr>
        <w:t xml:space="preserve">.  This will save </w:t>
      </w:r>
      <w:r w:rsidR="00DE2FB5" w:rsidRPr="00BE2748">
        <w:rPr>
          <w:snapToGrid/>
          <w:kern w:val="0"/>
          <w:szCs w:val="22"/>
        </w:rPr>
        <w:t>valuable time in deploying assets</w:t>
      </w:r>
      <w:r w:rsidR="007B7CA8" w:rsidRPr="00BE2748">
        <w:rPr>
          <w:snapToGrid/>
          <w:kern w:val="0"/>
          <w:szCs w:val="22"/>
        </w:rPr>
        <w:t xml:space="preserve"> as well as increas</w:t>
      </w:r>
      <w:r w:rsidR="00F760F6">
        <w:rPr>
          <w:snapToGrid/>
          <w:kern w:val="0"/>
          <w:szCs w:val="22"/>
        </w:rPr>
        <w:t>e</w:t>
      </w:r>
      <w:r w:rsidR="007B7CA8" w:rsidRPr="00BE2748">
        <w:rPr>
          <w:snapToGrid/>
          <w:kern w:val="0"/>
          <w:szCs w:val="22"/>
        </w:rPr>
        <w:t xml:space="preserve"> the capacity for interoperable communications traffic</w:t>
      </w:r>
      <w:r w:rsidR="0099008D">
        <w:rPr>
          <w:snapToGrid/>
          <w:kern w:val="0"/>
          <w:szCs w:val="22"/>
        </w:rPr>
        <w:t xml:space="preserve"> </w:t>
      </w:r>
      <w:r w:rsidR="00F760F6">
        <w:rPr>
          <w:snapToGrid/>
          <w:kern w:val="0"/>
          <w:szCs w:val="22"/>
        </w:rPr>
        <w:t xml:space="preserve">among first responders assisting in recovery efforts.  </w:t>
      </w:r>
    </w:p>
    <w:p w:rsidR="00A819E2" w:rsidRPr="00A819E2" w:rsidRDefault="00A819E2" w:rsidP="00F760F6">
      <w:pPr>
        <w:pStyle w:val="ParaNum"/>
        <w:rPr>
          <w:rFonts w:eastAsiaTheme="minorHAnsi"/>
        </w:rPr>
      </w:pPr>
      <w:r>
        <w:rPr>
          <w:snapToGrid/>
        </w:rPr>
        <w:t xml:space="preserve">Our </w:t>
      </w:r>
      <w:r w:rsidR="001F6F35">
        <w:rPr>
          <w:snapToGrid/>
        </w:rPr>
        <w:t xml:space="preserve">licensing records indicate that </w:t>
      </w:r>
      <w:r>
        <w:rPr>
          <w:snapToGrid/>
        </w:rPr>
        <w:t>one business licensee</w:t>
      </w:r>
      <w:r w:rsidR="00696246" w:rsidRPr="00696246">
        <w:rPr>
          <w:snapToGrid/>
        </w:rPr>
        <w:t xml:space="preserve">, </w:t>
      </w:r>
      <w:r w:rsidR="00696246" w:rsidRPr="00696246">
        <w:t>Amgen Manufacturing</w:t>
      </w:r>
      <w:r w:rsidR="00370C4E">
        <w:t xml:space="preserve"> (Amgen)</w:t>
      </w:r>
      <w:r w:rsidR="00696246" w:rsidRPr="00696246">
        <w:t>,</w:t>
      </w:r>
      <w:r w:rsidRPr="00696246">
        <w:rPr>
          <w:snapToGrid/>
        </w:rPr>
        <w:t xml:space="preserve"> is licensed to operate in Puerto R</w:t>
      </w:r>
      <w:r w:rsidR="007073FD" w:rsidRPr="00696246">
        <w:rPr>
          <w:snapToGrid/>
        </w:rPr>
        <w:t xml:space="preserve">ico on </w:t>
      </w:r>
      <w:r w:rsidR="00696246">
        <w:rPr>
          <w:snapToGrid/>
        </w:rPr>
        <w:t>VTAC</w:t>
      </w:r>
      <w:r w:rsidR="00F1189C">
        <w:rPr>
          <w:snapToGrid/>
        </w:rPr>
        <w:t>1</w:t>
      </w:r>
      <w:r w:rsidR="00696246">
        <w:rPr>
          <w:snapToGrid/>
        </w:rPr>
        <w:t>1</w:t>
      </w:r>
      <w:r w:rsidR="007073FD" w:rsidRPr="00696246">
        <w:rPr>
          <w:snapToGrid/>
        </w:rPr>
        <w:t xml:space="preserve"> </w:t>
      </w:r>
      <w:r w:rsidR="00696246">
        <w:rPr>
          <w:snapToGrid/>
        </w:rPr>
        <w:t xml:space="preserve">under call sign </w:t>
      </w:r>
      <w:r w:rsidR="00696246" w:rsidRPr="00696246">
        <w:t>WQVK951</w:t>
      </w:r>
      <w:r w:rsidR="000E4F69">
        <w:t xml:space="preserve">.  </w:t>
      </w:r>
      <w:r w:rsidR="002E17EF" w:rsidRPr="002E17EF">
        <w:rPr>
          <w:snapToGrid/>
          <w:kern w:val="0"/>
          <w:szCs w:val="22"/>
        </w:rPr>
        <w:t xml:space="preserve">Amgen has concurred in the </w:t>
      </w:r>
      <w:r w:rsidR="002E17EF">
        <w:rPr>
          <w:snapToGrid/>
          <w:kern w:val="0"/>
          <w:szCs w:val="22"/>
        </w:rPr>
        <w:t xml:space="preserve">proposed </w:t>
      </w:r>
      <w:r w:rsidR="002E17EF" w:rsidRPr="002E17EF">
        <w:rPr>
          <w:snapToGrid/>
          <w:kern w:val="0"/>
          <w:szCs w:val="22"/>
        </w:rPr>
        <w:t>use of VTAC11 for first responder interoperability.</w:t>
      </w:r>
      <w:r w:rsidR="002E17EF" w:rsidRPr="002E17EF">
        <w:rPr>
          <w:rStyle w:val="FootnoteReference"/>
          <w:snapToGrid/>
          <w:kern w:val="0"/>
          <w:szCs w:val="22"/>
        </w:rPr>
        <w:footnoteReference w:id="11"/>
      </w:r>
      <w:r w:rsidR="002E17EF" w:rsidRPr="002E17EF">
        <w:rPr>
          <w:snapToGrid/>
          <w:kern w:val="0"/>
          <w:szCs w:val="22"/>
        </w:rPr>
        <w:t xml:space="preserve"> </w:t>
      </w:r>
      <w:r w:rsidR="002E17EF">
        <w:rPr>
          <w:snapToGrid/>
          <w:kern w:val="0"/>
          <w:szCs w:val="22"/>
        </w:rPr>
        <w:t xml:space="preserve"> </w:t>
      </w:r>
      <w:r w:rsidR="00402212">
        <w:t>VTAC</w:t>
      </w:r>
      <w:r w:rsidR="00F1189C">
        <w:t>11</w:t>
      </w:r>
      <w:r w:rsidR="00402212">
        <w:t xml:space="preserve"> </w:t>
      </w:r>
      <w:r w:rsidR="002E17EF">
        <w:t xml:space="preserve">is not </w:t>
      </w:r>
      <w:r w:rsidR="00402212">
        <w:t>licensed in the USVI</w:t>
      </w:r>
      <w:r w:rsidR="00F760F6">
        <w:t xml:space="preserve">, and </w:t>
      </w:r>
      <w:r w:rsidR="00351F0C" w:rsidRPr="00F20F1A">
        <w:t xml:space="preserve">VTAC12 </w:t>
      </w:r>
      <w:r w:rsidR="00F760F6">
        <w:t xml:space="preserve">is not licensed </w:t>
      </w:r>
      <w:r w:rsidR="00351F0C" w:rsidRPr="00351F0C">
        <w:t xml:space="preserve">in </w:t>
      </w:r>
      <w:r w:rsidR="00F760F6">
        <w:t xml:space="preserve">either </w:t>
      </w:r>
      <w:r w:rsidR="00351F0C" w:rsidRPr="00351F0C">
        <w:t xml:space="preserve">Puerto Rico </w:t>
      </w:r>
      <w:r w:rsidR="00F760F6">
        <w:t xml:space="preserve">or </w:t>
      </w:r>
      <w:r w:rsidR="00351F0C" w:rsidRPr="00F20F1A">
        <w:t>the USVI.</w:t>
      </w:r>
      <w:r w:rsidR="00351F0C" w:rsidRPr="00EC42E7">
        <w:rPr>
          <w:rStyle w:val="FootnoteReference"/>
          <w:sz w:val="22"/>
          <w:szCs w:val="22"/>
        </w:rPr>
        <w:footnoteReference w:id="12"/>
      </w:r>
      <w:r w:rsidR="00351F0C" w:rsidRPr="00F20F1A">
        <w:t xml:space="preserve">  </w:t>
      </w:r>
      <w:r w:rsidR="007073FD" w:rsidRPr="00EC42E7">
        <w:rPr>
          <w:snapToGrid/>
        </w:rPr>
        <w:t>Thus</w:t>
      </w:r>
      <w:r w:rsidRPr="00EC42E7">
        <w:rPr>
          <w:snapToGrid/>
        </w:rPr>
        <w:t xml:space="preserve">, we conclude that these channels represent a viable </w:t>
      </w:r>
      <w:r w:rsidR="007B7CA8" w:rsidRPr="00EC42E7">
        <w:rPr>
          <w:snapToGrid/>
        </w:rPr>
        <w:t>option for increasing interoperable communications</w:t>
      </w:r>
      <w:r w:rsidR="007B7CA8">
        <w:rPr>
          <w:snapToGrid/>
        </w:rPr>
        <w:t xml:space="preserve"> capacity</w:t>
      </w:r>
      <w:r w:rsidRPr="00A819E2">
        <w:rPr>
          <w:snapToGrid/>
        </w:rPr>
        <w:t xml:space="preserve"> </w:t>
      </w:r>
      <w:r w:rsidR="007073FD">
        <w:rPr>
          <w:snapToGrid/>
        </w:rPr>
        <w:t>in Puerto Rico and the USVI</w:t>
      </w:r>
      <w:r w:rsidRPr="00A819E2">
        <w:rPr>
          <w:snapToGrid/>
        </w:rPr>
        <w:t>.</w:t>
      </w:r>
      <w:r w:rsidR="000E4F69" w:rsidRPr="000E4F69">
        <w:t xml:space="preserve"> </w:t>
      </w:r>
      <w:r w:rsidR="000E4F69">
        <w:t xml:space="preserve"> We will also take the following steps to protect against the risk of interference </w:t>
      </w:r>
      <w:r w:rsidR="00A97BB8">
        <w:t xml:space="preserve">between </w:t>
      </w:r>
      <w:r w:rsidR="000E4F69">
        <w:t>Amgen</w:t>
      </w:r>
      <w:r w:rsidR="00A97BB8">
        <w:t xml:space="preserve"> and public safety users of VTAC11</w:t>
      </w:r>
      <w:r w:rsidR="000E4F69">
        <w:t xml:space="preserve">. </w:t>
      </w:r>
    </w:p>
    <w:p w:rsidR="00A819E2" w:rsidRPr="002E17EF" w:rsidRDefault="00796C8B" w:rsidP="00A819E2">
      <w:pPr>
        <w:pStyle w:val="ParaNum"/>
        <w:rPr>
          <w:rFonts w:eastAsiaTheme="minorHAnsi"/>
          <w:szCs w:val="22"/>
        </w:rPr>
      </w:pPr>
      <w:r>
        <w:rPr>
          <w:snapToGrid/>
          <w:kern w:val="0"/>
          <w:szCs w:val="22"/>
        </w:rPr>
        <w:t xml:space="preserve">We grant a waiver for </w:t>
      </w:r>
      <w:r w:rsidR="007073FD">
        <w:rPr>
          <w:snapToGrid/>
          <w:kern w:val="0"/>
          <w:szCs w:val="22"/>
        </w:rPr>
        <w:t>60</w:t>
      </w:r>
      <w:r>
        <w:rPr>
          <w:snapToGrid/>
          <w:kern w:val="0"/>
          <w:szCs w:val="22"/>
        </w:rPr>
        <w:t xml:space="preserve"> </w:t>
      </w:r>
      <w:r w:rsidR="007073FD">
        <w:rPr>
          <w:snapToGrid/>
          <w:kern w:val="0"/>
          <w:szCs w:val="22"/>
        </w:rPr>
        <w:t>day</w:t>
      </w:r>
      <w:r>
        <w:rPr>
          <w:snapToGrid/>
          <w:kern w:val="0"/>
          <w:szCs w:val="22"/>
        </w:rPr>
        <w:t xml:space="preserve">s </w:t>
      </w:r>
      <w:r w:rsidR="007073FD">
        <w:rPr>
          <w:snapToGrid/>
          <w:kern w:val="0"/>
          <w:szCs w:val="22"/>
        </w:rPr>
        <w:t>from the date of this Order</w:t>
      </w:r>
      <w:r w:rsidR="00A819E2" w:rsidRPr="00A819E2">
        <w:rPr>
          <w:snapToGrid/>
          <w:kern w:val="0"/>
          <w:szCs w:val="22"/>
        </w:rPr>
        <w:t xml:space="preserve"> </w:t>
      </w:r>
      <w:r w:rsidR="002E17EF">
        <w:rPr>
          <w:snapToGrid/>
          <w:kern w:val="0"/>
          <w:szCs w:val="22"/>
        </w:rPr>
        <w:t xml:space="preserve">authorizing </w:t>
      </w:r>
      <w:r w:rsidR="007073FD">
        <w:rPr>
          <w:snapToGrid/>
          <w:kern w:val="0"/>
          <w:szCs w:val="22"/>
        </w:rPr>
        <w:t>mobile use of VTAC</w:t>
      </w:r>
      <w:r w:rsidR="00F1189C">
        <w:rPr>
          <w:snapToGrid/>
          <w:kern w:val="0"/>
          <w:szCs w:val="22"/>
        </w:rPr>
        <w:t>1</w:t>
      </w:r>
      <w:r w:rsidR="007073FD">
        <w:rPr>
          <w:snapToGrid/>
          <w:kern w:val="0"/>
          <w:szCs w:val="22"/>
        </w:rPr>
        <w:t>1 and VTAC</w:t>
      </w:r>
      <w:r w:rsidR="00F1189C">
        <w:rPr>
          <w:snapToGrid/>
          <w:kern w:val="0"/>
          <w:szCs w:val="22"/>
        </w:rPr>
        <w:t>1</w:t>
      </w:r>
      <w:r w:rsidR="007073FD">
        <w:rPr>
          <w:snapToGrid/>
          <w:kern w:val="0"/>
          <w:szCs w:val="22"/>
        </w:rPr>
        <w:t xml:space="preserve">2 by public safety eligibles </w:t>
      </w:r>
      <w:r w:rsidR="002E17EF">
        <w:rPr>
          <w:snapToGrid/>
          <w:kern w:val="0"/>
          <w:szCs w:val="22"/>
        </w:rPr>
        <w:t xml:space="preserve">on </w:t>
      </w:r>
      <w:r w:rsidR="007073FD">
        <w:rPr>
          <w:snapToGrid/>
          <w:kern w:val="0"/>
          <w:szCs w:val="22"/>
        </w:rPr>
        <w:t xml:space="preserve">a blanket licensing </w:t>
      </w:r>
      <w:r w:rsidR="002E17EF">
        <w:rPr>
          <w:snapToGrid/>
          <w:kern w:val="0"/>
          <w:szCs w:val="22"/>
        </w:rPr>
        <w:t xml:space="preserve">basis </w:t>
      </w:r>
      <w:r w:rsidR="00BE2748">
        <w:rPr>
          <w:snapToGrid/>
          <w:kern w:val="0"/>
          <w:szCs w:val="22"/>
        </w:rPr>
        <w:t>in Puerto Rico and the USVI</w:t>
      </w:r>
      <w:r w:rsidR="007073FD">
        <w:rPr>
          <w:snapToGrid/>
          <w:kern w:val="0"/>
          <w:szCs w:val="22"/>
        </w:rPr>
        <w:t xml:space="preserve">. </w:t>
      </w:r>
      <w:r w:rsidR="002D700B">
        <w:rPr>
          <w:snapToGrid/>
          <w:kern w:val="0"/>
          <w:szCs w:val="22"/>
        </w:rPr>
        <w:t xml:space="preserve"> </w:t>
      </w:r>
      <w:r w:rsidR="00A97BB8">
        <w:rPr>
          <w:snapToGrid/>
          <w:kern w:val="0"/>
          <w:szCs w:val="22"/>
        </w:rPr>
        <w:t xml:space="preserve">To avoid potential interference on </w:t>
      </w:r>
      <w:r w:rsidR="00D579AE">
        <w:rPr>
          <w:snapToGrid/>
          <w:kern w:val="0"/>
          <w:szCs w:val="22"/>
        </w:rPr>
        <w:t>VTAC</w:t>
      </w:r>
      <w:r w:rsidR="00F1189C">
        <w:rPr>
          <w:snapToGrid/>
          <w:kern w:val="0"/>
          <w:szCs w:val="22"/>
        </w:rPr>
        <w:t>1</w:t>
      </w:r>
      <w:r w:rsidR="00A2341C">
        <w:rPr>
          <w:snapToGrid/>
          <w:kern w:val="0"/>
          <w:szCs w:val="22"/>
        </w:rPr>
        <w:t>1</w:t>
      </w:r>
      <w:r w:rsidR="00A97BB8">
        <w:rPr>
          <w:snapToGrid/>
          <w:kern w:val="0"/>
          <w:szCs w:val="22"/>
        </w:rPr>
        <w:t>, public safety use of VTAC11</w:t>
      </w:r>
      <w:r w:rsidR="00A2341C">
        <w:rPr>
          <w:snapToGrid/>
          <w:kern w:val="0"/>
          <w:szCs w:val="22"/>
        </w:rPr>
        <w:t xml:space="preserve"> </w:t>
      </w:r>
      <w:r w:rsidR="00A97BB8">
        <w:rPr>
          <w:snapToGrid/>
          <w:kern w:val="0"/>
          <w:szCs w:val="22"/>
        </w:rPr>
        <w:t xml:space="preserve">in Puerto Rico </w:t>
      </w:r>
      <w:r w:rsidR="00A2341C">
        <w:rPr>
          <w:snapToGrid/>
          <w:kern w:val="0"/>
          <w:szCs w:val="22"/>
        </w:rPr>
        <w:t xml:space="preserve">will be </w:t>
      </w:r>
      <w:r w:rsidR="00A2341C">
        <w:rPr>
          <w:snapToGrid/>
          <w:kern w:val="0"/>
          <w:szCs w:val="22"/>
        </w:rPr>
        <w:lastRenderedPageBreak/>
        <w:t xml:space="preserve">on a co-primary basis </w:t>
      </w:r>
      <w:r w:rsidR="00A97BB8">
        <w:rPr>
          <w:snapToGrid/>
          <w:kern w:val="0"/>
          <w:szCs w:val="22"/>
        </w:rPr>
        <w:t xml:space="preserve">with </w:t>
      </w:r>
      <w:r w:rsidR="00A2341C">
        <w:rPr>
          <w:snapToGrid/>
          <w:kern w:val="0"/>
          <w:szCs w:val="22"/>
        </w:rPr>
        <w:t>Amgen</w:t>
      </w:r>
      <w:r w:rsidR="00A97BB8">
        <w:rPr>
          <w:snapToGrid/>
          <w:kern w:val="0"/>
          <w:szCs w:val="22"/>
        </w:rPr>
        <w:t xml:space="preserve">, and both </w:t>
      </w:r>
      <w:r w:rsidR="00A2341C">
        <w:rPr>
          <w:snapToGrid/>
          <w:kern w:val="0"/>
          <w:szCs w:val="22"/>
        </w:rPr>
        <w:t xml:space="preserve">public safety </w:t>
      </w:r>
      <w:r w:rsidR="00A97BB8">
        <w:rPr>
          <w:snapToGrid/>
          <w:kern w:val="0"/>
          <w:szCs w:val="22"/>
        </w:rPr>
        <w:t xml:space="preserve">users </w:t>
      </w:r>
      <w:r w:rsidR="00A2341C">
        <w:rPr>
          <w:snapToGrid/>
          <w:kern w:val="0"/>
          <w:szCs w:val="22"/>
        </w:rPr>
        <w:t>and Amgen must follow a listen</w:t>
      </w:r>
      <w:r w:rsidR="000E4F69">
        <w:rPr>
          <w:snapToGrid/>
          <w:kern w:val="0"/>
          <w:szCs w:val="22"/>
        </w:rPr>
        <w:t>-</w:t>
      </w:r>
      <w:r w:rsidR="00A2341C">
        <w:rPr>
          <w:snapToGrid/>
          <w:kern w:val="0"/>
          <w:szCs w:val="22"/>
        </w:rPr>
        <w:t>before</w:t>
      </w:r>
      <w:r w:rsidR="000E4F69">
        <w:rPr>
          <w:snapToGrid/>
          <w:kern w:val="0"/>
          <w:szCs w:val="22"/>
        </w:rPr>
        <w:t>-</w:t>
      </w:r>
      <w:r w:rsidR="00A2341C">
        <w:rPr>
          <w:snapToGrid/>
          <w:kern w:val="0"/>
          <w:szCs w:val="22"/>
        </w:rPr>
        <w:t>transmit protocol.</w:t>
      </w:r>
      <w:r w:rsidR="00ED6CA9">
        <w:rPr>
          <w:rStyle w:val="FootnoteReference"/>
          <w:snapToGrid/>
          <w:kern w:val="0"/>
          <w:szCs w:val="22"/>
        </w:rPr>
        <w:footnoteReference w:id="13"/>
      </w:r>
      <w:r w:rsidR="00A2341C">
        <w:rPr>
          <w:snapToGrid/>
          <w:kern w:val="0"/>
          <w:szCs w:val="22"/>
        </w:rPr>
        <w:t xml:space="preserve"> </w:t>
      </w:r>
      <w:r w:rsidR="002E17EF">
        <w:rPr>
          <w:snapToGrid/>
          <w:kern w:val="0"/>
          <w:szCs w:val="22"/>
        </w:rPr>
        <w:t xml:space="preserve"> </w:t>
      </w:r>
      <w:r w:rsidR="00A2341C" w:rsidRPr="002E17EF">
        <w:rPr>
          <w:snapToGrid/>
          <w:kern w:val="0"/>
          <w:szCs w:val="22"/>
        </w:rPr>
        <w:t xml:space="preserve">We note that Amgen is licensed for </w:t>
      </w:r>
      <w:r w:rsidR="008A489F" w:rsidRPr="002E17EF">
        <w:rPr>
          <w:snapToGrid/>
          <w:kern w:val="0"/>
          <w:szCs w:val="22"/>
        </w:rPr>
        <w:t xml:space="preserve">multiple </w:t>
      </w:r>
      <w:r w:rsidR="00A2341C" w:rsidRPr="002E17EF">
        <w:rPr>
          <w:snapToGrid/>
          <w:kern w:val="0"/>
          <w:szCs w:val="22"/>
        </w:rPr>
        <w:t>channels other than VTAC</w:t>
      </w:r>
      <w:r w:rsidR="0087193B" w:rsidRPr="002E17EF">
        <w:rPr>
          <w:snapToGrid/>
          <w:kern w:val="0"/>
          <w:szCs w:val="22"/>
        </w:rPr>
        <w:t>1</w:t>
      </w:r>
      <w:r w:rsidR="00A2341C" w:rsidRPr="002E17EF">
        <w:rPr>
          <w:snapToGrid/>
          <w:kern w:val="0"/>
          <w:szCs w:val="22"/>
        </w:rPr>
        <w:t xml:space="preserve">1 and </w:t>
      </w:r>
      <w:r w:rsidR="002E17EF">
        <w:rPr>
          <w:snapToGrid/>
          <w:kern w:val="0"/>
          <w:szCs w:val="22"/>
        </w:rPr>
        <w:t xml:space="preserve">we </w:t>
      </w:r>
      <w:r w:rsidR="00A2341C" w:rsidRPr="002E17EF">
        <w:rPr>
          <w:snapToGrid/>
          <w:kern w:val="0"/>
          <w:szCs w:val="22"/>
        </w:rPr>
        <w:t xml:space="preserve">encourage Amgen, to the extent consistent with </w:t>
      </w:r>
      <w:r w:rsidR="00A97BB8" w:rsidRPr="002E17EF">
        <w:rPr>
          <w:snapToGrid/>
          <w:kern w:val="0"/>
          <w:szCs w:val="22"/>
        </w:rPr>
        <w:t xml:space="preserve">its </w:t>
      </w:r>
      <w:r w:rsidR="008A489F" w:rsidRPr="002E17EF">
        <w:rPr>
          <w:snapToGrid/>
          <w:kern w:val="0"/>
          <w:szCs w:val="22"/>
        </w:rPr>
        <w:t xml:space="preserve">needs, to use these other channels </w:t>
      </w:r>
      <w:r w:rsidR="00A2341C" w:rsidRPr="002E17EF">
        <w:rPr>
          <w:snapToGrid/>
          <w:kern w:val="0"/>
          <w:szCs w:val="22"/>
        </w:rPr>
        <w:t>in lieu of VTAC</w:t>
      </w:r>
      <w:r w:rsidR="0087193B" w:rsidRPr="002E17EF">
        <w:rPr>
          <w:snapToGrid/>
          <w:kern w:val="0"/>
          <w:szCs w:val="22"/>
        </w:rPr>
        <w:t>1</w:t>
      </w:r>
      <w:r w:rsidR="00A2341C" w:rsidRPr="002E17EF">
        <w:rPr>
          <w:snapToGrid/>
          <w:kern w:val="0"/>
          <w:szCs w:val="22"/>
        </w:rPr>
        <w:t>1</w:t>
      </w:r>
      <w:r w:rsidR="00BB0556" w:rsidRPr="002E17EF">
        <w:rPr>
          <w:snapToGrid/>
          <w:kern w:val="0"/>
          <w:szCs w:val="22"/>
        </w:rPr>
        <w:t xml:space="preserve"> </w:t>
      </w:r>
      <w:r w:rsidR="00E302BA" w:rsidRPr="002E17EF">
        <w:rPr>
          <w:snapToGrid/>
          <w:kern w:val="0"/>
          <w:szCs w:val="22"/>
        </w:rPr>
        <w:t xml:space="preserve">for </w:t>
      </w:r>
      <w:r w:rsidR="00BB0556" w:rsidRPr="002E17EF">
        <w:rPr>
          <w:snapToGrid/>
          <w:kern w:val="0"/>
          <w:szCs w:val="22"/>
        </w:rPr>
        <w:t>the duration of this waiver.</w:t>
      </w:r>
    </w:p>
    <w:p w:rsidR="004848BD" w:rsidRPr="002E17EF" w:rsidRDefault="004848BD" w:rsidP="00A819E2">
      <w:pPr>
        <w:pStyle w:val="ParaNum"/>
        <w:rPr>
          <w:rFonts w:eastAsiaTheme="minorHAnsi"/>
          <w:szCs w:val="22"/>
        </w:rPr>
      </w:pPr>
      <w:r w:rsidRPr="002E17EF">
        <w:rPr>
          <w:szCs w:val="22"/>
        </w:rPr>
        <w:t xml:space="preserve">This waiver extends for </w:t>
      </w:r>
      <w:r w:rsidR="00BB0556" w:rsidRPr="002E17EF">
        <w:rPr>
          <w:szCs w:val="22"/>
        </w:rPr>
        <w:t xml:space="preserve">a period of </w:t>
      </w:r>
      <w:r w:rsidRPr="002E17EF">
        <w:rPr>
          <w:szCs w:val="22"/>
        </w:rPr>
        <w:t xml:space="preserve">sixty </w:t>
      </w:r>
      <w:r w:rsidR="00BB0556" w:rsidRPr="002E17EF">
        <w:rPr>
          <w:szCs w:val="22"/>
        </w:rPr>
        <w:t xml:space="preserve">calendar </w:t>
      </w:r>
      <w:r w:rsidRPr="002E17EF">
        <w:rPr>
          <w:szCs w:val="22"/>
        </w:rPr>
        <w:t>days from the date of this Order unless further extended</w:t>
      </w:r>
      <w:r w:rsidR="00BB0556" w:rsidRPr="002E17EF">
        <w:rPr>
          <w:szCs w:val="22"/>
        </w:rPr>
        <w:t xml:space="preserve">.  </w:t>
      </w:r>
      <w:r w:rsidR="002E17EF">
        <w:rPr>
          <w:szCs w:val="22"/>
        </w:rPr>
        <w:t xml:space="preserve">Public safety </w:t>
      </w:r>
      <w:r w:rsidR="00233141" w:rsidRPr="002E17EF">
        <w:rPr>
          <w:szCs w:val="22"/>
        </w:rPr>
        <w:t>o</w:t>
      </w:r>
      <w:r w:rsidR="00BB0556" w:rsidRPr="002E17EF">
        <w:rPr>
          <w:szCs w:val="22"/>
        </w:rPr>
        <w:t xml:space="preserve">perations under this waiver are confined to mobile and portable units; </w:t>
      </w:r>
      <w:r w:rsidR="002E17EF">
        <w:rPr>
          <w:szCs w:val="22"/>
        </w:rPr>
        <w:t xml:space="preserve">public safety entities </w:t>
      </w:r>
      <w:r w:rsidR="00BB0556" w:rsidRPr="002E17EF">
        <w:rPr>
          <w:szCs w:val="22"/>
        </w:rPr>
        <w:t xml:space="preserve">are not permitted </w:t>
      </w:r>
      <w:r w:rsidR="00A97BB8" w:rsidRPr="002E17EF">
        <w:rPr>
          <w:szCs w:val="22"/>
        </w:rPr>
        <w:t xml:space="preserve">to operate </w:t>
      </w:r>
      <w:r w:rsidR="00233141" w:rsidRPr="002E17EF">
        <w:rPr>
          <w:szCs w:val="22"/>
        </w:rPr>
        <w:t xml:space="preserve">base stations </w:t>
      </w:r>
      <w:r w:rsidR="00BB0556" w:rsidRPr="002E17EF">
        <w:rPr>
          <w:szCs w:val="22"/>
        </w:rPr>
        <w:t xml:space="preserve">on the interoperability channels discussed in this Order.  </w:t>
      </w:r>
    </w:p>
    <w:p w:rsidR="0041110A" w:rsidRPr="0041110A" w:rsidRDefault="0041110A" w:rsidP="0041110A">
      <w:pPr>
        <w:pStyle w:val="Heading1"/>
        <w:widowControl/>
        <w:spacing w:after="220"/>
      </w:pPr>
      <w:r>
        <w:t>ORDERING CLAUSES</w:t>
      </w:r>
    </w:p>
    <w:p w:rsidR="0041110A" w:rsidRDefault="0041110A" w:rsidP="0041110A">
      <w:pPr>
        <w:pStyle w:val="ParaNum"/>
        <w:rPr>
          <w:szCs w:val="22"/>
        </w:rPr>
      </w:pPr>
      <w:r w:rsidRPr="0041110A">
        <w:rPr>
          <w:szCs w:val="22"/>
        </w:rPr>
        <w:t>Accordingly, IT IS ORDERED pursuant to Section</w:t>
      </w:r>
      <w:r w:rsidR="00A418F6">
        <w:rPr>
          <w:szCs w:val="22"/>
        </w:rPr>
        <w:t>s</w:t>
      </w:r>
      <w:r w:rsidRPr="0041110A">
        <w:rPr>
          <w:szCs w:val="22"/>
        </w:rPr>
        <w:t xml:space="preserve"> 4(i) </w:t>
      </w:r>
      <w:r w:rsidR="00A418F6">
        <w:rPr>
          <w:szCs w:val="22"/>
        </w:rPr>
        <w:t xml:space="preserve">and 303 </w:t>
      </w:r>
      <w:r w:rsidRPr="0041110A">
        <w:rPr>
          <w:szCs w:val="22"/>
        </w:rPr>
        <w:t>of the Communications Act of 1934, as amended, 47 U.</w:t>
      </w:r>
      <w:r w:rsidR="007B7CA8">
        <w:rPr>
          <w:szCs w:val="22"/>
        </w:rPr>
        <w:t>S.C. §</w:t>
      </w:r>
      <w:r w:rsidR="00A418F6">
        <w:rPr>
          <w:szCs w:val="22"/>
        </w:rPr>
        <w:t>§</w:t>
      </w:r>
      <w:r w:rsidR="007B7CA8">
        <w:rPr>
          <w:szCs w:val="22"/>
        </w:rPr>
        <w:t xml:space="preserve"> 154(i)</w:t>
      </w:r>
      <w:r w:rsidR="00A418F6">
        <w:rPr>
          <w:szCs w:val="22"/>
        </w:rPr>
        <w:t xml:space="preserve"> and 303</w:t>
      </w:r>
      <w:r w:rsidR="007B7CA8">
        <w:rPr>
          <w:szCs w:val="22"/>
        </w:rPr>
        <w:t>, and Section 1.3</w:t>
      </w:r>
      <w:r w:rsidRPr="0041110A">
        <w:rPr>
          <w:szCs w:val="22"/>
        </w:rPr>
        <w:t xml:space="preserve"> of the Co</w:t>
      </w:r>
      <w:r w:rsidR="00A418F6">
        <w:rPr>
          <w:szCs w:val="22"/>
        </w:rPr>
        <w:t>mmission’</w:t>
      </w:r>
      <w:r w:rsidR="007B7CA8">
        <w:rPr>
          <w:szCs w:val="22"/>
        </w:rPr>
        <w:t>s Rules, 47 CFR § 1.3</w:t>
      </w:r>
      <w:r w:rsidRPr="0041110A">
        <w:rPr>
          <w:szCs w:val="22"/>
        </w:rPr>
        <w:t xml:space="preserve">, that the </w:t>
      </w:r>
      <w:r w:rsidR="007B7CA8">
        <w:rPr>
          <w:szCs w:val="22"/>
        </w:rPr>
        <w:t>limitation on public safety use of VHF freq</w:t>
      </w:r>
      <w:r w:rsidR="003B57F7">
        <w:rPr>
          <w:szCs w:val="22"/>
        </w:rPr>
        <w:t>uencies 151.1375 MHz and 154.452</w:t>
      </w:r>
      <w:r w:rsidR="007B7CA8">
        <w:rPr>
          <w:szCs w:val="22"/>
        </w:rPr>
        <w:t>5 MHz</w:t>
      </w:r>
      <w:r w:rsidRPr="0041110A">
        <w:rPr>
          <w:szCs w:val="22"/>
        </w:rPr>
        <w:t xml:space="preserve"> </w:t>
      </w:r>
      <w:r w:rsidR="007B7CA8">
        <w:rPr>
          <w:szCs w:val="22"/>
        </w:rPr>
        <w:t xml:space="preserve">in </w:t>
      </w:r>
      <w:r w:rsidRPr="0041110A">
        <w:rPr>
          <w:szCs w:val="22"/>
        </w:rPr>
        <w:t>the Commonwealth of Puerto Rico</w:t>
      </w:r>
      <w:r w:rsidR="007B7CA8">
        <w:rPr>
          <w:szCs w:val="22"/>
        </w:rPr>
        <w:t xml:space="preserve"> and the United States Virgin Islands</w:t>
      </w:r>
      <w:r w:rsidRPr="0041110A">
        <w:rPr>
          <w:szCs w:val="22"/>
        </w:rPr>
        <w:t xml:space="preserve">, IS </w:t>
      </w:r>
      <w:r w:rsidR="007B7CA8">
        <w:rPr>
          <w:szCs w:val="22"/>
        </w:rPr>
        <w:t>WAIVED</w:t>
      </w:r>
      <w:r w:rsidR="00696246">
        <w:rPr>
          <w:szCs w:val="22"/>
        </w:rPr>
        <w:t xml:space="preserve"> to the extent described herein</w:t>
      </w:r>
      <w:r w:rsidRPr="0041110A">
        <w:rPr>
          <w:szCs w:val="22"/>
        </w:rPr>
        <w:t xml:space="preserve">.  </w:t>
      </w:r>
    </w:p>
    <w:p w:rsidR="0041110A" w:rsidRPr="00BE2748" w:rsidRDefault="0041110A" w:rsidP="0041110A">
      <w:pPr>
        <w:pStyle w:val="ParaNum"/>
        <w:rPr>
          <w:szCs w:val="22"/>
        </w:rPr>
      </w:pPr>
      <w:r w:rsidRPr="0041110A">
        <w:rPr>
          <w:rFonts w:eastAsiaTheme="minorHAnsi"/>
          <w:szCs w:val="22"/>
        </w:rPr>
        <w:t>This action is taken under delegated authority pursuant to Sections 0.191 and 0.392 of the</w:t>
      </w:r>
      <w:r w:rsidRPr="0041110A">
        <w:rPr>
          <w:szCs w:val="22"/>
        </w:rPr>
        <w:t xml:space="preserve"> </w:t>
      </w:r>
      <w:r w:rsidRPr="0041110A">
        <w:rPr>
          <w:rFonts w:eastAsiaTheme="minorHAnsi"/>
          <w:szCs w:val="22"/>
        </w:rPr>
        <w:t>Commission’s rules, 47 CFR §§ 0.191, 0.392.</w:t>
      </w:r>
    </w:p>
    <w:p w:rsidR="0041110A" w:rsidRPr="00E01933" w:rsidRDefault="0041110A" w:rsidP="0041110A">
      <w:pPr>
        <w:tabs>
          <w:tab w:val="left" w:pos="-1440"/>
          <w:tab w:val="left" w:pos="-720"/>
          <w:tab w:val="left" w:pos="3240"/>
          <w:tab w:val="left" w:pos="3600"/>
          <w:tab w:val="left" w:pos="11970"/>
        </w:tabs>
        <w:suppressAutoHyphens/>
        <w:rPr>
          <w:spacing w:val="-2"/>
          <w:szCs w:val="22"/>
        </w:rPr>
      </w:pPr>
      <w:r w:rsidRPr="00E01933">
        <w:rPr>
          <w:spacing w:val="-2"/>
          <w:szCs w:val="22"/>
        </w:rPr>
        <w:tab/>
      </w:r>
      <w:r w:rsidRPr="00E01933">
        <w:rPr>
          <w:spacing w:val="-2"/>
          <w:szCs w:val="22"/>
        </w:rPr>
        <w:tab/>
        <w:t>FEDERAL COMMUNICATIONS COMMISSION</w:t>
      </w:r>
    </w:p>
    <w:p w:rsidR="0041110A" w:rsidRPr="00E01933" w:rsidRDefault="0041110A" w:rsidP="0041110A">
      <w:pPr>
        <w:tabs>
          <w:tab w:val="left" w:pos="-1440"/>
          <w:tab w:val="left" w:pos="-720"/>
        </w:tabs>
        <w:suppressAutoHyphens/>
        <w:ind w:firstLine="3945"/>
        <w:rPr>
          <w:spacing w:val="-2"/>
          <w:szCs w:val="22"/>
        </w:rPr>
      </w:pPr>
    </w:p>
    <w:p w:rsidR="0041110A" w:rsidRPr="00E01933" w:rsidRDefault="0041110A" w:rsidP="0041110A">
      <w:pPr>
        <w:tabs>
          <w:tab w:val="left" w:pos="-1440"/>
          <w:tab w:val="left" w:pos="-720"/>
        </w:tabs>
        <w:suppressAutoHyphens/>
        <w:jc w:val="both"/>
        <w:rPr>
          <w:spacing w:val="-2"/>
          <w:szCs w:val="22"/>
        </w:rPr>
      </w:pPr>
    </w:p>
    <w:p w:rsidR="0041110A" w:rsidRPr="00E01933" w:rsidRDefault="0041110A" w:rsidP="0041110A">
      <w:pPr>
        <w:tabs>
          <w:tab w:val="left" w:pos="-1440"/>
          <w:tab w:val="left" w:pos="-720"/>
        </w:tabs>
        <w:suppressAutoHyphens/>
        <w:jc w:val="both"/>
        <w:rPr>
          <w:spacing w:val="-2"/>
          <w:szCs w:val="22"/>
        </w:rPr>
      </w:pPr>
    </w:p>
    <w:p w:rsidR="0041110A" w:rsidRPr="00E01933" w:rsidRDefault="0041110A" w:rsidP="0041110A">
      <w:pPr>
        <w:tabs>
          <w:tab w:val="left" w:pos="-1440"/>
          <w:tab w:val="left" w:pos="-720"/>
        </w:tabs>
        <w:suppressAutoHyphens/>
        <w:jc w:val="both"/>
        <w:rPr>
          <w:spacing w:val="-2"/>
          <w:szCs w:val="22"/>
        </w:rPr>
      </w:pPr>
      <w:r w:rsidRPr="00E01933">
        <w:rPr>
          <w:spacing w:val="-2"/>
          <w:szCs w:val="22"/>
        </w:rPr>
        <w:tab/>
      </w:r>
      <w:r w:rsidRPr="00E01933">
        <w:rPr>
          <w:spacing w:val="-2"/>
          <w:szCs w:val="22"/>
        </w:rPr>
        <w:tab/>
      </w:r>
      <w:r w:rsidRPr="00E01933">
        <w:rPr>
          <w:spacing w:val="-2"/>
          <w:szCs w:val="22"/>
        </w:rPr>
        <w:tab/>
      </w:r>
      <w:r w:rsidRPr="00E01933">
        <w:rPr>
          <w:spacing w:val="-2"/>
          <w:szCs w:val="22"/>
        </w:rPr>
        <w:tab/>
      </w:r>
      <w:r w:rsidRPr="00E01933">
        <w:rPr>
          <w:spacing w:val="-2"/>
          <w:szCs w:val="22"/>
        </w:rPr>
        <w:tab/>
        <w:t xml:space="preserve">Michael J. Wilhelm </w:t>
      </w:r>
    </w:p>
    <w:p w:rsidR="0041110A" w:rsidRPr="00E01933" w:rsidRDefault="0041110A" w:rsidP="0041110A">
      <w:pPr>
        <w:tabs>
          <w:tab w:val="left" w:pos="-1440"/>
          <w:tab w:val="left" w:pos="-720"/>
        </w:tabs>
        <w:suppressAutoHyphens/>
        <w:jc w:val="both"/>
        <w:rPr>
          <w:spacing w:val="-2"/>
          <w:szCs w:val="22"/>
        </w:rPr>
      </w:pPr>
      <w:r w:rsidRPr="00E01933">
        <w:rPr>
          <w:spacing w:val="-2"/>
          <w:szCs w:val="22"/>
        </w:rPr>
        <w:tab/>
      </w:r>
      <w:r w:rsidRPr="00E01933">
        <w:rPr>
          <w:spacing w:val="-2"/>
          <w:szCs w:val="22"/>
        </w:rPr>
        <w:tab/>
      </w:r>
      <w:r w:rsidRPr="00E01933">
        <w:rPr>
          <w:spacing w:val="-2"/>
          <w:szCs w:val="22"/>
        </w:rPr>
        <w:tab/>
      </w:r>
      <w:r w:rsidRPr="00E01933">
        <w:rPr>
          <w:spacing w:val="-2"/>
          <w:szCs w:val="22"/>
        </w:rPr>
        <w:tab/>
      </w:r>
      <w:r w:rsidRPr="00E01933">
        <w:rPr>
          <w:spacing w:val="-2"/>
          <w:szCs w:val="22"/>
        </w:rPr>
        <w:tab/>
        <w:t>Acting Chief, Policy and Licensing Division</w:t>
      </w:r>
    </w:p>
    <w:p w:rsidR="00703C53" w:rsidRDefault="0041110A" w:rsidP="00BE2748">
      <w:pPr>
        <w:tabs>
          <w:tab w:val="left" w:pos="-1440"/>
          <w:tab w:val="left" w:pos="-720"/>
        </w:tabs>
        <w:suppressAutoHyphens/>
        <w:jc w:val="both"/>
        <w:rPr>
          <w:szCs w:val="22"/>
        </w:rPr>
      </w:pPr>
      <w:r w:rsidRPr="00E01933">
        <w:rPr>
          <w:szCs w:val="22"/>
        </w:rPr>
        <w:tab/>
      </w:r>
      <w:r w:rsidRPr="00E01933">
        <w:rPr>
          <w:szCs w:val="22"/>
        </w:rPr>
        <w:tab/>
      </w:r>
      <w:r w:rsidRPr="00E01933">
        <w:rPr>
          <w:szCs w:val="22"/>
        </w:rPr>
        <w:tab/>
      </w:r>
      <w:r w:rsidRPr="00E01933">
        <w:rPr>
          <w:szCs w:val="22"/>
        </w:rPr>
        <w:tab/>
      </w:r>
      <w:r w:rsidRPr="00E01933">
        <w:rPr>
          <w:szCs w:val="22"/>
        </w:rPr>
        <w:tab/>
        <w:t>Public Safety and Homeland Security Bureau</w:t>
      </w:r>
    </w:p>
    <w:sectPr w:rsidR="00703C5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911" w:rsidRDefault="00D90911">
      <w:pPr>
        <w:spacing w:line="20" w:lineRule="exact"/>
      </w:pPr>
    </w:p>
  </w:endnote>
  <w:endnote w:type="continuationSeparator" w:id="0">
    <w:p w:rsidR="00D90911" w:rsidRDefault="00D90911">
      <w:r>
        <w:t xml:space="preserve"> </w:t>
      </w:r>
    </w:p>
  </w:endnote>
  <w:endnote w:type="continuationNotice" w:id="1">
    <w:p w:rsidR="00D90911" w:rsidRDefault="00D9091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A" w:rsidRDefault="00572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2F6A" w:rsidRDefault="00572F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A" w:rsidRDefault="00572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29AE">
      <w:rPr>
        <w:rStyle w:val="PageNumber"/>
        <w:noProof/>
      </w:rPr>
      <w:t>2</w:t>
    </w:r>
    <w:r>
      <w:rPr>
        <w:rStyle w:val="PageNumber"/>
      </w:rPr>
      <w:fldChar w:fldCharType="end"/>
    </w:r>
  </w:p>
  <w:p w:rsidR="00572F6A" w:rsidRDefault="00572F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A" w:rsidRDefault="00572F6A">
    <w:pPr>
      <w:pStyle w:val="Footer"/>
      <w:framePr w:wrap="around" w:vAnchor="text" w:hAnchor="margin" w:xAlign="center" w:y="1"/>
      <w:rPr>
        <w:rStyle w:val="PageNumber"/>
      </w:rPr>
    </w:pPr>
  </w:p>
  <w:p w:rsidR="00572F6A" w:rsidRDefault="00572F6A">
    <w:pPr>
      <w:pStyle w:val="Footer"/>
      <w:framePr w:wrap="around" w:vAnchor="text" w:hAnchor="margin" w:xAlign="center" w:y="1"/>
      <w:rPr>
        <w:rStyle w:val="PageNumber"/>
      </w:rPr>
    </w:pPr>
  </w:p>
  <w:p w:rsidR="00572F6A" w:rsidRDefault="00572F6A">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911" w:rsidRDefault="00D90911">
      <w:r>
        <w:separator/>
      </w:r>
    </w:p>
  </w:footnote>
  <w:footnote w:type="continuationSeparator" w:id="0">
    <w:p w:rsidR="00D90911" w:rsidRDefault="00D90911">
      <w:pPr>
        <w:rPr>
          <w:sz w:val="20"/>
        </w:rPr>
      </w:pPr>
      <w:r>
        <w:rPr>
          <w:sz w:val="20"/>
        </w:rPr>
        <w:t xml:space="preserve">(Continued from previous page)  </w:t>
      </w:r>
      <w:r>
        <w:rPr>
          <w:sz w:val="20"/>
        </w:rPr>
        <w:separator/>
      </w:r>
    </w:p>
  </w:footnote>
  <w:footnote w:type="continuationNotice" w:id="1">
    <w:p w:rsidR="00D90911" w:rsidRDefault="00D90911">
      <w:pPr>
        <w:rPr>
          <w:sz w:val="20"/>
        </w:rPr>
      </w:pPr>
      <w:r>
        <w:rPr>
          <w:sz w:val="20"/>
        </w:rPr>
        <w:t>(continued….)</w:t>
      </w:r>
    </w:p>
  </w:footnote>
  <w:footnote w:id="2">
    <w:p w:rsidR="008C79E2" w:rsidRPr="00351F0C" w:rsidRDefault="008C79E2">
      <w:pPr>
        <w:pStyle w:val="FootnoteText"/>
      </w:pPr>
      <w:r w:rsidRPr="00351F0C">
        <w:rPr>
          <w:rStyle w:val="FootnoteReference"/>
        </w:rPr>
        <w:footnoteRef/>
      </w:r>
      <w:r w:rsidRPr="00351F0C">
        <w:t xml:space="preserve"> 47 CFR § 90.20(d)(28).</w:t>
      </w:r>
    </w:p>
  </w:footnote>
  <w:footnote w:id="3">
    <w:p w:rsidR="00BE2748" w:rsidRPr="00351F0C" w:rsidRDefault="00BE2748">
      <w:pPr>
        <w:pStyle w:val="FootnoteText"/>
      </w:pPr>
      <w:r w:rsidRPr="00351F0C">
        <w:rPr>
          <w:rStyle w:val="FootnoteReference"/>
        </w:rPr>
        <w:footnoteRef/>
      </w:r>
      <w:r w:rsidRPr="00351F0C">
        <w:t xml:space="preserve"> </w:t>
      </w:r>
      <w:r w:rsidR="008C79E2" w:rsidRPr="00351F0C">
        <w:rPr>
          <w:rFonts w:eastAsiaTheme="minorHAnsi"/>
          <w:i/>
          <w:color w:val="010101"/>
        </w:rPr>
        <w:t>See Development of Operational, Technical and Spectrum Requirements for Meeting Federal, State and Local Public Safety Agency Communications Requirements Through the Year 2010</w:t>
      </w:r>
      <w:r w:rsidR="008C79E2" w:rsidRPr="00351F0C">
        <w:t xml:space="preserve">, Third Memorandum Opinion and Order and Third Report and Order, 15 FCC Rcd 19844, </w:t>
      </w:r>
      <w:r w:rsidR="00843DAC" w:rsidRPr="00351F0C">
        <w:t xml:space="preserve">19883 </w:t>
      </w:r>
      <w:r w:rsidR="008C79E2" w:rsidRPr="00351F0C">
        <w:t>para. 87 (2000)</w:t>
      </w:r>
      <w:r w:rsidR="00F1189C" w:rsidRPr="00351F0C">
        <w:t xml:space="preserve"> (</w:t>
      </w:r>
      <w:r w:rsidR="00F1189C" w:rsidRPr="00F20F1A">
        <w:rPr>
          <w:i/>
        </w:rPr>
        <w:t>Third Report and Order</w:t>
      </w:r>
      <w:r w:rsidR="00F1189C" w:rsidRPr="00351F0C">
        <w:t>)</w:t>
      </w:r>
      <w:r w:rsidR="008C79E2" w:rsidRPr="00351F0C">
        <w:t>.</w:t>
      </w:r>
      <w:r w:rsidR="004C0BD6" w:rsidRPr="00351F0C">
        <w:t xml:space="preserve"> </w:t>
      </w:r>
      <w:r w:rsidR="00F20F1A">
        <w:t xml:space="preserve"> </w:t>
      </w:r>
      <w:r w:rsidR="00F45194">
        <w:t>Although t</w:t>
      </w:r>
      <w:r w:rsidR="00BB0556" w:rsidRPr="00351F0C">
        <w:t xml:space="preserve">he designations </w:t>
      </w:r>
      <w:r w:rsidR="00F01CE1" w:rsidRPr="00351F0C">
        <w:t>“</w:t>
      </w:r>
      <w:r w:rsidR="00BB0556" w:rsidRPr="00351F0C">
        <w:t>VTAC1</w:t>
      </w:r>
      <w:r w:rsidR="00F01CE1" w:rsidRPr="00351F0C">
        <w:t>”</w:t>
      </w:r>
      <w:r w:rsidR="00BB0556" w:rsidRPr="00351F0C">
        <w:t xml:space="preserve"> and </w:t>
      </w:r>
      <w:r w:rsidR="00F01CE1" w:rsidRPr="00351F0C">
        <w:t>“</w:t>
      </w:r>
      <w:r w:rsidR="00BB0556" w:rsidRPr="00351F0C">
        <w:t>VTAC2</w:t>
      </w:r>
      <w:r w:rsidR="00F01CE1" w:rsidRPr="00351F0C">
        <w:t>”</w:t>
      </w:r>
      <w:r w:rsidR="00BB0556" w:rsidRPr="00351F0C">
        <w:t xml:space="preserve"> are </w:t>
      </w:r>
      <w:r w:rsidR="00F01CE1" w:rsidRPr="00351F0C">
        <w:t xml:space="preserve">referenced in the </w:t>
      </w:r>
      <w:r w:rsidR="00F01CE1" w:rsidRPr="00F20F1A">
        <w:rPr>
          <w:i/>
        </w:rPr>
        <w:t>Third Report and Order</w:t>
      </w:r>
      <w:r w:rsidR="006D7EBE">
        <w:rPr>
          <w:i/>
        </w:rPr>
        <w:t xml:space="preserve"> </w:t>
      </w:r>
      <w:r w:rsidR="006D7EBE">
        <w:t>and associated with frequencies 151.1375 MHz and 154.4525 MHz</w:t>
      </w:r>
      <w:r w:rsidR="00F01CE1" w:rsidRPr="00351F0C">
        <w:t>,</w:t>
      </w:r>
      <w:r w:rsidR="006D7EBE">
        <w:t xml:space="preserve"> respectively,</w:t>
      </w:r>
      <w:r w:rsidR="00F01CE1" w:rsidRPr="00351F0C">
        <w:t xml:space="preserve"> </w:t>
      </w:r>
      <w:r w:rsidR="006D7EBE">
        <w:t xml:space="preserve">those designations </w:t>
      </w:r>
      <w:r w:rsidR="00F45194">
        <w:t>were</w:t>
      </w:r>
      <w:r w:rsidR="00F01CE1" w:rsidRPr="00351F0C">
        <w:t xml:space="preserve"> </w:t>
      </w:r>
      <w:r w:rsidR="00BB0556" w:rsidRPr="00351F0C">
        <w:t>not c</w:t>
      </w:r>
      <w:r w:rsidR="00F45194">
        <w:t xml:space="preserve">arried forward into </w:t>
      </w:r>
      <w:r w:rsidR="00BB0556" w:rsidRPr="00351F0C">
        <w:t>the Commission’s rules</w:t>
      </w:r>
      <w:r w:rsidR="00F01CE1" w:rsidRPr="00351F0C">
        <w:t xml:space="preserve">.  </w:t>
      </w:r>
      <w:r w:rsidR="00F1189C" w:rsidRPr="00F20F1A">
        <w:rPr>
          <w:i/>
        </w:rPr>
        <w:t>Id</w:t>
      </w:r>
      <w:r w:rsidR="00F1189C" w:rsidRPr="00351F0C">
        <w:t xml:space="preserve"> at 19883.  </w:t>
      </w:r>
      <w:r w:rsidR="00F01CE1" w:rsidRPr="00351F0C">
        <w:t xml:space="preserve">We note that </w:t>
      </w:r>
      <w:r w:rsidR="00351F0C">
        <w:t xml:space="preserve">frequencies 151.1375 MHz </w:t>
      </w:r>
      <w:r w:rsidR="00F01CE1" w:rsidRPr="00351F0C">
        <w:t xml:space="preserve">and </w:t>
      </w:r>
      <w:r w:rsidR="00351F0C">
        <w:t xml:space="preserve">154.4525 </w:t>
      </w:r>
      <w:r w:rsidR="00F45194">
        <w:t xml:space="preserve">MHz </w:t>
      </w:r>
      <w:r w:rsidR="00BB0556" w:rsidRPr="00351F0C">
        <w:t>are widely used in the field by public safety licensees</w:t>
      </w:r>
      <w:r w:rsidR="00F01CE1" w:rsidRPr="00351F0C">
        <w:t>, but are referred as “VTAC11” and “VTAC12</w:t>
      </w:r>
      <w:r w:rsidR="00F20F1A">
        <w:t>,</w:t>
      </w:r>
      <w:r w:rsidR="00F01CE1" w:rsidRPr="00351F0C">
        <w:t>” respectively</w:t>
      </w:r>
      <w:r w:rsidR="00BB0556" w:rsidRPr="00351F0C">
        <w:t>.</w:t>
      </w:r>
      <w:r w:rsidR="00F01CE1" w:rsidRPr="00351F0C">
        <w:t xml:space="preserve"> </w:t>
      </w:r>
      <w:r w:rsidR="0087193B" w:rsidRPr="00351F0C">
        <w:t xml:space="preserve"> </w:t>
      </w:r>
      <w:r w:rsidR="00F1189C" w:rsidRPr="00F20F1A">
        <w:rPr>
          <w:i/>
        </w:rPr>
        <w:t>See</w:t>
      </w:r>
      <w:r w:rsidR="00F1189C" w:rsidRPr="00351F0C">
        <w:t xml:space="preserve"> National Interoperability Field Operations Guide, version 1.6.1 at 25 (Apr. 2016)</w:t>
      </w:r>
      <w:r w:rsidR="0087193B" w:rsidRPr="00351F0C">
        <w:t xml:space="preserve"> (NIFOG)</w:t>
      </w:r>
      <w:r w:rsidR="00F1189C" w:rsidRPr="00351F0C">
        <w:t>.</w:t>
      </w:r>
      <w:r w:rsidR="00F01CE1" w:rsidRPr="00351F0C">
        <w:t xml:space="preserve"> </w:t>
      </w:r>
      <w:r w:rsidR="0087193B" w:rsidRPr="00351F0C">
        <w:t xml:space="preserve"> </w:t>
      </w:r>
      <w:r w:rsidR="00F01CE1" w:rsidRPr="00351F0C">
        <w:t xml:space="preserve">For ease of reference, we will refer to these channels as VTAC11 and VTAC12.  </w:t>
      </w:r>
    </w:p>
  </w:footnote>
  <w:footnote w:id="4">
    <w:p w:rsidR="00BE2748" w:rsidRPr="00351F0C" w:rsidRDefault="00BE2748">
      <w:pPr>
        <w:pStyle w:val="FootnoteText"/>
      </w:pPr>
      <w:r w:rsidRPr="00351F0C">
        <w:rPr>
          <w:rStyle w:val="FootnoteReference"/>
        </w:rPr>
        <w:footnoteRef/>
      </w:r>
      <w:r w:rsidRPr="00351F0C">
        <w:t xml:space="preserve"> </w:t>
      </w:r>
      <w:r w:rsidR="0087193B" w:rsidRPr="00351F0C">
        <w:rPr>
          <w:i/>
        </w:rPr>
        <w:t>Third Report and Order</w:t>
      </w:r>
      <w:r w:rsidR="0087193B" w:rsidRPr="006D7EBE">
        <w:rPr>
          <w:i/>
        </w:rPr>
        <w:t>,</w:t>
      </w:r>
      <w:r w:rsidRPr="00351F0C">
        <w:t xml:space="preserve"> </w:t>
      </w:r>
      <w:r w:rsidR="0087193B" w:rsidRPr="00351F0C">
        <w:t xml:space="preserve">15 FCC Rcd </w:t>
      </w:r>
      <w:r w:rsidRPr="00351F0C">
        <w:t xml:space="preserve">at </w:t>
      </w:r>
      <w:r w:rsidR="00843DAC" w:rsidRPr="00351F0C">
        <w:t xml:space="preserve">19885 </w:t>
      </w:r>
      <w:r w:rsidRPr="00351F0C">
        <w:t xml:space="preserve">para. </w:t>
      </w:r>
      <w:r w:rsidR="008C79E2" w:rsidRPr="00351F0C">
        <w:t>90</w:t>
      </w:r>
      <w:r w:rsidRPr="00351F0C">
        <w:t>.</w:t>
      </w:r>
    </w:p>
  </w:footnote>
  <w:footnote w:id="5">
    <w:p w:rsidR="00BE2748" w:rsidRPr="00351F0C" w:rsidRDefault="00BE2748">
      <w:pPr>
        <w:pStyle w:val="FootnoteText"/>
      </w:pPr>
      <w:r w:rsidRPr="00351F0C">
        <w:rPr>
          <w:rStyle w:val="FootnoteReference"/>
        </w:rPr>
        <w:footnoteRef/>
      </w:r>
      <w:r w:rsidRPr="00351F0C">
        <w:t xml:space="preserve"> </w:t>
      </w:r>
      <w:r w:rsidR="008C79E2" w:rsidRPr="00351F0C">
        <w:rPr>
          <w:i/>
        </w:rPr>
        <w:t>Id</w:t>
      </w:r>
      <w:r w:rsidR="008C79E2" w:rsidRPr="00351F0C">
        <w:t>.</w:t>
      </w:r>
    </w:p>
  </w:footnote>
  <w:footnote w:id="6">
    <w:p w:rsidR="00EA7C9F" w:rsidRPr="00351F0C" w:rsidRDefault="00EA7C9F" w:rsidP="00EA7C9F">
      <w:pPr>
        <w:pStyle w:val="FootnoteText"/>
      </w:pPr>
      <w:r w:rsidRPr="00351F0C">
        <w:rPr>
          <w:rStyle w:val="FootnoteReference"/>
        </w:rPr>
        <w:footnoteRef/>
      </w:r>
      <w:r w:rsidRPr="00351F0C">
        <w:t xml:space="preserve"> VCALL10, VTAC13, and VTAC14 commonly refer to the following nationwide interoperability frequencies: 155.7525 MHz, 158.7375 MHz</w:t>
      </w:r>
      <w:r w:rsidR="00E902DB">
        <w:t>,</w:t>
      </w:r>
      <w:r w:rsidRPr="00351F0C">
        <w:t xml:space="preserve"> and 159.4725 MHz, respectively.  </w:t>
      </w:r>
      <w:r w:rsidRPr="00F20F1A">
        <w:rPr>
          <w:i/>
        </w:rPr>
        <w:t>See</w:t>
      </w:r>
      <w:r w:rsidRPr="00351F0C">
        <w:t xml:space="preserve"> NIFOG at 25.</w:t>
      </w:r>
    </w:p>
  </w:footnote>
  <w:footnote w:id="7">
    <w:p w:rsidR="00EA7C9F" w:rsidRPr="00351F0C" w:rsidRDefault="00EA7C9F" w:rsidP="00EA7C9F">
      <w:pPr>
        <w:widowControl/>
        <w:spacing w:after="120"/>
        <w:rPr>
          <w:snapToGrid/>
          <w:color w:val="252525"/>
          <w:kern w:val="0"/>
          <w:sz w:val="20"/>
        </w:rPr>
      </w:pPr>
      <w:r w:rsidRPr="00351F0C">
        <w:rPr>
          <w:rStyle w:val="FootnoteReference"/>
        </w:rPr>
        <w:footnoteRef/>
      </w:r>
      <w:r w:rsidRPr="00351F0C">
        <w:rPr>
          <w:sz w:val="20"/>
        </w:rPr>
        <w:t xml:space="preserve"> Frequency 151.1375 MHz may be assigned in the </w:t>
      </w:r>
      <w:r w:rsidRPr="006D7EBE">
        <w:rPr>
          <w:sz w:val="20"/>
        </w:rPr>
        <w:t xml:space="preserve">Industrial/Business Pool, but only in Puerto Rico and the </w:t>
      </w:r>
      <w:r>
        <w:rPr>
          <w:sz w:val="20"/>
        </w:rPr>
        <w:t xml:space="preserve">USVI.  </w:t>
      </w:r>
      <w:r w:rsidRPr="000959B2">
        <w:rPr>
          <w:i/>
          <w:sz w:val="20"/>
        </w:rPr>
        <w:t>See</w:t>
      </w:r>
      <w:r w:rsidRPr="006D7EBE">
        <w:rPr>
          <w:sz w:val="20"/>
        </w:rPr>
        <w:t xml:space="preserve"> 47 CFR § 90.35(d)(31) (“Use of this frequency is limited to stations located in Puerto Rico and the Virgin Islands”)</w:t>
      </w:r>
      <w:r w:rsidRPr="00351F0C">
        <w:rPr>
          <w:sz w:val="20"/>
        </w:rPr>
        <w:t>.</w:t>
      </w:r>
    </w:p>
  </w:footnote>
  <w:footnote w:id="8">
    <w:p w:rsidR="00572F6A" w:rsidRPr="00351F0C" w:rsidRDefault="00572F6A" w:rsidP="00646A40">
      <w:pPr>
        <w:pStyle w:val="FootnoteText"/>
      </w:pPr>
      <w:r w:rsidRPr="00351F0C">
        <w:rPr>
          <w:rStyle w:val="FootnoteReference"/>
        </w:rPr>
        <w:footnoteRef/>
      </w:r>
      <w:r w:rsidRPr="00351F0C">
        <w:t xml:space="preserve"> </w:t>
      </w:r>
      <w:r w:rsidRPr="00351F0C">
        <w:rPr>
          <w:i/>
        </w:rPr>
        <w:t>See</w:t>
      </w:r>
      <w:r w:rsidRPr="00351F0C">
        <w:t xml:space="preserve"> 47 CFR § 1.3 (“Any provision of the rules may be waived by the Commission on its own motion or on petition if good cause therefore is shown.”); </w:t>
      </w:r>
      <w:r w:rsidRPr="006D7EBE">
        <w:rPr>
          <w:i/>
        </w:rPr>
        <w:t>see also Northeast Cellular Telephone Co. v. FCC</w:t>
      </w:r>
      <w:r w:rsidRPr="006D7EBE">
        <w:t xml:space="preserve">, 897 F.2d 1164, 1166 (D.C. Cir. 1990) (citing </w:t>
      </w:r>
      <w:r w:rsidRPr="00351F0C">
        <w:rPr>
          <w:i/>
        </w:rPr>
        <w:t>WAIT Radio v. FCC</w:t>
      </w:r>
      <w:r w:rsidRPr="00351F0C">
        <w:t>, 418 F.2d 1153, 1159 (D.C. Cir. 1969) (waivers must show special circumstances warranting a deviation from the general rule, and show such a deviation will serve the public interest).</w:t>
      </w:r>
    </w:p>
  </w:footnote>
  <w:footnote w:id="9">
    <w:p w:rsidR="00696246" w:rsidRPr="00F20F1A" w:rsidRDefault="00696246" w:rsidP="00BE2748">
      <w:pPr>
        <w:widowControl/>
        <w:autoSpaceDE w:val="0"/>
        <w:autoSpaceDN w:val="0"/>
        <w:adjustRightInd w:val="0"/>
        <w:spacing w:after="120"/>
        <w:rPr>
          <w:b/>
          <w:bCs/>
          <w:snapToGrid/>
          <w:kern w:val="0"/>
          <w:sz w:val="20"/>
        </w:rPr>
      </w:pPr>
      <w:r w:rsidRPr="00351F0C">
        <w:rPr>
          <w:rStyle w:val="FootnoteReference"/>
        </w:rPr>
        <w:footnoteRef/>
      </w:r>
      <w:r w:rsidRPr="00351F0C">
        <w:rPr>
          <w:sz w:val="20"/>
        </w:rPr>
        <w:t xml:space="preserve"> </w:t>
      </w:r>
      <w:r w:rsidR="00BE2748" w:rsidRPr="00351F0C">
        <w:rPr>
          <w:i/>
          <w:sz w:val="20"/>
        </w:rPr>
        <w:t>See</w:t>
      </w:r>
      <w:r w:rsidR="00BE2748" w:rsidRPr="00351F0C">
        <w:rPr>
          <w:sz w:val="20"/>
        </w:rPr>
        <w:t xml:space="preserve"> Remarks of </w:t>
      </w:r>
      <w:r w:rsidR="00BE2748" w:rsidRPr="00351F0C">
        <w:rPr>
          <w:bCs/>
          <w:snapToGrid/>
          <w:kern w:val="0"/>
          <w:sz w:val="20"/>
        </w:rPr>
        <w:t xml:space="preserve">Chris Anderson, Chief, Operations and Emergency Management Division </w:t>
      </w:r>
      <w:r w:rsidR="00BE2748" w:rsidRPr="00351F0C">
        <w:rPr>
          <w:snapToGrid/>
          <w:kern w:val="0"/>
          <w:sz w:val="20"/>
        </w:rPr>
        <w:t>Public Safety and Homeland Security Bureau</w:t>
      </w:r>
      <w:r w:rsidR="00BE2748" w:rsidRPr="006D7EBE">
        <w:rPr>
          <w:bCs/>
          <w:snapToGrid/>
          <w:kern w:val="0"/>
          <w:sz w:val="20"/>
        </w:rPr>
        <w:t xml:space="preserve">, </w:t>
      </w:r>
      <w:r w:rsidR="00BE2748" w:rsidRPr="006D7EBE">
        <w:rPr>
          <w:snapToGrid/>
          <w:kern w:val="0"/>
          <w:sz w:val="20"/>
        </w:rPr>
        <w:t>Federal Communications Commission Open Meeting</w:t>
      </w:r>
      <w:r w:rsidR="00BE2748" w:rsidRPr="00351F0C">
        <w:rPr>
          <w:bCs/>
          <w:snapToGrid/>
          <w:kern w:val="0"/>
          <w:sz w:val="20"/>
        </w:rPr>
        <w:t xml:space="preserve">, </w:t>
      </w:r>
      <w:r w:rsidR="00BE2748" w:rsidRPr="00351F0C">
        <w:rPr>
          <w:snapToGrid/>
          <w:kern w:val="0"/>
          <w:sz w:val="20"/>
        </w:rPr>
        <w:t>September 26, 2017,</w:t>
      </w:r>
      <w:r w:rsidR="00BE2748" w:rsidRPr="00351F0C">
        <w:rPr>
          <w:bCs/>
          <w:snapToGrid/>
          <w:kern w:val="0"/>
          <w:sz w:val="20"/>
        </w:rPr>
        <w:t xml:space="preserve"> </w:t>
      </w:r>
      <w:r w:rsidR="00BE2748" w:rsidRPr="00351F0C">
        <w:rPr>
          <w:i/>
          <w:iCs/>
          <w:snapToGrid/>
          <w:kern w:val="0"/>
          <w:sz w:val="20"/>
        </w:rPr>
        <w:t>FCC Response to Hurricanes Harvey, Irma, and Maria</w:t>
      </w:r>
      <w:r w:rsidR="00BE2748" w:rsidRPr="00351F0C">
        <w:rPr>
          <w:sz w:val="20"/>
        </w:rPr>
        <w:t xml:space="preserve"> at 3-4 (Sept. 26, 2017).  </w:t>
      </w:r>
      <w:r w:rsidRPr="00351F0C">
        <w:rPr>
          <w:sz w:val="20"/>
        </w:rPr>
        <w:t>“</w:t>
      </w:r>
      <w:r w:rsidRPr="00351F0C">
        <w:rPr>
          <w:snapToGrid/>
          <w:kern w:val="0"/>
          <w:sz w:val="20"/>
        </w:rPr>
        <w:t xml:space="preserve">As of September 25, in Puerto Rico, 91.2 percent of cell sites were out of service. Thirty-four of 78 counties had 100 percent of their cell sites out of service, and the remainder had cell site outages exceeding 75 percent. Due to the island-wide power outages, some large communications providers were unable to provide status information, either because their assessments were delayed, or because of their limited ability to communicate over the Internet.  In the U.S. Virgin Islands, as of September 25, 60.4 percent of cell sites were out of service. This included 76.2 percent of cell sites being out of service in St. Croix.”  </w:t>
      </w:r>
      <w:r w:rsidRPr="00351F0C">
        <w:rPr>
          <w:i/>
          <w:snapToGrid/>
          <w:kern w:val="0"/>
          <w:sz w:val="20"/>
        </w:rPr>
        <w:t>Id</w:t>
      </w:r>
      <w:r w:rsidRPr="00351F0C">
        <w:rPr>
          <w:snapToGrid/>
          <w:kern w:val="0"/>
          <w:sz w:val="20"/>
        </w:rPr>
        <w:t>.</w:t>
      </w:r>
      <w:r w:rsidR="00BE2748" w:rsidRPr="00351F0C">
        <w:rPr>
          <w:snapToGrid/>
          <w:kern w:val="0"/>
          <w:sz w:val="20"/>
        </w:rPr>
        <w:t xml:space="preserve"> at 4.</w:t>
      </w:r>
    </w:p>
  </w:footnote>
  <w:footnote w:id="10">
    <w:p w:rsidR="00696246" w:rsidRPr="00351F0C" w:rsidRDefault="00696246" w:rsidP="00BE2748">
      <w:pPr>
        <w:pStyle w:val="FootnoteText"/>
      </w:pPr>
      <w:r w:rsidRPr="00351F0C">
        <w:rPr>
          <w:rStyle w:val="FootnoteReference"/>
        </w:rPr>
        <w:footnoteRef/>
      </w:r>
      <w:r w:rsidRPr="00351F0C">
        <w:t xml:space="preserve"> </w:t>
      </w:r>
      <w:r w:rsidRPr="00351F0C">
        <w:rPr>
          <w:i/>
        </w:rPr>
        <w:t>Id</w:t>
      </w:r>
      <w:r w:rsidRPr="00351F0C">
        <w:t>.</w:t>
      </w:r>
      <w:r w:rsidR="00BE2748" w:rsidRPr="00351F0C">
        <w:t xml:space="preserve"> at 2.</w:t>
      </w:r>
    </w:p>
  </w:footnote>
  <w:footnote w:id="11">
    <w:p w:rsidR="002E17EF" w:rsidRDefault="002E17EF" w:rsidP="002E17EF">
      <w:pPr>
        <w:pStyle w:val="FootnoteText"/>
      </w:pPr>
      <w:r>
        <w:rPr>
          <w:rStyle w:val="FootnoteReference"/>
        </w:rPr>
        <w:footnoteRef/>
      </w:r>
      <w:r>
        <w:t xml:space="preserve"> </w:t>
      </w:r>
      <w:r w:rsidRPr="002E17EF">
        <w:t>Email from Andres Nieves Martinez, Senior Associate EHSS, Industrial Emergency Response Team, Amgen Manufacturing, Ltd. to Michael J. Wilhelm, Acting Chief, Policy and Licensing Division, Public Safety and Homeland Security Bureau, FCC (September 27, 2017)</w:t>
      </w:r>
      <w:r>
        <w:t>.</w:t>
      </w:r>
    </w:p>
  </w:footnote>
  <w:footnote w:id="12">
    <w:p w:rsidR="00351F0C" w:rsidRPr="00A24C7F" w:rsidRDefault="00351F0C" w:rsidP="00351F0C">
      <w:pPr>
        <w:pStyle w:val="FootnoteText"/>
      </w:pPr>
      <w:r w:rsidRPr="00A24C7F">
        <w:rPr>
          <w:rStyle w:val="FootnoteReference"/>
        </w:rPr>
        <w:footnoteRef/>
      </w:r>
      <w:r w:rsidRPr="00A24C7F">
        <w:t xml:space="preserve"> </w:t>
      </w:r>
      <w:r w:rsidRPr="00A24C7F">
        <w:rPr>
          <w:i/>
        </w:rPr>
        <w:t>See</w:t>
      </w:r>
      <w:r w:rsidRPr="00A24C7F">
        <w:t xml:space="preserve"> 47 CFR §§ 90.20(d)(28), 90.35(b)(3).</w:t>
      </w:r>
    </w:p>
  </w:footnote>
  <w:footnote w:id="13">
    <w:p w:rsidR="00ED6CA9" w:rsidRPr="00351F0C" w:rsidRDefault="00ED6CA9">
      <w:pPr>
        <w:pStyle w:val="FootnoteText"/>
      </w:pPr>
      <w:r w:rsidRPr="00351F0C">
        <w:rPr>
          <w:rStyle w:val="FootnoteReference"/>
        </w:rPr>
        <w:footnoteRef/>
      </w:r>
      <w:r w:rsidRPr="00351F0C">
        <w:t xml:space="preserve"> This does not </w:t>
      </w:r>
      <w:r w:rsidR="00A97BB8">
        <w:t xml:space="preserve">alter </w:t>
      </w:r>
      <w:r w:rsidRPr="00351F0C">
        <w:t>Amgen</w:t>
      </w:r>
      <w:r w:rsidR="00A97BB8">
        <w:t>’s rights under its current license</w:t>
      </w:r>
      <w:r w:rsidRPr="00351F0C">
        <w:t xml:space="preserve">.  </w:t>
      </w:r>
      <w:r w:rsidR="00A97BB8">
        <w:t xml:space="preserve">Amgen’s </w:t>
      </w:r>
      <w:r w:rsidRPr="00351F0C">
        <w:t>authorization is an FB2 category license</w:t>
      </w:r>
      <w:r w:rsidR="00A97BB8">
        <w:t xml:space="preserve">, </w:t>
      </w:r>
      <w:r w:rsidRPr="00351F0C">
        <w:t xml:space="preserve">which </w:t>
      </w:r>
      <w:r w:rsidR="00A97BB8">
        <w:t xml:space="preserve">requires </w:t>
      </w:r>
      <w:r w:rsidRPr="00351F0C">
        <w:t xml:space="preserve">licensees </w:t>
      </w:r>
      <w:r w:rsidR="00A97BB8">
        <w:t xml:space="preserve">to </w:t>
      </w:r>
      <w:r w:rsidRPr="00351F0C">
        <w:t xml:space="preserve">share </w:t>
      </w:r>
      <w:r w:rsidR="00A97BB8">
        <w:t xml:space="preserve">licensed </w:t>
      </w:r>
      <w:r w:rsidRPr="00351F0C">
        <w:t>frequenc</w:t>
      </w:r>
      <w:r w:rsidR="00A97BB8">
        <w:t>ies</w:t>
      </w:r>
      <w:r w:rsidRPr="00351F0C">
        <w:t xml:space="preserve"> and </w:t>
      </w:r>
      <w:r w:rsidR="00A97BB8">
        <w:t xml:space="preserve">to </w:t>
      </w:r>
      <w:r w:rsidRPr="00351F0C">
        <w:t>observe the listen-before-transmit protocol to avoid interference.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4E4" w:rsidRDefault="00CC6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A" w:rsidRDefault="00572F6A">
    <w:pPr>
      <w:pStyle w:val="Header"/>
      <w:pBdr>
        <w:bottom w:val="single" w:sz="12" w:space="0" w:color="auto"/>
      </w:pBdr>
      <w:rPr>
        <w:b w:val="0"/>
      </w:rPr>
    </w:pPr>
    <w:r>
      <w:tab/>
      <w:t>Federal Communications Commission</w:t>
    </w:r>
    <w:r>
      <w:tab/>
      <w:t xml:space="preserve">DA </w:t>
    </w:r>
    <w:r w:rsidRPr="00E16E6B">
      <w:t>1</w:t>
    </w:r>
    <w:r>
      <w:t>7</w:t>
    </w:r>
    <w:r w:rsidRPr="00E16E6B">
      <w:t>-</w:t>
    </w:r>
    <w:r w:rsidR="00A70E0C">
      <w:t>944</w:t>
    </w:r>
  </w:p>
  <w:p w:rsidR="00572F6A" w:rsidRDefault="00572F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6A" w:rsidRDefault="00572F6A">
    <w:pPr>
      <w:pStyle w:val="Header"/>
      <w:pBdr>
        <w:bottom w:val="single" w:sz="12" w:space="1" w:color="auto"/>
      </w:pBdr>
      <w:rPr>
        <w:b w:val="0"/>
      </w:rPr>
    </w:pPr>
    <w:r>
      <w:tab/>
      <w:t>Federal Communications Commission</w:t>
    </w:r>
    <w:r>
      <w:tab/>
    </w:r>
    <w:r w:rsidRPr="00E373AD">
      <w:t>DA 1</w:t>
    </w:r>
    <w:r>
      <w:t>7</w:t>
    </w:r>
    <w:r w:rsidRPr="00E373AD">
      <w:t>-</w:t>
    </w:r>
    <w:r w:rsidR="00A70E0C">
      <w:t>944</w:t>
    </w:r>
  </w:p>
  <w:p w:rsidR="00572F6A" w:rsidRDefault="00572F6A"/>
  <w:p w:rsidR="00572F6A" w:rsidRDefault="00572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3F1933"/>
    <w:multiLevelType w:val="singleLevel"/>
    <w:tmpl w:val="0000000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3">
    <w:nsid w:val="1D5F0B24"/>
    <w:multiLevelType w:val="singleLevel"/>
    <w:tmpl w:val="9FD2E0D8"/>
    <w:lvl w:ilvl="0">
      <w:start w:val="1"/>
      <w:numFmt w:val="decimal"/>
      <w:pStyle w:val="NumberedParagraphs"/>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D571270"/>
    <w:multiLevelType w:val="singleLevel"/>
    <w:tmpl w:val="1C8C94E0"/>
    <w:lvl w:ilvl="0">
      <w:start w:val="1"/>
      <w:numFmt w:val="decimal"/>
      <w:lvlText w:val="%1."/>
      <w:lvlJc w:val="left"/>
      <w:pPr>
        <w:tabs>
          <w:tab w:val="num" w:pos="1440"/>
        </w:tabs>
        <w:ind w:left="1440" w:hanging="720"/>
      </w:pPr>
      <w:rPr>
        <w:rFonts w:hint="default"/>
      </w:rPr>
    </w:lvl>
  </w:abstractNum>
  <w:abstractNum w:abstractNumId="8">
    <w:nsid w:val="30002CD4"/>
    <w:multiLevelType w:val="singleLevel"/>
    <w:tmpl w:val="1C8C94E0"/>
    <w:lvl w:ilvl="0">
      <w:start w:val="1"/>
      <w:numFmt w:val="decimal"/>
      <w:lvlText w:val="%1."/>
      <w:lvlJc w:val="left"/>
      <w:pPr>
        <w:tabs>
          <w:tab w:val="num" w:pos="1440"/>
        </w:tabs>
        <w:ind w:left="1440" w:hanging="720"/>
      </w:pPr>
      <w:rPr>
        <w:rFonts w:hint="default"/>
      </w:rPr>
    </w:lvl>
  </w:abstractNum>
  <w:abstractNum w:abstractNumId="9">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0E225D9"/>
    <w:multiLevelType w:val="hybridMultilevel"/>
    <w:tmpl w:val="6F56B5B2"/>
    <w:lvl w:ilvl="0" w:tplc="5E569490">
      <w:start w:val="1"/>
      <w:numFmt w:val="bullet"/>
      <w:lvlText w:val=""/>
      <w:lvlJc w:val="left"/>
      <w:pPr>
        <w:tabs>
          <w:tab w:val="num" w:pos="720"/>
        </w:tabs>
        <w:ind w:left="720" w:hanging="360"/>
      </w:pPr>
      <w:rPr>
        <w:rFonts w:ascii="Wingdings" w:hAnsi="Wingdings" w:hint="default"/>
      </w:rPr>
    </w:lvl>
    <w:lvl w:ilvl="1" w:tplc="BEA44C08">
      <w:start w:val="1"/>
      <w:numFmt w:val="bullet"/>
      <w:lvlText w:val="o"/>
      <w:lvlJc w:val="left"/>
      <w:pPr>
        <w:tabs>
          <w:tab w:val="num" w:pos="720"/>
        </w:tabs>
        <w:ind w:left="720" w:hanging="360"/>
      </w:pPr>
      <w:rPr>
        <w:rFonts w:ascii="Courier New" w:hAnsi="Courier New" w:cs="Courier New" w:hint="default"/>
      </w:rPr>
    </w:lvl>
    <w:lvl w:ilvl="2" w:tplc="5B08C580">
      <w:start w:val="1"/>
      <w:numFmt w:val="bullet"/>
      <w:lvlText w:val=""/>
      <w:lvlJc w:val="left"/>
      <w:pPr>
        <w:tabs>
          <w:tab w:val="num" w:pos="1440"/>
        </w:tabs>
        <w:ind w:left="1440" w:hanging="360"/>
      </w:pPr>
      <w:rPr>
        <w:rFonts w:ascii="Wingdings" w:hAnsi="Wingdings" w:hint="default"/>
      </w:rPr>
    </w:lvl>
    <w:lvl w:ilvl="3" w:tplc="6D4A0E18" w:tentative="1">
      <w:start w:val="1"/>
      <w:numFmt w:val="bullet"/>
      <w:lvlText w:val=""/>
      <w:lvlJc w:val="left"/>
      <w:pPr>
        <w:tabs>
          <w:tab w:val="num" w:pos="2160"/>
        </w:tabs>
        <w:ind w:left="2160" w:hanging="360"/>
      </w:pPr>
      <w:rPr>
        <w:rFonts w:ascii="Symbol" w:hAnsi="Symbol" w:hint="default"/>
      </w:rPr>
    </w:lvl>
    <w:lvl w:ilvl="4" w:tplc="250EDF7A" w:tentative="1">
      <w:start w:val="1"/>
      <w:numFmt w:val="bullet"/>
      <w:lvlText w:val="o"/>
      <w:lvlJc w:val="left"/>
      <w:pPr>
        <w:tabs>
          <w:tab w:val="num" w:pos="2880"/>
        </w:tabs>
        <w:ind w:left="2880" w:hanging="360"/>
      </w:pPr>
      <w:rPr>
        <w:rFonts w:ascii="Courier New" w:hAnsi="Courier New" w:cs="Courier New" w:hint="default"/>
      </w:rPr>
    </w:lvl>
    <w:lvl w:ilvl="5" w:tplc="C67E881E" w:tentative="1">
      <w:start w:val="1"/>
      <w:numFmt w:val="bullet"/>
      <w:lvlText w:val=""/>
      <w:lvlJc w:val="left"/>
      <w:pPr>
        <w:tabs>
          <w:tab w:val="num" w:pos="3600"/>
        </w:tabs>
        <w:ind w:left="3600" w:hanging="360"/>
      </w:pPr>
      <w:rPr>
        <w:rFonts w:ascii="Wingdings" w:hAnsi="Wingdings" w:hint="default"/>
      </w:rPr>
    </w:lvl>
    <w:lvl w:ilvl="6" w:tplc="6C4629F6" w:tentative="1">
      <w:start w:val="1"/>
      <w:numFmt w:val="bullet"/>
      <w:lvlText w:val=""/>
      <w:lvlJc w:val="left"/>
      <w:pPr>
        <w:tabs>
          <w:tab w:val="num" w:pos="4320"/>
        </w:tabs>
        <w:ind w:left="4320" w:hanging="360"/>
      </w:pPr>
      <w:rPr>
        <w:rFonts w:ascii="Symbol" w:hAnsi="Symbol" w:hint="default"/>
      </w:rPr>
    </w:lvl>
    <w:lvl w:ilvl="7" w:tplc="0B922692" w:tentative="1">
      <w:start w:val="1"/>
      <w:numFmt w:val="bullet"/>
      <w:lvlText w:val="o"/>
      <w:lvlJc w:val="left"/>
      <w:pPr>
        <w:tabs>
          <w:tab w:val="num" w:pos="5040"/>
        </w:tabs>
        <w:ind w:left="5040" w:hanging="360"/>
      </w:pPr>
      <w:rPr>
        <w:rFonts w:ascii="Courier New" w:hAnsi="Courier New" w:cs="Courier New" w:hint="default"/>
      </w:rPr>
    </w:lvl>
    <w:lvl w:ilvl="8" w:tplc="1014226C" w:tentative="1">
      <w:start w:val="1"/>
      <w:numFmt w:val="bullet"/>
      <w:lvlText w:val=""/>
      <w:lvlJc w:val="left"/>
      <w:pPr>
        <w:tabs>
          <w:tab w:val="num" w:pos="5760"/>
        </w:tabs>
        <w:ind w:left="5760" w:hanging="360"/>
      </w:pPr>
      <w:rPr>
        <w:rFonts w:ascii="Wingdings" w:hAnsi="Wingdings" w:hint="default"/>
      </w:r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12"/>
  </w:num>
  <w:num w:numId="3">
    <w:abstractNumId w:val="6"/>
  </w:num>
  <w:num w:numId="4">
    <w:abstractNumId w:val="11"/>
  </w:num>
  <w:num w:numId="5">
    <w:abstractNumId w:val="14"/>
  </w:num>
  <w:num w:numId="6">
    <w:abstractNumId w:val="3"/>
  </w:num>
  <w:num w:numId="7">
    <w:abstractNumId w:val="6"/>
    <w:lvlOverride w:ilvl="0">
      <w:startOverride w:val="4"/>
    </w:lvlOverride>
  </w:num>
  <w:num w:numId="8">
    <w:abstractNumId w:val="10"/>
  </w:num>
  <w:num w:numId="9">
    <w:abstractNumId w:val="5"/>
  </w:num>
  <w:num w:numId="10">
    <w:abstractNumId w:val="1"/>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9"/>
  </w:num>
  <w:num w:numId="20">
    <w:abstractNumId w:val="9"/>
    <w:lvlOverride w:ilvl="0">
      <w:startOverride w:val="1"/>
    </w:lvlOverride>
  </w:num>
  <w:num w:numId="21">
    <w:abstractNumId w:val="9"/>
  </w:num>
  <w:num w:numId="22">
    <w:abstractNumId w:val="9"/>
  </w:num>
  <w:num w:numId="23">
    <w:abstractNumId w:val="13"/>
  </w:num>
  <w:num w:numId="24">
    <w:abstractNumId w:val="12"/>
  </w:num>
  <w:num w:numId="25">
    <w:abstractNumId w:val="12"/>
  </w:num>
  <w:num w:numId="26">
    <w:abstractNumId w:val="6"/>
  </w:num>
  <w:num w:numId="27">
    <w:abstractNumId w:val="0"/>
  </w:num>
  <w:num w:numId="28">
    <w:abstractNumId w:val="2"/>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7"/>
  </w:num>
  <w:num w:numId="33">
    <w:abstractNumId w:val="8"/>
  </w:num>
  <w:num w:numId="34">
    <w:abstractNumId w:val="12"/>
    <w:lvlOverride w:ilvl="0">
      <w:startOverride w:val="1"/>
    </w:lvlOverride>
  </w:num>
  <w:num w:numId="35">
    <w:abstractNumId w:val="12"/>
    <w:lvlOverride w:ilvl="0">
      <w:startOverride w:val="1"/>
    </w:lvlOverride>
  </w:num>
  <w:num w:numId="36">
    <w:abstractNumId w:val="12"/>
    <w:lvlOverride w:ilvl="0">
      <w:startOverride w:val="1"/>
    </w:lvlOverride>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6A"/>
    <w:rsid w:val="000016E1"/>
    <w:rsid w:val="0000586F"/>
    <w:rsid w:val="00007AAD"/>
    <w:rsid w:val="00012288"/>
    <w:rsid w:val="0001522D"/>
    <w:rsid w:val="0002786A"/>
    <w:rsid w:val="00033AF1"/>
    <w:rsid w:val="00037918"/>
    <w:rsid w:val="0004350D"/>
    <w:rsid w:val="00050FA1"/>
    <w:rsid w:val="00052572"/>
    <w:rsid w:val="00081D3C"/>
    <w:rsid w:val="000954AC"/>
    <w:rsid w:val="000A2E70"/>
    <w:rsid w:val="000A61DE"/>
    <w:rsid w:val="000B3EE8"/>
    <w:rsid w:val="000B481B"/>
    <w:rsid w:val="000B6660"/>
    <w:rsid w:val="000B6751"/>
    <w:rsid w:val="000B76D9"/>
    <w:rsid w:val="000C3605"/>
    <w:rsid w:val="000D15D1"/>
    <w:rsid w:val="000D583E"/>
    <w:rsid w:val="000E1A88"/>
    <w:rsid w:val="000E3B4F"/>
    <w:rsid w:val="000E4F69"/>
    <w:rsid w:val="00101EC5"/>
    <w:rsid w:val="001023F3"/>
    <w:rsid w:val="00107476"/>
    <w:rsid w:val="001126D6"/>
    <w:rsid w:val="00113ED1"/>
    <w:rsid w:val="0011785B"/>
    <w:rsid w:val="00117DE1"/>
    <w:rsid w:val="00120A69"/>
    <w:rsid w:val="0013362D"/>
    <w:rsid w:val="0014187E"/>
    <w:rsid w:val="00141B4C"/>
    <w:rsid w:val="00150084"/>
    <w:rsid w:val="00162B75"/>
    <w:rsid w:val="001632D7"/>
    <w:rsid w:val="001657A8"/>
    <w:rsid w:val="00167742"/>
    <w:rsid w:val="00170745"/>
    <w:rsid w:val="0017453D"/>
    <w:rsid w:val="001A3A69"/>
    <w:rsid w:val="001B1BD2"/>
    <w:rsid w:val="001B6556"/>
    <w:rsid w:val="001C451D"/>
    <w:rsid w:val="001D22DF"/>
    <w:rsid w:val="001D3C9C"/>
    <w:rsid w:val="001D425F"/>
    <w:rsid w:val="001D6166"/>
    <w:rsid w:val="001D684C"/>
    <w:rsid w:val="001E1B55"/>
    <w:rsid w:val="001F59EE"/>
    <w:rsid w:val="001F6F35"/>
    <w:rsid w:val="001F7E1D"/>
    <w:rsid w:val="00204E30"/>
    <w:rsid w:val="00211E8A"/>
    <w:rsid w:val="00213BF5"/>
    <w:rsid w:val="00220306"/>
    <w:rsid w:val="002205A6"/>
    <w:rsid w:val="00224711"/>
    <w:rsid w:val="00226363"/>
    <w:rsid w:val="0023012C"/>
    <w:rsid w:val="00230B22"/>
    <w:rsid w:val="00231640"/>
    <w:rsid w:val="00233141"/>
    <w:rsid w:val="002424CB"/>
    <w:rsid w:val="00253E1A"/>
    <w:rsid w:val="002575BD"/>
    <w:rsid w:val="00260161"/>
    <w:rsid w:val="0026651D"/>
    <w:rsid w:val="0027329F"/>
    <w:rsid w:val="00273421"/>
    <w:rsid w:val="00275E9C"/>
    <w:rsid w:val="0028477C"/>
    <w:rsid w:val="002A5DA3"/>
    <w:rsid w:val="002B1E27"/>
    <w:rsid w:val="002B57F0"/>
    <w:rsid w:val="002D700B"/>
    <w:rsid w:val="002E17EF"/>
    <w:rsid w:val="002E3C70"/>
    <w:rsid w:val="002F0B26"/>
    <w:rsid w:val="002F3BF8"/>
    <w:rsid w:val="003020CB"/>
    <w:rsid w:val="003064E2"/>
    <w:rsid w:val="00315FFB"/>
    <w:rsid w:val="00324525"/>
    <w:rsid w:val="00326FA4"/>
    <w:rsid w:val="003370EE"/>
    <w:rsid w:val="00343357"/>
    <w:rsid w:val="00345BA5"/>
    <w:rsid w:val="00351F0C"/>
    <w:rsid w:val="00352FC3"/>
    <w:rsid w:val="003635EF"/>
    <w:rsid w:val="00364CF5"/>
    <w:rsid w:val="00370C4E"/>
    <w:rsid w:val="00386622"/>
    <w:rsid w:val="003951D6"/>
    <w:rsid w:val="003A0C39"/>
    <w:rsid w:val="003A2207"/>
    <w:rsid w:val="003B2C90"/>
    <w:rsid w:val="003B57F7"/>
    <w:rsid w:val="003C63E8"/>
    <w:rsid w:val="003D24EE"/>
    <w:rsid w:val="003D73F0"/>
    <w:rsid w:val="003E2CF2"/>
    <w:rsid w:val="003E2DC0"/>
    <w:rsid w:val="003E4598"/>
    <w:rsid w:val="00400841"/>
    <w:rsid w:val="00402212"/>
    <w:rsid w:val="0040777C"/>
    <w:rsid w:val="0041110A"/>
    <w:rsid w:val="00442A6E"/>
    <w:rsid w:val="00446C8B"/>
    <w:rsid w:val="0046052A"/>
    <w:rsid w:val="0046693C"/>
    <w:rsid w:val="00470B80"/>
    <w:rsid w:val="004740A1"/>
    <w:rsid w:val="004848BD"/>
    <w:rsid w:val="00496C6E"/>
    <w:rsid w:val="00496ED8"/>
    <w:rsid w:val="004A65D1"/>
    <w:rsid w:val="004A7437"/>
    <w:rsid w:val="004B1B9D"/>
    <w:rsid w:val="004B27DB"/>
    <w:rsid w:val="004B3938"/>
    <w:rsid w:val="004B77A8"/>
    <w:rsid w:val="004C0BD6"/>
    <w:rsid w:val="004C4F65"/>
    <w:rsid w:val="004C55FE"/>
    <w:rsid w:val="004C60AD"/>
    <w:rsid w:val="004D2047"/>
    <w:rsid w:val="004E3FCC"/>
    <w:rsid w:val="004F5BEA"/>
    <w:rsid w:val="004F5BF9"/>
    <w:rsid w:val="004F732A"/>
    <w:rsid w:val="00505EF0"/>
    <w:rsid w:val="00511089"/>
    <w:rsid w:val="00512F84"/>
    <w:rsid w:val="0052560F"/>
    <w:rsid w:val="00527776"/>
    <w:rsid w:val="00531A5B"/>
    <w:rsid w:val="00532F84"/>
    <w:rsid w:val="00535B19"/>
    <w:rsid w:val="0054037F"/>
    <w:rsid w:val="005549B6"/>
    <w:rsid w:val="00572E0F"/>
    <w:rsid w:val="00572F6A"/>
    <w:rsid w:val="005748F9"/>
    <w:rsid w:val="00580F55"/>
    <w:rsid w:val="00582948"/>
    <w:rsid w:val="00586C0A"/>
    <w:rsid w:val="00587767"/>
    <w:rsid w:val="005A020F"/>
    <w:rsid w:val="005C4E5E"/>
    <w:rsid w:val="005C57FD"/>
    <w:rsid w:val="005D1B9E"/>
    <w:rsid w:val="005F6516"/>
    <w:rsid w:val="0060268B"/>
    <w:rsid w:val="00602767"/>
    <w:rsid w:val="00603712"/>
    <w:rsid w:val="00603A67"/>
    <w:rsid w:val="00626959"/>
    <w:rsid w:val="006271D6"/>
    <w:rsid w:val="00631046"/>
    <w:rsid w:val="00633AEB"/>
    <w:rsid w:val="00646A40"/>
    <w:rsid w:val="00646E80"/>
    <w:rsid w:val="00650D12"/>
    <w:rsid w:val="00667B34"/>
    <w:rsid w:val="00672292"/>
    <w:rsid w:val="00680D54"/>
    <w:rsid w:val="00693EE5"/>
    <w:rsid w:val="00696246"/>
    <w:rsid w:val="006A36FE"/>
    <w:rsid w:val="006C1FBD"/>
    <w:rsid w:val="006C4AA4"/>
    <w:rsid w:val="006D065E"/>
    <w:rsid w:val="006D7EBE"/>
    <w:rsid w:val="006E5929"/>
    <w:rsid w:val="006E7CAE"/>
    <w:rsid w:val="006E7F9F"/>
    <w:rsid w:val="006F209A"/>
    <w:rsid w:val="006F25D5"/>
    <w:rsid w:val="006F3F03"/>
    <w:rsid w:val="006F3F0E"/>
    <w:rsid w:val="00703C53"/>
    <w:rsid w:val="00703CDF"/>
    <w:rsid w:val="007073FD"/>
    <w:rsid w:val="007075BA"/>
    <w:rsid w:val="00715EAC"/>
    <w:rsid w:val="00743E30"/>
    <w:rsid w:val="00746342"/>
    <w:rsid w:val="007470B1"/>
    <w:rsid w:val="007529FC"/>
    <w:rsid w:val="0076031E"/>
    <w:rsid w:val="007743B2"/>
    <w:rsid w:val="00774FA5"/>
    <w:rsid w:val="00781D40"/>
    <w:rsid w:val="00782AAD"/>
    <w:rsid w:val="00796C8B"/>
    <w:rsid w:val="007B29A9"/>
    <w:rsid w:val="007B2BD2"/>
    <w:rsid w:val="007B7CA8"/>
    <w:rsid w:val="007C3733"/>
    <w:rsid w:val="007C6ECC"/>
    <w:rsid w:val="007D092F"/>
    <w:rsid w:val="007D2634"/>
    <w:rsid w:val="007D3DF6"/>
    <w:rsid w:val="007D7E00"/>
    <w:rsid w:val="007E4C1C"/>
    <w:rsid w:val="007E515C"/>
    <w:rsid w:val="007F01EF"/>
    <w:rsid w:val="007F1F49"/>
    <w:rsid w:val="00800E0B"/>
    <w:rsid w:val="00805C8D"/>
    <w:rsid w:val="00805F1D"/>
    <w:rsid w:val="008104B1"/>
    <w:rsid w:val="00814C80"/>
    <w:rsid w:val="0081557C"/>
    <w:rsid w:val="00817875"/>
    <w:rsid w:val="00820650"/>
    <w:rsid w:val="00825570"/>
    <w:rsid w:val="008259DC"/>
    <w:rsid w:val="00840007"/>
    <w:rsid w:val="008436AA"/>
    <w:rsid w:val="00843DAC"/>
    <w:rsid w:val="008457DF"/>
    <w:rsid w:val="0085711A"/>
    <w:rsid w:val="00863F72"/>
    <w:rsid w:val="0087193B"/>
    <w:rsid w:val="008745A6"/>
    <w:rsid w:val="00874645"/>
    <w:rsid w:val="008766C5"/>
    <w:rsid w:val="00882CF2"/>
    <w:rsid w:val="008A489F"/>
    <w:rsid w:val="008B33B7"/>
    <w:rsid w:val="008B6770"/>
    <w:rsid w:val="008C79E2"/>
    <w:rsid w:val="008D29AE"/>
    <w:rsid w:val="008D35B5"/>
    <w:rsid w:val="008E00FF"/>
    <w:rsid w:val="008E131F"/>
    <w:rsid w:val="008E1643"/>
    <w:rsid w:val="00907FDC"/>
    <w:rsid w:val="0091148C"/>
    <w:rsid w:val="00922CEF"/>
    <w:rsid w:val="0093161D"/>
    <w:rsid w:val="00933569"/>
    <w:rsid w:val="009366C2"/>
    <w:rsid w:val="009366DD"/>
    <w:rsid w:val="0095000B"/>
    <w:rsid w:val="009620B6"/>
    <w:rsid w:val="00962CEB"/>
    <w:rsid w:val="009742C9"/>
    <w:rsid w:val="00975348"/>
    <w:rsid w:val="009764B7"/>
    <w:rsid w:val="0099008D"/>
    <w:rsid w:val="00992BCC"/>
    <w:rsid w:val="009A0098"/>
    <w:rsid w:val="009A05BC"/>
    <w:rsid w:val="009A255C"/>
    <w:rsid w:val="009A4374"/>
    <w:rsid w:val="009A5BCE"/>
    <w:rsid w:val="009A65E0"/>
    <w:rsid w:val="009C1EDE"/>
    <w:rsid w:val="009C26B6"/>
    <w:rsid w:val="009C4D01"/>
    <w:rsid w:val="009C62BD"/>
    <w:rsid w:val="009D1890"/>
    <w:rsid w:val="009D5895"/>
    <w:rsid w:val="009E0338"/>
    <w:rsid w:val="009E5062"/>
    <w:rsid w:val="009F6D4B"/>
    <w:rsid w:val="00A022E5"/>
    <w:rsid w:val="00A159DF"/>
    <w:rsid w:val="00A17DC4"/>
    <w:rsid w:val="00A2341C"/>
    <w:rsid w:val="00A26DE4"/>
    <w:rsid w:val="00A3129D"/>
    <w:rsid w:val="00A34105"/>
    <w:rsid w:val="00A418F6"/>
    <w:rsid w:val="00A4589C"/>
    <w:rsid w:val="00A536FB"/>
    <w:rsid w:val="00A56722"/>
    <w:rsid w:val="00A62B8C"/>
    <w:rsid w:val="00A70E0C"/>
    <w:rsid w:val="00A73BB1"/>
    <w:rsid w:val="00A75728"/>
    <w:rsid w:val="00A76189"/>
    <w:rsid w:val="00A76C93"/>
    <w:rsid w:val="00A819E2"/>
    <w:rsid w:val="00A81E81"/>
    <w:rsid w:val="00A93E71"/>
    <w:rsid w:val="00A97BB8"/>
    <w:rsid w:val="00AA167C"/>
    <w:rsid w:val="00AA64B9"/>
    <w:rsid w:val="00AB5B4C"/>
    <w:rsid w:val="00AD0908"/>
    <w:rsid w:val="00AD2751"/>
    <w:rsid w:val="00AE38FF"/>
    <w:rsid w:val="00AE4B11"/>
    <w:rsid w:val="00AE7B17"/>
    <w:rsid w:val="00AF37E7"/>
    <w:rsid w:val="00AF40A6"/>
    <w:rsid w:val="00B021F3"/>
    <w:rsid w:val="00B07CA5"/>
    <w:rsid w:val="00B11274"/>
    <w:rsid w:val="00B153EB"/>
    <w:rsid w:val="00B1580E"/>
    <w:rsid w:val="00B221E4"/>
    <w:rsid w:val="00B25A2F"/>
    <w:rsid w:val="00B32E6A"/>
    <w:rsid w:val="00B36128"/>
    <w:rsid w:val="00B36FD2"/>
    <w:rsid w:val="00B41231"/>
    <w:rsid w:val="00B47BF6"/>
    <w:rsid w:val="00B57B79"/>
    <w:rsid w:val="00B667BF"/>
    <w:rsid w:val="00B85A7E"/>
    <w:rsid w:val="00B97463"/>
    <w:rsid w:val="00BA1CD5"/>
    <w:rsid w:val="00BA200A"/>
    <w:rsid w:val="00BB0556"/>
    <w:rsid w:val="00BB0FA3"/>
    <w:rsid w:val="00BD48C6"/>
    <w:rsid w:val="00BE2748"/>
    <w:rsid w:val="00BE3EE0"/>
    <w:rsid w:val="00BE5AC0"/>
    <w:rsid w:val="00C01990"/>
    <w:rsid w:val="00C11988"/>
    <w:rsid w:val="00C2382C"/>
    <w:rsid w:val="00C33852"/>
    <w:rsid w:val="00C50518"/>
    <w:rsid w:val="00C53B0F"/>
    <w:rsid w:val="00C6490D"/>
    <w:rsid w:val="00C71B8E"/>
    <w:rsid w:val="00C724B4"/>
    <w:rsid w:val="00C746B0"/>
    <w:rsid w:val="00C821D1"/>
    <w:rsid w:val="00C84ED0"/>
    <w:rsid w:val="00CA0261"/>
    <w:rsid w:val="00CA3E64"/>
    <w:rsid w:val="00CB3924"/>
    <w:rsid w:val="00CC0C75"/>
    <w:rsid w:val="00CC5021"/>
    <w:rsid w:val="00CC649F"/>
    <w:rsid w:val="00CC64E4"/>
    <w:rsid w:val="00CE4E43"/>
    <w:rsid w:val="00CF1340"/>
    <w:rsid w:val="00CF713D"/>
    <w:rsid w:val="00D10EFA"/>
    <w:rsid w:val="00D20ED0"/>
    <w:rsid w:val="00D21C09"/>
    <w:rsid w:val="00D23C78"/>
    <w:rsid w:val="00D32D56"/>
    <w:rsid w:val="00D35C4B"/>
    <w:rsid w:val="00D545C9"/>
    <w:rsid w:val="00D579AE"/>
    <w:rsid w:val="00D628C6"/>
    <w:rsid w:val="00D71D8B"/>
    <w:rsid w:val="00D72FA0"/>
    <w:rsid w:val="00D86778"/>
    <w:rsid w:val="00D90911"/>
    <w:rsid w:val="00D91276"/>
    <w:rsid w:val="00D9218E"/>
    <w:rsid w:val="00D96743"/>
    <w:rsid w:val="00DA1263"/>
    <w:rsid w:val="00DA40E2"/>
    <w:rsid w:val="00DA60DA"/>
    <w:rsid w:val="00DB0032"/>
    <w:rsid w:val="00DB0949"/>
    <w:rsid w:val="00DB2704"/>
    <w:rsid w:val="00DB3B3C"/>
    <w:rsid w:val="00DB6C3D"/>
    <w:rsid w:val="00DC0DF7"/>
    <w:rsid w:val="00DC267A"/>
    <w:rsid w:val="00DC41F2"/>
    <w:rsid w:val="00DC4A2D"/>
    <w:rsid w:val="00DD0A30"/>
    <w:rsid w:val="00DD1BFE"/>
    <w:rsid w:val="00DD4D21"/>
    <w:rsid w:val="00DD559C"/>
    <w:rsid w:val="00DD5DF0"/>
    <w:rsid w:val="00DE1AFC"/>
    <w:rsid w:val="00DE2FB5"/>
    <w:rsid w:val="00E006B9"/>
    <w:rsid w:val="00E051DA"/>
    <w:rsid w:val="00E1178E"/>
    <w:rsid w:val="00E128CB"/>
    <w:rsid w:val="00E16E6B"/>
    <w:rsid w:val="00E2169A"/>
    <w:rsid w:val="00E244F3"/>
    <w:rsid w:val="00E302BA"/>
    <w:rsid w:val="00E321F6"/>
    <w:rsid w:val="00E373AD"/>
    <w:rsid w:val="00E42D1F"/>
    <w:rsid w:val="00E560AD"/>
    <w:rsid w:val="00E62684"/>
    <w:rsid w:val="00E65939"/>
    <w:rsid w:val="00E65ABC"/>
    <w:rsid w:val="00E756B5"/>
    <w:rsid w:val="00E902DB"/>
    <w:rsid w:val="00EA7C9F"/>
    <w:rsid w:val="00EB056D"/>
    <w:rsid w:val="00EB2012"/>
    <w:rsid w:val="00EB2D9B"/>
    <w:rsid w:val="00EB3236"/>
    <w:rsid w:val="00EB40F0"/>
    <w:rsid w:val="00EB4497"/>
    <w:rsid w:val="00EB464C"/>
    <w:rsid w:val="00EC0133"/>
    <w:rsid w:val="00EC42E7"/>
    <w:rsid w:val="00EC7612"/>
    <w:rsid w:val="00ED2FD0"/>
    <w:rsid w:val="00ED4C49"/>
    <w:rsid w:val="00ED6CA9"/>
    <w:rsid w:val="00EE040E"/>
    <w:rsid w:val="00EE6B15"/>
    <w:rsid w:val="00F01CE1"/>
    <w:rsid w:val="00F02B6F"/>
    <w:rsid w:val="00F07E16"/>
    <w:rsid w:val="00F1189C"/>
    <w:rsid w:val="00F20F1A"/>
    <w:rsid w:val="00F21D18"/>
    <w:rsid w:val="00F26CD0"/>
    <w:rsid w:val="00F45194"/>
    <w:rsid w:val="00F55797"/>
    <w:rsid w:val="00F672A8"/>
    <w:rsid w:val="00F7382B"/>
    <w:rsid w:val="00F760F6"/>
    <w:rsid w:val="00F82FCB"/>
    <w:rsid w:val="00F83322"/>
    <w:rsid w:val="00F8539C"/>
    <w:rsid w:val="00FA0B91"/>
    <w:rsid w:val="00FA0CAC"/>
    <w:rsid w:val="00FB0618"/>
    <w:rsid w:val="00FB131D"/>
    <w:rsid w:val="00FC17A9"/>
    <w:rsid w:val="00FE1FFE"/>
    <w:rsid w:val="00FF18ED"/>
    <w:rsid w:val="00FF2B43"/>
    <w:rsid w:val="00FF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FR,Style 17,Footnote Reference/,Style 6"/>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 w:type="paragraph" w:styleId="ListParagraph">
    <w:name w:val="List Paragraph"/>
    <w:basedOn w:val="Normal"/>
    <w:uiPriority w:val="34"/>
    <w:qFormat/>
    <w:rsid w:val="0041110A"/>
    <w:pPr>
      <w:widowControl/>
      <w:ind w:left="720"/>
      <w:contextualSpacing/>
    </w:pPr>
    <w:rPr>
      <w:snapToGrid/>
      <w:kern w:val="0"/>
      <w:sz w:val="20"/>
    </w:rPr>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
    <w:locked/>
    <w:rsid w:val="00646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FR,Style 17,Footnote Reference/,Style 6"/>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 w:type="paragraph" w:styleId="ListParagraph">
    <w:name w:val="List Paragraph"/>
    <w:basedOn w:val="Normal"/>
    <w:uiPriority w:val="34"/>
    <w:qFormat/>
    <w:rsid w:val="0041110A"/>
    <w:pPr>
      <w:widowControl/>
      <w:ind w:left="720"/>
      <w:contextualSpacing/>
    </w:pPr>
    <w:rPr>
      <w:snapToGrid/>
      <w:kern w:val="0"/>
      <w:sz w:val="20"/>
    </w:rPr>
  </w:style>
  <w:style w:type="character" w:customStyle="1" w:styleId="FootnoteTextChar1Char1Char">
    <w:name w:val="Footnote Text Char1 Char1 Char"/>
    <w:aliases w:val="Footnote Text Char Char1 Char Char,Footnote Text Char1 Char1 Char Char Char,Footnote Text Char Char1 Char Char Char Char,Footnote Text Char2 Char Char1 Char Char Char Char"/>
    <w:locked/>
    <w:rsid w:val="0064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165">
      <w:bodyDiv w:val="1"/>
      <w:marLeft w:val="0"/>
      <w:marRight w:val="0"/>
      <w:marTop w:val="0"/>
      <w:marBottom w:val="0"/>
      <w:divBdr>
        <w:top w:val="none" w:sz="0" w:space="0" w:color="auto"/>
        <w:left w:val="none" w:sz="0" w:space="0" w:color="auto"/>
        <w:bottom w:val="none" w:sz="0" w:space="0" w:color="auto"/>
        <w:right w:val="none" w:sz="0" w:space="0" w:color="auto"/>
      </w:divBdr>
    </w:div>
    <w:div w:id="119736906">
      <w:bodyDiv w:val="1"/>
      <w:marLeft w:val="0"/>
      <w:marRight w:val="0"/>
      <w:marTop w:val="0"/>
      <w:marBottom w:val="0"/>
      <w:divBdr>
        <w:top w:val="none" w:sz="0" w:space="0" w:color="auto"/>
        <w:left w:val="none" w:sz="0" w:space="0" w:color="auto"/>
        <w:bottom w:val="none" w:sz="0" w:space="0" w:color="auto"/>
        <w:right w:val="none" w:sz="0" w:space="0" w:color="auto"/>
      </w:divBdr>
    </w:div>
    <w:div w:id="164128461">
      <w:bodyDiv w:val="1"/>
      <w:marLeft w:val="0"/>
      <w:marRight w:val="0"/>
      <w:marTop w:val="0"/>
      <w:marBottom w:val="0"/>
      <w:divBdr>
        <w:top w:val="none" w:sz="0" w:space="0" w:color="auto"/>
        <w:left w:val="none" w:sz="0" w:space="0" w:color="auto"/>
        <w:bottom w:val="none" w:sz="0" w:space="0" w:color="auto"/>
        <w:right w:val="none" w:sz="0" w:space="0" w:color="auto"/>
      </w:divBdr>
      <w:divsChild>
        <w:div w:id="1995141735">
          <w:marLeft w:val="0"/>
          <w:marRight w:val="0"/>
          <w:marTop w:val="0"/>
          <w:marBottom w:val="0"/>
          <w:divBdr>
            <w:top w:val="none" w:sz="0" w:space="0" w:color="auto"/>
            <w:left w:val="single" w:sz="6" w:space="0" w:color="BBBBBB"/>
            <w:bottom w:val="single" w:sz="6" w:space="0" w:color="BBBBBB"/>
            <w:right w:val="single" w:sz="6" w:space="0" w:color="BBBBBB"/>
          </w:divBdr>
          <w:divsChild>
            <w:div w:id="546375957">
              <w:marLeft w:val="0"/>
              <w:marRight w:val="0"/>
              <w:marTop w:val="0"/>
              <w:marBottom w:val="0"/>
              <w:divBdr>
                <w:top w:val="none" w:sz="0" w:space="0" w:color="auto"/>
                <w:left w:val="none" w:sz="0" w:space="0" w:color="auto"/>
                <w:bottom w:val="none" w:sz="0" w:space="0" w:color="auto"/>
                <w:right w:val="none" w:sz="0" w:space="0" w:color="auto"/>
              </w:divBdr>
              <w:divsChild>
                <w:div w:id="1148086360">
                  <w:marLeft w:val="0"/>
                  <w:marRight w:val="0"/>
                  <w:marTop w:val="75"/>
                  <w:marBottom w:val="0"/>
                  <w:divBdr>
                    <w:top w:val="none" w:sz="0" w:space="0" w:color="auto"/>
                    <w:left w:val="none" w:sz="0" w:space="0" w:color="auto"/>
                    <w:bottom w:val="none" w:sz="0" w:space="0" w:color="auto"/>
                    <w:right w:val="none" w:sz="0" w:space="0" w:color="auto"/>
                  </w:divBdr>
                  <w:divsChild>
                    <w:div w:id="2112123523">
                      <w:marLeft w:val="0"/>
                      <w:marRight w:val="0"/>
                      <w:marTop w:val="0"/>
                      <w:marBottom w:val="0"/>
                      <w:divBdr>
                        <w:top w:val="none" w:sz="0" w:space="0" w:color="auto"/>
                        <w:left w:val="none" w:sz="0" w:space="0" w:color="auto"/>
                        <w:bottom w:val="none" w:sz="0" w:space="0" w:color="auto"/>
                        <w:right w:val="none" w:sz="0" w:space="0" w:color="auto"/>
                      </w:divBdr>
                      <w:divsChild>
                        <w:div w:id="1407072143">
                          <w:marLeft w:val="0"/>
                          <w:marRight w:val="0"/>
                          <w:marTop w:val="0"/>
                          <w:marBottom w:val="0"/>
                          <w:divBdr>
                            <w:top w:val="none" w:sz="0" w:space="0" w:color="auto"/>
                            <w:left w:val="none" w:sz="0" w:space="0" w:color="auto"/>
                            <w:bottom w:val="none" w:sz="0" w:space="0" w:color="auto"/>
                            <w:right w:val="none" w:sz="0" w:space="0" w:color="auto"/>
                          </w:divBdr>
                          <w:divsChild>
                            <w:div w:id="1213931274">
                              <w:marLeft w:val="0"/>
                              <w:marRight w:val="0"/>
                              <w:marTop w:val="0"/>
                              <w:marBottom w:val="0"/>
                              <w:divBdr>
                                <w:top w:val="none" w:sz="0" w:space="0" w:color="auto"/>
                                <w:left w:val="none" w:sz="0" w:space="0" w:color="auto"/>
                                <w:bottom w:val="none" w:sz="0" w:space="0" w:color="auto"/>
                                <w:right w:val="none" w:sz="0" w:space="0" w:color="auto"/>
                              </w:divBdr>
                              <w:divsChild>
                                <w:div w:id="110520616">
                                  <w:marLeft w:val="0"/>
                                  <w:marRight w:val="0"/>
                                  <w:marTop w:val="0"/>
                                  <w:marBottom w:val="0"/>
                                  <w:divBdr>
                                    <w:top w:val="none" w:sz="0" w:space="0" w:color="auto"/>
                                    <w:left w:val="none" w:sz="0" w:space="0" w:color="auto"/>
                                    <w:bottom w:val="none" w:sz="0" w:space="0" w:color="auto"/>
                                    <w:right w:val="none" w:sz="0" w:space="0" w:color="auto"/>
                                  </w:divBdr>
                                  <w:divsChild>
                                    <w:div w:id="1506017557">
                                      <w:marLeft w:val="0"/>
                                      <w:marRight w:val="0"/>
                                      <w:marTop w:val="0"/>
                                      <w:marBottom w:val="0"/>
                                      <w:divBdr>
                                        <w:top w:val="none" w:sz="0" w:space="0" w:color="auto"/>
                                        <w:left w:val="none" w:sz="0" w:space="0" w:color="auto"/>
                                        <w:bottom w:val="none" w:sz="0" w:space="0" w:color="auto"/>
                                        <w:right w:val="none" w:sz="0" w:space="0" w:color="auto"/>
                                      </w:divBdr>
                                      <w:divsChild>
                                        <w:div w:id="2054381677">
                                          <w:marLeft w:val="1200"/>
                                          <w:marRight w:val="1200"/>
                                          <w:marTop w:val="0"/>
                                          <w:marBottom w:val="0"/>
                                          <w:divBdr>
                                            <w:top w:val="none" w:sz="0" w:space="0" w:color="auto"/>
                                            <w:left w:val="none" w:sz="0" w:space="0" w:color="auto"/>
                                            <w:bottom w:val="none" w:sz="0" w:space="0" w:color="auto"/>
                                            <w:right w:val="none" w:sz="0" w:space="0" w:color="auto"/>
                                          </w:divBdr>
                                          <w:divsChild>
                                            <w:div w:id="23336267">
                                              <w:marLeft w:val="0"/>
                                              <w:marRight w:val="0"/>
                                              <w:marTop w:val="0"/>
                                              <w:marBottom w:val="0"/>
                                              <w:divBdr>
                                                <w:top w:val="none" w:sz="0" w:space="0" w:color="auto"/>
                                                <w:left w:val="none" w:sz="0" w:space="0" w:color="auto"/>
                                                <w:bottom w:val="none" w:sz="0" w:space="0" w:color="auto"/>
                                                <w:right w:val="none" w:sz="0" w:space="0" w:color="auto"/>
                                              </w:divBdr>
                                              <w:divsChild>
                                                <w:div w:id="2140024462">
                                                  <w:marLeft w:val="0"/>
                                                  <w:marRight w:val="0"/>
                                                  <w:marTop w:val="0"/>
                                                  <w:marBottom w:val="0"/>
                                                  <w:divBdr>
                                                    <w:top w:val="none" w:sz="0" w:space="0" w:color="auto"/>
                                                    <w:left w:val="none" w:sz="0" w:space="0" w:color="auto"/>
                                                    <w:bottom w:val="none" w:sz="0" w:space="0" w:color="auto"/>
                                                    <w:right w:val="none" w:sz="0" w:space="0" w:color="auto"/>
                                                  </w:divBdr>
                                                  <w:divsChild>
                                                    <w:div w:id="105581989">
                                                      <w:marLeft w:val="0"/>
                                                      <w:marRight w:val="0"/>
                                                      <w:marTop w:val="240"/>
                                                      <w:marBottom w:val="240"/>
                                                      <w:divBdr>
                                                        <w:top w:val="none" w:sz="0" w:space="0" w:color="auto"/>
                                                        <w:left w:val="none" w:sz="0" w:space="0" w:color="auto"/>
                                                        <w:bottom w:val="none" w:sz="0" w:space="0" w:color="auto"/>
                                                        <w:right w:val="none" w:sz="0" w:space="0" w:color="auto"/>
                                                      </w:divBdr>
                                                    </w:div>
                                                    <w:div w:id="988705636">
                                                      <w:marLeft w:val="0"/>
                                                      <w:marRight w:val="0"/>
                                                      <w:marTop w:val="0"/>
                                                      <w:marBottom w:val="0"/>
                                                      <w:divBdr>
                                                        <w:top w:val="none" w:sz="0" w:space="0" w:color="auto"/>
                                                        <w:left w:val="none" w:sz="0" w:space="0" w:color="auto"/>
                                                        <w:bottom w:val="none" w:sz="0" w:space="0" w:color="auto"/>
                                                        <w:right w:val="none" w:sz="0" w:space="0" w:color="auto"/>
                                                      </w:divBdr>
                                                      <w:divsChild>
                                                        <w:div w:id="1884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193083492">
      <w:bodyDiv w:val="1"/>
      <w:marLeft w:val="0"/>
      <w:marRight w:val="0"/>
      <w:marTop w:val="0"/>
      <w:marBottom w:val="0"/>
      <w:divBdr>
        <w:top w:val="none" w:sz="0" w:space="0" w:color="auto"/>
        <w:left w:val="none" w:sz="0" w:space="0" w:color="auto"/>
        <w:bottom w:val="none" w:sz="0" w:space="0" w:color="auto"/>
        <w:right w:val="none" w:sz="0" w:space="0" w:color="auto"/>
      </w:divBdr>
    </w:div>
    <w:div w:id="235215006">
      <w:bodyDiv w:val="1"/>
      <w:marLeft w:val="0"/>
      <w:marRight w:val="0"/>
      <w:marTop w:val="0"/>
      <w:marBottom w:val="0"/>
      <w:divBdr>
        <w:top w:val="none" w:sz="0" w:space="0" w:color="auto"/>
        <w:left w:val="none" w:sz="0" w:space="0" w:color="auto"/>
        <w:bottom w:val="none" w:sz="0" w:space="0" w:color="auto"/>
        <w:right w:val="none" w:sz="0" w:space="0" w:color="auto"/>
      </w:divBdr>
      <w:divsChild>
        <w:div w:id="1246525692">
          <w:marLeft w:val="0"/>
          <w:marRight w:val="0"/>
          <w:marTop w:val="0"/>
          <w:marBottom w:val="0"/>
          <w:divBdr>
            <w:top w:val="none" w:sz="0" w:space="0" w:color="auto"/>
            <w:left w:val="none" w:sz="0" w:space="0" w:color="auto"/>
            <w:bottom w:val="none" w:sz="0" w:space="0" w:color="auto"/>
            <w:right w:val="none" w:sz="0" w:space="0" w:color="auto"/>
          </w:divBdr>
          <w:divsChild>
            <w:div w:id="4030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491">
      <w:bodyDiv w:val="1"/>
      <w:marLeft w:val="0"/>
      <w:marRight w:val="0"/>
      <w:marTop w:val="0"/>
      <w:marBottom w:val="0"/>
      <w:divBdr>
        <w:top w:val="none" w:sz="0" w:space="0" w:color="auto"/>
        <w:left w:val="none" w:sz="0" w:space="0" w:color="auto"/>
        <w:bottom w:val="none" w:sz="0" w:space="0" w:color="auto"/>
        <w:right w:val="none" w:sz="0" w:space="0" w:color="auto"/>
      </w:divBdr>
    </w:div>
    <w:div w:id="514392430">
      <w:bodyDiv w:val="1"/>
      <w:marLeft w:val="0"/>
      <w:marRight w:val="0"/>
      <w:marTop w:val="0"/>
      <w:marBottom w:val="0"/>
      <w:divBdr>
        <w:top w:val="none" w:sz="0" w:space="0" w:color="auto"/>
        <w:left w:val="none" w:sz="0" w:space="0" w:color="auto"/>
        <w:bottom w:val="none" w:sz="0" w:space="0" w:color="auto"/>
        <w:right w:val="none" w:sz="0" w:space="0" w:color="auto"/>
      </w:divBdr>
    </w:div>
    <w:div w:id="535387846">
      <w:bodyDiv w:val="1"/>
      <w:marLeft w:val="0"/>
      <w:marRight w:val="0"/>
      <w:marTop w:val="0"/>
      <w:marBottom w:val="0"/>
      <w:divBdr>
        <w:top w:val="none" w:sz="0" w:space="0" w:color="auto"/>
        <w:left w:val="none" w:sz="0" w:space="0" w:color="auto"/>
        <w:bottom w:val="none" w:sz="0" w:space="0" w:color="auto"/>
        <w:right w:val="none" w:sz="0" w:space="0" w:color="auto"/>
      </w:divBdr>
    </w:div>
    <w:div w:id="633103496">
      <w:bodyDiv w:val="1"/>
      <w:marLeft w:val="0"/>
      <w:marRight w:val="0"/>
      <w:marTop w:val="0"/>
      <w:marBottom w:val="0"/>
      <w:divBdr>
        <w:top w:val="none" w:sz="0" w:space="0" w:color="auto"/>
        <w:left w:val="none" w:sz="0" w:space="0" w:color="auto"/>
        <w:bottom w:val="none" w:sz="0" w:space="0" w:color="auto"/>
        <w:right w:val="none" w:sz="0" w:space="0" w:color="auto"/>
      </w:divBdr>
    </w:div>
    <w:div w:id="698355110">
      <w:bodyDiv w:val="1"/>
      <w:marLeft w:val="30"/>
      <w:marRight w:val="30"/>
      <w:marTop w:val="30"/>
      <w:marBottom w:val="30"/>
      <w:divBdr>
        <w:top w:val="none" w:sz="0" w:space="0" w:color="auto"/>
        <w:left w:val="none" w:sz="0" w:space="0" w:color="auto"/>
        <w:bottom w:val="none" w:sz="0" w:space="0" w:color="auto"/>
        <w:right w:val="none" w:sz="0" w:space="0" w:color="auto"/>
      </w:divBdr>
      <w:divsChild>
        <w:div w:id="1072047464">
          <w:marLeft w:val="0"/>
          <w:marRight w:val="0"/>
          <w:marTop w:val="0"/>
          <w:marBottom w:val="0"/>
          <w:divBdr>
            <w:top w:val="none" w:sz="0" w:space="0" w:color="auto"/>
            <w:left w:val="none" w:sz="0" w:space="0" w:color="auto"/>
            <w:bottom w:val="none" w:sz="0" w:space="0" w:color="auto"/>
            <w:right w:val="none" w:sz="0" w:space="0" w:color="auto"/>
          </w:divBdr>
          <w:divsChild>
            <w:div w:id="612051475">
              <w:marLeft w:val="45"/>
              <w:marRight w:val="45"/>
              <w:marTop w:val="45"/>
              <w:marBottom w:val="45"/>
              <w:divBdr>
                <w:top w:val="none" w:sz="0" w:space="0" w:color="auto"/>
                <w:left w:val="none" w:sz="0" w:space="0" w:color="auto"/>
                <w:bottom w:val="none" w:sz="0" w:space="0" w:color="auto"/>
                <w:right w:val="none" w:sz="0" w:space="0" w:color="auto"/>
              </w:divBdr>
              <w:divsChild>
                <w:div w:id="592402382">
                  <w:marLeft w:val="0"/>
                  <w:marRight w:val="0"/>
                  <w:marTop w:val="0"/>
                  <w:marBottom w:val="0"/>
                  <w:divBdr>
                    <w:top w:val="none" w:sz="0" w:space="0" w:color="auto"/>
                    <w:left w:val="none" w:sz="0" w:space="0" w:color="auto"/>
                    <w:bottom w:val="none" w:sz="0" w:space="0" w:color="auto"/>
                    <w:right w:val="none" w:sz="0" w:space="0" w:color="auto"/>
                  </w:divBdr>
                  <w:divsChild>
                    <w:div w:id="9554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76706">
      <w:bodyDiv w:val="1"/>
      <w:marLeft w:val="0"/>
      <w:marRight w:val="0"/>
      <w:marTop w:val="0"/>
      <w:marBottom w:val="0"/>
      <w:divBdr>
        <w:top w:val="none" w:sz="0" w:space="0" w:color="auto"/>
        <w:left w:val="none" w:sz="0" w:space="0" w:color="auto"/>
        <w:bottom w:val="none" w:sz="0" w:space="0" w:color="auto"/>
        <w:right w:val="none" w:sz="0" w:space="0" w:color="auto"/>
      </w:divBdr>
    </w:div>
    <w:div w:id="738791138">
      <w:bodyDiv w:val="1"/>
      <w:marLeft w:val="0"/>
      <w:marRight w:val="0"/>
      <w:marTop w:val="0"/>
      <w:marBottom w:val="0"/>
      <w:divBdr>
        <w:top w:val="none" w:sz="0" w:space="0" w:color="auto"/>
        <w:left w:val="none" w:sz="0" w:space="0" w:color="auto"/>
        <w:bottom w:val="none" w:sz="0" w:space="0" w:color="auto"/>
        <w:right w:val="none" w:sz="0" w:space="0" w:color="auto"/>
      </w:divBdr>
    </w:div>
    <w:div w:id="825247928">
      <w:bodyDiv w:val="1"/>
      <w:marLeft w:val="0"/>
      <w:marRight w:val="0"/>
      <w:marTop w:val="0"/>
      <w:marBottom w:val="0"/>
      <w:divBdr>
        <w:top w:val="none" w:sz="0" w:space="0" w:color="auto"/>
        <w:left w:val="none" w:sz="0" w:space="0" w:color="auto"/>
        <w:bottom w:val="none" w:sz="0" w:space="0" w:color="auto"/>
        <w:right w:val="none" w:sz="0" w:space="0" w:color="auto"/>
      </w:divBdr>
    </w:div>
    <w:div w:id="839006687">
      <w:bodyDiv w:val="1"/>
      <w:marLeft w:val="0"/>
      <w:marRight w:val="0"/>
      <w:marTop w:val="0"/>
      <w:marBottom w:val="0"/>
      <w:divBdr>
        <w:top w:val="none" w:sz="0" w:space="0" w:color="auto"/>
        <w:left w:val="none" w:sz="0" w:space="0" w:color="auto"/>
        <w:bottom w:val="none" w:sz="0" w:space="0" w:color="auto"/>
        <w:right w:val="none" w:sz="0" w:space="0" w:color="auto"/>
      </w:divBdr>
    </w:div>
    <w:div w:id="847599799">
      <w:bodyDiv w:val="1"/>
      <w:marLeft w:val="0"/>
      <w:marRight w:val="0"/>
      <w:marTop w:val="0"/>
      <w:marBottom w:val="0"/>
      <w:divBdr>
        <w:top w:val="none" w:sz="0" w:space="0" w:color="auto"/>
        <w:left w:val="none" w:sz="0" w:space="0" w:color="auto"/>
        <w:bottom w:val="none" w:sz="0" w:space="0" w:color="auto"/>
        <w:right w:val="none" w:sz="0" w:space="0" w:color="auto"/>
      </w:divBdr>
    </w:div>
    <w:div w:id="1068721760">
      <w:bodyDiv w:val="1"/>
      <w:marLeft w:val="0"/>
      <w:marRight w:val="0"/>
      <w:marTop w:val="0"/>
      <w:marBottom w:val="0"/>
      <w:divBdr>
        <w:top w:val="none" w:sz="0" w:space="0" w:color="auto"/>
        <w:left w:val="none" w:sz="0" w:space="0" w:color="auto"/>
        <w:bottom w:val="none" w:sz="0" w:space="0" w:color="auto"/>
        <w:right w:val="none" w:sz="0" w:space="0" w:color="auto"/>
      </w:divBdr>
      <w:divsChild>
        <w:div w:id="2004891140">
          <w:marLeft w:val="0"/>
          <w:marRight w:val="0"/>
          <w:marTop w:val="0"/>
          <w:marBottom w:val="0"/>
          <w:divBdr>
            <w:top w:val="none" w:sz="0" w:space="0" w:color="auto"/>
            <w:left w:val="none" w:sz="0" w:space="0" w:color="auto"/>
            <w:bottom w:val="none" w:sz="0" w:space="0" w:color="auto"/>
            <w:right w:val="none" w:sz="0" w:space="0" w:color="auto"/>
          </w:divBdr>
          <w:divsChild>
            <w:div w:id="587542811">
              <w:marLeft w:val="0"/>
              <w:marRight w:val="0"/>
              <w:marTop w:val="0"/>
              <w:marBottom w:val="75"/>
              <w:divBdr>
                <w:top w:val="none" w:sz="0" w:space="0" w:color="auto"/>
                <w:left w:val="none" w:sz="0" w:space="0" w:color="auto"/>
                <w:bottom w:val="none" w:sz="0" w:space="0" w:color="auto"/>
                <w:right w:val="none" w:sz="0" w:space="0" w:color="auto"/>
              </w:divBdr>
              <w:divsChild>
                <w:div w:id="673654260">
                  <w:marLeft w:val="0"/>
                  <w:marRight w:val="0"/>
                  <w:marTop w:val="0"/>
                  <w:marBottom w:val="0"/>
                  <w:divBdr>
                    <w:top w:val="none" w:sz="0" w:space="0" w:color="auto"/>
                    <w:left w:val="none" w:sz="0" w:space="0" w:color="auto"/>
                    <w:bottom w:val="none" w:sz="0" w:space="0" w:color="auto"/>
                    <w:right w:val="none" w:sz="0" w:space="0" w:color="auto"/>
                  </w:divBdr>
                  <w:divsChild>
                    <w:div w:id="1085029501">
                      <w:marLeft w:val="0"/>
                      <w:marRight w:val="0"/>
                      <w:marTop w:val="0"/>
                      <w:marBottom w:val="0"/>
                      <w:divBdr>
                        <w:top w:val="none" w:sz="0" w:space="0" w:color="auto"/>
                        <w:left w:val="none" w:sz="0" w:space="0" w:color="auto"/>
                        <w:bottom w:val="none" w:sz="0" w:space="0" w:color="auto"/>
                        <w:right w:val="none" w:sz="0" w:space="0" w:color="auto"/>
                      </w:divBdr>
                      <w:divsChild>
                        <w:div w:id="2008896860">
                          <w:marLeft w:val="0"/>
                          <w:marRight w:val="0"/>
                          <w:marTop w:val="0"/>
                          <w:marBottom w:val="0"/>
                          <w:divBdr>
                            <w:top w:val="none" w:sz="0" w:space="0" w:color="auto"/>
                            <w:left w:val="none" w:sz="0" w:space="0" w:color="auto"/>
                            <w:bottom w:val="none" w:sz="0" w:space="0" w:color="auto"/>
                            <w:right w:val="none" w:sz="0" w:space="0" w:color="auto"/>
                          </w:divBdr>
                          <w:divsChild>
                            <w:div w:id="1709256043">
                              <w:marLeft w:val="0"/>
                              <w:marRight w:val="0"/>
                              <w:marTop w:val="0"/>
                              <w:marBottom w:val="0"/>
                              <w:divBdr>
                                <w:top w:val="none" w:sz="0" w:space="0" w:color="auto"/>
                                <w:left w:val="none" w:sz="0" w:space="0" w:color="auto"/>
                                <w:bottom w:val="none" w:sz="0" w:space="0" w:color="auto"/>
                                <w:right w:val="none" w:sz="0" w:space="0" w:color="auto"/>
                              </w:divBdr>
                              <w:divsChild>
                                <w:div w:id="124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0086">
      <w:bodyDiv w:val="1"/>
      <w:marLeft w:val="0"/>
      <w:marRight w:val="0"/>
      <w:marTop w:val="0"/>
      <w:marBottom w:val="0"/>
      <w:divBdr>
        <w:top w:val="none" w:sz="0" w:space="0" w:color="auto"/>
        <w:left w:val="none" w:sz="0" w:space="0" w:color="auto"/>
        <w:bottom w:val="none" w:sz="0" w:space="0" w:color="auto"/>
        <w:right w:val="none" w:sz="0" w:space="0" w:color="auto"/>
      </w:divBdr>
    </w:div>
    <w:div w:id="1130855538">
      <w:bodyDiv w:val="1"/>
      <w:marLeft w:val="30"/>
      <w:marRight w:val="30"/>
      <w:marTop w:val="30"/>
      <w:marBottom w:val="30"/>
      <w:divBdr>
        <w:top w:val="none" w:sz="0" w:space="0" w:color="auto"/>
        <w:left w:val="none" w:sz="0" w:space="0" w:color="auto"/>
        <w:bottom w:val="none" w:sz="0" w:space="0" w:color="auto"/>
        <w:right w:val="none" w:sz="0" w:space="0" w:color="auto"/>
      </w:divBdr>
      <w:divsChild>
        <w:div w:id="248735466">
          <w:marLeft w:val="0"/>
          <w:marRight w:val="0"/>
          <w:marTop w:val="0"/>
          <w:marBottom w:val="0"/>
          <w:divBdr>
            <w:top w:val="none" w:sz="0" w:space="0" w:color="auto"/>
            <w:left w:val="none" w:sz="0" w:space="0" w:color="auto"/>
            <w:bottom w:val="none" w:sz="0" w:space="0" w:color="auto"/>
            <w:right w:val="none" w:sz="0" w:space="0" w:color="auto"/>
          </w:divBdr>
          <w:divsChild>
            <w:div w:id="172962289">
              <w:marLeft w:val="45"/>
              <w:marRight w:val="45"/>
              <w:marTop w:val="45"/>
              <w:marBottom w:val="45"/>
              <w:divBdr>
                <w:top w:val="none" w:sz="0" w:space="0" w:color="auto"/>
                <w:left w:val="none" w:sz="0" w:space="0" w:color="auto"/>
                <w:bottom w:val="none" w:sz="0" w:space="0" w:color="auto"/>
                <w:right w:val="none" w:sz="0" w:space="0" w:color="auto"/>
              </w:divBdr>
              <w:divsChild>
                <w:div w:id="139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6150">
      <w:bodyDiv w:val="1"/>
      <w:marLeft w:val="0"/>
      <w:marRight w:val="0"/>
      <w:marTop w:val="0"/>
      <w:marBottom w:val="0"/>
      <w:divBdr>
        <w:top w:val="none" w:sz="0" w:space="0" w:color="auto"/>
        <w:left w:val="none" w:sz="0" w:space="0" w:color="auto"/>
        <w:bottom w:val="none" w:sz="0" w:space="0" w:color="auto"/>
        <w:right w:val="none" w:sz="0" w:space="0" w:color="auto"/>
      </w:divBdr>
      <w:divsChild>
        <w:div w:id="1552303671">
          <w:marLeft w:val="0"/>
          <w:marRight w:val="0"/>
          <w:marTop w:val="0"/>
          <w:marBottom w:val="0"/>
          <w:divBdr>
            <w:top w:val="none" w:sz="0" w:space="0" w:color="auto"/>
            <w:left w:val="none" w:sz="0" w:space="0" w:color="auto"/>
            <w:bottom w:val="none" w:sz="0" w:space="0" w:color="auto"/>
            <w:right w:val="none" w:sz="0" w:space="0" w:color="auto"/>
          </w:divBdr>
          <w:divsChild>
            <w:div w:id="2095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7821">
      <w:bodyDiv w:val="1"/>
      <w:marLeft w:val="0"/>
      <w:marRight w:val="0"/>
      <w:marTop w:val="0"/>
      <w:marBottom w:val="0"/>
      <w:divBdr>
        <w:top w:val="none" w:sz="0" w:space="0" w:color="auto"/>
        <w:left w:val="none" w:sz="0" w:space="0" w:color="auto"/>
        <w:bottom w:val="none" w:sz="0" w:space="0" w:color="auto"/>
        <w:right w:val="none" w:sz="0" w:space="0" w:color="auto"/>
      </w:divBdr>
      <w:divsChild>
        <w:div w:id="390928241">
          <w:marLeft w:val="0"/>
          <w:marRight w:val="0"/>
          <w:marTop w:val="240"/>
          <w:marBottom w:val="0"/>
          <w:divBdr>
            <w:top w:val="none" w:sz="0" w:space="0" w:color="auto"/>
            <w:left w:val="none" w:sz="0" w:space="0" w:color="auto"/>
            <w:bottom w:val="none" w:sz="0" w:space="0" w:color="auto"/>
            <w:right w:val="none" w:sz="0" w:space="0" w:color="auto"/>
          </w:divBdr>
        </w:div>
        <w:div w:id="598099915">
          <w:marLeft w:val="0"/>
          <w:marRight w:val="0"/>
          <w:marTop w:val="240"/>
          <w:marBottom w:val="0"/>
          <w:divBdr>
            <w:top w:val="none" w:sz="0" w:space="0" w:color="auto"/>
            <w:left w:val="none" w:sz="0" w:space="0" w:color="auto"/>
            <w:bottom w:val="none" w:sz="0" w:space="0" w:color="auto"/>
            <w:right w:val="none" w:sz="0" w:space="0" w:color="auto"/>
          </w:divBdr>
          <w:divsChild>
            <w:div w:id="1150095919">
              <w:marLeft w:val="0"/>
              <w:marRight w:val="0"/>
              <w:marTop w:val="0"/>
              <w:marBottom w:val="0"/>
              <w:divBdr>
                <w:top w:val="none" w:sz="0" w:space="0" w:color="auto"/>
                <w:left w:val="none" w:sz="0" w:space="0" w:color="auto"/>
                <w:bottom w:val="none" w:sz="0" w:space="0" w:color="auto"/>
                <w:right w:val="none" w:sz="0" w:space="0" w:color="auto"/>
              </w:divBdr>
              <w:divsChild>
                <w:div w:id="263851077">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2663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4528">
      <w:bodyDiv w:val="1"/>
      <w:marLeft w:val="0"/>
      <w:marRight w:val="0"/>
      <w:marTop w:val="0"/>
      <w:marBottom w:val="0"/>
      <w:divBdr>
        <w:top w:val="none" w:sz="0" w:space="0" w:color="auto"/>
        <w:left w:val="none" w:sz="0" w:space="0" w:color="auto"/>
        <w:bottom w:val="none" w:sz="0" w:space="0" w:color="auto"/>
        <w:right w:val="none" w:sz="0" w:space="0" w:color="auto"/>
      </w:divBdr>
    </w:div>
    <w:div w:id="1407610598">
      <w:bodyDiv w:val="1"/>
      <w:marLeft w:val="0"/>
      <w:marRight w:val="0"/>
      <w:marTop w:val="0"/>
      <w:marBottom w:val="0"/>
      <w:divBdr>
        <w:top w:val="none" w:sz="0" w:space="0" w:color="auto"/>
        <w:left w:val="none" w:sz="0" w:space="0" w:color="auto"/>
        <w:bottom w:val="none" w:sz="0" w:space="0" w:color="auto"/>
        <w:right w:val="none" w:sz="0" w:space="0" w:color="auto"/>
      </w:divBdr>
    </w:div>
    <w:div w:id="1507016181">
      <w:bodyDiv w:val="1"/>
      <w:marLeft w:val="0"/>
      <w:marRight w:val="0"/>
      <w:marTop w:val="0"/>
      <w:marBottom w:val="0"/>
      <w:divBdr>
        <w:top w:val="none" w:sz="0" w:space="0" w:color="auto"/>
        <w:left w:val="none" w:sz="0" w:space="0" w:color="auto"/>
        <w:bottom w:val="none" w:sz="0" w:space="0" w:color="auto"/>
        <w:right w:val="none" w:sz="0" w:space="0" w:color="auto"/>
      </w:divBdr>
    </w:div>
    <w:div w:id="1607348082">
      <w:bodyDiv w:val="1"/>
      <w:marLeft w:val="0"/>
      <w:marRight w:val="0"/>
      <w:marTop w:val="0"/>
      <w:marBottom w:val="0"/>
      <w:divBdr>
        <w:top w:val="none" w:sz="0" w:space="0" w:color="auto"/>
        <w:left w:val="none" w:sz="0" w:space="0" w:color="auto"/>
        <w:bottom w:val="none" w:sz="0" w:space="0" w:color="auto"/>
        <w:right w:val="none" w:sz="0" w:space="0" w:color="auto"/>
      </w:divBdr>
    </w:div>
    <w:div w:id="1688485301">
      <w:bodyDiv w:val="1"/>
      <w:marLeft w:val="0"/>
      <w:marRight w:val="0"/>
      <w:marTop w:val="0"/>
      <w:marBottom w:val="0"/>
      <w:divBdr>
        <w:top w:val="none" w:sz="0" w:space="0" w:color="auto"/>
        <w:left w:val="none" w:sz="0" w:space="0" w:color="auto"/>
        <w:bottom w:val="none" w:sz="0" w:space="0" w:color="auto"/>
        <w:right w:val="none" w:sz="0" w:space="0" w:color="auto"/>
      </w:divBdr>
    </w:div>
    <w:div w:id="1702511871">
      <w:bodyDiv w:val="1"/>
      <w:marLeft w:val="0"/>
      <w:marRight w:val="0"/>
      <w:marTop w:val="0"/>
      <w:marBottom w:val="0"/>
      <w:divBdr>
        <w:top w:val="none" w:sz="0" w:space="0" w:color="auto"/>
        <w:left w:val="none" w:sz="0" w:space="0" w:color="auto"/>
        <w:bottom w:val="none" w:sz="0" w:space="0" w:color="auto"/>
        <w:right w:val="none" w:sz="0" w:space="0" w:color="auto"/>
      </w:divBdr>
    </w:div>
    <w:div w:id="1761096934">
      <w:bodyDiv w:val="1"/>
      <w:marLeft w:val="0"/>
      <w:marRight w:val="0"/>
      <w:marTop w:val="0"/>
      <w:marBottom w:val="0"/>
      <w:divBdr>
        <w:top w:val="none" w:sz="0" w:space="0" w:color="auto"/>
        <w:left w:val="none" w:sz="0" w:space="0" w:color="auto"/>
        <w:bottom w:val="none" w:sz="0" w:space="0" w:color="auto"/>
        <w:right w:val="none" w:sz="0" w:space="0" w:color="auto"/>
      </w:divBdr>
    </w:div>
    <w:div w:id="1815877693">
      <w:bodyDiv w:val="1"/>
      <w:marLeft w:val="30"/>
      <w:marRight w:val="30"/>
      <w:marTop w:val="30"/>
      <w:marBottom w:val="30"/>
      <w:divBdr>
        <w:top w:val="none" w:sz="0" w:space="0" w:color="auto"/>
        <w:left w:val="none" w:sz="0" w:space="0" w:color="auto"/>
        <w:bottom w:val="none" w:sz="0" w:space="0" w:color="auto"/>
        <w:right w:val="none" w:sz="0" w:space="0" w:color="auto"/>
      </w:divBdr>
      <w:divsChild>
        <w:div w:id="1453523180">
          <w:marLeft w:val="0"/>
          <w:marRight w:val="0"/>
          <w:marTop w:val="0"/>
          <w:marBottom w:val="0"/>
          <w:divBdr>
            <w:top w:val="none" w:sz="0" w:space="0" w:color="auto"/>
            <w:left w:val="none" w:sz="0" w:space="0" w:color="auto"/>
            <w:bottom w:val="none" w:sz="0" w:space="0" w:color="auto"/>
            <w:right w:val="none" w:sz="0" w:space="0" w:color="auto"/>
          </w:divBdr>
          <w:divsChild>
            <w:div w:id="1859654379">
              <w:marLeft w:val="45"/>
              <w:marRight w:val="45"/>
              <w:marTop w:val="45"/>
              <w:marBottom w:val="45"/>
              <w:divBdr>
                <w:top w:val="none" w:sz="0" w:space="0" w:color="auto"/>
                <w:left w:val="none" w:sz="0" w:space="0" w:color="auto"/>
                <w:bottom w:val="none" w:sz="0" w:space="0" w:color="auto"/>
                <w:right w:val="none" w:sz="0" w:space="0" w:color="auto"/>
              </w:divBdr>
              <w:divsChild>
                <w:div w:id="1896966831">
                  <w:marLeft w:val="0"/>
                  <w:marRight w:val="0"/>
                  <w:marTop w:val="0"/>
                  <w:marBottom w:val="0"/>
                  <w:divBdr>
                    <w:top w:val="none" w:sz="0" w:space="0" w:color="auto"/>
                    <w:left w:val="none" w:sz="0" w:space="0" w:color="auto"/>
                    <w:bottom w:val="none" w:sz="0" w:space="0" w:color="auto"/>
                    <w:right w:val="none" w:sz="0" w:space="0" w:color="auto"/>
                  </w:divBdr>
                  <w:divsChild>
                    <w:div w:id="203906566">
                      <w:marLeft w:val="0"/>
                      <w:marRight w:val="0"/>
                      <w:marTop w:val="0"/>
                      <w:marBottom w:val="0"/>
                      <w:divBdr>
                        <w:top w:val="none" w:sz="0" w:space="0" w:color="auto"/>
                        <w:left w:val="none" w:sz="0" w:space="0" w:color="auto"/>
                        <w:bottom w:val="none" w:sz="0" w:space="0" w:color="auto"/>
                        <w:right w:val="none" w:sz="0" w:space="0" w:color="auto"/>
                      </w:divBdr>
                    </w:div>
                    <w:div w:id="240795602">
                      <w:marLeft w:val="180"/>
                      <w:marRight w:val="0"/>
                      <w:marTop w:val="0"/>
                      <w:marBottom w:val="0"/>
                      <w:divBdr>
                        <w:top w:val="none" w:sz="0" w:space="0" w:color="auto"/>
                        <w:left w:val="none" w:sz="0" w:space="0" w:color="auto"/>
                        <w:bottom w:val="none" w:sz="0" w:space="0" w:color="auto"/>
                        <w:right w:val="none" w:sz="0" w:space="0" w:color="auto"/>
                      </w:divBdr>
                    </w:div>
                    <w:div w:id="512191323">
                      <w:marLeft w:val="180"/>
                      <w:marRight w:val="0"/>
                      <w:marTop w:val="0"/>
                      <w:marBottom w:val="0"/>
                      <w:divBdr>
                        <w:top w:val="none" w:sz="0" w:space="0" w:color="auto"/>
                        <w:left w:val="none" w:sz="0" w:space="0" w:color="auto"/>
                        <w:bottom w:val="none" w:sz="0" w:space="0" w:color="auto"/>
                        <w:right w:val="none" w:sz="0" w:space="0" w:color="auto"/>
                      </w:divBdr>
                    </w:div>
                    <w:div w:id="7323123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685">
      <w:bodyDiv w:val="1"/>
      <w:marLeft w:val="0"/>
      <w:marRight w:val="0"/>
      <w:marTop w:val="0"/>
      <w:marBottom w:val="0"/>
      <w:divBdr>
        <w:top w:val="none" w:sz="0" w:space="0" w:color="auto"/>
        <w:left w:val="none" w:sz="0" w:space="0" w:color="auto"/>
        <w:bottom w:val="none" w:sz="0" w:space="0" w:color="auto"/>
        <w:right w:val="none" w:sz="0" w:space="0" w:color="auto"/>
      </w:divBdr>
    </w:div>
    <w:div w:id="21436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an.Marenco\AppData\Local\Microsoft\Windows\Temporary%20Internet%20Files\Content.MSO\34639B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34639B0B</Template>
  <TotalTime>0</TotalTime>
  <Pages>3</Pages>
  <Words>853</Words>
  <Characters>4630</Characters>
  <Application>Microsoft Office Word</Application>
  <DocSecurity>0</DocSecurity>
  <Lines>93</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2011-07-27T15:03:00Z</cp:lastPrinted>
  <dcterms:created xsi:type="dcterms:W3CDTF">2017-09-28T16:44:00Z</dcterms:created>
  <dcterms:modified xsi:type="dcterms:W3CDTF">2017-09-28T16:44:00Z</dcterms:modified>
  <cp:category> </cp:category>
  <cp:contentStatus> </cp:contentStatus>
</cp:coreProperties>
</file>