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A91BC" w14:textId="306F0277" w:rsidR="004542AA" w:rsidRPr="001064D9" w:rsidRDefault="00BB156E">
      <w:pPr>
        <w:autoSpaceDE w:val="0"/>
        <w:autoSpaceDN w:val="0"/>
        <w:adjustRightInd w:val="0"/>
        <w:jc w:val="right"/>
        <w:rPr>
          <w:rFonts w:ascii="TimesNewRoman" w:eastAsia="TimesNewRoman" w:hAnsi="TimesNewRoman" w:cs="TimesNewRoman"/>
          <w:b/>
          <w:bCs/>
          <w:i/>
          <w:color w:val="000000"/>
          <w:sz w:val="22"/>
          <w:szCs w:val="22"/>
        </w:rPr>
      </w:pPr>
      <w:bookmarkStart w:id="0" w:name="_GoBack"/>
      <w:bookmarkEnd w:id="0"/>
      <w:r w:rsidRPr="001064D9">
        <w:rPr>
          <w:rFonts w:ascii="TimesNewRoman" w:eastAsia="TimesNewRoman" w:hAnsi="TimesNewRoman" w:cs="TimesNewRoman"/>
          <w:b/>
          <w:bCs/>
          <w:i/>
          <w:color w:val="000000"/>
          <w:sz w:val="22"/>
          <w:szCs w:val="22"/>
        </w:rPr>
        <w:t>DA</w:t>
      </w:r>
      <w:r w:rsidR="00D00DFD" w:rsidRPr="001064D9">
        <w:rPr>
          <w:rFonts w:ascii="TimesNewRoman" w:eastAsia="TimesNewRoman" w:hAnsi="TimesNewRoman" w:cs="TimesNewRoman"/>
          <w:b/>
          <w:bCs/>
          <w:i/>
          <w:color w:val="000000"/>
          <w:sz w:val="22"/>
          <w:szCs w:val="22"/>
        </w:rPr>
        <w:t xml:space="preserve"> </w:t>
      </w:r>
      <w:r w:rsidR="00A231A4">
        <w:rPr>
          <w:rFonts w:ascii="TimesNewRoman" w:eastAsia="TimesNewRoman" w:hAnsi="TimesNewRoman" w:cs="TimesNewRoman"/>
          <w:b/>
          <w:bCs/>
          <w:i/>
          <w:color w:val="000000"/>
          <w:sz w:val="22"/>
          <w:szCs w:val="22"/>
        </w:rPr>
        <w:t>17</w:t>
      </w:r>
      <w:r w:rsidR="000805CB" w:rsidRPr="001064D9">
        <w:rPr>
          <w:rFonts w:ascii="TimesNewRoman" w:eastAsia="TimesNewRoman" w:hAnsi="TimesNewRoman" w:cs="TimesNewRoman"/>
          <w:b/>
          <w:bCs/>
          <w:i/>
          <w:color w:val="000000"/>
          <w:sz w:val="22"/>
          <w:szCs w:val="22"/>
        </w:rPr>
        <w:t>-</w:t>
      </w:r>
      <w:r w:rsidR="00675C45">
        <w:rPr>
          <w:rFonts w:ascii="TimesNewRoman" w:eastAsia="TimesNewRoman" w:hAnsi="TimesNewRoman" w:cs="TimesNewRoman"/>
          <w:b/>
          <w:bCs/>
          <w:i/>
          <w:color w:val="000000"/>
          <w:sz w:val="22"/>
          <w:szCs w:val="22"/>
        </w:rPr>
        <w:t>94</w:t>
      </w:r>
    </w:p>
    <w:p w14:paraId="5E459949" w14:textId="77777777" w:rsidR="004542AA" w:rsidRPr="00CE2218" w:rsidRDefault="004542AA" w:rsidP="00CC2449">
      <w:pPr>
        <w:autoSpaceDE w:val="0"/>
        <w:autoSpaceDN w:val="0"/>
        <w:adjustRightInd w:val="0"/>
        <w:jc w:val="center"/>
        <w:rPr>
          <w:rFonts w:eastAsia="TimesNewRoman"/>
          <w:b/>
          <w:bCs/>
          <w:color w:val="000000"/>
          <w:sz w:val="22"/>
          <w:szCs w:val="22"/>
        </w:rPr>
      </w:pPr>
    </w:p>
    <w:p w14:paraId="5416091D" w14:textId="77777777" w:rsidR="0002026F" w:rsidRPr="0002026F" w:rsidRDefault="0002026F" w:rsidP="0002026F">
      <w:pPr>
        <w:widowControl w:val="0"/>
        <w:spacing w:after="120"/>
        <w:jc w:val="center"/>
        <w:rPr>
          <w:snapToGrid w:val="0"/>
          <w:kern w:val="28"/>
          <w:sz w:val="36"/>
          <w:szCs w:val="36"/>
        </w:rPr>
      </w:pPr>
      <w:r w:rsidRPr="0002026F">
        <w:rPr>
          <w:snapToGrid w:val="0"/>
          <w:kern w:val="28"/>
          <w:sz w:val="36"/>
          <w:szCs w:val="36"/>
        </w:rPr>
        <w:t>Small Entity Compliance Guide</w:t>
      </w:r>
    </w:p>
    <w:p w14:paraId="09075614" w14:textId="77777777" w:rsidR="00FA5E6E" w:rsidRPr="00CE2218" w:rsidRDefault="00FA5E6E" w:rsidP="00CC2449">
      <w:pPr>
        <w:autoSpaceDE w:val="0"/>
        <w:autoSpaceDN w:val="0"/>
        <w:adjustRightInd w:val="0"/>
        <w:jc w:val="center"/>
        <w:rPr>
          <w:rFonts w:eastAsia="TimesNewRoman"/>
          <w:b/>
          <w:bCs/>
          <w:color w:val="000000"/>
          <w:sz w:val="22"/>
          <w:szCs w:val="22"/>
        </w:rPr>
      </w:pPr>
    </w:p>
    <w:p w14:paraId="797DFD53" w14:textId="16BAA769" w:rsidR="00CC2449" w:rsidRPr="001064D9" w:rsidRDefault="00BB156E">
      <w:pPr>
        <w:autoSpaceDE w:val="0"/>
        <w:autoSpaceDN w:val="0"/>
        <w:adjustRightInd w:val="0"/>
        <w:jc w:val="center"/>
        <w:rPr>
          <w:rFonts w:ascii="TimesNewRoman" w:eastAsia="TimesNewRoman" w:hAnsi="TimesNewRoman" w:cs="TimesNewRoman"/>
          <w:b/>
          <w:bCs/>
          <w:color w:val="000000"/>
          <w:sz w:val="28"/>
          <w:szCs w:val="28"/>
        </w:rPr>
      </w:pPr>
      <w:r w:rsidRPr="00183094">
        <w:rPr>
          <w:b/>
          <w:bCs/>
          <w:sz w:val="28"/>
          <w:szCs w:val="28"/>
        </w:rPr>
        <w:t>2014 Quadrennial Regulatory Review – Review of the Commission’s Broadcast Ownership Rule</w:t>
      </w:r>
      <w:r w:rsidR="00FE4CD3" w:rsidRPr="00183094">
        <w:rPr>
          <w:b/>
          <w:bCs/>
          <w:sz w:val="28"/>
          <w:szCs w:val="28"/>
        </w:rPr>
        <w:t>s</w:t>
      </w:r>
      <w:r w:rsidRPr="00183094">
        <w:rPr>
          <w:b/>
          <w:bCs/>
          <w:sz w:val="28"/>
          <w:szCs w:val="28"/>
        </w:rPr>
        <w:t xml:space="preserve"> and Other Rules Adopted Pursuant to Section 202 of the Telecommunications Act of 1996</w:t>
      </w:r>
    </w:p>
    <w:p w14:paraId="716C64F7" w14:textId="77777777" w:rsidR="000A326A" w:rsidRPr="00CE2218" w:rsidRDefault="000A326A" w:rsidP="00CC2449">
      <w:pPr>
        <w:autoSpaceDE w:val="0"/>
        <w:autoSpaceDN w:val="0"/>
        <w:adjustRightInd w:val="0"/>
        <w:jc w:val="center"/>
        <w:rPr>
          <w:rFonts w:eastAsia="TimesNewRoman"/>
          <w:b/>
          <w:bCs/>
          <w:color w:val="000000"/>
          <w:sz w:val="22"/>
          <w:szCs w:val="22"/>
        </w:rPr>
      </w:pPr>
    </w:p>
    <w:p w14:paraId="666A55D5" w14:textId="131BE7AF" w:rsidR="00E9333D" w:rsidRPr="003524BA" w:rsidRDefault="00615FBE">
      <w:pPr>
        <w:autoSpaceDE w:val="0"/>
        <w:autoSpaceDN w:val="0"/>
        <w:adjustRightInd w:val="0"/>
        <w:jc w:val="center"/>
        <w:rPr>
          <w:rFonts w:eastAsia="TimesNewRoman"/>
          <w:color w:val="000000"/>
          <w:sz w:val="22"/>
          <w:szCs w:val="22"/>
        </w:rPr>
      </w:pPr>
      <w:r w:rsidRPr="003524BA">
        <w:rPr>
          <w:rFonts w:eastAsia="TimesNewRoman"/>
          <w:color w:val="000000"/>
          <w:sz w:val="22"/>
          <w:szCs w:val="22"/>
        </w:rPr>
        <w:t>FCC 16-</w:t>
      </w:r>
      <w:r w:rsidR="00BB156E" w:rsidRPr="003524BA">
        <w:rPr>
          <w:rFonts w:eastAsia="TimesNewRoman"/>
          <w:color w:val="000000"/>
          <w:sz w:val="22"/>
          <w:szCs w:val="22"/>
        </w:rPr>
        <w:t>107</w:t>
      </w:r>
    </w:p>
    <w:p w14:paraId="186BC132" w14:textId="1E5C7198" w:rsidR="005D5568" w:rsidRPr="003524BA" w:rsidRDefault="00BB156E">
      <w:pPr>
        <w:autoSpaceDE w:val="0"/>
        <w:autoSpaceDN w:val="0"/>
        <w:adjustRightInd w:val="0"/>
        <w:jc w:val="center"/>
        <w:rPr>
          <w:rFonts w:eastAsia="TimesNewRoman"/>
          <w:color w:val="000000"/>
          <w:sz w:val="22"/>
          <w:szCs w:val="22"/>
        </w:rPr>
      </w:pPr>
      <w:r w:rsidRPr="003524BA">
        <w:rPr>
          <w:sz w:val="22"/>
          <w:szCs w:val="22"/>
        </w:rPr>
        <w:t>MB Docket Nos. 14-50, 09-182, 07-294, and 04-256</w:t>
      </w:r>
    </w:p>
    <w:p w14:paraId="78DF5575" w14:textId="34AEF017" w:rsidR="00E73CD0" w:rsidRPr="003524BA" w:rsidRDefault="00FA5E6E">
      <w:pPr>
        <w:autoSpaceDE w:val="0"/>
        <w:autoSpaceDN w:val="0"/>
        <w:adjustRightInd w:val="0"/>
        <w:jc w:val="center"/>
        <w:rPr>
          <w:rFonts w:eastAsia="TimesNewRoman"/>
          <w:color w:val="000000"/>
          <w:sz w:val="22"/>
          <w:szCs w:val="22"/>
        </w:rPr>
      </w:pPr>
      <w:r w:rsidRPr="003524BA">
        <w:rPr>
          <w:rFonts w:eastAsia="TimesNewRoman"/>
          <w:color w:val="000000"/>
          <w:sz w:val="22"/>
          <w:szCs w:val="22"/>
        </w:rPr>
        <w:t xml:space="preserve">Released: </w:t>
      </w:r>
      <w:r w:rsidR="00BB156E" w:rsidRPr="003524BA">
        <w:rPr>
          <w:rFonts w:eastAsia="TimesNewRoman"/>
          <w:color w:val="000000"/>
          <w:sz w:val="22"/>
          <w:szCs w:val="22"/>
        </w:rPr>
        <w:t>August</w:t>
      </w:r>
      <w:r w:rsidR="00615FBE" w:rsidRPr="003524BA">
        <w:rPr>
          <w:rFonts w:eastAsia="TimesNewRoman"/>
          <w:color w:val="000000"/>
          <w:sz w:val="22"/>
          <w:szCs w:val="22"/>
        </w:rPr>
        <w:t xml:space="preserve"> </w:t>
      </w:r>
      <w:r w:rsidR="00BB156E" w:rsidRPr="003524BA">
        <w:rPr>
          <w:rFonts w:eastAsia="TimesNewRoman"/>
          <w:color w:val="000000"/>
          <w:sz w:val="22"/>
          <w:szCs w:val="22"/>
        </w:rPr>
        <w:t>25</w:t>
      </w:r>
      <w:r w:rsidR="00615FBE" w:rsidRPr="003524BA">
        <w:rPr>
          <w:rFonts w:eastAsia="TimesNewRoman"/>
          <w:color w:val="000000"/>
          <w:sz w:val="22"/>
          <w:szCs w:val="22"/>
        </w:rPr>
        <w:t>,</w:t>
      </w:r>
      <w:r w:rsidRPr="003524BA">
        <w:rPr>
          <w:rFonts w:eastAsia="TimesNewRoman"/>
          <w:color w:val="000000"/>
          <w:sz w:val="22"/>
          <w:szCs w:val="22"/>
        </w:rPr>
        <w:t xml:space="preserve"> 201</w:t>
      </w:r>
      <w:r w:rsidR="00615FBE" w:rsidRPr="003524BA">
        <w:rPr>
          <w:rFonts w:eastAsia="TimesNewRoman"/>
          <w:color w:val="000000"/>
          <w:sz w:val="22"/>
          <w:szCs w:val="22"/>
        </w:rPr>
        <w:t>6</w:t>
      </w:r>
    </w:p>
    <w:p w14:paraId="773A770E" w14:textId="77777777" w:rsidR="00CC2449" w:rsidRPr="003524BA" w:rsidRDefault="00CC2449" w:rsidP="00CC2449">
      <w:pPr>
        <w:autoSpaceDE w:val="0"/>
        <w:autoSpaceDN w:val="0"/>
        <w:adjustRightInd w:val="0"/>
        <w:rPr>
          <w:rFonts w:eastAsia="TimesNewRoman"/>
          <w:b/>
          <w:bCs/>
          <w:color w:val="000000"/>
          <w:sz w:val="22"/>
          <w:szCs w:val="22"/>
        </w:rPr>
      </w:pPr>
    </w:p>
    <w:p w14:paraId="18F64B86" w14:textId="5265873F" w:rsidR="00CC2449" w:rsidRPr="003524BA" w:rsidRDefault="00CC2449">
      <w:pPr>
        <w:autoSpaceDE w:val="0"/>
        <w:autoSpaceDN w:val="0"/>
        <w:adjustRightInd w:val="0"/>
        <w:jc w:val="both"/>
        <w:rPr>
          <w:rFonts w:eastAsia="TimesNewRoman"/>
          <w:color w:val="000000"/>
          <w:sz w:val="22"/>
          <w:szCs w:val="22"/>
        </w:rPr>
      </w:pPr>
      <w:r w:rsidRPr="003524BA">
        <w:rPr>
          <w:rFonts w:eastAsia="TimesNewRoman"/>
          <w:color w:val="000000"/>
          <w:sz w:val="22"/>
          <w:szCs w:val="22"/>
        </w:rPr>
        <w:t xml:space="preserve">This Guide is prepared in accordance with the requirements of Section 212 of the Small Business Regulatory Enforcement Fairness Act of 1996. </w:t>
      </w:r>
      <w:r w:rsidR="00980FB4" w:rsidRPr="003524BA">
        <w:rPr>
          <w:rFonts w:eastAsia="TimesNewRoman"/>
          <w:color w:val="000000"/>
          <w:sz w:val="22"/>
          <w:szCs w:val="22"/>
        </w:rPr>
        <w:t xml:space="preserve"> </w:t>
      </w:r>
      <w:r w:rsidRPr="003524BA">
        <w:rPr>
          <w:rFonts w:eastAsia="TimesNewRoman"/>
          <w:color w:val="000000"/>
          <w:sz w:val="22"/>
          <w:szCs w:val="22"/>
        </w:rPr>
        <w:t xml:space="preserve">It is </w:t>
      </w:r>
      <w:r w:rsidR="00520FA7" w:rsidRPr="003524BA">
        <w:rPr>
          <w:rFonts w:eastAsia="TimesNewRoman"/>
          <w:color w:val="000000"/>
          <w:sz w:val="22"/>
          <w:szCs w:val="22"/>
        </w:rPr>
        <w:t>intended to help small entities</w:t>
      </w:r>
      <w:r w:rsidR="004542AA" w:rsidRPr="003524BA">
        <w:rPr>
          <w:sz w:val="22"/>
          <w:szCs w:val="22"/>
        </w:rPr>
        <w:t>—</w:t>
      </w:r>
      <w:r w:rsidRPr="003524BA">
        <w:rPr>
          <w:rFonts w:eastAsia="TimesNewRoman"/>
          <w:color w:val="000000"/>
          <w:sz w:val="22"/>
          <w:szCs w:val="22"/>
        </w:rPr>
        <w:t>small businesses, small organizations (non-profits), and small governmental jurisdictions</w:t>
      </w:r>
      <w:r w:rsidR="004542AA" w:rsidRPr="003524BA">
        <w:rPr>
          <w:sz w:val="22"/>
          <w:szCs w:val="22"/>
        </w:rPr>
        <w:t>—</w:t>
      </w:r>
      <w:r w:rsidRPr="003524BA">
        <w:rPr>
          <w:rFonts w:eastAsia="TimesNewRoman"/>
          <w:color w:val="000000"/>
          <w:sz w:val="22"/>
          <w:szCs w:val="22"/>
        </w:rPr>
        <w:t xml:space="preserve">comply with the revised rules adopted in the above referenced </w:t>
      </w:r>
      <w:r w:rsidR="009F711D" w:rsidRPr="003524BA">
        <w:rPr>
          <w:rFonts w:eastAsia="TimesNewRoman"/>
          <w:color w:val="000000"/>
          <w:sz w:val="22"/>
          <w:szCs w:val="22"/>
        </w:rPr>
        <w:t>Federal Communications Commission (</w:t>
      </w:r>
      <w:r w:rsidRPr="003524BA">
        <w:rPr>
          <w:rFonts w:eastAsia="TimesNewRoman"/>
          <w:color w:val="000000"/>
          <w:sz w:val="22"/>
          <w:szCs w:val="22"/>
        </w:rPr>
        <w:t xml:space="preserve">FCC </w:t>
      </w:r>
      <w:r w:rsidR="009F711D" w:rsidRPr="003524BA">
        <w:rPr>
          <w:rFonts w:eastAsia="TimesNewRoman"/>
          <w:color w:val="000000"/>
          <w:sz w:val="22"/>
          <w:szCs w:val="22"/>
        </w:rPr>
        <w:t xml:space="preserve">or Commission) </w:t>
      </w:r>
      <w:r w:rsidRPr="003524BA">
        <w:rPr>
          <w:rFonts w:eastAsia="TimesNewRoman"/>
          <w:color w:val="000000"/>
          <w:sz w:val="22"/>
          <w:szCs w:val="22"/>
        </w:rPr>
        <w:t xml:space="preserve">rulemaking docket(s). </w:t>
      </w:r>
      <w:r w:rsidR="00980FB4" w:rsidRPr="003524BA">
        <w:rPr>
          <w:rFonts w:eastAsia="TimesNewRoman"/>
          <w:color w:val="000000"/>
          <w:sz w:val="22"/>
          <w:szCs w:val="22"/>
        </w:rPr>
        <w:t xml:space="preserve"> </w:t>
      </w:r>
      <w:r w:rsidRPr="003524BA">
        <w:rPr>
          <w:rFonts w:eastAsia="TimesNewRoman"/>
          <w:color w:val="000000"/>
          <w:sz w:val="22"/>
          <w:szCs w:val="22"/>
        </w:rPr>
        <w:t>This Guide is not intended to replace the rules</w:t>
      </w:r>
      <w:r w:rsidR="00980FB4" w:rsidRPr="003524BA">
        <w:rPr>
          <w:rFonts w:eastAsia="TimesNewRoman"/>
          <w:color w:val="000000"/>
          <w:sz w:val="22"/>
          <w:szCs w:val="22"/>
        </w:rPr>
        <w:t xml:space="preserve">.  The Guide is intended to facilitate compliance with the rules, not to supersede the rules.  </w:t>
      </w:r>
      <w:r w:rsidRPr="003524BA">
        <w:rPr>
          <w:rFonts w:eastAsia="TimesNewRoman"/>
          <w:color w:val="000000"/>
          <w:sz w:val="22"/>
          <w:szCs w:val="22"/>
        </w:rPr>
        <w:t xml:space="preserve">Although we have attempted to cover all parts of the rules that might be especially important to small entities, the coverage may not be exhaustive. </w:t>
      </w:r>
      <w:r w:rsidR="00980FB4" w:rsidRPr="003524BA">
        <w:rPr>
          <w:rFonts w:eastAsia="TimesNewRoman"/>
          <w:color w:val="000000"/>
          <w:sz w:val="22"/>
          <w:szCs w:val="22"/>
        </w:rPr>
        <w:t xml:space="preserve"> </w:t>
      </w:r>
      <w:r w:rsidRPr="003524BA">
        <w:rPr>
          <w:rFonts w:eastAsia="TimesNewRoman"/>
          <w:color w:val="000000"/>
          <w:sz w:val="22"/>
          <w:szCs w:val="22"/>
        </w:rPr>
        <w:t xml:space="preserve">This Guide </w:t>
      </w:r>
      <w:r w:rsidR="009F711D" w:rsidRPr="003524BA">
        <w:rPr>
          <w:rFonts w:eastAsia="TimesNewRoman"/>
          <w:color w:val="000000"/>
          <w:sz w:val="22"/>
          <w:szCs w:val="22"/>
        </w:rPr>
        <w:t xml:space="preserve">cannot anticipate all situations in which the rules apply.  Furthermore, </w:t>
      </w:r>
      <w:r w:rsidRPr="003524BA">
        <w:rPr>
          <w:rFonts w:eastAsia="TimesNewRoman"/>
          <w:color w:val="000000"/>
          <w:sz w:val="22"/>
          <w:szCs w:val="22"/>
        </w:rPr>
        <w:t xml:space="preserve">the </w:t>
      </w:r>
      <w:r w:rsidR="009F711D" w:rsidRPr="003524BA">
        <w:rPr>
          <w:rFonts w:eastAsia="TimesNewRoman"/>
          <w:color w:val="000000"/>
          <w:sz w:val="22"/>
          <w:szCs w:val="22"/>
        </w:rPr>
        <w:t xml:space="preserve">Commission </w:t>
      </w:r>
      <w:r w:rsidRPr="003524BA">
        <w:rPr>
          <w:rFonts w:eastAsia="TimesNewRoman"/>
          <w:color w:val="000000"/>
          <w:sz w:val="22"/>
          <w:szCs w:val="22"/>
        </w:rPr>
        <w:t>retains the discretion to adopt approaches on a case-by-case basis that may differ from this Guide, where appropriate. A</w:t>
      </w:r>
      <w:r w:rsidR="009F711D" w:rsidRPr="003524BA">
        <w:rPr>
          <w:rFonts w:eastAsia="TimesNewRoman"/>
          <w:color w:val="000000"/>
          <w:sz w:val="22"/>
          <w:szCs w:val="22"/>
        </w:rPr>
        <w:t>ll</w:t>
      </w:r>
      <w:r w:rsidRPr="003524BA">
        <w:rPr>
          <w:rFonts w:eastAsia="TimesNewRoman"/>
          <w:color w:val="000000"/>
          <w:sz w:val="22"/>
          <w:szCs w:val="22"/>
        </w:rPr>
        <w:t xml:space="preserve"> decisions regarding a particular small entity will be based on the statute and </w:t>
      </w:r>
      <w:r w:rsidR="009F711D" w:rsidRPr="003524BA">
        <w:rPr>
          <w:rFonts w:eastAsia="TimesNewRoman"/>
          <w:color w:val="000000"/>
          <w:sz w:val="22"/>
          <w:szCs w:val="22"/>
        </w:rPr>
        <w:t xml:space="preserve">relevant rules. </w:t>
      </w:r>
    </w:p>
    <w:p w14:paraId="3BBC1BD6" w14:textId="77777777" w:rsidR="00CC2449" w:rsidRPr="003524BA" w:rsidRDefault="00CC2449" w:rsidP="004542AA">
      <w:pPr>
        <w:autoSpaceDE w:val="0"/>
        <w:autoSpaceDN w:val="0"/>
        <w:adjustRightInd w:val="0"/>
        <w:jc w:val="both"/>
        <w:rPr>
          <w:rFonts w:eastAsia="TimesNewRoman"/>
          <w:bCs/>
          <w:color w:val="000000"/>
          <w:sz w:val="22"/>
          <w:szCs w:val="22"/>
        </w:rPr>
      </w:pPr>
    </w:p>
    <w:p w14:paraId="3A84B783" w14:textId="0A76FD08" w:rsidR="00CC2449" w:rsidRPr="003524BA" w:rsidRDefault="00CC2449">
      <w:pPr>
        <w:autoSpaceDE w:val="0"/>
        <w:autoSpaceDN w:val="0"/>
        <w:adjustRightInd w:val="0"/>
        <w:jc w:val="both"/>
        <w:rPr>
          <w:rFonts w:eastAsia="TimesNewRoman"/>
          <w:color w:val="000000"/>
          <w:sz w:val="22"/>
          <w:szCs w:val="22"/>
        </w:rPr>
      </w:pPr>
      <w:r w:rsidRPr="003524BA">
        <w:rPr>
          <w:rFonts w:eastAsia="TimesNewRoman"/>
          <w:color w:val="000000"/>
          <w:sz w:val="22"/>
          <w:szCs w:val="22"/>
        </w:rPr>
        <w:t>In any civil or administrative action against a small entity for a violation of rules,</w:t>
      </w:r>
      <w:r w:rsidR="001A7743" w:rsidRPr="003524BA">
        <w:rPr>
          <w:rFonts w:eastAsia="TimesNewRoman"/>
          <w:color w:val="000000"/>
          <w:sz w:val="22"/>
          <w:szCs w:val="22"/>
        </w:rPr>
        <w:t xml:space="preserve"> </w:t>
      </w:r>
      <w:r w:rsidRPr="003524BA">
        <w:rPr>
          <w:rFonts w:eastAsia="TimesNewRoman"/>
          <w:color w:val="000000"/>
          <w:sz w:val="22"/>
          <w:szCs w:val="22"/>
        </w:rPr>
        <w:t>the content of the Small Entity Compliance Guide may be considered as evidence of</w:t>
      </w:r>
      <w:r w:rsidR="001A7743" w:rsidRPr="003524BA">
        <w:rPr>
          <w:rFonts w:eastAsia="TimesNewRoman"/>
          <w:color w:val="000000"/>
          <w:sz w:val="22"/>
          <w:szCs w:val="22"/>
        </w:rPr>
        <w:t xml:space="preserve"> </w:t>
      </w:r>
      <w:r w:rsidRPr="003524BA">
        <w:rPr>
          <w:rFonts w:eastAsia="TimesNewRoman"/>
          <w:color w:val="000000"/>
          <w:sz w:val="22"/>
          <w:szCs w:val="22"/>
        </w:rPr>
        <w:t>the reasonableness or appropriatene</w:t>
      </w:r>
      <w:r w:rsidR="00051E99" w:rsidRPr="003524BA">
        <w:rPr>
          <w:rFonts w:eastAsia="TimesNewRoman"/>
          <w:color w:val="000000"/>
          <w:sz w:val="22"/>
          <w:szCs w:val="22"/>
        </w:rPr>
        <w:t>ss of proposed fines, penalties</w:t>
      </w:r>
      <w:r w:rsidRPr="003524BA">
        <w:rPr>
          <w:rFonts w:eastAsia="TimesNewRoman"/>
          <w:color w:val="000000"/>
          <w:sz w:val="22"/>
          <w:szCs w:val="22"/>
        </w:rPr>
        <w:t>, or damages.</w:t>
      </w:r>
      <w:r w:rsidR="001A7743" w:rsidRPr="003524BA">
        <w:rPr>
          <w:rFonts w:eastAsia="TimesNewRoman"/>
          <w:color w:val="000000"/>
          <w:sz w:val="22"/>
          <w:szCs w:val="22"/>
        </w:rPr>
        <w:t xml:space="preserve"> </w:t>
      </w:r>
      <w:r w:rsidR="009F711D" w:rsidRPr="003524BA">
        <w:rPr>
          <w:rFonts w:eastAsia="TimesNewRoman"/>
          <w:color w:val="000000"/>
          <w:sz w:val="22"/>
          <w:szCs w:val="22"/>
        </w:rPr>
        <w:t xml:space="preserve"> </w:t>
      </w:r>
      <w:r w:rsidRPr="003524BA">
        <w:rPr>
          <w:rFonts w:eastAsia="TimesNewRoman"/>
          <w:color w:val="000000"/>
          <w:sz w:val="22"/>
          <w:szCs w:val="22"/>
        </w:rPr>
        <w:t>Interested parties are free to file comments regarding this Guide and the</w:t>
      </w:r>
      <w:r w:rsidR="001A7743" w:rsidRPr="003524BA">
        <w:rPr>
          <w:rFonts w:eastAsia="TimesNewRoman"/>
          <w:color w:val="000000"/>
          <w:sz w:val="22"/>
          <w:szCs w:val="22"/>
        </w:rPr>
        <w:t xml:space="preserve"> </w:t>
      </w:r>
      <w:r w:rsidRPr="003524BA">
        <w:rPr>
          <w:rFonts w:eastAsia="TimesNewRoman"/>
          <w:color w:val="000000"/>
          <w:sz w:val="22"/>
          <w:szCs w:val="22"/>
        </w:rPr>
        <w:t>appropriateness of its application to a particular situation; the FCC will consider</w:t>
      </w:r>
      <w:r w:rsidR="001A7743" w:rsidRPr="003524BA">
        <w:rPr>
          <w:rFonts w:eastAsia="TimesNewRoman"/>
          <w:color w:val="000000"/>
          <w:sz w:val="22"/>
          <w:szCs w:val="22"/>
        </w:rPr>
        <w:t xml:space="preserve"> </w:t>
      </w:r>
      <w:r w:rsidRPr="003524BA">
        <w:rPr>
          <w:rFonts w:eastAsia="TimesNewRoman"/>
          <w:color w:val="000000"/>
          <w:sz w:val="22"/>
          <w:szCs w:val="22"/>
        </w:rPr>
        <w:t>whether the recommendations or interpretations in the Guide are appropriate in</w:t>
      </w:r>
      <w:r w:rsidR="001A7743" w:rsidRPr="003524BA">
        <w:rPr>
          <w:rFonts w:eastAsia="TimesNewRoman"/>
          <w:color w:val="000000"/>
          <w:sz w:val="22"/>
          <w:szCs w:val="22"/>
        </w:rPr>
        <w:t xml:space="preserve"> </w:t>
      </w:r>
      <w:r w:rsidRPr="003524BA">
        <w:rPr>
          <w:rFonts w:eastAsia="TimesNewRoman"/>
          <w:color w:val="000000"/>
          <w:sz w:val="22"/>
          <w:szCs w:val="22"/>
        </w:rPr>
        <w:t>that situation. The FCC may decide to revise</w:t>
      </w:r>
      <w:r w:rsidR="001A7743" w:rsidRPr="003524BA">
        <w:rPr>
          <w:rFonts w:eastAsia="TimesNewRoman"/>
          <w:color w:val="000000"/>
          <w:sz w:val="22"/>
          <w:szCs w:val="22"/>
        </w:rPr>
        <w:t xml:space="preserve"> this Guide without public noti</w:t>
      </w:r>
      <w:r w:rsidRPr="003524BA">
        <w:rPr>
          <w:rFonts w:eastAsia="TimesNewRoman"/>
          <w:color w:val="000000"/>
          <w:sz w:val="22"/>
          <w:szCs w:val="22"/>
        </w:rPr>
        <w:t>ce to</w:t>
      </w:r>
      <w:r w:rsidR="001A7743" w:rsidRPr="003524BA">
        <w:rPr>
          <w:rFonts w:eastAsia="TimesNewRoman"/>
          <w:color w:val="000000"/>
          <w:sz w:val="22"/>
          <w:szCs w:val="22"/>
        </w:rPr>
        <w:t xml:space="preserve"> </w:t>
      </w:r>
      <w:r w:rsidRPr="003524BA">
        <w:rPr>
          <w:rFonts w:eastAsia="TimesNewRoman"/>
          <w:color w:val="000000"/>
          <w:sz w:val="22"/>
          <w:szCs w:val="22"/>
        </w:rPr>
        <w:t>reflect changes in the FCC’s approach to implementing a rule, or to clarify or</w:t>
      </w:r>
      <w:r w:rsidR="001A7743" w:rsidRPr="003524BA">
        <w:rPr>
          <w:rFonts w:eastAsia="TimesNewRoman"/>
          <w:color w:val="000000"/>
          <w:sz w:val="22"/>
          <w:szCs w:val="22"/>
        </w:rPr>
        <w:t xml:space="preserve"> </w:t>
      </w:r>
      <w:r w:rsidRPr="003524BA">
        <w:rPr>
          <w:rFonts w:eastAsia="TimesNewRoman"/>
          <w:color w:val="000000"/>
          <w:sz w:val="22"/>
          <w:szCs w:val="22"/>
        </w:rPr>
        <w:t xml:space="preserve">update the text of the Guide. </w:t>
      </w:r>
      <w:r w:rsidR="009F711D" w:rsidRPr="003524BA">
        <w:rPr>
          <w:rFonts w:eastAsia="TimesNewRoman"/>
          <w:color w:val="000000"/>
          <w:sz w:val="22"/>
          <w:szCs w:val="22"/>
        </w:rPr>
        <w:t xml:space="preserve"> </w:t>
      </w:r>
      <w:r w:rsidRPr="003524BA">
        <w:rPr>
          <w:rFonts w:eastAsia="TimesNewRoman"/>
          <w:color w:val="000000"/>
          <w:sz w:val="22"/>
          <w:szCs w:val="22"/>
        </w:rPr>
        <w:t>Direct your comments and recommendations, or calls</w:t>
      </w:r>
      <w:r w:rsidR="001A7743" w:rsidRPr="003524BA">
        <w:rPr>
          <w:rFonts w:eastAsia="TimesNewRoman"/>
          <w:color w:val="000000"/>
          <w:sz w:val="22"/>
          <w:szCs w:val="22"/>
        </w:rPr>
        <w:t xml:space="preserve"> </w:t>
      </w:r>
      <w:r w:rsidRPr="003524BA">
        <w:rPr>
          <w:rFonts w:eastAsia="TimesNewRoman"/>
          <w:color w:val="000000"/>
          <w:sz w:val="22"/>
          <w:szCs w:val="22"/>
        </w:rPr>
        <w:t>for further assistance, to the FCC’s Consumer Center:</w:t>
      </w:r>
    </w:p>
    <w:p w14:paraId="1080DD1B" w14:textId="77777777" w:rsidR="001A7743" w:rsidRPr="00B254F2" w:rsidRDefault="001A7743" w:rsidP="00CC2449">
      <w:pPr>
        <w:autoSpaceDE w:val="0"/>
        <w:autoSpaceDN w:val="0"/>
        <w:adjustRightInd w:val="0"/>
        <w:rPr>
          <w:rFonts w:eastAsia="TimesNewRoman"/>
          <w:b/>
          <w:bCs/>
          <w:color w:val="000000"/>
          <w:sz w:val="22"/>
          <w:szCs w:val="22"/>
        </w:rPr>
      </w:pPr>
    </w:p>
    <w:p w14:paraId="3AAF1758" w14:textId="77777777" w:rsidR="00CC2449" w:rsidRPr="001064D9" w:rsidRDefault="00CC2449">
      <w:pPr>
        <w:autoSpaceDE w:val="0"/>
        <w:autoSpaceDN w:val="0"/>
        <w:adjustRightInd w:val="0"/>
        <w:jc w:val="center"/>
        <w:rPr>
          <w:rFonts w:ascii="TimesNewRoman" w:eastAsia="TimesNewRoman" w:hAnsi="TimesNewRoman" w:cs="TimesNewRoman"/>
          <w:b/>
          <w:bCs/>
          <w:color w:val="000000"/>
          <w:sz w:val="22"/>
          <w:szCs w:val="22"/>
        </w:rPr>
      </w:pPr>
      <w:r w:rsidRPr="001064D9">
        <w:rPr>
          <w:rFonts w:ascii="TimesNewRoman" w:eastAsia="TimesNewRoman" w:hAnsi="TimesNewRoman" w:cs="TimesNewRoman"/>
          <w:b/>
          <w:bCs/>
          <w:color w:val="000000"/>
          <w:sz w:val="22"/>
          <w:szCs w:val="22"/>
        </w:rPr>
        <w:t>1-888-CALL-FCC (1-888-225-5322)</w:t>
      </w:r>
    </w:p>
    <w:p w14:paraId="6A1F7032" w14:textId="77777777" w:rsidR="00CC2449" w:rsidRPr="001064D9" w:rsidRDefault="00CC2449">
      <w:pPr>
        <w:autoSpaceDE w:val="0"/>
        <w:autoSpaceDN w:val="0"/>
        <w:adjustRightInd w:val="0"/>
        <w:jc w:val="center"/>
        <w:rPr>
          <w:rFonts w:ascii="TimesNewRoman" w:eastAsia="TimesNewRoman" w:hAnsi="TimesNewRoman" w:cs="TimesNewRoman"/>
          <w:b/>
          <w:bCs/>
          <w:color w:val="000000"/>
          <w:sz w:val="22"/>
          <w:szCs w:val="22"/>
        </w:rPr>
      </w:pPr>
      <w:r w:rsidRPr="001064D9">
        <w:rPr>
          <w:rFonts w:ascii="TimesNewRoman" w:eastAsia="TimesNewRoman" w:hAnsi="TimesNewRoman" w:cs="TimesNewRoman"/>
          <w:b/>
          <w:bCs/>
          <w:color w:val="000000"/>
          <w:sz w:val="22"/>
          <w:szCs w:val="22"/>
        </w:rPr>
        <w:t>TTY: 1-888-TELL-FCC (1-888-835-5322)</w:t>
      </w:r>
    </w:p>
    <w:p w14:paraId="34D81375" w14:textId="77777777" w:rsidR="00EA68FC" w:rsidRPr="001064D9" w:rsidRDefault="00CC2449">
      <w:pPr>
        <w:autoSpaceDE w:val="0"/>
        <w:autoSpaceDN w:val="0"/>
        <w:adjustRightInd w:val="0"/>
        <w:jc w:val="center"/>
        <w:rPr>
          <w:rFonts w:ascii="TimesNewRoman" w:eastAsia="TimesNewRoman" w:hAnsi="TimesNewRoman" w:cs="TimesNewRoman"/>
          <w:b/>
          <w:bCs/>
          <w:color w:val="000000"/>
          <w:sz w:val="22"/>
          <w:szCs w:val="22"/>
        </w:rPr>
        <w:sectPr w:rsidR="00EA68FC" w:rsidRPr="001064D9" w:rsidSect="00722D2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r w:rsidRPr="001064D9">
        <w:rPr>
          <w:rFonts w:ascii="TimesNewRoman" w:eastAsia="TimesNewRoman" w:hAnsi="TimesNewRoman" w:cs="TimesNewRoman"/>
          <w:b/>
          <w:bCs/>
          <w:color w:val="000000"/>
          <w:sz w:val="22"/>
          <w:szCs w:val="22"/>
        </w:rPr>
        <w:t>Fax: 1-866-418-0232</w:t>
      </w:r>
    </w:p>
    <w:p w14:paraId="72A927EF" w14:textId="2D9BFE65" w:rsidR="008B0C72" w:rsidRPr="00183094" w:rsidRDefault="00637585" w:rsidP="001064D9">
      <w:pPr>
        <w:spacing w:after="240"/>
        <w:contextualSpacing/>
        <w:jc w:val="center"/>
        <w:rPr>
          <w:b/>
          <w:bCs/>
          <w:sz w:val="22"/>
          <w:szCs w:val="22"/>
        </w:rPr>
      </w:pPr>
      <w:r w:rsidRPr="00183094">
        <w:rPr>
          <w:b/>
          <w:bCs/>
          <w:sz w:val="22"/>
          <w:szCs w:val="22"/>
          <w:u w:val="single"/>
        </w:rPr>
        <w:lastRenderedPageBreak/>
        <w:t>OBJECTIVES OF THE PROCEEDING</w:t>
      </w:r>
    </w:p>
    <w:p w14:paraId="3CF743E1" w14:textId="11B51408" w:rsidR="0066309C" w:rsidRPr="00CE2218" w:rsidRDefault="00BB156E">
      <w:pPr>
        <w:pStyle w:val="ParaNum"/>
        <w:numPr>
          <w:ilvl w:val="0"/>
          <w:numId w:val="0"/>
        </w:numPr>
        <w:tabs>
          <w:tab w:val="num" w:pos="1440"/>
        </w:tabs>
        <w:contextualSpacing/>
        <w:rPr>
          <w:szCs w:val="22"/>
        </w:rPr>
      </w:pPr>
      <w:r>
        <w:t xml:space="preserve">In the </w:t>
      </w:r>
      <w:r w:rsidR="0009228E" w:rsidRPr="00183094">
        <w:rPr>
          <w:i/>
          <w:iCs/>
        </w:rPr>
        <w:t xml:space="preserve">Second </w:t>
      </w:r>
      <w:r w:rsidRPr="00183094">
        <w:rPr>
          <w:i/>
          <w:iCs/>
        </w:rPr>
        <w:t>Report and Order</w:t>
      </w:r>
      <w:r>
        <w:t xml:space="preserve"> in MB Docket Nos. 14-50, 09-182, 07-294, and 04-256, released A</w:t>
      </w:r>
      <w:r w:rsidR="006C79A7">
        <w:t>ugust</w:t>
      </w:r>
      <w:r>
        <w:t xml:space="preserve"> </w:t>
      </w:r>
      <w:r w:rsidR="006C79A7">
        <w:t>25, 2016,</w:t>
      </w:r>
      <w:r>
        <w:t xml:space="preserve"> the Commission</w:t>
      </w:r>
      <w:r w:rsidR="008B0C72" w:rsidRPr="00183094">
        <w:t xml:space="preserve"> </w:t>
      </w:r>
      <w:r w:rsidR="00DC1B77" w:rsidRPr="00183094">
        <w:t xml:space="preserve">(1) </w:t>
      </w:r>
      <w:r w:rsidR="005D6474">
        <w:t xml:space="preserve">completed the 2010 and 2014 </w:t>
      </w:r>
      <w:r w:rsidR="00455BCB">
        <w:t>reviews of the media ownership rules</w:t>
      </w:r>
      <w:r w:rsidR="005D6474">
        <w:t xml:space="preserve"> by maintaining strong media ownership rules, </w:t>
      </w:r>
      <w:r w:rsidR="00DC1B77">
        <w:t xml:space="preserve">(2) </w:t>
      </w:r>
      <w:r w:rsidR="005D6474">
        <w:t xml:space="preserve">took steps to help promote small business </w:t>
      </w:r>
      <w:r w:rsidR="001A38AE">
        <w:t xml:space="preserve">and new entrant </w:t>
      </w:r>
      <w:r w:rsidR="005D6474">
        <w:t xml:space="preserve">participation in the broadcast industry, and </w:t>
      </w:r>
      <w:r w:rsidR="00DC1B77">
        <w:t xml:space="preserve">(3) </w:t>
      </w:r>
      <w:r w:rsidR="005D6474">
        <w:t>adopted rules that will help to promote transparency in local television markets.</w:t>
      </w:r>
    </w:p>
    <w:p w14:paraId="448631F0" w14:textId="0011FD4D" w:rsidR="004F282B" w:rsidRPr="00183094" w:rsidRDefault="00637585" w:rsidP="001064D9">
      <w:pPr>
        <w:spacing w:before="240" w:after="240"/>
        <w:jc w:val="center"/>
        <w:rPr>
          <w:b/>
          <w:bCs/>
          <w:sz w:val="22"/>
          <w:szCs w:val="22"/>
          <w:u w:val="single"/>
        </w:rPr>
      </w:pPr>
      <w:r w:rsidRPr="00183094">
        <w:rPr>
          <w:b/>
          <w:bCs/>
          <w:sz w:val="22"/>
          <w:szCs w:val="22"/>
          <w:u w:val="single"/>
        </w:rPr>
        <w:t>BENEFITS</w:t>
      </w:r>
    </w:p>
    <w:p w14:paraId="47022B39" w14:textId="6ACE22D0" w:rsidR="00AD5B7B" w:rsidRPr="0029662D" w:rsidRDefault="004F282B" w:rsidP="0037639B">
      <w:pPr>
        <w:spacing w:after="120"/>
        <w:rPr>
          <w:sz w:val="22"/>
          <w:szCs w:val="22"/>
        </w:rPr>
      </w:pPr>
      <w:r w:rsidRPr="004F282B">
        <w:rPr>
          <w:sz w:val="22"/>
          <w:szCs w:val="22"/>
        </w:rPr>
        <w:t>The</w:t>
      </w:r>
      <w:r>
        <w:rPr>
          <w:sz w:val="22"/>
          <w:szCs w:val="22"/>
        </w:rPr>
        <w:t xml:space="preserve"> Com</w:t>
      </w:r>
      <w:r w:rsidR="00A74066">
        <w:rPr>
          <w:sz w:val="22"/>
          <w:szCs w:val="22"/>
        </w:rPr>
        <w:t>mission’s decision to adopt strong</w:t>
      </w:r>
      <w:r>
        <w:rPr>
          <w:sz w:val="22"/>
          <w:szCs w:val="22"/>
        </w:rPr>
        <w:t xml:space="preserve"> media ownership rules will</w:t>
      </w:r>
      <w:r w:rsidRPr="004F282B">
        <w:rPr>
          <w:sz w:val="22"/>
          <w:szCs w:val="22"/>
        </w:rPr>
        <w:t xml:space="preserve"> promote competition and a diversity of viewpoints in local markets, </w:t>
      </w:r>
      <w:r w:rsidRPr="00AD5B7B">
        <w:rPr>
          <w:sz w:val="22"/>
          <w:szCs w:val="22"/>
        </w:rPr>
        <w:t xml:space="preserve">thereby enriching local communities through the promotion of distinct and antagonistic voices.  </w:t>
      </w:r>
      <w:r w:rsidR="00AD5B7B" w:rsidRPr="00AD5B7B">
        <w:rPr>
          <w:sz w:val="22"/>
          <w:szCs w:val="22"/>
        </w:rPr>
        <w:t xml:space="preserve">The Commission’s decision to </w:t>
      </w:r>
      <w:r w:rsidR="00AD5B7B">
        <w:rPr>
          <w:sz w:val="22"/>
          <w:szCs w:val="22"/>
        </w:rPr>
        <w:t xml:space="preserve">readopt the attribution of </w:t>
      </w:r>
      <w:r w:rsidR="00A74066">
        <w:rPr>
          <w:sz w:val="22"/>
          <w:szCs w:val="22"/>
        </w:rPr>
        <w:t xml:space="preserve">certain television </w:t>
      </w:r>
      <w:r w:rsidR="00AD5B7B">
        <w:rPr>
          <w:sz w:val="22"/>
          <w:szCs w:val="22"/>
        </w:rPr>
        <w:t xml:space="preserve">joint sales agreements (JSAs) </w:t>
      </w:r>
      <w:r w:rsidR="00AD5B7B" w:rsidRPr="00AD5B7B">
        <w:rPr>
          <w:sz w:val="22"/>
          <w:szCs w:val="22"/>
        </w:rPr>
        <w:t xml:space="preserve">will preserve competition by ensuring that broadcast television </w:t>
      </w:r>
      <w:r w:rsidR="00AD5B7B" w:rsidRPr="0029662D">
        <w:rPr>
          <w:sz w:val="22"/>
          <w:szCs w:val="22"/>
        </w:rPr>
        <w:t xml:space="preserve">station owners are not able to evade the Commission’s media ownership limits through the use of certain television JSAs.  </w:t>
      </w:r>
    </w:p>
    <w:p w14:paraId="6817A772" w14:textId="12AA5967" w:rsidR="004F282B" w:rsidRPr="0029662D" w:rsidRDefault="00AD5B7B" w:rsidP="002D4C7C">
      <w:pPr>
        <w:spacing w:after="120"/>
        <w:rPr>
          <w:sz w:val="22"/>
          <w:szCs w:val="22"/>
        </w:rPr>
      </w:pPr>
      <w:r w:rsidRPr="0029662D">
        <w:rPr>
          <w:sz w:val="22"/>
          <w:szCs w:val="22"/>
        </w:rPr>
        <w:t xml:space="preserve">The Commission’s decision to reinstate the revenue-based eligible entity standard and associated measures will </w:t>
      </w:r>
      <w:r w:rsidR="00A74066">
        <w:rPr>
          <w:sz w:val="22"/>
          <w:szCs w:val="22"/>
        </w:rPr>
        <w:t xml:space="preserve">help </w:t>
      </w:r>
      <w:r w:rsidRPr="0029662D">
        <w:rPr>
          <w:sz w:val="22"/>
          <w:szCs w:val="22"/>
        </w:rPr>
        <w:t xml:space="preserve">promote the Commission’s goal of encouraging small business </w:t>
      </w:r>
      <w:r w:rsidR="006E59C2">
        <w:rPr>
          <w:sz w:val="22"/>
          <w:szCs w:val="22"/>
        </w:rPr>
        <w:t>and new en</w:t>
      </w:r>
      <w:r w:rsidR="00166645">
        <w:rPr>
          <w:sz w:val="22"/>
          <w:szCs w:val="22"/>
        </w:rPr>
        <w:t xml:space="preserve">trant </w:t>
      </w:r>
      <w:r w:rsidRPr="0029662D">
        <w:rPr>
          <w:sz w:val="22"/>
          <w:szCs w:val="22"/>
        </w:rPr>
        <w:t>participation in the broadcast industry</w:t>
      </w:r>
      <w:r w:rsidR="001A38AE">
        <w:rPr>
          <w:sz w:val="22"/>
          <w:szCs w:val="22"/>
        </w:rPr>
        <w:t>,</w:t>
      </w:r>
      <w:r w:rsidRPr="0029662D">
        <w:rPr>
          <w:sz w:val="22"/>
          <w:szCs w:val="22"/>
        </w:rPr>
        <w:t xml:space="preserve"> which will cultivate innovation and further enhance viewpoint diversity.  </w:t>
      </w:r>
    </w:p>
    <w:p w14:paraId="1926DBA1" w14:textId="2C3471C0" w:rsidR="006C79A7" w:rsidRPr="00183094" w:rsidRDefault="00AD5B7B" w:rsidP="001064D9">
      <w:pPr>
        <w:spacing w:after="120"/>
        <w:rPr>
          <w:b/>
          <w:bCs/>
          <w:sz w:val="22"/>
          <w:szCs w:val="22"/>
        </w:rPr>
      </w:pPr>
      <w:r w:rsidRPr="0029662D">
        <w:rPr>
          <w:sz w:val="22"/>
          <w:szCs w:val="22"/>
        </w:rPr>
        <w:t xml:space="preserve">The Commission’s decision to require commercial television stations to disclose </w:t>
      </w:r>
      <w:r w:rsidR="00A74066">
        <w:rPr>
          <w:sz w:val="22"/>
          <w:szCs w:val="22"/>
        </w:rPr>
        <w:t xml:space="preserve">certain </w:t>
      </w:r>
      <w:r w:rsidRPr="0029662D">
        <w:rPr>
          <w:sz w:val="22"/>
          <w:szCs w:val="22"/>
        </w:rPr>
        <w:t xml:space="preserve">shared service agreements (SSAs) will lead to more comprehensive information about the prevalence and content of SSAs between </w:t>
      </w:r>
      <w:r w:rsidR="00166645">
        <w:rPr>
          <w:sz w:val="22"/>
          <w:szCs w:val="22"/>
        </w:rPr>
        <w:t xml:space="preserve">commercial broadcast </w:t>
      </w:r>
      <w:r w:rsidRPr="0029662D">
        <w:rPr>
          <w:sz w:val="22"/>
          <w:szCs w:val="22"/>
        </w:rPr>
        <w:t>television stations, which will improve the Commission’s and the public’s ability to assess the potential impact of these agreements on the Commission’s rules and policies.</w:t>
      </w:r>
    </w:p>
    <w:p w14:paraId="25C63CB6" w14:textId="1AC68EF4" w:rsidR="00540AFF" w:rsidRPr="00183094" w:rsidRDefault="00637585" w:rsidP="001064D9">
      <w:pPr>
        <w:spacing w:before="240" w:after="240"/>
        <w:jc w:val="center"/>
        <w:rPr>
          <w:b/>
          <w:bCs/>
          <w:sz w:val="22"/>
          <w:szCs w:val="22"/>
          <w:u w:val="single"/>
        </w:rPr>
      </w:pPr>
      <w:r w:rsidRPr="00183094">
        <w:rPr>
          <w:b/>
          <w:bCs/>
          <w:sz w:val="22"/>
          <w:szCs w:val="22"/>
          <w:u w:val="single"/>
        </w:rPr>
        <w:t>COMPLIANCE REQUIREMENTS</w:t>
      </w:r>
    </w:p>
    <w:p w14:paraId="182F5F37" w14:textId="4E66EDAC" w:rsidR="004B7D54" w:rsidRPr="001064D9" w:rsidRDefault="006C79A7" w:rsidP="001064D9">
      <w:pPr>
        <w:pStyle w:val="ListParagraph"/>
        <w:numPr>
          <w:ilvl w:val="0"/>
          <w:numId w:val="19"/>
        </w:numPr>
        <w:spacing w:after="120"/>
        <w:ind w:left="360"/>
        <w:contextualSpacing w:val="0"/>
        <w:outlineLvl w:val="1"/>
        <w:rPr>
          <w:b/>
          <w:bCs/>
          <w:sz w:val="22"/>
          <w:szCs w:val="22"/>
          <w:u w:val="single"/>
        </w:rPr>
      </w:pPr>
      <w:r w:rsidRPr="00183094">
        <w:rPr>
          <w:b/>
          <w:bCs/>
          <w:sz w:val="22"/>
          <w:szCs w:val="22"/>
        </w:rPr>
        <w:t>E</w:t>
      </w:r>
      <w:r w:rsidR="004D55CD" w:rsidRPr="00183094">
        <w:rPr>
          <w:b/>
          <w:bCs/>
          <w:sz w:val="22"/>
          <w:szCs w:val="22"/>
        </w:rPr>
        <w:t>ntities R</w:t>
      </w:r>
      <w:r w:rsidRPr="00183094">
        <w:rPr>
          <w:b/>
          <w:bCs/>
          <w:sz w:val="22"/>
          <w:szCs w:val="22"/>
        </w:rPr>
        <w:t xml:space="preserve">equired to </w:t>
      </w:r>
      <w:r w:rsidR="004D55CD" w:rsidRPr="00183094">
        <w:rPr>
          <w:b/>
          <w:bCs/>
          <w:sz w:val="22"/>
          <w:szCs w:val="22"/>
        </w:rPr>
        <w:t>T</w:t>
      </w:r>
      <w:r w:rsidRPr="001064D9">
        <w:rPr>
          <w:b/>
          <w:bCs/>
          <w:sz w:val="22"/>
          <w:szCs w:val="22"/>
        </w:rPr>
        <w:t xml:space="preserve">ake </w:t>
      </w:r>
      <w:r w:rsidR="004D55CD" w:rsidRPr="001064D9">
        <w:rPr>
          <w:b/>
          <w:bCs/>
          <w:sz w:val="22"/>
          <w:szCs w:val="22"/>
        </w:rPr>
        <w:t>A</w:t>
      </w:r>
      <w:r w:rsidRPr="001064D9">
        <w:rPr>
          <w:b/>
          <w:bCs/>
          <w:sz w:val="22"/>
          <w:szCs w:val="22"/>
        </w:rPr>
        <w:t xml:space="preserve">ction under this </w:t>
      </w:r>
      <w:r w:rsidR="004D55CD" w:rsidRPr="001064D9">
        <w:rPr>
          <w:b/>
          <w:bCs/>
          <w:sz w:val="22"/>
          <w:szCs w:val="22"/>
        </w:rPr>
        <w:t>P</w:t>
      </w:r>
      <w:r w:rsidRPr="001064D9">
        <w:rPr>
          <w:b/>
          <w:bCs/>
          <w:sz w:val="22"/>
          <w:szCs w:val="22"/>
        </w:rPr>
        <w:t>roceeding</w:t>
      </w:r>
    </w:p>
    <w:p w14:paraId="66053077" w14:textId="5428CB7F" w:rsidR="002B7FAC" w:rsidRPr="00D75AE0" w:rsidRDefault="00D75AE0" w:rsidP="0037639B">
      <w:pPr>
        <w:pStyle w:val="ListParagraph"/>
        <w:numPr>
          <w:ilvl w:val="0"/>
          <w:numId w:val="14"/>
        </w:numPr>
        <w:spacing w:after="120"/>
        <w:ind w:left="720"/>
        <w:contextualSpacing w:val="0"/>
        <w:outlineLvl w:val="1"/>
        <w:rPr>
          <w:sz w:val="22"/>
          <w:szCs w:val="22"/>
        </w:rPr>
      </w:pPr>
      <w:r w:rsidRPr="00D75AE0">
        <w:rPr>
          <w:sz w:val="22"/>
          <w:szCs w:val="22"/>
        </w:rPr>
        <w:t xml:space="preserve">All </w:t>
      </w:r>
      <w:r w:rsidR="00CC50AA">
        <w:rPr>
          <w:sz w:val="22"/>
          <w:szCs w:val="22"/>
        </w:rPr>
        <w:t xml:space="preserve">commercial </w:t>
      </w:r>
      <w:r w:rsidR="00A74066">
        <w:rPr>
          <w:sz w:val="22"/>
          <w:szCs w:val="22"/>
        </w:rPr>
        <w:t xml:space="preserve">broadcast </w:t>
      </w:r>
      <w:r w:rsidRPr="00D75AE0">
        <w:rPr>
          <w:sz w:val="22"/>
          <w:szCs w:val="22"/>
        </w:rPr>
        <w:t>licensees</w:t>
      </w:r>
      <w:r w:rsidR="00A74066">
        <w:rPr>
          <w:sz w:val="22"/>
          <w:szCs w:val="22"/>
        </w:rPr>
        <w:t xml:space="preserve"> </w:t>
      </w:r>
      <w:r w:rsidRPr="00D75AE0">
        <w:rPr>
          <w:sz w:val="22"/>
          <w:szCs w:val="22"/>
        </w:rPr>
        <w:t xml:space="preserve">are required to comply </w:t>
      </w:r>
      <w:r>
        <w:rPr>
          <w:sz w:val="22"/>
          <w:szCs w:val="22"/>
        </w:rPr>
        <w:t xml:space="preserve">with the </w:t>
      </w:r>
      <w:r w:rsidR="003D664B">
        <w:rPr>
          <w:sz w:val="22"/>
          <w:szCs w:val="22"/>
        </w:rPr>
        <w:t>media</w:t>
      </w:r>
      <w:r>
        <w:rPr>
          <w:sz w:val="22"/>
          <w:szCs w:val="22"/>
        </w:rPr>
        <w:t xml:space="preserve"> ownership rules</w:t>
      </w:r>
      <w:r w:rsidR="00D83898">
        <w:rPr>
          <w:sz w:val="22"/>
          <w:szCs w:val="22"/>
        </w:rPr>
        <w:t xml:space="preserve">.  </w:t>
      </w:r>
    </w:p>
    <w:p w14:paraId="51785067" w14:textId="3C13B3A2" w:rsidR="0029662D" w:rsidRDefault="0029662D" w:rsidP="0037639B">
      <w:pPr>
        <w:pStyle w:val="ListParagraph"/>
        <w:numPr>
          <w:ilvl w:val="0"/>
          <w:numId w:val="14"/>
        </w:numPr>
        <w:spacing w:after="120"/>
        <w:ind w:left="720"/>
        <w:contextualSpacing w:val="0"/>
        <w:outlineLvl w:val="1"/>
        <w:rPr>
          <w:sz w:val="22"/>
          <w:szCs w:val="22"/>
        </w:rPr>
      </w:pPr>
      <w:r w:rsidRPr="0029662D">
        <w:rPr>
          <w:sz w:val="22"/>
          <w:szCs w:val="22"/>
        </w:rPr>
        <w:t xml:space="preserve">The </w:t>
      </w:r>
      <w:r w:rsidR="00250071">
        <w:rPr>
          <w:sz w:val="22"/>
          <w:szCs w:val="22"/>
        </w:rPr>
        <w:t>T</w:t>
      </w:r>
      <w:r w:rsidRPr="0029662D">
        <w:rPr>
          <w:sz w:val="22"/>
          <w:szCs w:val="22"/>
        </w:rPr>
        <w:t xml:space="preserve">elevision JSA </w:t>
      </w:r>
      <w:r w:rsidR="00250071">
        <w:rPr>
          <w:sz w:val="22"/>
          <w:szCs w:val="22"/>
        </w:rPr>
        <w:t>A</w:t>
      </w:r>
      <w:r w:rsidRPr="0029662D">
        <w:rPr>
          <w:sz w:val="22"/>
          <w:szCs w:val="22"/>
        </w:rPr>
        <w:t xml:space="preserve">ttribution </w:t>
      </w:r>
      <w:r w:rsidR="00250071">
        <w:rPr>
          <w:sz w:val="22"/>
          <w:szCs w:val="22"/>
        </w:rPr>
        <w:t>R</w:t>
      </w:r>
      <w:r w:rsidRPr="0029662D">
        <w:rPr>
          <w:sz w:val="22"/>
          <w:szCs w:val="22"/>
        </w:rPr>
        <w:t xml:space="preserve">ule and related filing and reporting requirements apply to </w:t>
      </w:r>
      <w:r w:rsidR="00CC50AA">
        <w:rPr>
          <w:sz w:val="22"/>
          <w:szCs w:val="22"/>
        </w:rPr>
        <w:t xml:space="preserve">commercial </w:t>
      </w:r>
      <w:r w:rsidRPr="0029662D">
        <w:rPr>
          <w:sz w:val="22"/>
          <w:szCs w:val="22"/>
        </w:rPr>
        <w:t>broadcast television stations.</w:t>
      </w:r>
      <w:r w:rsidR="00D83898">
        <w:rPr>
          <w:sz w:val="22"/>
          <w:szCs w:val="22"/>
        </w:rPr>
        <w:t xml:space="preserve">  </w:t>
      </w:r>
    </w:p>
    <w:p w14:paraId="45271F61" w14:textId="1AD49D7E" w:rsidR="00E179B3" w:rsidRPr="00183094" w:rsidRDefault="0029662D" w:rsidP="001064D9">
      <w:pPr>
        <w:pStyle w:val="ListParagraph"/>
        <w:numPr>
          <w:ilvl w:val="0"/>
          <w:numId w:val="14"/>
        </w:numPr>
        <w:spacing w:after="120"/>
        <w:ind w:left="720"/>
        <w:contextualSpacing w:val="0"/>
        <w:outlineLvl w:val="1"/>
        <w:rPr>
          <w:b/>
          <w:bCs/>
          <w:sz w:val="22"/>
          <w:szCs w:val="22"/>
          <w:u w:val="single"/>
        </w:rPr>
      </w:pPr>
      <w:r>
        <w:rPr>
          <w:sz w:val="22"/>
          <w:szCs w:val="22"/>
        </w:rPr>
        <w:t xml:space="preserve">The SSA </w:t>
      </w:r>
      <w:r w:rsidRPr="003E1679">
        <w:rPr>
          <w:sz w:val="22"/>
          <w:szCs w:val="22"/>
        </w:rPr>
        <w:t>disclosure requirement applies to commercial broadcast television stations</w:t>
      </w:r>
      <w:r w:rsidR="00320337">
        <w:rPr>
          <w:sz w:val="22"/>
          <w:szCs w:val="22"/>
        </w:rPr>
        <w:t>.</w:t>
      </w:r>
    </w:p>
    <w:p w14:paraId="2B1229A4" w14:textId="69AAA0CB" w:rsidR="00D75AE0" w:rsidRPr="001064D9" w:rsidRDefault="00725015" w:rsidP="001064D9">
      <w:pPr>
        <w:pStyle w:val="ListParagraph"/>
        <w:numPr>
          <w:ilvl w:val="0"/>
          <w:numId w:val="19"/>
        </w:numPr>
        <w:spacing w:after="120"/>
        <w:ind w:left="360"/>
        <w:contextualSpacing w:val="0"/>
        <w:outlineLvl w:val="1"/>
        <w:rPr>
          <w:b/>
          <w:bCs/>
          <w:sz w:val="22"/>
          <w:szCs w:val="22"/>
        </w:rPr>
      </w:pPr>
      <w:r w:rsidRPr="00183094">
        <w:rPr>
          <w:b/>
          <w:bCs/>
          <w:sz w:val="22"/>
          <w:szCs w:val="22"/>
        </w:rPr>
        <w:t xml:space="preserve">Media Ownership Rules </w:t>
      </w:r>
      <w:r w:rsidR="00D75AE0" w:rsidRPr="001064D9">
        <w:rPr>
          <w:b/>
          <w:bCs/>
          <w:sz w:val="22"/>
          <w:szCs w:val="22"/>
        </w:rPr>
        <w:t>Reviewed</w:t>
      </w:r>
      <w:r w:rsidRPr="001064D9">
        <w:rPr>
          <w:b/>
          <w:bCs/>
          <w:sz w:val="22"/>
          <w:szCs w:val="22"/>
        </w:rPr>
        <w:t xml:space="preserve"> by the Commission</w:t>
      </w:r>
    </w:p>
    <w:p w14:paraId="3355A84D" w14:textId="2292F3CD" w:rsidR="003852EB" w:rsidRDefault="00D75AE0" w:rsidP="0037639B">
      <w:pPr>
        <w:pStyle w:val="ListParagraph"/>
        <w:numPr>
          <w:ilvl w:val="0"/>
          <w:numId w:val="14"/>
        </w:numPr>
        <w:spacing w:after="120"/>
        <w:ind w:left="720"/>
        <w:contextualSpacing w:val="0"/>
        <w:outlineLvl w:val="1"/>
        <w:rPr>
          <w:sz w:val="22"/>
          <w:szCs w:val="22"/>
        </w:rPr>
      </w:pPr>
      <w:r w:rsidRPr="00D75AE0">
        <w:rPr>
          <w:sz w:val="22"/>
          <w:szCs w:val="22"/>
          <w:u w:val="single"/>
        </w:rPr>
        <w:t>Local Television Ownership</w:t>
      </w:r>
      <w:r w:rsidRPr="00D75AE0">
        <w:rPr>
          <w:sz w:val="22"/>
          <w:szCs w:val="22"/>
        </w:rPr>
        <w:t xml:space="preserve">. </w:t>
      </w:r>
      <w:r w:rsidR="00D47BD2">
        <w:rPr>
          <w:sz w:val="22"/>
          <w:szCs w:val="22"/>
        </w:rPr>
        <w:t xml:space="preserve"> </w:t>
      </w:r>
      <w:r w:rsidRPr="00D75AE0">
        <w:rPr>
          <w:sz w:val="22"/>
          <w:szCs w:val="22"/>
        </w:rPr>
        <w:t xml:space="preserve">The </w:t>
      </w:r>
      <w:r w:rsidR="5B0CD44E" w:rsidRPr="00183094">
        <w:rPr>
          <w:i/>
          <w:iCs/>
          <w:sz w:val="22"/>
          <w:szCs w:val="22"/>
        </w:rPr>
        <w:t>Second Report and Order</w:t>
      </w:r>
      <w:r w:rsidRPr="00D75AE0">
        <w:rPr>
          <w:sz w:val="22"/>
          <w:szCs w:val="22"/>
        </w:rPr>
        <w:t xml:space="preserve"> </w:t>
      </w:r>
      <w:r w:rsidR="00AB4E91">
        <w:rPr>
          <w:sz w:val="22"/>
          <w:szCs w:val="22"/>
        </w:rPr>
        <w:t>r</w:t>
      </w:r>
      <w:r w:rsidR="007F44C5">
        <w:rPr>
          <w:sz w:val="22"/>
          <w:szCs w:val="22"/>
        </w:rPr>
        <w:t>etained</w:t>
      </w:r>
      <w:r w:rsidR="00A74066">
        <w:rPr>
          <w:sz w:val="22"/>
          <w:szCs w:val="22"/>
        </w:rPr>
        <w:t xml:space="preserve"> the Local T</w:t>
      </w:r>
      <w:r w:rsidRPr="00D75AE0">
        <w:rPr>
          <w:sz w:val="22"/>
          <w:szCs w:val="22"/>
        </w:rPr>
        <w:t>elevision</w:t>
      </w:r>
      <w:r>
        <w:rPr>
          <w:sz w:val="22"/>
          <w:szCs w:val="22"/>
        </w:rPr>
        <w:t xml:space="preserve"> </w:t>
      </w:r>
      <w:r w:rsidR="00A74066">
        <w:rPr>
          <w:sz w:val="22"/>
          <w:szCs w:val="22"/>
        </w:rPr>
        <w:t>Ownership R</w:t>
      </w:r>
      <w:r w:rsidRPr="00D75AE0">
        <w:rPr>
          <w:sz w:val="22"/>
          <w:szCs w:val="22"/>
        </w:rPr>
        <w:t>ule</w:t>
      </w:r>
      <w:r w:rsidR="00AB4E91">
        <w:rPr>
          <w:sz w:val="22"/>
          <w:szCs w:val="22"/>
        </w:rPr>
        <w:t xml:space="preserve"> currently in effect</w:t>
      </w:r>
      <w:r w:rsidR="0059519C">
        <w:rPr>
          <w:sz w:val="22"/>
          <w:szCs w:val="22"/>
        </w:rPr>
        <w:t xml:space="preserve"> with a slight modification</w:t>
      </w:r>
      <w:r w:rsidR="00AB4E91">
        <w:rPr>
          <w:sz w:val="22"/>
          <w:szCs w:val="22"/>
        </w:rPr>
        <w:t xml:space="preserve">.  </w:t>
      </w:r>
      <w:r w:rsidR="00AB4E91" w:rsidRPr="003978B2">
        <w:rPr>
          <w:sz w:val="22"/>
          <w:szCs w:val="22"/>
        </w:rPr>
        <w:t xml:space="preserve">Under the rule, </w:t>
      </w:r>
      <w:r w:rsidR="004B58F4">
        <w:rPr>
          <w:sz w:val="22"/>
          <w:szCs w:val="22"/>
        </w:rPr>
        <w:t xml:space="preserve">47 CFR Section 73.3555(b), </w:t>
      </w:r>
      <w:r w:rsidR="00AB4E91" w:rsidRPr="003978B2">
        <w:rPr>
          <w:sz w:val="22"/>
          <w:szCs w:val="22"/>
        </w:rPr>
        <w:t xml:space="preserve">an entity </w:t>
      </w:r>
      <w:r w:rsidRPr="003978B2">
        <w:rPr>
          <w:sz w:val="22"/>
          <w:szCs w:val="22"/>
        </w:rPr>
        <w:t xml:space="preserve">can own, operate or control two </w:t>
      </w:r>
      <w:r w:rsidR="00AB4E91" w:rsidRPr="003978B2">
        <w:rPr>
          <w:sz w:val="22"/>
          <w:szCs w:val="22"/>
        </w:rPr>
        <w:t>television</w:t>
      </w:r>
      <w:r w:rsidRPr="003978B2">
        <w:rPr>
          <w:sz w:val="22"/>
          <w:szCs w:val="22"/>
        </w:rPr>
        <w:t xml:space="preserve"> stations in a market if no more than one of the two is among the top four stations in ratings </w:t>
      </w:r>
      <w:r w:rsidR="00166645">
        <w:rPr>
          <w:sz w:val="22"/>
          <w:szCs w:val="22"/>
        </w:rPr>
        <w:t>(</w:t>
      </w:r>
      <w:r w:rsidR="00286D39">
        <w:rPr>
          <w:sz w:val="22"/>
          <w:szCs w:val="22"/>
        </w:rPr>
        <w:t>top-four prohibition</w:t>
      </w:r>
      <w:r w:rsidR="00286D39" w:rsidRPr="003978B2">
        <w:rPr>
          <w:sz w:val="22"/>
          <w:szCs w:val="22"/>
        </w:rPr>
        <w:t>)</w:t>
      </w:r>
      <w:r w:rsidR="00286D39">
        <w:rPr>
          <w:sz w:val="22"/>
          <w:szCs w:val="22"/>
        </w:rPr>
        <w:t xml:space="preserve"> </w:t>
      </w:r>
      <w:r w:rsidRPr="003978B2">
        <w:rPr>
          <w:sz w:val="22"/>
          <w:szCs w:val="22"/>
        </w:rPr>
        <w:t xml:space="preserve">and eight independently owned television stations </w:t>
      </w:r>
      <w:r w:rsidR="00166645">
        <w:rPr>
          <w:sz w:val="22"/>
          <w:szCs w:val="22"/>
        </w:rPr>
        <w:t>would remain after the merger (</w:t>
      </w:r>
      <w:r w:rsidRPr="003978B2">
        <w:rPr>
          <w:sz w:val="22"/>
          <w:szCs w:val="22"/>
        </w:rPr>
        <w:t xml:space="preserve">eight voices test) or if there is no </w:t>
      </w:r>
      <w:r w:rsidR="003978B2" w:rsidRPr="003978B2">
        <w:rPr>
          <w:sz w:val="22"/>
          <w:szCs w:val="22"/>
        </w:rPr>
        <w:t>noise limited service contour (NLSC)</w:t>
      </w:r>
      <w:r w:rsidRPr="003978B2">
        <w:rPr>
          <w:sz w:val="22"/>
          <w:szCs w:val="22"/>
        </w:rPr>
        <w:t xml:space="preserve"> contour overlap between the two stations sought to be commonly owned.</w:t>
      </w:r>
      <w:r w:rsidR="003978B2" w:rsidRPr="003978B2">
        <w:rPr>
          <w:sz w:val="22"/>
          <w:szCs w:val="22"/>
        </w:rPr>
        <w:t xml:space="preserve">  The Commission switched from the</w:t>
      </w:r>
      <w:r w:rsidR="0059519C" w:rsidRPr="003978B2">
        <w:rPr>
          <w:sz w:val="22"/>
          <w:szCs w:val="22"/>
        </w:rPr>
        <w:t xml:space="preserve"> Grade-B contour overlap </w:t>
      </w:r>
      <w:r w:rsidR="00A74066">
        <w:rPr>
          <w:sz w:val="22"/>
          <w:szCs w:val="22"/>
        </w:rPr>
        <w:t xml:space="preserve">test </w:t>
      </w:r>
      <w:r w:rsidR="0059519C" w:rsidRPr="003978B2">
        <w:rPr>
          <w:sz w:val="22"/>
          <w:szCs w:val="22"/>
        </w:rPr>
        <w:t xml:space="preserve">to the </w:t>
      </w:r>
      <w:r w:rsidR="003978B2" w:rsidRPr="003978B2">
        <w:rPr>
          <w:sz w:val="22"/>
          <w:szCs w:val="22"/>
        </w:rPr>
        <w:t xml:space="preserve">digital NLSC contour overlap test </w:t>
      </w:r>
      <w:r w:rsidR="003978B2">
        <w:rPr>
          <w:sz w:val="22"/>
          <w:szCs w:val="22"/>
        </w:rPr>
        <w:t xml:space="preserve">to reflect </w:t>
      </w:r>
      <w:r w:rsidR="003978B2" w:rsidRPr="003978B2">
        <w:rPr>
          <w:sz w:val="22"/>
          <w:szCs w:val="22"/>
        </w:rPr>
        <w:t>the transition to digital television</w:t>
      </w:r>
      <w:r w:rsidR="003978B2">
        <w:rPr>
          <w:sz w:val="22"/>
          <w:szCs w:val="22"/>
        </w:rPr>
        <w:t xml:space="preserve">.  The </w:t>
      </w:r>
      <w:r w:rsidR="003978B2" w:rsidRPr="00183094">
        <w:rPr>
          <w:i/>
          <w:iCs/>
          <w:sz w:val="22"/>
          <w:szCs w:val="22"/>
        </w:rPr>
        <w:t>Second Report and Order</w:t>
      </w:r>
      <w:r w:rsidR="003978B2">
        <w:rPr>
          <w:sz w:val="22"/>
          <w:szCs w:val="22"/>
        </w:rPr>
        <w:t xml:space="preserve"> also clarifies</w:t>
      </w:r>
      <w:r w:rsidR="003978B2" w:rsidRPr="007C02D4">
        <w:rPr>
          <w:sz w:val="22"/>
          <w:szCs w:val="22"/>
        </w:rPr>
        <w:t xml:space="preserve"> that the top-four prohibition applies to transactions involving the sale or swapping of network </w:t>
      </w:r>
      <w:r w:rsidR="003978B2">
        <w:rPr>
          <w:sz w:val="22"/>
          <w:szCs w:val="22"/>
        </w:rPr>
        <w:t>affiliations</w:t>
      </w:r>
      <w:r w:rsidR="003978B2" w:rsidRPr="007C02D4">
        <w:rPr>
          <w:sz w:val="22"/>
          <w:szCs w:val="22"/>
        </w:rPr>
        <w:t xml:space="preserve"> between in-market stations that result in an entity holding an attributable interest in two top-four stations in the same DMA</w:t>
      </w:r>
      <w:r w:rsidR="00286D39">
        <w:rPr>
          <w:sz w:val="22"/>
          <w:szCs w:val="22"/>
        </w:rPr>
        <w:t>.</w:t>
      </w:r>
    </w:p>
    <w:p w14:paraId="2C4CD448" w14:textId="77777777" w:rsidR="003852EB" w:rsidRDefault="003852EB">
      <w:pPr>
        <w:rPr>
          <w:sz w:val="22"/>
          <w:szCs w:val="22"/>
        </w:rPr>
      </w:pPr>
      <w:r>
        <w:rPr>
          <w:sz w:val="22"/>
          <w:szCs w:val="22"/>
        </w:rPr>
        <w:br w:type="page"/>
      </w:r>
    </w:p>
    <w:p w14:paraId="6C18EE7C" w14:textId="0F0CA7C0" w:rsidR="00A74066" w:rsidRDefault="00286D39" w:rsidP="003852EB">
      <w:pPr>
        <w:pStyle w:val="ListParagraph"/>
        <w:keepNext/>
        <w:numPr>
          <w:ilvl w:val="1"/>
          <w:numId w:val="13"/>
        </w:numPr>
        <w:spacing w:after="120"/>
        <w:ind w:left="1080"/>
        <w:contextualSpacing w:val="0"/>
        <w:rPr>
          <w:sz w:val="22"/>
          <w:szCs w:val="22"/>
        </w:rPr>
      </w:pPr>
      <w:r w:rsidRPr="00286D39">
        <w:rPr>
          <w:sz w:val="22"/>
          <w:szCs w:val="22"/>
          <w:u w:val="single"/>
        </w:rPr>
        <w:lastRenderedPageBreak/>
        <w:t>Television JSA Attribution Rule</w:t>
      </w:r>
      <w:r>
        <w:rPr>
          <w:sz w:val="22"/>
          <w:szCs w:val="22"/>
        </w:rPr>
        <w:t xml:space="preserve">.  The </w:t>
      </w:r>
      <w:r w:rsidRPr="00183094">
        <w:rPr>
          <w:i/>
          <w:iCs/>
          <w:sz w:val="22"/>
          <w:szCs w:val="22"/>
        </w:rPr>
        <w:t>Second Report and Order</w:t>
      </w:r>
      <w:r>
        <w:rPr>
          <w:sz w:val="22"/>
          <w:szCs w:val="22"/>
        </w:rPr>
        <w:t xml:space="preserve"> </w:t>
      </w:r>
      <w:r w:rsidRPr="00B3258A">
        <w:rPr>
          <w:sz w:val="22"/>
          <w:szCs w:val="22"/>
        </w:rPr>
        <w:t>readopt</w:t>
      </w:r>
      <w:r>
        <w:rPr>
          <w:sz w:val="22"/>
          <w:szCs w:val="22"/>
        </w:rPr>
        <w:t xml:space="preserve">ed the Television JSA </w:t>
      </w:r>
      <w:r w:rsidRPr="00B3258A">
        <w:rPr>
          <w:sz w:val="22"/>
          <w:szCs w:val="22"/>
        </w:rPr>
        <w:t>Attribution Rule</w:t>
      </w:r>
      <w:r>
        <w:rPr>
          <w:sz w:val="22"/>
          <w:szCs w:val="22"/>
        </w:rPr>
        <w:t xml:space="preserve">, which was vacated on procedural grounds by the Court of Appeals for the Third Circuit in </w:t>
      </w:r>
      <w:r w:rsidRPr="00183094">
        <w:rPr>
          <w:i/>
          <w:iCs/>
          <w:sz w:val="22"/>
          <w:szCs w:val="22"/>
        </w:rPr>
        <w:t>Prometheus Radio Project v. FCC</w:t>
      </w:r>
      <w:r w:rsidRPr="00B03994">
        <w:rPr>
          <w:sz w:val="22"/>
          <w:szCs w:val="22"/>
        </w:rPr>
        <w:t xml:space="preserve"> </w:t>
      </w:r>
      <w:r>
        <w:rPr>
          <w:sz w:val="22"/>
          <w:szCs w:val="22"/>
        </w:rPr>
        <w:t>on May 25, 2016.</w:t>
      </w:r>
      <w:r w:rsidR="00FA0EAA">
        <w:rPr>
          <w:rStyle w:val="FootnoteReference"/>
          <w:sz w:val="22"/>
          <w:szCs w:val="22"/>
        </w:rPr>
        <w:footnoteReference w:id="2"/>
      </w:r>
      <w:r>
        <w:rPr>
          <w:sz w:val="22"/>
          <w:szCs w:val="22"/>
        </w:rPr>
        <w:t xml:space="preserve">  </w:t>
      </w:r>
      <w:r w:rsidR="00FA0EAA">
        <w:rPr>
          <w:color w:val="000000"/>
          <w:sz w:val="22"/>
          <w:szCs w:val="22"/>
        </w:rPr>
        <w:t>The attribution rule for television JSAs applies when:  (1) both broadcast television stations are licensed to the same DMA; and (2) the brokering station sell</w:t>
      </w:r>
      <w:r w:rsidR="00183094">
        <w:rPr>
          <w:color w:val="000000"/>
          <w:sz w:val="22"/>
          <w:szCs w:val="22"/>
        </w:rPr>
        <w:t>s</w:t>
      </w:r>
      <w:r w:rsidR="00FA0EAA">
        <w:rPr>
          <w:color w:val="000000"/>
          <w:sz w:val="22"/>
          <w:szCs w:val="22"/>
        </w:rPr>
        <w:t xml:space="preserve"> more than 15 percent of the weekly advertising time of the brokered station.  In these circumstances, the brokering station will have an attributable interest in the brokered station.</w:t>
      </w:r>
      <w:r w:rsidR="004B58F4">
        <w:rPr>
          <w:color w:val="000000"/>
          <w:sz w:val="22"/>
          <w:szCs w:val="22"/>
        </w:rPr>
        <w:t xml:space="preserve">  </w:t>
      </w:r>
      <w:r w:rsidR="004B58F4">
        <w:rPr>
          <w:sz w:val="22"/>
          <w:szCs w:val="22"/>
        </w:rPr>
        <w:t>47 CFR Section 73.3555 Note 2.k.2.</w:t>
      </w:r>
    </w:p>
    <w:p w14:paraId="77784D02" w14:textId="5E2E3613" w:rsidR="00286D39" w:rsidRPr="00BF242F" w:rsidRDefault="004B58F4" w:rsidP="00A74066">
      <w:pPr>
        <w:pStyle w:val="ListParagraph"/>
        <w:spacing w:after="120"/>
        <w:ind w:left="1080"/>
        <w:contextualSpacing w:val="0"/>
        <w:rPr>
          <w:sz w:val="22"/>
          <w:szCs w:val="22"/>
        </w:rPr>
      </w:pPr>
      <w:r>
        <w:rPr>
          <w:sz w:val="22"/>
          <w:szCs w:val="22"/>
        </w:rPr>
        <w:t xml:space="preserve">JSAs in existence as of </w:t>
      </w:r>
      <w:r w:rsidR="005621FE" w:rsidRPr="005621FE">
        <w:rPr>
          <w:sz w:val="22"/>
          <w:szCs w:val="22"/>
        </w:rPr>
        <w:t>March 31, 2014</w:t>
      </w:r>
      <w:r>
        <w:rPr>
          <w:sz w:val="22"/>
          <w:szCs w:val="22"/>
        </w:rPr>
        <w:t xml:space="preserve"> are afforded grandfathering relief through an extended compliance deadline. Specifically, if the attribution of same-market JSAs in existence as of March 31, 2014 would result</w:t>
      </w:r>
      <w:r w:rsidR="005621FE" w:rsidRPr="005621FE">
        <w:rPr>
          <w:sz w:val="22"/>
          <w:szCs w:val="22"/>
        </w:rPr>
        <w:t xml:space="preserve"> in a violation of the ownership limits</w:t>
      </w:r>
      <w:r>
        <w:rPr>
          <w:sz w:val="22"/>
          <w:szCs w:val="22"/>
        </w:rPr>
        <w:t>, the parties must</w:t>
      </w:r>
      <w:r w:rsidR="005621FE" w:rsidRPr="005621FE">
        <w:rPr>
          <w:sz w:val="22"/>
          <w:szCs w:val="22"/>
        </w:rPr>
        <w:t xml:space="preserve"> terminate or amend those JSAs or otherwise come into compliance with the ownership rules </w:t>
      </w:r>
      <w:r>
        <w:rPr>
          <w:sz w:val="22"/>
          <w:szCs w:val="22"/>
        </w:rPr>
        <w:t xml:space="preserve">on or before </w:t>
      </w:r>
      <w:r w:rsidR="005621FE" w:rsidRPr="005621FE">
        <w:rPr>
          <w:sz w:val="22"/>
          <w:szCs w:val="22"/>
        </w:rPr>
        <w:t>September 30, 2025.</w:t>
      </w:r>
      <w:r w:rsidR="00994C47" w:rsidRPr="005621FE">
        <w:rPr>
          <w:rStyle w:val="FootnoteReference"/>
          <w:sz w:val="22"/>
          <w:szCs w:val="22"/>
        </w:rPr>
        <w:footnoteReference w:id="3"/>
      </w:r>
      <w:r w:rsidR="005621FE" w:rsidRPr="005621FE">
        <w:rPr>
          <w:sz w:val="22"/>
          <w:szCs w:val="22"/>
        </w:rPr>
        <w:t xml:space="preserve">  Until that time, such grandfathered agreements will not be counted as attributable, and parties will be permitted to transfer or assign these agreements to other parties without terminating the grandfathering relief.</w:t>
      </w:r>
    </w:p>
    <w:p w14:paraId="41ECF500" w14:textId="4AF0F1CA" w:rsidR="005621FE" w:rsidRPr="005621FE" w:rsidRDefault="00F72F2E" w:rsidP="003852EB">
      <w:pPr>
        <w:pStyle w:val="ListParagraph"/>
        <w:spacing w:after="120"/>
        <w:ind w:left="1080"/>
        <w:contextualSpacing w:val="0"/>
        <w:rPr>
          <w:sz w:val="22"/>
          <w:szCs w:val="22"/>
        </w:rPr>
      </w:pPr>
      <w:r w:rsidRPr="00183094">
        <w:rPr>
          <w:i/>
          <w:iCs/>
          <w:sz w:val="22"/>
          <w:szCs w:val="22"/>
        </w:rPr>
        <w:t>Filing of attributable television JSAs</w:t>
      </w:r>
      <w:r w:rsidRPr="00BF242F">
        <w:rPr>
          <w:sz w:val="22"/>
          <w:szCs w:val="22"/>
        </w:rPr>
        <w:t xml:space="preserve">.  </w:t>
      </w:r>
      <w:r w:rsidR="79F89CB3" w:rsidRPr="00BF242F">
        <w:rPr>
          <w:sz w:val="22"/>
          <w:szCs w:val="22"/>
        </w:rPr>
        <w:t>47</w:t>
      </w:r>
      <w:r w:rsidR="3B08E2E8" w:rsidRPr="00BF242F">
        <w:rPr>
          <w:sz w:val="22"/>
          <w:szCs w:val="22"/>
        </w:rPr>
        <w:t xml:space="preserve"> CFR Section 73.3613(</w:t>
      </w:r>
      <w:r w:rsidR="58C47F9E" w:rsidRPr="00183094">
        <w:rPr>
          <w:sz w:val="22"/>
          <w:szCs w:val="22"/>
        </w:rPr>
        <w:t>d</w:t>
      </w:r>
      <w:r w:rsidR="3B08E2E8" w:rsidRPr="00BF242F">
        <w:rPr>
          <w:sz w:val="22"/>
          <w:szCs w:val="22"/>
        </w:rPr>
        <w:t>)(</w:t>
      </w:r>
      <w:r w:rsidR="58C47F9E" w:rsidRPr="00A25E16">
        <w:rPr>
          <w:sz w:val="22"/>
          <w:szCs w:val="22"/>
        </w:rPr>
        <w:t>2</w:t>
      </w:r>
      <w:r w:rsidR="3B08E2E8" w:rsidRPr="00A25E16">
        <w:rPr>
          <w:sz w:val="22"/>
          <w:szCs w:val="22"/>
        </w:rPr>
        <w:t xml:space="preserve">).  </w:t>
      </w:r>
      <w:r w:rsidR="0004564D" w:rsidRPr="00BF242F">
        <w:rPr>
          <w:sz w:val="22"/>
          <w:szCs w:val="22"/>
        </w:rPr>
        <w:t xml:space="preserve">The </w:t>
      </w:r>
      <w:r w:rsidR="0004564D" w:rsidRPr="00183094">
        <w:rPr>
          <w:i/>
          <w:iCs/>
          <w:sz w:val="22"/>
          <w:szCs w:val="22"/>
        </w:rPr>
        <w:t>Second Report and Order</w:t>
      </w:r>
      <w:r w:rsidR="0004564D" w:rsidRPr="00BF242F">
        <w:rPr>
          <w:sz w:val="22"/>
          <w:szCs w:val="22"/>
        </w:rPr>
        <w:t xml:space="preserve"> </w:t>
      </w:r>
      <w:r w:rsidR="00BF242F" w:rsidRPr="00BF242F">
        <w:rPr>
          <w:sz w:val="22"/>
          <w:szCs w:val="22"/>
        </w:rPr>
        <w:t>reinstate</w:t>
      </w:r>
      <w:r w:rsidR="00BF3DDE">
        <w:rPr>
          <w:sz w:val="22"/>
          <w:szCs w:val="22"/>
        </w:rPr>
        <w:t>d</w:t>
      </w:r>
      <w:r w:rsidR="00BF242F" w:rsidRPr="00BF242F">
        <w:rPr>
          <w:sz w:val="22"/>
          <w:szCs w:val="22"/>
        </w:rPr>
        <w:t xml:space="preserve"> the requirement</w:t>
      </w:r>
      <w:r w:rsidR="0004564D" w:rsidRPr="00BF242F">
        <w:rPr>
          <w:sz w:val="22"/>
          <w:szCs w:val="22"/>
        </w:rPr>
        <w:t xml:space="preserve"> that all attributable television JSAs be filed with the Commission. </w:t>
      </w:r>
      <w:r w:rsidR="00BF242F" w:rsidRPr="00BF242F">
        <w:rPr>
          <w:sz w:val="22"/>
          <w:szCs w:val="22"/>
        </w:rPr>
        <w:t xml:space="preserve"> </w:t>
      </w:r>
      <w:r w:rsidR="0004564D" w:rsidRPr="00BF242F">
        <w:rPr>
          <w:sz w:val="22"/>
          <w:szCs w:val="22"/>
        </w:rPr>
        <w:t>Th</w:t>
      </w:r>
      <w:r w:rsidR="00BF242F" w:rsidRPr="00BF242F">
        <w:rPr>
          <w:sz w:val="22"/>
          <w:szCs w:val="22"/>
        </w:rPr>
        <w:t>e</w:t>
      </w:r>
      <w:r w:rsidR="0004564D" w:rsidRPr="00BF242F">
        <w:rPr>
          <w:sz w:val="22"/>
          <w:szCs w:val="22"/>
        </w:rPr>
        <w:t xml:space="preserve"> filing requirement </w:t>
      </w:r>
      <w:r w:rsidR="00773CC8">
        <w:rPr>
          <w:sz w:val="22"/>
          <w:szCs w:val="22"/>
        </w:rPr>
        <w:t xml:space="preserve">initially </w:t>
      </w:r>
      <w:r w:rsidR="0004564D" w:rsidRPr="00BF242F">
        <w:rPr>
          <w:sz w:val="22"/>
          <w:szCs w:val="22"/>
        </w:rPr>
        <w:t>became effective on October 28, 2014</w:t>
      </w:r>
      <w:r w:rsidR="00773CC8">
        <w:rPr>
          <w:sz w:val="22"/>
          <w:szCs w:val="22"/>
        </w:rPr>
        <w:t xml:space="preserve">, and </w:t>
      </w:r>
      <w:r w:rsidR="00773CC8" w:rsidRPr="005621FE">
        <w:rPr>
          <w:sz w:val="22"/>
          <w:szCs w:val="22"/>
        </w:rPr>
        <w:t>television JSAs entered into</w:t>
      </w:r>
      <w:r w:rsidR="00773CC8">
        <w:rPr>
          <w:sz w:val="22"/>
          <w:szCs w:val="22"/>
        </w:rPr>
        <w:t xml:space="preserve"> on or before October 28, 2014, were required to be filed </w:t>
      </w:r>
      <w:r w:rsidR="00773CC8" w:rsidRPr="005621FE">
        <w:rPr>
          <w:sz w:val="22"/>
          <w:szCs w:val="22"/>
        </w:rPr>
        <w:t>with the Commission no later than November 28, 2014</w:t>
      </w:r>
      <w:r w:rsidR="0004564D" w:rsidRPr="00BF242F">
        <w:rPr>
          <w:sz w:val="22"/>
          <w:szCs w:val="22"/>
        </w:rPr>
        <w:t>.</w:t>
      </w:r>
      <w:r w:rsidR="00BF242F" w:rsidRPr="00BF242F">
        <w:rPr>
          <w:sz w:val="22"/>
          <w:szCs w:val="22"/>
        </w:rPr>
        <w:t xml:space="preserve"> </w:t>
      </w:r>
      <w:r w:rsidR="00773CC8">
        <w:rPr>
          <w:sz w:val="22"/>
          <w:szCs w:val="22"/>
        </w:rPr>
        <w:t xml:space="preserve"> </w:t>
      </w:r>
      <w:r w:rsidR="00593C27">
        <w:rPr>
          <w:sz w:val="22"/>
          <w:szCs w:val="22"/>
        </w:rPr>
        <w:t>The parties to any</w:t>
      </w:r>
      <w:r w:rsidR="20BB6C6A">
        <w:rPr>
          <w:sz w:val="22"/>
          <w:szCs w:val="22"/>
        </w:rPr>
        <w:t xml:space="preserve"> </w:t>
      </w:r>
      <w:r w:rsidR="00773CC8">
        <w:rPr>
          <w:sz w:val="22"/>
          <w:szCs w:val="22"/>
        </w:rPr>
        <w:t xml:space="preserve">attributable television JSAs </w:t>
      </w:r>
      <w:r w:rsidR="00593C27">
        <w:rPr>
          <w:sz w:val="22"/>
          <w:szCs w:val="22"/>
        </w:rPr>
        <w:t>entered into after October 28, 2014</w:t>
      </w:r>
      <w:r w:rsidR="00773CC8">
        <w:rPr>
          <w:sz w:val="22"/>
          <w:szCs w:val="22"/>
        </w:rPr>
        <w:t xml:space="preserve">, </w:t>
      </w:r>
      <w:r w:rsidR="005621FE" w:rsidRPr="005621FE">
        <w:rPr>
          <w:sz w:val="22"/>
          <w:szCs w:val="22"/>
        </w:rPr>
        <w:t>must file the agreement with the Commission no later than 30 days after the agreement is executed.</w:t>
      </w:r>
      <w:r w:rsidR="00DE35ED">
        <w:rPr>
          <w:rStyle w:val="FootnoteReference"/>
          <w:sz w:val="22"/>
          <w:szCs w:val="22"/>
        </w:rPr>
        <w:footnoteReference w:id="4"/>
      </w:r>
    </w:p>
    <w:p w14:paraId="48E1E8FD" w14:textId="77777777" w:rsidR="005621FE" w:rsidRPr="005621FE" w:rsidRDefault="005621FE" w:rsidP="00A74066">
      <w:pPr>
        <w:pStyle w:val="ListParagraph"/>
        <w:spacing w:after="120"/>
        <w:ind w:left="1080"/>
        <w:contextualSpacing w:val="0"/>
        <w:rPr>
          <w:sz w:val="22"/>
          <w:szCs w:val="22"/>
        </w:rPr>
      </w:pPr>
      <w:r w:rsidRPr="005621FE">
        <w:rPr>
          <w:sz w:val="22"/>
          <w:szCs w:val="22"/>
        </w:rPr>
        <w:t xml:space="preserve">Each party that must file an attributable television JSA must provide an original and one copy, which can be delivered to the Commission in the following ways: </w:t>
      </w:r>
    </w:p>
    <w:p w14:paraId="217B1C2C" w14:textId="2621D1D0" w:rsidR="005621FE" w:rsidRPr="00F72F2E" w:rsidRDefault="005621FE" w:rsidP="00F72F2E">
      <w:pPr>
        <w:pStyle w:val="ListParagraph"/>
        <w:numPr>
          <w:ilvl w:val="0"/>
          <w:numId w:val="30"/>
        </w:numPr>
        <w:spacing w:after="120"/>
        <w:ind w:left="1440"/>
        <w:contextualSpacing w:val="0"/>
        <w:rPr>
          <w:sz w:val="22"/>
          <w:szCs w:val="22"/>
        </w:rPr>
      </w:pPr>
      <w:r w:rsidRPr="00F72F2E">
        <w:rPr>
          <w:sz w:val="22"/>
          <w:szCs w:val="22"/>
        </w:rPr>
        <w:lastRenderedPageBreak/>
        <w:t>Hand or messenger-delivered mail accepted between 8:00 a.m. to 7:00 p.m. only:</w:t>
      </w:r>
      <w:r w:rsidR="007D6E8F">
        <w:rPr>
          <w:sz w:val="22"/>
          <w:szCs w:val="22"/>
        </w:rPr>
        <w:t xml:space="preserve"> </w:t>
      </w:r>
      <w:r w:rsidRPr="00F72F2E">
        <w:rPr>
          <w:sz w:val="22"/>
          <w:szCs w:val="22"/>
        </w:rPr>
        <w:t xml:space="preserve"> Marlene H. Dortch, Secretary Federal Communications Commission Office of the Secretary 445 12th Street, SW Room TW-A325 Washington, DC 20554 </w:t>
      </w:r>
    </w:p>
    <w:p w14:paraId="60A30F83" w14:textId="7A7ACDC2" w:rsidR="005621FE" w:rsidRPr="00F72F2E" w:rsidRDefault="005621FE" w:rsidP="00F72F2E">
      <w:pPr>
        <w:pStyle w:val="ListParagraph"/>
        <w:numPr>
          <w:ilvl w:val="0"/>
          <w:numId w:val="30"/>
        </w:numPr>
        <w:spacing w:after="120"/>
        <w:ind w:left="1440"/>
        <w:contextualSpacing w:val="0"/>
        <w:rPr>
          <w:sz w:val="22"/>
          <w:szCs w:val="22"/>
        </w:rPr>
      </w:pPr>
      <w:r w:rsidRPr="00F72F2E">
        <w:rPr>
          <w:sz w:val="22"/>
          <w:szCs w:val="22"/>
        </w:rPr>
        <w:t xml:space="preserve">Commercial overnight mail, EXCEPT United States Postal Service: </w:t>
      </w:r>
      <w:r w:rsidR="007D6E8F">
        <w:rPr>
          <w:sz w:val="22"/>
          <w:szCs w:val="22"/>
        </w:rPr>
        <w:t xml:space="preserve"> </w:t>
      </w:r>
      <w:r w:rsidRPr="00F72F2E">
        <w:rPr>
          <w:sz w:val="22"/>
          <w:szCs w:val="22"/>
        </w:rPr>
        <w:t xml:space="preserve">Marlene H. Dortch, Secretary Federal Communications Commission Office of the Secretary 9300 East Hampton Drive Capitol Heights, MD 20743 </w:t>
      </w:r>
    </w:p>
    <w:p w14:paraId="3B42E3C3" w14:textId="54348A54" w:rsidR="005621FE" w:rsidRPr="00F72F2E" w:rsidRDefault="005621FE" w:rsidP="00F72F2E">
      <w:pPr>
        <w:pStyle w:val="ListParagraph"/>
        <w:numPr>
          <w:ilvl w:val="0"/>
          <w:numId w:val="30"/>
        </w:numPr>
        <w:spacing w:after="120"/>
        <w:ind w:left="1440"/>
        <w:contextualSpacing w:val="0"/>
        <w:rPr>
          <w:sz w:val="22"/>
          <w:szCs w:val="22"/>
        </w:rPr>
      </w:pPr>
      <w:r w:rsidRPr="00F72F2E">
        <w:rPr>
          <w:sz w:val="22"/>
          <w:szCs w:val="22"/>
        </w:rPr>
        <w:t xml:space="preserve">All other mail, INCLUDING United States Postal Service Express Mail, Priority Mail, and First Class Mail: </w:t>
      </w:r>
      <w:r w:rsidR="007D6E8F">
        <w:rPr>
          <w:sz w:val="22"/>
          <w:szCs w:val="22"/>
        </w:rPr>
        <w:t xml:space="preserve"> </w:t>
      </w:r>
      <w:r w:rsidRPr="00F72F2E">
        <w:rPr>
          <w:sz w:val="22"/>
          <w:szCs w:val="22"/>
        </w:rPr>
        <w:t xml:space="preserve">Marlene H. Dortch, Secretary Federal Communications Commission Office of the Secretary 445 12th Street, SW Washington, DC 20554 </w:t>
      </w:r>
    </w:p>
    <w:p w14:paraId="28BAC374" w14:textId="463E9C06" w:rsidR="005621FE" w:rsidRPr="00F72F2E" w:rsidRDefault="005621FE" w:rsidP="00A74066">
      <w:pPr>
        <w:pStyle w:val="ListParagraph"/>
        <w:spacing w:after="120"/>
        <w:ind w:left="1080"/>
        <w:contextualSpacing w:val="0"/>
        <w:rPr>
          <w:sz w:val="22"/>
          <w:szCs w:val="22"/>
        </w:rPr>
      </w:pPr>
      <w:r w:rsidRPr="00F72F2E">
        <w:rPr>
          <w:sz w:val="22"/>
          <w:szCs w:val="22"/>
        </w:rPr>
        <w:t xml:space="preserve">Additional information on how to file a paper document with the Commission can be found at:  </w:t>
      </w:r>
      <w:hyperlink r:id="rId14" w:history="1">
        <w:r w:rsidRPr="00F72F2E">
          <w:rPr>
            <w:rStyle w:val="Hyperlink"/>
            <w:sz w:val="22"/>
            <w:szCs w:val="22"/>
          </w:rPr>
          <w:t>https://www.fcc.gov/reports-research/guides/how-file-paper-documents-fcc</w:t>
        </w:r>
      </w:hyperlink>
      <w:r w:rsidRPr="00F72F2E">
        <w:rPr>
          <w:sz w:val="22"/>
          <w:szCs w:val="22"/>
        </w:rPr>
        <w:t xml:space="preserve"> </w:t>
      </w:r>
    </w:p>
    <w:p w14:paraId="2514EBAE" w14:textId="701C7565" w:rsidR="00F72F2E" w:rsidRDefault="00F72F2E" w:rsidP="00A74066">
      <w:pPr>
        <w:pStyle w:val="ListParagraph"/>
        <w:spacing w:after="120"/>
        <w:ind w:left="1080"/>
        <w:contextualSpacing w:val="0"/>
        <w:rPr>
          <w:sz w:val="22"/>
          <w:szCs w:val="22"/>
        </w:rPr>
      </w:pPr>
      <w:r w:rsidRPr="00183094">
        <w:rPr>
          <w:i/>
          <w:iCs/>
          <w:sz w:val="22"/>
          <w:szCs w:val="22"/>
        </w:rPr>
        <w:t>Disclosure of television JSAs on FCC Forms</w:t>
      </w:r>
      <w:r w:rsidRPr="00F72F2E">
        <w:rPr>
          <w:sz w:val="22"/>
          <w:szCs w:val="22"/>
        </w:rPr>
        <w:t>.  Previously, various FCC Forms—listed below—contai</w:t>
      </w:r>
      <w:r w:rsidRPr="0004564D">
        <w:rPr>
          <w:sz w:val="22"/>
          <w:szCs w:val="22"/>
        </w:rPr>
        <w:t>ned questions</w:t>
      </w:r>
      <w:r w:rsidRPr="00F72F2E">
        <w:rPr>
          <w:sz w:val="22"/>
          <w:szCs w:val="22"/>
        </w:rPr>
        <w:t xml:space="preserve"> regarding attributable radio JSAs and attributable radio or television time brokerage agreements (also referred to as local marketing agreements). These questions now include attributable television JSAs. </w:t>
      </w:r>
      <w:r w:rsidR="007D6E8F">
        <w:rPr>
          <w:sz w:val="22"/>
          <w:szCs w:val="22"/>
        </w:rPr>
        <w:t xml:space="preserve"> </w:t>
      </w:r>
      <w:r w:rsidRPr="00F72F2E">
        <w:rPr>
          <w:sz w:val="22"/>
          <w:szCs w:val="22"/>
        </w:rPr>
        <w:t xml:space="preserve">Any entity that is required to answer such a question should consult the form’s instructions for guidance on responding to the question. </w:t>
      </w:r>
    </w:p>
    <w:p w14:paraId="1E8C771A" w14:textId="744CDC1E" w:rsidR="00F72F2E" w:rsidRDefault="00F72F2E" w:rsidP="00F72F2E">
      <w:pPr>
        <w:pStyle w:val="ListParagraph"/>
        <w:numPr>
          <w:ilvl w:val="0"/>
          <w:numId w:val="29"/>
        </w:numPr>
        <w:spacing w:after="120"/>
        <w:ind w:left="1440"/>
        <w:contextualSpacing w:val="0"/>
        <w:rPr>
          <w:sz w:val="22"/>
          <w:szCs w:val="22"/>
        </w:rPr>
      </w:pPr>
      <w:r w:rsidRPr="00F72F2E">
        <w:rPr>
          <w:sz w:val="22"/>
          <w:szCs w:val="22"/>
        </w:rPr>
        <w:t xml:space="preserve">FCC Form 2100, Schedule A (Formerly FCC Form 301), Application for Construction Permit For Commercial Broadcast Station; </w:t>
      </w:r>
    </w:p>
    <w:p w14:paraId="62615A15" w14:textId="3844C1A5" w:rsidR="00F72F2E" w:rsidRDefault="00F72F2E" w:rsidP="00F72F2E">
      <w:pPr>
        <w:pStyle w:val="ListParagraph"/>
        <w:numPr>
          <w:ilvl w:val="0"/>
          <w:numId w:val="29"/>
        </w:numPr>
        <w:spacing w:after="120"/>
        <w:ind w:left="1440"/>
        <w:contextualSpacing w:val="0"/>
        <w:rPr>
          <w:sz w:val="22"/>
          <w:szCs w:val="22"/>
        </w:rPr>
      </w:pPr>
      <w:r w:rsidRPr="00F72F2E">
        <w:rPr>
          <w:sz w:val="22"/>
          <w:szCs w:val="22"/>
        </w:rPr>
        <w:t xml:space="preserve">FCC Form 314, Application for Consent to Assignment of Broadcast Station Construction Permit or License; </w:t>
      </w:r>
    </w:p>
    <w:p w14:paraId="16535B9E" w14:textId="7C9FC8DE" w:rsidR="00F72F2E" w:rsidRDefault="00F72F2E" w:rsidP="00F72F2E">
      <w:pPr>
        <w:pStyle w:val="ListParagraph"/>
        <w:numPr>
          <w:ilvl w:val="0"/>
          <w:numId w:val="29"/>
        </w:numPr>
        <w:spacing w:after="120"/>
        <w:ind w:left="1440"/>
        <w:contextualSpacing w:val="0"/>
        <w:rPr>
          <w:sz w:val="22"/>
          <w:szCs w:val="22"/>
        </w:rPr>
      </w:pPr>
      <w:r w:rsidRPr="00F72F2E">
        <w:rPr>
          <w:sz w:val="22"/>
          <w:szCs w:val="22"/>
        </w:rPr>
        <w:t xml:space="preserve">FCC Form 315, Application for Consent to Transfer Control of Corporation Holding Broadcast Station Construction Permit or License; </w:t>
      </w:r>
    </w:p>
    <w:p w14:paraId="472D0DE1" w14:textId="690BE7AE" w:rsidR="00F72F2E" w:rsidRPr="00F72F2E" w:rsidRDefault="00F72F2E" w:rsidP="00F72F2E">
      <w:pPr>
        <w:pStyle w:val="ListParagraph"/>
        <w:numPr>
          <w:ilvl w:val="0"/>
          <w:numId w:val="29"/>
        </w:numPr>
        <w:spacing w:after="120"/>
        <w:ind w:left="1440"/>
        <w:contextualSpacing w:val="0"/>
        <w:rPr>
          <w:sz w:val="22"/>
          <w:szCs w:val="22"/>
        </w:rPr>
      </w:pPr>
      <w:r w:rsidRPr="00F72F2E">
        <w:rPr>
          <w:sz w:val="22"/>
          <w:szCs w:val="22"/>
        </w:rPr>
        <w:t>FCC Form 323, Ownership Report for Commercial Broadcast Station</w:t>
      </w:r>
      <w:r w:rsidR="00AE738B">
        <w:rPr>
          <w:sz w:val="22"/>
          <w:szCs w:val="22"/>
        </w:rPr>
        <w:t>.</w:t>
      </w:r>
    </w:p>
    <w:p w14:paraId="229C39FB" w14:textId="147008E6" w:rsidR="00FB0F1E" w:rsidRDefault="007C6ACC" w:rsidP="0037639B">
      <w:pPr>
        <w:pStyle w:val="ListParagraph"/>
        <w:numPr>
          <w:ilvl w:val="0"/>
          <w:numId w:val="14"/>
        </w:numPr>
        <w:spacing w:after="120"/>
        <w:ind w:left="720"/>
        <w:contextualSpacing w:val="0"/>
        <w:outlineLvl w:val="1"/>
        <w:rPr>
          <w:sz w:val="22"/>
          <w:szCs w:val="22"/>
        </w:rPr>
      </w:pPr>
      <w:r w:rsidRPr="005621FE">
        <w:rPr>
          <w:sz w:val="22"/>
          <w:szCs w:val="22"/>
          <w:u w:val="single"/>
        </w:rPr>
        <w:t>Local Radio Ownership</w:t>
      </w:r>
      <w:r w:rsidRPr="005621FE">
        <w:rPr>
          <w:sz w:val="22"/>
          <w:szCs w:val="22"/>
        </w:rPr>
        <w:t>.</w:t>
      </w:r>
      <w:r w:rsidR="00D47BD2" w:rsidRPr="005621FE">
        <w:rPr>
          <w:sz w:val="22"/>
          <w:szCs w:val="22"/>
        </w:rPr>
        <w:t xml:space="preserve"> </w:t>
      </w:r>
      <w:r w:rsidRPr="00F72F2E">
        <w:rPr>
          <w:sz w:val="22"/>
          <w:szCs w:val="22"/>
        </w:rPr>
        <w:t xml:space="preserve"> The </w:t>
      </w:r>
      <w:r w:rsidRPr="00183094">
        <w:rPr>
          <w:i/>
          <w:iCs/>
          <w:sz w:val="22"/>
          <w:szCs w:val="22"/>
        </w:rPr>
        <w:t>Second Report and Order</w:t>
      </w:r>
      <w:r w:rsidRPr="00F72F2E">
        <w:rPr>
          <w:sz w:val="22"/>
          <w:szCs w:val="22"/>
        </w:rPr>
        <w:t xml:space="preserve"> r</w:t>
      </w:r>
      <w:r w:rsidR="007F44C5" w:rsidRPr="00F72F2E">
        <w:rPr>
          <w:sz w:val="22"/>
          <w:szCs w:val="22"/>
        </w:rPr>
        <w:t>etained</w:t>
      </w:r>
      <w:r w:rsidR="008930E3" w:rsidRPr="00F72F2E">
        <w:rPr>
          <w:sz w:val="22"/>
          <w:szCs w:val="22"/>
        </w:rPr>
        <w:t xml:space="preserve"> the Local Radio Ownership</w:t>
      </w:r>
      <w:r w:rsidR="008930E3">
        <w:rPr>
          <w:sz w:val="22"/>
          <w:szCs w:val="22"/>
        </w:rPr>
        <w:t xml:space="preserve"> R</w:t>
      </w:r>
      <w:r w:rsidRPr="003978B2">
        <w:rPr>
          <w:sz w:val="22"/>
          <w:szCs w:val="22"/>
        </w:rPr>
        <w:t>ule currently in effect</w:t>
      </w:r>
      <w:r w:rsidR="003978B2">
        <w:rPr>
          <w:sz w:val="22"/>
          <w:szCs w:val="22"/>
        </w:rPr>
        <w:t xml:space="preserve"> with minor modifications</w:t>
      </w:r>
      <w:r w:rsidRPr="003978B2">
        <w:rPr>
          <w:sz w:val="22"/>
          <w:szCs w:val="22"/>
        </w:rPr>
        <w:t>.</w:t>
      </w:r>
      <w:r w:rsidR="00D47BD2">
        <w:rPr>
          <w:sz w:val="22"/>
          <w:szCs w:val="22"/>
        </w:rPr>
        <w:t xml:space="preserve"> </w:t>
      </w:r>
      <w:r w:rsidRPr="003978B2">
        <w:rPr>
          <w:sz w:val="22"/>
          <w:szCs w:val="22"/>
        </w:rPr>
        <w:t xml:space="preserve"> </w:t>
      </w:r>
      <w:r w:rsidR="427570B6" w:rsidRPr="00183094">
        <w:rPr>
          <w:sz w:val="22"/>
          <w:szCs w:val="22"/>
        </w:rPr>
        <w:t xml:space="preserve">47 CFR </w:t>
      </w:r>
      <w:r w:rsidR="4C18B35A" w:rsidRPr="00183094">
        <w:rPr>
          <w:sz w:val="22"/>
          <w:szCs w:val="22"/>
        </w:rPr>
        <w:t>Section</w:t>
      </w:r>
      <w:r w:rsidR="427570B6" w:rsidRPr="00183094">
        <w:rPr>
          <w:sz w:val="22"/>
          <w:szCs w:val="22"/>
        </w:rPr>
        <w:t xml:space="preserve"> 73.3555(a).</w:t>
      </w:r>
      <w:r w:rsidR="427570B6" w:rsidRPr="427570B6">
        <w:t xml:space="preserve"> </w:t>
      </w:r>
      <w:r w:rsidRPr="003978B2">
        <w:rPr>
          <w:sz w:val="22"/>
          <w:szCs w:val="22"/>
        </w:rPr>
        <w:t>Under the rule, an entity may own, operate, or control: up to eight commercial radio stations, not more than five of which are in the same service (i.e., AM or FM), in a radio market with 45 or more full-power, commercial and noncommercial radio stations; up to seven commercial radio stations, not more than four of which are in the same service, in a</w:t>
      </w:r>
      <w:r w:rsidRPr="007C6ACC">
        <w:rPr>
          <w:sz w:val="22"/>
          <w:szCs w:val="22"/>
        </w:rPr>
        <w:t xml:space="preserve"> radio market with between 30 and 44 (inclusive) full-power, commercial and noncommercial radio stations; up to six commercial radio stations, not more than four of which are in the same service, in a radio market with between 15 and 29 (inclusive) full-power, commercial and noncommercial radio stations; and up to five commercial radio stations, not more than three of which are in the same service, in a radio market with 14 or fewer full-power, commercial and noncommercial radio stations, except that an entity may not own, operate, or </w:t>
      </w:r>
      <w:r w:rsidRPr="0002284D">
        <w:rPr>
          <w:sz w:val="22"/>
          <w:szCs w:val="22"/>
        </w:rPr>
        <w:t>control more than 50 percent of the stations in such a market.</w:t>
      </w:r>
      <w:r w:rsidR="003978B2">
        <w:rPr>
          <w:sz w:val="22"/>
          <w:szCs w:val="22"/>
        </w:rPr>
        <w:t xml:space="preserve">  </w:t>
      </w:r>
    </w:p>
    <w:p w14:paraId="1A3DBD2B" w14:textId="23436316" w:rsidR="003852EB" w:rsidRDefault="003978B2" w:rsidP="001064D9">
      <w:pPr>
        <w:pStyle w:val="ListParagraph"/>
        <w:numPr>
          <w:ilvl w:val="1"/>
          <w:numId w:val="14"/>
        </w:numPr>
        <w:spacing w:after="120"/>
        <w:ind w:left="1080"/>
        <w:contextualSpacing w:val="0"/>
        <w:outlineLvl w:val="1"/>
        <w:rPr>
          <w:sz w:val="22"/>
          <w:szCs w:val="22"/>
        </w:rPr>
      </w:pPr>
      <w:r>
        <w:rPr>
          <w:sz w:val="22"/>
          <w:szCs w:val="22"/>
        </w:rPr>
        <w:t>Minor modifications have been made to</w:t>
      </w:r>
      <w:r w:rsidRPr="007C02D4">
        <w:rPr>
          <w:sz w:val="22"/>
          <w:szCs w:val="22"/>
        </w:rPr>
        <w:t xml:space="preserve"> the </w:t>
      </w:r>
      <w:r>
        <w:rPr>
          <w:sz w:val="22"/>
          <w:szCs w:val="22"/>
        </w:rPr>
        <w:t>rule</w:t>
      </w:r>
      <w:r w:rsidRPr="007C02D4">
        <w:rPr>
          <w:sz w:val="22"/>
          <w:szCs w:val="22"/>
        </w:rPr>
        <w:t xml:space="preserve"> </w:t>
      </w:r>
      <w:r w:rsidRPr="00271145">
        <w:rPr>
          <w:sz w:val="22"/>
          <w:szCs w:val="22"/>
        </w:rPr>
        <w:t>in order to assist the Media Bureau in processing license assignment and transfer applications.</w:t>
      </w:r>
      <w:r w:rsidR="00271145" w:rsidRPr="00271145">
        <w:rPr>
          <w:sz w:val="22"/>
          <w:szCs w:val="22"/>
        </w:rPr>
        <w:t xml:space="preserve">  </w:t>
      </w:r>
      <w:r w:rsidR="00271145">
        <w:rPr>
          <w:sz w:val="22"/>
          <w:szCs w:val="22"/>
        </w:rPr>
        <w:t xml:space="preserve">Specifically, the </w:t>
      </w:r>
      <w:r w:rsidR="00271145" w:rsidRPr="00183094">
        <w:rPr>
          <w:i/>
          <w:iCs/>
          <w:sz w:val="22"/>
          <w:szCs w:val="22"/>
        </w:rPr>
        <w:t>Second Report and Order</w:t>
      </w:r>
      <w:r w:rsidR="00271145" w:rsidRPr="00271145">
        <w:rPr>
          <w:sz w:val="22"/>
          <w:szCs w:val="22"/>
        </w:rPr>
        <w:t xml:space="preserve"> </w:t>
      </w:r>
      <w:r w:rsidR="00271145">
        <w:rPr>
          <w:sz w:val="22"/>
          <w:szCs w:val="22"/>
        </w:rPr>
        <w:t>(1) clarified</w:t>
      </w:r>
      <w:r w:rsidR="00271145" w:rsidRPr="00271145">
        <w:rPr>
          <w:sz w:val="22"/>
          <w:szCs w:val="22"/>
        </w:rPr>
        <w:t xml:space="preserve"> the exception to the two-year waiting period for certain Nielsen Audio Metro changes; (2) </w:t>
      </w:r>
      <w:r w:rsidR="745818BE" w:rsidRPr="00271145">
        <w:rPr>
          <w:sz w:val="22"/>
          <w:szCs w:val="22"/>
        </w:rPr>
        <w:t>adopted</w:t>
      </w:r>
      <w:r w:rsidR="14E355E3" w:rsidRPr="00271145">
        <w:rPr>
          <w:sz w:val="22"/>
          <w:szCs w:val="22"/>
        </w:rPr>
        <w:t xml:space="preserve"> a proposal to grant temporary waivers in </w:t>
      </w:r>
      <w:r w:rsidR="4C513E04" w:rsidRPr="00271145">
        <w:rPr>
          <w:sz w:val="22"/>
          <w:szCs w:val="22"/>
        </w:rPr>
        <w:t xml:space="preserve">limited circumstances in </w:t>
      </w:r>
      <w:r w:rsidR="14E355E3" w:rsidRPr="00271145">
        <w:rPr>
          <w:sz w:val="22"/>
          <w:szCs w:val="22"/>
        </w:rPr>
        <w:t xml:space="preserve">connection with </w:t>
      </w:r>
      <w:r w:rsidR="00271145" w:rsidRPr="00271145">
        <w:rPr>
          <w:sz w:val="22"/>
          <w:szCs w:val="22"/>
        </w:rPr>
        <w:t xml:space="preserve">the </w:t>
      </w:r>
      <w:r w:rsidR="00271145">
        <w:rPr>
          <w:sz w:val="22"/>
          <w:szCs w:val="22"/>
        </w:rPr>
        <w:t>47 CFR Section</w:t>
      </w:r>
      <w:r w:rsidR="745818BE" w:rsidRPr="00271145">
        <w:rPr>
          <w:sz w:val="22"/>
          <w:szCs w:val="22"/>
        </w:rPr>
        <w:t xml:space="preserve"> 73.3555, Note 4 grandfathering requirements for “intra-Metro” community of license changes; and (3) </w:t>
      </w:r>
      <w:r w:rsidR="00271145" w:rsidRPr="00271145">
        <w:rPr>
          <w:sz w:val="22"/>
          <w:szCs w:val="22"/>
        </w:rPr>
        <w:t xml:space="preserve">redefined the Puerto Rico radio market based on </w:t>
      </w:r>
      <w:r w:rsidR="00271145">
        <w:rPr>
          <w:sz w:val="22"/>
          <w:szCs w:val="22"/>
        </w:rPr>
        <w:t xml:space="preserve">a </w:t>
      </w:r>
      <w:r w:rsidR="00271145" w:rsidRPr="00271145">
        <w:rPr>
          <w:sz w:val="22"/>
          <w:szCs w:val="22"/>
        </w:rPr>
        <w:t xml:space="preserve">contour overlap </w:t>
      </w:r>
      <w:r w:rsidR="00271145">
        <w:rPr>
          <w:sz w:val="22"/>
          <w:szCs w:val="22"/>
        </w:rPr>
        <w:t xml:space="preserve">standard </w:t>
      </w:r>
      <w:r w:rsidR="00271145" w:rsidRPr="00271145">
        <w:rPr>
          <w:sz w:val="22"/>
          <w:szCs w:val="22"/>
        </w:rPr>
        <w:t xml:space="preserve">that </w:t>
      </w:r>
      <w:r w:rsidR="00271145">
        <w:rPr>
          <w:sz w:val="22"/>
          <w:szCs w:val="22"/>
        </w:rPr>
        <w:t xml:space="preserve">had been </w:t>
      </w:r>
      <w:r w:rsidR="00271145" w:rsidRPr="00271145">
        <w:rPr>
          <w:sz w:val="22"/>
          <w:szCs w:val="22"/>
        </w:rPr>
        <w:t>applied consistently in previous waiver proceedings</w:t>
      </w:r>
      <w:r w:rsidR="00271145">
        <w:rPr>
          <w:sz w:val="22"/>
          <w:szCs w:val="22"/>
        </w:rPr>
        <w:t xml:space="preserve"> </w:t>
      </w:r>
      <w:r w:rsidR="00271145" w:rsidRPr="00271145">
        <w:rPr>
          <w:sz w:val="22"/>
          <w:szCs w:val="22"/>
        </w:rPr>
        <w:t>for Puerto Rico</w:t>
      </w:r>
      <w:r w:rsidR="00271145">
        <w:rPr>
          <w:sz w:val="22"/>
          <w:szCs w:val="22"/>
        </w:rPr>
        <w:t>.</w:t>
      </w:r>
    </w:p>
    <w:p w14:paraId="08348CC4" w14:textId="41300F3F" w:rsidR="00D265C2" w:rsidRDefault="007C6ACC" w:rsidP="0037639B">
      <w:pPr>
        <w:pStyle w:val="ListParagraph"/>
        <w:numPr>
          <w:ilvl w:val="0"/>
          <w:numId w:val="14"/>
        </w:numPr>
        <w:spacing w:after="120"/>
        <w:ind w:left="720"/>
        <w:contextualSpacing w:val="0"/>
        <w:outlineLvl w:val="1"/>
        <w:rPr>
          <w:sz w:val="22"/>
          <w:szCs w:val="22"/>
        </w:rPr>
      </w:pPr>
      <w:r w:rsidRPr="00271145">
        <w:rPr>
          <w:sz w:val="22"/>
          <w:szCs w:val="22"/>
          <w:u w:val="single"/>
        </w:rPr>
        <w:t>Newspaper/Broadcast Cross-Ownership</w:t>
      </w:r>
      <w:r w:rsidRPr="00271145">
        <w:rPr>
          <w:sz w:val="22"/>
          <w:szCs w:val="22"/>
        </w:rPr>
        <w:t xml:space="preserve">. </w:t>
      </w:r>
      <w:r w:rsidR="00D47BD2" w:rsidRPr="00271145">
        <w:rPr>
          <w:sz w:val="22"/>
          <w:szCs w:val="22"/>
        </w:rPr>
        <w:t xml:space="preserve"> </w:t>
      </w:r>
      <w:r w:rsidRPr="00271145">
        <w:rPr>
          <w:sz w:val="22"/>
          <w:szCs w:val="22"/>
        </w:rPr>
        <w:t xml:space="preserve">The </w:t>
      </w:r>
      <w:r w:rsidRPr="00183094">
        <w:rPr>
          <w:i/>
          <w:iCs/>
          <w:sz w:val="22"/>
          <w:szCs w:val="22"/>
        </w:rPr>
        <w:t>Second Report and Order</w:t>
      </w:r>
      <w:r w:rsidR="007F44C5" w:rsidRPr="00271145">
        <w:rPr>
          <w:sz w:val="22"/>
          <w:szCs w:val="22"/>
        </w:rPr>
        <w:t xml:space="preserve"> </w:t>
      </w:r>
      <w:r w:rsidR="00286D39" w:rsidRPr="00271145">
        <w:rPr>
          <w:sz w:val="22"/>
          <w:szCs w:val="22"/>
        </w:rPr>
        <w:t>adopted a revised</w:t>
      </w:r>
      <w:r w:rsidR="00D049F6" w:rsidRPr="00271145">
        <w:rPr>
          <w:sz w:val="22"/>
          <w:szCs w:val="22"/>
        </w:rPr>
        <w:t xml:space="preserve"> </w:t>
      </w:r>
      <w:r w:rsidR="00427BE1">
        <w:rPr>
          <w:sz w:val="22"/>
          <w:szCs w:val="22"/>
        </w:rPr>
        <w:t>N</w:t>
      </w:r>
      <w:r w:rsidR="00D049F6" w:rsidRPr="00271145">
        <w:rPr>
          <w:sz w:val="22"/>
          <w:szCs w:val="22"/>
        </w:rPr>
        <w:t>ewspaper/</w:t>
      </w:r>
      <w:r w:rsidR="00427BE1">
        <w:rPr>
          <w:sz w:val="22"/>
          <w:szCs w:val="22"/>
        </w:rPr>
        <w:t>B</w:t>
      </w:r>
      <w:r w:rsidR="00D049F6" w:rsidRPr="00271145">
        <w:rPr>
          <w:sz w:val="22"/>
          <w:szCs w:val="22"/>
        </w:rPr>
        <w:t xml:space="preserve">roadcast </w:t>
      </w:r>
      <w:r w:rsidR="00427BE1">
        <w:rPr>
          <w:sz w:val="22"/>
          <w:szCs w:val="22"/>
        </w:rPr>
        <w:t>C</w:t>
      </w:r>
      <w:r w:rsidR="00D049F6" w:rsidRPr="00271145">
        <w:rPr>
          <w:sz w:val="22"/>
          <w:szCs w:val="22"/>
        </w:rPr>
        <w:t>ross-</w:t>
      </w:r>
      <w:r w:rsidR="00427BE1">
        <w:rPr>
          <w:sz w:val="22"/>
          <w:szCs w:val="22"/>
        </w:rPr>
        <w:t>O</w:t>
      </w:r>
      <w:r w:rsidR="00D049F6" w:rsidRPr="00271145">
        <w:rPr>
          <w:sz w:val="22"/>
          <w:szCs w:val="22"/>
        </w:rPr>
        <w:t>wnership</w:t>
      </w:r>
      <w:r w:rsidR="00D35020">
        <w:rPr>
          <w:sz w:val="22"/>
          <w:szCs w:val="22"/>
        </w:rPr>
        <w:t xml:space="preserve"> </w:t>
      </w:r>
      <w:r w:rsidR="00427BE1">
        <w:rPr>
          <w:sz w:val="22"/>
          <w:szCs w:val="22"/>
        </w:rPr>
        <w:t>R</w:t>
      </w:r>
      <w:r w:rsidR="00D35020">
        <w:rPr>
          <w:sz w:val="22"/>
          <w:szCs w:val="22"/>
        </w:rPr>
        <w:t>ule</w:t>
      </w:r>
      <w:r w:rsidR="00D049F6" w:rsidRPr="00271145">
        <w:rPr>
          <w:sz w:val="22"/>
          <w:szCs w:val="22"/>
        </w:rPr>
        <w:t xml:space="preserve">. </w:t>
      </w:r>
      <w:r w:rsidR="0002284D" w:rsidRPr="00271145">
        <w:rPr>
          <w:sz w:val="22"/>
          <w:szCs w:val="22"/>
        </w:rPr>
        <w:t xml:space="preserve"> </w:t>
      </w:r>
      <w:r w:rsidR="36959284" w:rsidRPr="00271145">
        <w:rPr>
          <w:sz w:val="22"/>
          <w:szCs w:val="22"/>
        </w:rPr>
        <w:t xml:space="preserve">47 CFR Section 73.3555(d).  </w:t>
      </w:r>
      <w:r w:rsidR="0002284D" w:rsidRPr="00271145">
        <w:rPr>
          <w:sz w:val="22"/>
          <w:szCs w:val="22"/>
        </w:rPr>
        <w:t xml:space="preserve">The rule prohibits </w:t>
      </w:r>
      <w:r w:rsidR="0002284D" w:rsidRPr="00271145">
        <w:rPr>
          <w:sz w:val="22"/>
          <w:szCs w:val="22"/>
        </w:rPr>
        <w:lastRenderedPageBreak/>
        <w:t>common</w:t>
      </w:r>
      <w:r w:rsidR="0002284D" w:rsidRPr="0002284D">
        <w:rPr>
          <w:sz w:val="22"/>
          <w:szCs w:val="22"/>
        </w:rPr>
        <w:t xml:space="preserve"> ownership of a daily newspaper and a full-power broadcast station (AM, FM, or TV) if the station’s service contour encompasses the newspaper’s community of publication</w:t>
      </w:r>
      <w:r w:rsidR="0002284D">
        <w:rPr>
          <w:sz w:val="22"/>
          <w:szCs w:val="22"/>
        </w:rPr>
        <w:t>.</w:t>
      </w:r>
      <w:r w:rsidR="003978B2">
        <w:rPr>
          <w:sz w:val="22"/>
          <w:szCs w:val="22"/>
        </w:rPr>
        <w:t xml:space="preserve">  The </w:t>
      </w:r>
      <w:r w:rsidR="003978B2" w:rsidRPr="00183094">
        <w:rPr>
          <w:i/>
          <w:iCs/>
          <w:sz w:val="22"/>
          <w:szCs w:val="22"/>
        </w:rPr>
        <w:t>Second Report and Order</w:t>
      </w:r>
      <w:r w:rsidR="003978B2">
        <w:rPr>
          <w:sz w:val="22"/>
          <w:szCs w:val="22"/>
        </w:rPr>
        <w:t xml:space="preserve"> updates the rule’s </w:t>
      </w:r>
      <w:r w:rsidR="003978B2" w:rsidRPr="007C02D4">
        <w:rPr>
          <w:sz w:val="22"/>
          <w:szCs w:val="22"/>
        </w:rPr>
        <w:t xml:space="preserve">contour provision </w:t>
      </w:r>
      <w:r w:rsidR="003978B2" w:rsidRPr="006E184E">
        <w:rPr>
          <w:sz w:val="22"/>
          <w:szCs w:val="22"/>
        </w:rPr>
        <w:t>to consid</w:t>
      </w:r>
      <w:r w:rsidR="003978B2">
        <w:rPr>
          <w:sz w:val="22"/>
          <w:szCs w:val="22"/>
        </w:rPr>
        <w:t xml:space="preserve">er digital television contours </w:t>
      </w:r>
      <w:r w:rsidR="003978B2" w:rsidRPr="006E184E">
        <w:rPr>
          <w:sz w:val="22"/>
          <w:szCs w:val="22"/>
        </w:rPr>
        <w:t xml:space="preserve">consistent with the switch to digital </w:t>
      </w:r>
      <w:r w:rsidR="003978B2">
        <w:rPr>
          <w:sz w:val="22"/>
          <w:szCs w:val="22"/>
        </w:rPr>
        <w:t xml:space="preserve">television.  </w:t>
      </w:r>
    </w:p>
    <w:p w14:paraId="67D7C0E4" w14:textId="52A9A471" w:rsidR="007C6ACC" w:rsidRPr="00DB72CC" w:rsidRDefault="003978B2" w:rsidP="00EC0231">
      <w:pPr>
        <w:pStyle w:val="ListParagraph"/>
        <w:numPr>
          <w:ilvl w:val="1"/>
          <w:numId w:val="14"/>
        </w:numPr>
        <w:spacing w:after="120"/>
        <w:ind w:left="1080"/>
        <w:contextualSpacing w:val="0"/>
        <w:outlineLvl w:val="1"/>
        <w:rPr>
          <w:sz w:val="22"/>
          <w:szCs w:val="22"/>
        </w:rPr>
      </w:pPr>
      <w:r>
        <w:rPr>
          <w:sz w:val="22"/>
          <w:szCs w:val="22"/>
        </w:rPr>
        <w:t xml:space="preserve">The </w:t>
      </w:r>
      <w:r w:rsidRPr="00183094">
        <w:rPr>
          <w:i/>
          <w:iCs/>
          <w:sz w:val="22"/>
          <w:szCs w:val="22"/>
        </w:rPr>
        <w:t>Second Report and Order</w:t>
      </w:r>
      <w:r>
        <w:rPr>
          <w:sz w:val="22"/>
          <w:szCs w:val="22"/>
        </w:rPr>
        <w:t xml:space="preserve"> also e</w:t>
      </w:r>
      <w:r w:rsidRPr="00780873">
        <w:rPr>
          <w:sz w:val="22"/>
          <w:szCs w:val="22"/>
        </w:rPr>
        <w:t xml:space="preserve">ases application of the </w:t>
      </w:r>
      <w:r>
        <w:rPr>
          <w:sz w:val="22"/>
          <w:szCs w:val="22"/>
        </w:rPr>
        <w:t>cross-ownership prohibition by adopting</w:t>
      </w:r>
      <w:r w:rsidRPr="00780873">
        <w:rPr>
          <w:sz w:val="22"/>
          <w:szCs w:val="22"/>
        </w:rPr>
        <w:t xml:space="preserve"> new </w:t>
      </w:r>
      <w:r w:rsidRPr="00D35020">
        <w:rPr>
          <w:sz w:val="22"/>
          <w:szCs w:val="22"/>
        </w:rPr>
        <w:t>market criteria for the rule’s application and an explicit exception for failed/failing properties.</w:t>
      </w:r>
      <w:r w:rsidR="00D265C2" w:rsidRPr="00D35020">
        <w:rPr>
          <w:sz w:val="22"/>
          <w:szCs w:val="22"/>
        </w:rPr>
        <w:t xml:space="preserve">  </w:t>
      </w:r>
      <w:r w:rsidR="00D35020" w:rsidRPr="00D35020">
        <w:rPr>
          <w:sz w:val="22"/>
          <w:szCs w:val="22"/>
        </w:rPr>
        <w:t xml:space="preserve">Specifically, </w:t>
      </w:r>
      <w:r w:rsidR="00D35020">
        <w:rPr>
          <w:sz w:val="22"/>
          <w:szCs w:val="22"/>
        </w:rPr>
        <w:t>t</w:t>
      </w:r>
      <w:r w:rsidR="00D35020" w:rsidRPr="00D35020">
        <w:rPr>
          <w:sz w:val="22"/>
          <w:szCs w:val="22"/>
        </w:rPr>
        <w:t xml:space="preserve">o determine when the </w:t>
      </w:r>
      <w:r w:rsidR="00427BE1">
        <w:rPr>
          <w:sz w:val="22"/>
          <w:szCs w:val="22"/>
        </w:rPr>
        <w:t>N</w:t>
      </w:r>
      <w:r w:rsidR="00D35020" w:rsidRPr="00271145">
        <w:rPr>
          <w:sz w:val="22"/>
          <w:szCs w:val="22"/>
        </w:rPr>
        <w:t>ewspaper/</w:t>
      </w:r>
      <w:r w:rsidR="00427BE1">
        <w:rPr>
          <w:sz w:val="22"/>
          <w:szCs w:val="22"/>
        </w:rPr>
        <w:t>B</w:t>
      </w:r>
      <w:r w:rsidR="00D35020" w:rsidRPr="00271145">
        <w:rPr>
          <w:sz w:val="22"/>
          <w:szCs w:val="22"/>
        </w:rPr>
        <w:t xml:space="preserve">roadcast </w:t>
      </w:r>
      <w:r w:rsidR="00427BE1">
        <w:rPr>
          <w:sz w:val="22"/>
          <w:szCs w:val="22"/>
        </w:rPr>
        <w:t>C</w:t>
      </w:r>
      <w:r w:rsidR="00D35020" w:rsidRPr="00271145">
        <w:rPr>
          <w:sz w:val="22"/>
          <w:szCs w:val="22"/>
        </w:rPr>
        <w:t>ross-</w:t>
      </w:r>
      <w:r w:rsidR="00427BE1">
        <w:rPr>
          <w:sz w:val="22"/>
          <w:szCs w:val="22"/>
        </w:rPr>
        <w:t>O</w:t>
      </w:r>
      <w:r w:rsidR="00D35020" w:rsidRPr="00271145">
        <w:rPr>
          <w:sz w:val="22"/>
          <w:szCs w:val="22"/>
        </w:rPr>
        <w:t>wnership</w:t>
      </w:r>
      <w:r w:rsidR="00D35020">
        <w:rPr>
          <w:sz w:val="22"/>
          <w:szCs w:val="22"/>
        </w:rPr>
        <w:t xml:space="preserve"> </w:t>
      </w:r>
      <w:r w:rsidR="00427BE1">
        <w:rPr>
          <w:sz w:val="22"/>
          <w:szCs w:val="22"/>
        </w:rPr>
        <w:t>R</w:t>
      </w:r>
      <w:r w:rsidR="00D35020">
        <w:rPr>
          <w:sz w:val="22"/>
          <w:szCs w:val="22"/>
        </w:rPr>
        <w:t>ule</w:t>
      </w:r>
      <w:r w:rsidR="00D35020" w:rsidRPr="00D35020">
        <w:rPr>
          <w:sz w:val="22"/>
          <w:szCs w:val="22"/>
        </w:rPr>
        <w:t xml:space="preserve">’s restriction is triggered, the </w:t>
      </w:r>
      <w:r w:rsidR="00D35020">
        <w:rPr>
          <w:sz w:val="22"/>
          <w:szCs w:val="22"/>
        </w:rPr>
        <w:t>revised</w:t>
      </w:r>
      <w:r w:rsidR="00D35020" w:rsidRPr="00D35020">
        <w:rPr>
          <w:sz w:val="22"/>
          <w:szCs w:val="22"/>
        </w:rPr>
        <w:t xml:space="preserve"> rule considers whether the station and the newspaper are located within the same Nielsen DMA or Audio Market (if any) in addition to the station’s relevant contour.</w:t>
      </w:r>
      <w:r w:rsidR="00D35020">
        <w:rPr>
          <w:sz w:val="22"/>
          <w:szCs w:val="22"/>
        </w:rPr>
        <w:t xml:space="preserve">  Also, the restriction will </w:t>
      </w:r>
      <w:r w:rsidR="00D35020" w:rsidRPr="00DB72CC">
        <w:rPr>
          <w:sz w:val="22"/>
          <w:szCs w:val="22"/>
        </w:rPr>
        <w:t xml:space="preserve">not apply if an applicant for a merger involving a broadcast station and a newspaper </w:t>
      </w:r>
      <w:r w:rsidR="00D35020" w:rsidRPr="004E2915">
        <w:rPr>
          <w:sz w:val="22"/>
          <w:szCs w:val="22"/>
        </w:rPr>
        <w:t>can demonstrate that the station or newspaper is failed or failing.</w:t>
      </w:r>
      <w:r w:rsidR="00DB72CC" w:rsidRPr="00DB72CC">
        <w:rPr>
          <w:sz w:val="22"/>
          <w:szCs w:val="22"/>
        </w:rPr>
        <w:t xml:space="preserve">  Finally,</w:t>
      </w:r>
      <w:r w:rsidR="006C008C">
        <w:rPr>
          <w:sz w:val="22"/>
          <w:szCs w:val="22"/>
        </w:rPr>
        <w:t xml:space="preserve"> the</w:t>
      </w:r>
      <w:r w:rsidR="00DB72CC" w:rsidRPr="00DB72CC">
        <w:rPr>
          <w:sz w:val="22"/>
          <w:szCs w:val="22"/>
        </w:rPr>
        <w:t xml:space="preserve"> </w:t>
      </w:r>
      <w:r w:rsidR="00DB72CC" w:rsidRPr="00183094">
        <w:rPr>
          <w:i/>
          <w:iCs/>
          <w:sz w:val="22"/>
          <w:szCs w:val="22"/>
        </w:rPr>
        <w:t>Second Report and Order</w:t>
      </w:r>
      <w:r w:rsidR="00DB72CC">
        <w:rPr>
          <w:sz w:val="22"/>
          <w:szCs w:val="22"/>
        </w:rPr>
        <w:t xml:space="preserve"> adopted</w:t>
      </w:r>
      <w:r w:rsidR="00DB72CC" w:rsidRPr="00DB72CC">
        <w:rPr>
          <w:sz w:val="22"/>
          <w:szCs w:val="22"/>
        </w:rPr>
        <w:t xml:space="preserve"> a case-by-case waiver standard that focuses specifically on whether the proposed merger would cause undue harm to viewpoint diversity in the relevant local market.</w:t>
      </w:r>
    </w:p>
    <w:p w14:paraId="5265F5D7" w14:textId="42C0057F" w:rsidR="007C6ACC" w:rsidRPr="0056080F" w:rsidRDefault="007C6ACC" w:rsidP="0037639B">
      <w:pPr>
        <w:pStyle w:val="ListParagraph"/>
        <w:numPr>
          <w:ilvl w:val="0"/>
          <w:numId w:val="14"/>
        </w:numPr>
        <w:spacing w:after="120"/>
        <w:ind w:left="720"/>
        <w:contextualSpacing w:val="0"/>
        <w:outlineLvl w:val="1"/>
        <w:rPr>
          <w:sz w:val="22"/>
          <w:szCs w:val="22"/>
        </w:rPr>
      </w:pPr>
      <w:r w:rsidRPr="00DB72CC">
        <w:rPr>
          <w:sz w:val="22"/>
          <w:szCs w:val="22"/>
          <w:u w:val="single"/>
        </w:rPr>
        <w:t>Radio/Television Cross-Ownership</w:t>
      </w:r>
      <w:r w:rsidRPr="00DB72CC">
        <w:rPr>
          <w:sz w:val="22"/>
          <w:szCs w:val="22"/>
        </w:rPr>
        <w:t xml:space="preserve">. </w:t>
      </w:r>
      <w:r w:rsidR="00D47BD2" w:rsidRPr="004E2915">
        <w:rPr>
          <w:sz w:val="22"/>
          <w:szCs w:val="22"/>
        </w:rPr>
        <w:t xml:space="preserve"> </w:t>
      </w:r>
      <w:r w:rsidRPr="004E2915">
        <w:rPr>
          <w:sz w:val="22"/>
          <w:szCs w:val="22"/>
        </w:rPr>
        <w:t xml:space="preserve">The </w:t>
      </w:r>
      <w:r w:rsidRPr="00183094">
        <w:rPr>
          <w:i/>
          <w:iCs/>
          <w:sz w:val="22"/>
          <w:szCs w:val="22"/>
        </w:rPr>
        <w:t>Second Report and Order</w:t>
      </w:r>
      <w:r w:rsidRPr="00A23E93">
        <w:rPr>
          <w:sz w:val="22"/>
          <w:szCs w:val="22"/>
        </w:rPr>
        <w:t xml:space="preserve"> r</w:t>
      </w:r>
      <w:r w:rsidR="007F44C5" w:rsidRPr="00A23E93">
        <w:rPr>
          <w:sz w:val="22"/>
          <w:szCs w:val="22"/>
        </w:rPr>
        <w:t>etained</w:t>
      </w:r>
      <w:r w:rsidRPr="00A23E93">
        <w:rPr>
          <w:sz w:val="22"/>
          <w:szCs w:val="22"/>
        </w:rPr>
        <w:t xml:space="preserve"> the </w:t>
      </w:r>
      <w:r w:rsidR="00427BE1">
        <w:rPr>
          <w:sz w:val="22"/>
          <w:szCs w:val="22"/>
        </w:rPr>
        <w:t>R</w:t>
      </w:r>
      <w:r w:rsidRPr="00A23E93">
        <w:rPr>
          <w:sz w:val="22"/>
          <w:szCs w:val="22"/>
        </w:rPr>
        <w:t>adio/</w:t>
      </w:r>
      <w:r w:rsidR="00427BE1">
        <w:rPr>
          <w:sz w:val="22"/>
          <w:szCs w:val="22"/>
        </w:rPr>
        <w:t>T</w:t>
      </w:r>
      <w:r w:rsidRPr="00A23E93">
        <w:rPr>
          <w:sz w:val="22"/>
          <w:szCs w:val="22"/>
        </w:rPr>
        <w:t xml:space="preserve">elevision </w:t>
      </w:r>
      <w:r w:rsidR="00427BE1">
        <w:rPr>
          <w:sz w:val="22"/>
          <w:szCs w:val="22"/>
        </w:rPr>
        <w:t>C</w:t>
      </w:r>
      <w:r w:rsidRPr="00A23E93">
        <w:rPr>
          <w:sz w:val="22"/>
          <w:szCs w:val="22"/>
        </w:rPr>
        <w:t>ross-</w:t>
      </w:r>
      <w:r w:rsidR="00427BE1">
        <w:rPr>
          <w:sz w:val="22"/>
          <w:szCs w:val="22"/>
        </w:rPr>
        <w:t>O</w:t>
      </w:r>
      <w:r w:rsidRPr="00A23E93">
        <w:rPr>
          <w:sz w:val="22"/>
          <w:szCs w:val="22"/>
        </w:rPr>
        <w:t xml:space="preserve">wnership </w:t>
      </w:r>
      <w:r w:rsidR="00427BE1">
        <w:rPr>
          <w:sz w:val="22"/>
          <w:szCs w:val="22"/>
        </w:rPr>
        <w:t>R</w:t>
      </w:r>
      <w:r w:rsidRPr="00A23E93">
        <w:rPr>
          <w:sz w:val="22"/>
          <w:szCs w:val="22"/>
        </w:rPr>
        <w:t>ule currently in effect</w:t>
      </w:r>
      <w:r w:rsidR="00286D39" w:rsidRPr="00077D82">
        <w:rPr>
          <w:sz w:val="22"/>
          <w:szCs w:val="22"/>
        </w:rPr>
        <w:t xml:space="preserve"> with a minor</w:t>
      </w:r>
      <w:r w:rsidR="00286D39">
        <w:rPr>
          <w:sz w:val="22"/>
          <w:szCs w:val="22"/>
        </w:rPr>
        <w:t xml:space="preserve"> modification</w:t>
      </w:r>
      <w:r w:rsidRPr="0002284D">
        <w:rPr>
          <w:sz w:val="22"/>
          <w:szCs w:val="22"/>
        </w:rPr>
        <w:t xml:space="preserve">.  </w:t>
      </w:r>
      <w:r w:rsidR="70FB48A0" w:rsidRPr="0002284D">
        <w:rPr>
          <w:sz w:val="22"/>
          <w:szCs w:val="22"/>
        </w:rPr>
        <w:t>47</w:t>
      </w:r>
      <w:r w:rsidR="6E43EB03" w:rsidRPr="00183094">
        <w:rPr>
          <w:sz w:val="22"/>
          <w:szCs w:val="22"/>
        </w:rPr>
        <w:t xml:space="preserve"> CFR 73.3555(c).  </w:t>
      </w:r>
      <w:r w:rsidRPr="0002284D">
        <w:rPr>
          <w:sz w:val="22"/>
          <w:szCs w:val="22"/>
        </w:rPr>
        <w:t>The rule limits the number of commercial radio and television stations an entity may own in the same market. Under this rule, one company may own, in a single</w:t>
      </w:r>
      <w:r w:rsidRPr="007C6ACC">
        <w:rPr>
          <w:sz w:val="22"/>
          <w:szCs w:val="22"/>
        </w:rPr>
        <w:t xml:space="preserve"> market: </w:t>
      </w:r>
      <w:r w:rsidR="00D47BD2">
        <w:rPr>
          <w:sz w:val="22"/>
          <w:szCs w:val="22"/>
        </w:rPr>
        <w:t xml:space="preserve"> </w:t>
      </w:r>
      <w:r w:rsidR="008930E3">
        <w:rPr>
          <w:sz w:val="22"/>
          <w:szCs w:val="22"/>
        </w:rPr>
        <w:t>two television stations (as permitted by the Local Television Ownership R</w:t>
      </w:r>
      <w:r w:rsidRPr="007C6ACC">
        <w:rPr>
          <w:sz w:val="22"/>
          <w:szCs w:val="22"/>
        </w:rPr>
        <w:t xml:space="preserve">ule) and one radio station regardless of total market size; if at least ten independent media voices would remain after the proposed combination, up to two </w:t>
      </w:r>
      <w:r w:rsidR="008930E3">
        <w:rPr>
          <w:sz w:val="22"/>
          <w:szCs w:val="22"/>
        </w:rPr>
        <w:t>television</w:t>
      </w:r>
      <w:r w:rsidR="008930E3" w:rsidRPr="007C6ACC">
        <w:rPr>
          <w:sz w:val="22"/>
          <w:szCs w:val="22"/>
        </w:rPr>
        <w:t xml:space="preserve"> </w:t>
      </w:r>
      <w:r w:rsidRPr="007C6ACC">
        <w:rPr>
          <w:sz w:val="22"/>
          <w:szCs w:val="22"/>
        </w:rPr>
        <w:t xml:space="preserve">stations and up to four radio stations; or if at least 20 independently owned voices would remain post-merger, up to two </w:t>
      </w:r>
      <w:r w:rsidR="008930E3">
        <w:rPr>
          <w:sz w:val="22"/>
          <w:szCs w:val="22"/>
        </w:rPr>
        <w:t>television</w:t>
      </w:r>
      <w:r w:rsidR="008930E3" w:rsidRPr="007C6ACC">
        <w:rPr>
          <w:sz w:val="22"/>
          <w:szCs w:val="22"/>
        </w:rPr>
        <w:t xml:space="preserve"> </w:t>
      </w:r>
      <w:r w:rsidRPr="007C6ACC">
        <w:rPr>
          <w:sz w:val="22"/>
          <w:szCs w:val="22"/>
        </w:rPr>
        <w:t xml:space="preserve">stations and up to six radio stations or one </w:t>
      </w:r>
      <w:r w:rsidR="008930E3">
        <w:rPr>
          <w:sz w:val="22"/>
          <w:szCs w:val="22"/>
        </w:rPr>
        <w:t>television</w:t>
      </w:r>
      <w:r w:rsidR="008930E3" w:rsidRPr="007C6ACC">
        <w:rPr>
          <w:sz w:val="22"/>
          <w:szCs w:val="22"/>
        </w:rPr>
        <w:t xml:space="preserve"> </w:t>
      </w:r>
      <w:r w:rsidRPr="007C6ACC">
        <w:rPr>
          <w:sz w:val="22"/>
          <w:szCs w:val="22"/>
        </w:rPr>
        <w:t xml:space="preserve">station and up to seven radio stations. </w:t>
      </w:r>
      <w:r w:rsidR="00D47BD2">
        <w:rPr>
          <w:sz w:val="22"/>
          <w:szCs w:val="22"/>
        </w:rPr>
        <w:t xml:space="preserve"> </w:t>
      </w:r>
      <w:r w:rsidRPr="007C6ACC">
        <w:rPr>
          <w:sz w:val="22"/>
          <w:szCs w:val="22"/>
        </w:rPr>
        <w:t>Proposed combinat</w:t>
      </w:r>
      <w:r w:rsidR="008930E3">
        <w:rPr>
          <w:sz w:val="22"/>
          <w:szCs w:val="22"/>
        </w:rPr>
        <w:t>ions must also comply with the Local R</w:t>
      </w:r>
      <w:r w:rsidRPr="007C6ACC">
        <w:rPr>
          <w:sz w:val="22"/>
          <w:szCs w:val="22"/>
        </w:rPr>
        <w:t xml:space="preserve">adio </w:t>
      </w:r>
      <w:r w:rsidR="008930E3">
        <w:rPr>
          <w:sz w:val="22"/>
          <w:szCs w:val="22"/>
        </w:rPr>
        <w:t>Rule and the L</w:t>
      </w:r>
      <w:r w:rsidRPr="007C6ACC">
        <w:rPr>
          <w:sz w:val="22"/>
          <w:szCs w:val="22"/>
        </w:rPr>
        <w:t xml:space="preserve">ocal </w:t>
      </w:r>
      <w:r w:rsidR="008930E3">
        <w:rPr>
          <w:sz w:val="22"/>
          <w:szCs w:val="22"/>
        </w:rPr>
        <w:t>Television Ownership Rule</w:t>
      </w:r>
      <w:r w:rsidRPr="007C6ACC">
        <w:rPr>
          <w:sz w:val="22"/>
          <w:szCs w:val="22"/>
        </w:rPr>
        <w:t xml:space="preserve">. </w:t>
      </w:r>
      <w:r w:rsidR="008930E3">
        <w:rPr>
          <w:sz w:val="22"/>
          <w:szCs w:val="22"/>
        </w:rPr>
        <w:t xml:space="preserve"> For purposes of the Radio/Television C</w:t>
      </w:r>
      <w:r w:rsidRPr="007C6ACC">
        <w:rPr>
          <w:sz w:val="22"/>
          <w:szCs w:val="22"/>
        </w:rPr>
        <w:t>ross</w:t>
      </w:r>
      <w:r w:rsidR="00AD2561">
        <w:rPr>
          <w:sz w:val="22"/>
          <w:szCs w:val="22"/>
        </w:rPr>
        <w:t>-</w:t>
      </w:r>
      <w:r w:rsidR="008930E3">
        <w:rPr>
          <w:sz w:val="22"/>
          <w:szCs w:val="22"/>
        </w:rPr>
        <w:t>Ownership R</w:t>
      </w:r>
      <w:r w:rsidRPr="007C6ACC">
        <w:rPr>
          <w:sz w:val="22"/>
          <w:szCs w:val="22"/>
        </w:rPr>
        <w:t>ule, voices include full-power commercial and non-commercial television stations, cable television systems (</w:t>
      </w:r>
      <w:r w:rsidRPr="0056080F">
        <w:rPr>
          <w:sz w:val="22"/>
          <w:szCs w:val="22"/>
        </w:rPr>
        <w:t>which count as one voice regardless of how many serve the DMA), daily newspapers that are published in the DMA and have a circulation exceeding five percent of the DMA’s population, and radio stations.</w:t>
      </w:r>
      <w:r w:rsidR="00286D39">
        <w:rPr>
          <w:sz w:val="22"/>
          <w:szCs w:val="22"/>
        </w:rPr>
        <w:t xml:space="preserve">  The </w:t>
      </w:r>
      <w:r w:rsidR="00286D39" w:rsidRPr="00183094">
        <w:rPr>
          <w:i/>
          <w:iCs/>
          <w:sz w:val="22"/>
          <w:szCs w:val="22"/>
        </w:rPr>
        <w:t>Second Report and Order</w:t>
      </w:r>
      <w:r w:rsidR="00286D39">
        <w:rPr>
          <w:sz w:val="22"/>
          <w:szCs w:val="22"/>
        </w:rPr>
        <w:t xml:space="preserve"> updates the rule’s </w:t>
      </w:r>
      <w:r w:rsidR="008930E3">
        <w:rPr>
          <w:sz w:val="22"/>
          <w:szCs w:val="22"/>
        </w:rPr>
        <w:t xml:space="preserve">television </w:t>
      </w:r>
      <w:r w:rsidR="00286D39">
        <w:rPr>
          <w:sz w:val="22"/>
          <w:szCs w:val="22"/>
        </w:rPr>
        <w:t>c</w:t>
      </w:r>
      <w:r w:rsidR="00286D39" w:rsidRPr="007C02D4">
        <w:rPr>
          <w:sz w:val="22"/>
          <w:szCs w:val="22"/>
        </w:rPr>
        <w:t>ontour provision for the rule’s applicati</w:t>
      </w:r>
      <w:r w:rsidR="00286D39">
        <w:rPr>
          <w:sz w:val="22"/>
          <w:szCs w:val="22"/>
        </w:rPr>
        <w:t>on from analog</w:t>
      </w:r>
      <w:r w:rsidR="008930E3">
        <w:rPr>
          <w:sz w:val="22"/>
          <w:szCs w:val="22"/>
        </w:rPr>
        <w:t xml:space="preserve"> (Grade B)</w:t>
      </w:r>
      <w:r w:rsidR="00286D39">
        <w:rPr>
          <w:sz w:val="22"/>
          <w:szCs w:val="22"/>
        </w:rPr>
        <w:t xml:space="preserve"> to digital</w:t>
      </w:r>
      <w:r w:rsidR="008930E3">
        <w:rPr>
          <w:sz w:val="22"/>
          <w:szCs w:val="22"/>
        </w:rPr>
        <w:t xml:space="preserve"> (NLSC)</w:t>
      </w:r>
      <w:r w:rsidR="00286D39">
        <w:rPr>
          <w:sz w:val="22"/>
          <w:szCs w:val="22"/>
        </w:rPr>
        <w:t xml:space="preserve"> to reflect the digital television transition.</w:t>
      </w:r>
    </w:p>
    <w:p w14:paraId="031B4A05" w14:textId="276D08FB" w:rsidR="003852EB" w:rsidRDefault="0056080F" w:rsidP="0037639B">
      <w:pPr>
        <w:pStyle w:val="ListParagraph"/>
        <w:numPr>
          <w:ilvl w:val="0"/>
          <w:numId w:val="14"/>
        </w:numPr>
        <w:spacing w:after="120"/>
        <w:ind w:left="720"/>
        <w:contextualSpacing w:val="0"/>
        <w:outlineLvl w:val="1"/>
        <w:rPr>
          <w:sz w:val="22"/>
          <w:szCs w:val="22"/>
        </w:rPr>
      </w:pPr>
      <w:r w:rsidRPr="0056080F">
        <w:rPr>
          <w:sz w:val="22"/>
          <w:szCs w:val="22"/>
          <w:u w:val="single"/>
        </w:rPr>
        <w:t>Dual Network Rule</w:t>
      </w:r>
      <w:r w:rsidRPr="0056080F">
        <w:rPr>
          <w:sz w:val="22"/>
          <w:szCs w:val="22"/>
        </w:rPr>
        <w:t xml:space="preserve">. </w:t>
      </w:r>
      <w:r>
        <w:rPr>
          <w:sz w:val="22"/>
          <w:szCs w:val="22"/>
        </w:rPr>
        <w:t xml:space="preserve"> </w:t>
      </w:r>
      <w:r w:rsidRPr="0056080F">
        <w:rPr>
          <w:sz w:val="22"/>
          <w:szCs w:val="22"/>
        </w:rPr>
        <w:t>The</w:t>
      </w:r>
      <w:r>
        <w:rPr>
          <w:sz w:val="22"/>
          <w:szCs w:val="22"/>
        </w:rPr>
        <w:t xml:space="preserve"> </w:t>
      </w:r>
      <w:r w:rsidRPr="00183094">
        <w:rPr>
          <w:i/>
          <w:iCs/>
          <w:sz w:val="22"/>
          <w:szCs w:val="22"/>
        </w:rPr>
        <w:t>Second Report and Order</w:t>
      </w:r>
      <w:r w:rsidRPr="0056080F">
        <w:rPr>
          <w:sz w:val="22"/>
          <w:szCs w:val="22"/>
        </w:rPr>
        <w:t xml:space="preserve"> </w:t>
      </w:r>
      <w:r>
        <w:rPr>
          <w:sz w:val="22"/>
          <w:szCs w:val="22"/>
        </w:rPr>
        <w:t>r</w:t>
      </w:r>
      <w:r w:rsidR="007F44C5">
        <w:rPr>
          <w:sz w:val="22"/>
          <w:szCs w:val="22"/>
        </w:rPr>
        <w:t>etained</w:t>
      </w:r>
      <w:r w:rsidRPr="0056080F">
        <w:rPr>
          <w:sz w:val="22"/>
          <w:szCs w:val="22"/>
        </w:rPr>
        <w:t xml:space="preserve"> </w:t>
      </w:r>
      <w:r w:rsidR="008930E3">
        <w:rPr>
          <w:sz w:val="22"/>
          <w:szCs w:val="22"/>
        </w:rPr>
        <w:t>the Dual Network R</w:t>
      </w:r>
      <w:r>
        <w:rPr>
          <w:sz w:val="22"/>
          <w:szCs w:val="22"/>
        </w:rPr>
        <w:t>ule contained in 47 CFR</w:t>
      </w:r>
      <w:r w:rsidRPr="0056080F">
        <w:rPr>
          <w:sz w:val="22"/>
          <w:szCs w:val="22"/>
        </w:rPr>
        <w:t xml:space="preserve"> </w:t>
      </w:r>
      <w:r w:rsidR="00AA3F5E">
        <w:rPr>
          <w:sz w:val="22"/>
          <w:szCs w:val="22"/>
        </w:rPr>
        <w:t>Section</w:t>
      </w:r>
      <w:r w:rsidR="00AA3F5E" w:rsidRPr="0056080F">
        <w:rPr>
          <w:sz w:val="22"/>
          <w:szCs w:val="22"/>
        </w:rPr>
        <w:t xml:space="preserve"> </w:t>
      </w:r>
      <w:r w:rsidRPr="0056080F">
        <w:rPr>
          <w:sz w:val="22"/>
          <w:szCs w:val="22"/>
        </w:rPr>
        <w:t>73.658(g)</w:t>
      </w:r>
      <w:r w:rsidR="00286D39">
        <w:rPr>
          <w:sz w:val="22"/>
          <w:szCs w:val="22"/>
        </w:rPr>
        <w:t xml:space="preserve"> without modification</w:t>
      </w:r>
      <w:r w:rsidRPr="0056080F">
        <w:rPr>
          <w:sz w:val="22"/>
          <w:szCs w:val="22"/>
        </w:rPr>
        <w:t xml:space="preserve">. </w:t>
      </w:r>
      <w:r>
        <w:rPr>
          <w:sz w:val="22"/>
          <w:szCs w:val="22"/>
        </w:rPr>
        <w:t xml:space="preserve"> </w:t>
      </w:r>
      <w:r w:rsidRPr="0056080F">
        <w:rPr>
          <w:sz w:val="22"/>
          <w:szCs w:val="22"/>
        </w:rPr>
        <w:t>Th</w:t>
      </w:r>
      <w:r>
        <w:rPr>
          <w:sz w:val="22"/>
          <w:szCs w:val="22"/>
        </w:rPr>
        <w:t>e</w:t>
      </w:r>
      <w:r w:rsidRPr="0056080F">
        <w:rPr>
          <w:sz w:val="22"/>
          <w:szCs w:val="22"/>
        </w:rPr>
        <w:t xml:space="preserve"> rule provides that a </w:t>
      </w:r>
      <w:r w:rsidR="008930E3">
        <w:rPr>
          <w:sz w:val="22"/>
          <w:szCs w:val="22"/>
        </w:rPr>
        <w:t>television</w:t>
      </w:r>
      <w:r w:rsidR="008930E3" w:rsidRPr="0056080F">
        <w:rPr>
          <w:sz w:val="22"/>
          <w:szCs w:val="22"/>
        </w:rPr>
        <w:t xml:space="preserve"> </w:t>
      </w:r>
      <w:r w:rsidRPr="0056080F">
        <w:rPr>
          <w:sz w:val="22"/>
          <w:szCs w:val="22"/>
        </w:rPr>
        <w:t>station may affiliate with a person or entity that maintains two or more networks of TV stations unless such dual or multiple networks are composed of two or more persons or entities that, on February 8, 1996, were defined as “networks” (i.e.</w:t>
      </w:r>
      <w:r w:rsidR="00EB3AE0">
        <w:rPr>
          <w:sz w:val="22"/>
          <w:szCs w:val="22"/>
        </w:rPr>
        <w:t>,</w:t>
      </w:r>
      <w:r w:rsidRPr="0056080F">
        <w:rPr>
          <w:sz w:val="22"/>
          <w:szCs w:val="22"/>
        </w:rPr>
        <w:t xml:space="preserve"> ABC, CBS, Fox, and NBC). </w:t>
      </w:r>
      <w:r w:rsidR="00286D39">
        <w:rPr>
          <w:sz w:val="22"/>
          <w:szCs w:val="22"/>
        </w:rPr>
        <w:t xml:space="preserve"> </w:t>
      </w:r>
      <w:r w:rsidRPr="0056080F">
        <w:rPr>
          <w:sz w:val="22"/>
          <w:szCs w:val="22"/>
        </w:rPr>
        <w:t>Thus, the rule permits common ownership of multiple broadcast networks, but prohibits a merger between or among the “top four” networks</w:t>
      </w:r>
      <w:r>
        <w:rPr>
          <w:sz w:val="22"/>
          <w:szCs w:val="22"/>
        </w:rPr>
        <w:t>.</w:t>
      </w:r>
    </w:p>
    <w:p w14:paraId="0D761EDA" w14:textId="35D3B591" w:rsidR="00CC50AA" w:rsidRDefault="00CC50AA" w:rsidP="0037639B">
      <w:pPr>
        <w:pStyle w:val="ListParagraph"/>
        <w:numPr>
          <w:ilvl w:val="0"/>
          <w:numId w:val="14"/>
        </w:numPr>
        <w:spacing w:after="120"/>
        <w:ind w:left="720"/>
        <w:contextualSpacing w:val="0"/>
        <w:outlineLvl w:val="1"/>
        <w:rPr>
          <w:sz w:val="22"/>
          <w:szCs w:val="22"/>
        </w:rPr>
      </w:pPr>
      <w:r w:rsidRPr="00E13D72">
        <w:rPr>
          <w:sz w:val="22"/>
          <w:szCs w:val="22"/>
          <w:u w:val="single"/>
        </w:rPr>
        <w:t>Television Station Satellite Operations</w:t>
      </w:r>
      <w:r w:rsidRPr="00183094">
        <w:rPr>
          <w:sz w:val="22"/>
          <w:szCs w:val="22"/>
        </w:rPr>
        <w:t>.</w:t>
      </w:r>
      <w:r w:rsidR="0B436C43" w:rsidRPr="00183094">
        <w:rPr>
          <w:sz w:val="22"/>
          <w:szCs w:val="22"/>
        </w:rPr>
        <w:t xml:space="preserve">  </w:t>
      </w:r>
      <w:r w:rsidRPr="003978B2">
        <w:rPr>
          <w:sz w:val="22"/>
          <w:szCs w:val="22"/>
        </w:rPr>
        <w:t xml:space="preserve">The Commission switched from the Grade-B contour overlap </w:t>
      </w:r>
      <w:r>
        <w:rPr>
          <w:sz w:val="22"/>
          <w:szCs w:val="22"/>
        </w:rPr>
        <w:t xml:space="preserve">test </w:t>
      </w:r>
      <w:r w:rsidRPr="003978B2">
        <w:rPr>
          <w:sz w:val="22"/>
          <w:szCs w:val="22"/>
        </w:rPr>
        <w:t xml:space="preserve">to the digital NLSC contour overlap test </w:t>
      </w:r>
      <w:r>
        <w:rPr>
          <w:sz w:val="22"/>
          <w:szCs w:val="22"/>
        </w:rPr>
        <w:t xml:space="preserve">to reflect </w:t>
      </w:r>
      <w:r w:rsidRPr="003978B2">
        <w:rPr>
          <w:sz w:val="22"/>
          <w:szCs w:val="22"/>
        </w:rPr>
        <w:t>the transition to digital television</w:t>
      </w:r>
      <w:r>
        <w:rPr>
          <w:sz w:val="22"/>
          <w:szCs w:val="22"/>
        </w:rPr>
        <w:t xml:space="preserve"> for purposes of the satellite television exception to the application of the Local Television Ownership rule, the Radio/Television Cross-Ownership Rule, Newspaper/Broadcast Cross-Ownership rule, and the National Television Multiple Ownership rule.</w:t>
      </w:r>
      <w:r w:rsidR="6E43EB03">
        <w:rPr>
          <w:sz w:val="22"/>
          <w:szCs w:val="22"/>
        </w:rPr>
        <w:t xml:space="preserve"> 47 CFR Section 73.3555</w:t>
      </w:r>
      <w:r w:rsidR="7C744F4F">
        <w:rPr>
          <w:sz w:val="22"/>
          <w:szCs w:val="22"/>
        </w:rPr>
        <w:t>, Note 5.</w:t>
      </w:r>
    </w:p>
    <w:p w14:paraId="1CFE53F0" w14:textId="77777777" w:rsidR="003852EB" w:rsidRDefault="003852EB">
      <w:pPr>
        <w:rPr>
          <w:sz w:val="22"/>
          <w:szCs w:val="22"/>
        </w:rPr>
      </w:pPr>
      <w:r>
        <w:rPr>
          <w:sz w:val="22"/>
          <w:szCs w:val="22"/>
        </w:rPr>
        <w:br w:type="page"/>
      </w:r>
    </w:p>
    <w:p w14:paraId="4B611D1B" w14:textId="3ABA1D68" w:rsidR="00526C5B" w:rsidRPr="00183094" w:rsidRDefault="00D75AE0" w:rsidP="00183094">
      <w:pPr>
        <w:pStyle w:val="ListParagraph"/>
        <w:numPr>
          <w:ilvl w:val="0"/>
          <w:numId w:val="19"/>
        </w:numPr>
        <w:ind w:left="360"/>
        <w:contextualSpacing w:val="0"/>
        <w:outlineLvl w:val="1"/>
        <w:rPr>
          <w:b/>
          <w:bCs/>
          <w:sz w:val="22"/>
          <w:szCs w:val="22"/>
        </w:rPr>
      </w:pPr>
      <w:r w:rsidRPr="00183094">
        <w:rPr>
          <w:b/>
          <w:bCs/>
          <w:sz w:val="22"/>
          <w:szCs w:val="22"/>
        </w:rPr>
        <w:lastRenderedPageBreak/>
        <w:t>Eligible Entities</w:t>
      </w:r>
    </w:p>
    <w:p w14:paraId="568F3249" w14:textId="43D69627" w:rsidR="00776B44" w:rsidRPr="00776B44" w:rsidRDefault="00540AFF" w:rsidP="0037639B">
      <w:pPr>
        <w:pStyle w:val="ListParagraph"/>
        <w:numPr>
          <w:ilvl w:val="0"/>
          <w:numId w:val="14"/>
        </w:numPr>
        <w:spacing w:after="120"/>
        <w:ind w:left="720"/>
        <w:contextualSpacing w:val="0"/>
        <w:outlineLvl w:val="1"/>
        <w:rPr>
          <w:sz w:val="22"/>
          <w:szCs w:val="22"/>
        </w:rPr>
      </w:pPr>
      <w:r>
        <w:rPr>
          <w:sz w:val="22"/>
          <w:szCs w:val="22"/>
        </w:rPr>
        <w:t>Eligible entities</w:t>
      </w:r>
      <w:r w:rsidR="00EB3AE0">
        <w:rPr>
          <w:sz w:val="22"/>
          <w:szCs w:val="22"/>
        </w:rPr>
        <w:t xml:space="preserve"> </w:t>
      </w:r>
      <w:r>
        <w:rPr>
          <w:sz w:val="22"/>
          <w:szCs w:val="22"/>
        </w:rPr>
        <w:t xml:space="preserve">are </w:t>
      </w:r>
      <w:r w:rsidR="00EB3AE0">
        <w:rPr>
          <w:sz w:val="22"/>
          <w:szCs w:val="22"/>
        </w:rPr>
        <w:t xml:space="preserve">those entities that are </w:t>
      </w:r>
      <w:r>
        <w:rPr>
          <w:sz w:val="22"/>
          <w:szCs w:val="22"/>
        </w:rPr>
        <w:t>int</w:t>
      </w:r>
      <w:r w:rsidRPr="00776B44">
        <w:rPr>
          <w:sz w:val="22"/>
          <w:szCs w:val="22"/>
        </w:rPr>
        <w:t>ende</w:t>
      </w:r>
      <w:r w:rsidR="00EB3AE0">
        <w:rPr>
          <w:sz w:val="22"/>
          <w:szCs w:val="22"/>
        </w:rPr>
        <w:t>d to receive the benefits of certain diversity-promoting</w:t>
      </w:r>
      <w:r w:rsidRPr="00776B44">
        <w:rPr>
          <w:sz w:val="22"/>
          <w:szCs w:val="22"/>
        </w:rPr>
        <w:t xml:space="preserve"> measures adopted </w:t>
      </w:r>
      <w:r w:rsidR="00EB3AE0">
        <w:rPr>
          <w:sz w:val="22"/>
          <w:szCs w:val="22"/>
        </w:rPr>
        <w:t>by the Commission.</w:t>
      </w:r>
      <w:r>
        <w:rPr>
          <w:sz w:val="22"/>
          <w:szCs w:val="22"/>
        </w:rPr>
        <w:t xml:space="preserve"> </w:t>
      </w:r>
      <w:r w:rsidR="00EB3AE0">
        <w:rPr>
          <w:sz w:val="22"/>
          <w:szCs w:val="22"/>
        </w:rPr>
        <w:t xml:space="preserve"> </w:t>
      </w:r>
      <w:r w:rsidR="00526C5B" w:rsidRPr="00776B44">
        <w:rPr>
          <w:sz w:val="22"/>
          <w:szCs w:val="22"/>
        </w:rPr>
        <w:t xml:space="preserve">The </w:t>
      </w:r>
      <w:r w:rsidR="007F44C5" w:rsidRPr="00183094">
        <w:rPr>
          <w:i/>
          <w:iCs/>
          <w:sz w:val="22"/>
          <w:szCs w:val="22"/>
        </w:rPr>
        <w:t>Second Report and Order</w:t>
      </w:r>
      <w:r w:rsidR="007F44C5" w:rsidRPr="00776B44">
        <w:rPr>
          <w:sz w:val="22"/>
          <w:szCs w:val="22"/>
        </w:rPr>
        <w:t xml:space="preserve"> </w:t>
      </w:r>
      <w:r w:rsidR="00EB3AE0">
        <w:rPr>
          <w:sz w:val="22"/>
          <w:szCs w:val="22"/>
        </w:rPr>
        <w:t xml:space="preserve">adopts a </w:t>
      </w:r>
      <w:r w:rsidR="00526C5B" w:rsidRPr="00776B44">
        <w:rPr>
          <w:sz w:val="22"/>
          <w:szCs w:val="22"/>
        </w:rPr>
        <w:t>revenue-based eligible entity standard</w:t>
      </w:r>
      <w:r w:rsidR="00EB3AE0">
        <w:rPr>
          <w:sz w:val="22"/>
          <w:szCs w:val="22"/>
        </w:rPr>
        <w:t>, i.e.</w:t>
      </w:r>
      <w:r w:rsidR="00C63ACF" w:rsidRPr="00776B44">
        <w:rPr>
          <w:sz w:val="22"/>
          <w:szCs w:val="22"/>
        </w:rPr>
        <w:t>, an eligible entity is any entity that qualifies as a small business consistent with Smal</w:t>
      </w:r>
      <w:r w:rsidR="00EB3AE0">
        <w:rPr>
          <w:sz w:val="22"/>
          <w:szCs w:val="22"/>
        </w:rPr>
        <w:t>l Business Administration (SBA</w:t>
      </w:r>
      <w:r w:rsidR="00C63ACF" w:rsidRPr="00776B44">
        <w:rPr>
          <w:sz w:val="22"/>
          <w:szCs w:val="22"/>
        </w:rPr>
        <w:t>) standards for its industry grouping, based on its revenue.</w:t>
      </w:r>
      <w:r w:rsidR="00393604">
        <w:rPr>
          <w:rStyle w:val="FootnoteReference"/>
          <w:sz w:val="22"/>
          <w:szCs w:val="22"/>
        </w:rPr>
        <w:footnoteReference w:id="5"/>
      </w:r>
      <w:r w:rsidR="00C63ACF" w:rsidRPr="00776B44">
        <w:rPr>
          <w:sz w:val="22"/>
          <w:szCs w:val="22"/>
        </w:rPr>
        <w:t xml:space="preserve">  </w:t>
      </w:r>
    </w:p>
    <w:p w14:paraId="24D30299" w14:textId="6B5108BE" w:rsidR="00776B44" w:rsidRPr="0012691E" w:rsidRDefault="00EB3AE0" w:rsidP="0037639B">
      <w:pPr>
        <w:pStyle w:val="ListParagraph"/>
        <w:numPr>
          <w:ilvl w:val="0"/>
          <w:numId w:val="14"/>
        </w:numPr>
        <w:spacing w:after="120"/>
        <w:ind w:left="720"/>
        <w:contextualSpacing w:val="0"/>
        <w:outlineLvl w:val="1"/>
        <w:rPr>
          <w:sz w:val="22"/>
          <w:szCs w:val="22"/>
        </w:rPr>
      </w:pPr>
      <w:r>
        <w:rPr>
          <w:sz w:val="22"/>
          <w:szCs w:val="22"/>
        </w:rPr>
        <w:t xml:space="preserve">Under the </w:t>
      </w:r>
      <w:r w:rsidR="00250071">
        <w:rPr>
          <w:sz w:val="22"/>
          <w:szCs w:val="22"/>
        </w:rPr>
        <w:t xml:space="preserve">current </w:t>
      </w:r>
      <w:r>
        <w:rPr>
          <w:sz w:val="22"/>
          <w:szCs w:val="22"/>
        </w:rPr>
        <w:t>SBA standard</w:t>
      </w:r>
      <w:r w:rsidR="00C63ACF" w:rsidRPr="00776B44">
        <w:rPr>
          <w:sz w:val="22"/>
          <w:szCs w:val="22"/>
        </w:rPr>
        <w:t xml:space="preserve">, a radio or television station with no more than $38.5 million in annual revenue currently is considered a small business.  </w:t>
      </w:r>
      <w:r w:rsidR="00C63ACF" w:rsidRPr="0012691E">
        <w:rPr>
          <w:sz w:val="22"/>
          <w:szCs w:val="22"/>
        </w:rPr>
        <w:t xml:space="preserve">To determine qualification as a small business, the SBA considers the revenues of domestic and foreign affiliates, including the parent corporation and affiliates of the parent corporation, not just the revenues of individual broadcast stations.  </w:t>
      </w:r>
    </w:p>
    <w:p w14:paraId="67A36919" w14:textId="5BD68E90" w:rsidR="0012691E" w:rsidRPr="00183094" w:rsidRDefault="00C63ACF" w:rsidP="00183094">
      <w:pPr>
        <w:pStyle w:val="ListParagraph"/>
        <w:numPr>
          <w:ilvl w:val="0"/>
          <w:numId w:val="14"/>
        </w:numPr>
        <w:ind w:left="720"/>
        <w:contextualSpacing w:val="0"/>
        <w:outlineLvl w:val="1"/>
        <w:rPr>
          <w:b/>
          <w:bCs/>
          <w:sz w:val="22"/>
          <w:szCs w:val="22"/>
        </w:rPr>
      </w:pPr>
      <w:r w:rsidRPr="00776B44">
        <w:rPr>
          <w:sz w:val="22"/>
          <w:szCs w:val="22"/>
        </w:rPr>
        <w:t xml:space="preserve">The Commission also requires an eligible entity to satisfy one of several control tests to ensure that ultimate control rests in an entity that satisfies the revenue criteria.  Specifically, the eligible entity must hold: </w:t>
      </w:r>
      <w:r w:rsidR="00EB3AE0">
        <w:rPr>
          <w:sz w:val="22"/>
          <w:szCs w:val="22"/>
        </w:rPr>
        <w:t xml:space="preserve"> </w:t>
      </w:r>
      <w:r w:rsidRPr="00776B44">
        <w:rPr>
          <w:sz w:val="22"/>
          <w:szCs w:val="22"/>
        </w:rPr>
        <w:t xml:space="preserve">(1) 30 percent or more of the stock/partnership shares and more than 50 percent voting power of the corporation or partnership that will hold the broadcast license; (2) 15 percent or more of the stock/partnership shares and more </w:t>
      </w:r>
      <w:r w:rsidRPr="0082302A">
        <w:rPr>
          <w:sz w:val="22"/>
          <w:szCs w:val="22"/>
        </w:rPr>
        <w:t xml:space="preserve">than 50 percent voting power of the corporation or partnership that will hold the broadcast licenses, provided that no other person or entity owns or controls more than 25 percent of the outstanding stock or partnership interest; or (3) more than 50 percent of the voting power of the corporation if the corporation that holds the broadcast licenses is a publicly traded company. </w:t>
      </w:r>
    </w:p>
    <w:p w14:paraId="6FBDBE90" w14:textId="58FE2E9C" w:rsidR="008E7EBA" w:rsidRDefault="0082302A" w:rsidP="0037639B">
      <w:pPr>
        <w:pStyle w:val="ListParagraph"/>
        <w:numPr>
          <w:ilvl w:val="0"/>
          <w:numId w:val="14"/>
        </w:numPr>
        <w:spacing w:after="120"/>
        <w:ind w:left="720"/>
        <w:contextualSpacing w:val="0"/>
        <w:outlineLvl w:val="1"/>
        <w:rPr>
          <w:sz w:val="22"/>
          <w:szCs w:val="22"/>
        </w:rPr>
      </w:pPr>
      <w:r w:rsidRPr="0082302A">
        <w:rPr>
          <w:sz w:val="22"/>
          <w:szCs w:val="22"/>
        </w:rPr>
        <w:t xml:space="preserve">In addition to the eligible entity standard and definition, the Commission readopted each measure relying on this definition that was remanded in </w:t>
      </w:r>
      <w:r w:rsidRPr="00183094">
        <w:rPr>
          <w:i/>
          <w:iCs/>
          <w:sz w:val="22"/>
          <w:szCs w:val="22"/>
        </w:rPr>
        <w:t>Prometheus II</w:t>
      </w:r>
      <w:r w:rsidRPr="0082302A">
        <w:rPr>
          <w:sz w:val="22"/>
          <w:szCs w:val="22"/>
        </w:rPr>
        <w:t>.  Specifically, the following measures we</w:t>
      </w:r>
      <w:r w:rsidR="00B76DCD">
        <w:rPr>
          <w:sz w:val="22"/>
          <w:szCs w:val="22"/>
        </w:rPr>
        <w:t>re</w:t>
      </w:r>
      <w:r w:rsidRPr="0082302A">
        <w:rPr>
          <w:sz w:val="22"/>
          <w:szCs w:val="22"/>
        </w:rPr>
        <w:t xml:space="preserve"> reinstated: </w:t>
      </w:r>
    </w:p>
    <w:p w14:paraId="24AE8E25" w14:textId="0CACCE19" w:rsidR="00250071" w:rsidRDefault="0082302A" w:rsidP="00EC0231">
      <w:pPr>
        <w:pStyle w:val="ListParagraph"/>
        <w:numPr>
          <w:ilvl w:val="1"/>
          <w:numId w:val="14"/>
        </w:numPr>
        <w:spacing w:after="120"/>
        <w:ind w:left="1080"/>
        <w:contextualSpacing w:val="0"/>
        <w:outlineLvl w:val="1"/>
        <w:rPr>
          <w:sz w:val="22"/>
          <w:szCs w:val="22"/>
        </w:rPr>
      </w:pPr>
      <w:r w:rsidRPr="0082302A">
        <w:rPr>
          <w:sz w:val="22"/>
          <w:szCs w:val="22"/>
        </w:rPr>
        <w:t xml:space="preserve">(1) </w:t>
      </w:r>
      <w:r w:rsidRPr="00183094">
        <w:rPr>
          <w:i/>
          <w:iCs/>
          <w:sz w:val="22"/>
          <w:szCs w:val="22"/>
        </w:rPr>
        <w:t xml:space="preserve">Revision of Rules Regarding Construction Permit </w:t>
      </w:r>
      <w:r w:rsidRPr="003524BA">
        <w:rPr>
          <w:i/>
          <w:iCs/>
          <w:sz w:val="22"/>
          <w:szCs w:val="22"/>
        </w:rPr>
        <w:t>Deadlines</w:t>
      </w:r>
      <w:r w:rsidR="00A93F91" w:rsidRPr="003524BA">
        <w:rPr>
          <w:sz w:val="22"/>
          <w:szCs w:val="22"/>
        </w:rPr>
        <w:t>.</w:t>
      </w:r>
      <w:r w:rsidR="3D179BFB" w:rsidRPr="003524BA">
        <w:rPr>
          <w:sz w:val="22"/>
          <w:szCs w:val="22"/>
        </w:rPr>
        <w:t xml:space="preserve">  47 CFR Section 73.3598.</w:t>
      </w:r>
      <w:r w:rsidR="00142ED2" w:rsidRPr="00142ED2">
        <w:rPr>
          <w:sz w:val="22"/>
          <w:szCs w:val="22"/>
        </w:rPr>
        <w:t xml:space="preserve"> </w:t>
      </w:r>
      <w:r w:rsidR="00A93F91" w:rsidRPr="00142ED2">
        <w:rPr>
          <w:sz w:val="22"/>
          <w:szCs w:val="22"/>
        </w:rPr>
        <w:t xml:space="preserve"> </w:t>
      </w:r>
      <w:r w:rsidR="00142ED2" w:rsidRPr="00142ED2">
        <w:rPr>
          <w:sz w:val="22"/>
          <w:szCs w:val="22"/>
        </w:rPr>
        <w:t xml:space="preserve">The Commission’s rules require all permittees for new TV, AM, FM, </w:t>
      </w:r>
      <w:r w:rsidR="00A62C2A">
        <w:rPr>
          <w:sz w:val="22"/>
          <w:szCs w:val="22"/>
        </w:rPr>
        <w:t>i</w:t>
      </w:r>
      <w:r w:rsidR="00142ED2" w:rsidRPr="00142ED2">
        <w:rPr>
          <w:sz w:val="22"/>
          <w:szCs w:val="22"/>
        </w:rPr>
        <w:t xml:space="preserve">nternational </w:t>
      </w:r>
      <w:r w:rsidR="00A62C2A">
        <w:rPr>
          <w:sz w:val="22"/>
          <w:szCs w:val="22"/>
        </w:rPr>
        <w:t>b</w:t>
      </w:r>
      <w:r w:rsidR="00142ED2" w:rsidRPr="00142ED2">
        <w:rPr>
          <w:sz w:val="22"/>
          <w:szCs w:val="22"/>
        </w:rPr>
        <w:t>roadcast, low power TV, TV translator, TV booster, FM translator or FM booster stations to complete construction of their broadcast facilities and apply for a license within three years of the date of issuance of the construction permit.</w:t>
      </w:r>
      <w:r w:rsidR="00890525">
        <w:rPr>
          <w:sz w:val="22"/>
          <w:szCs w:val="22"/>
        </w:rPr>
        <w:t xml:space="preserve"> </w:t>
      </w:r>
      <w:r w:rsidR="00142ED2" w:rsidRPr="00142ED2">
        <w:rPr>
          <w:sz w:val="22"/>
          <w:szCs w:val="22"/>
        </w:rPr>
        <w:t xml:space="preserve"> Eligible entities that acquire expiring construction permits are afforded additional time to build out the facility</w:t>
      </w:r>
      <w:r w:rsidR="004E4F98">
        <w:rPr>
          <w:sz w:val="22"/>
          <w:szCs w:val="22"/>
        </w:rPr>
        <w:t>, i.e.,</w:t>
      </w:r>
      <w:r w:rsidR="00A93F91" w:rsidRPr="009E5C5E">
        <w:rPr>
          <w:sz w:val="22"/>
          <w:szCs w:val="22"/>
        </w:rPr>
        <w:t xml:space="preserve"> either the time remaining on the original permit or 18 months from the consummation of the assignment or transfer of control of the expiring permit, whichever is greater.</w:t>
      </w:r>
    </w:p>
    <w:p w14:paraId="5FCF6EA8" w14:textId="47DBDF85" w:rsidR="008E7EBA" w:rsidRPr="009E5C5E" w:rsidRDefault="00250071" w:rsidP="003852EB">
      <w:pPr>
        <w:pStyle w:val="ListParagraph"/>
        <w:spacing w:after="120"/>
        <w:ind w:left="1080"/>
        <w:contextualSpacing w:val="0"/>
        <w:outlineLvl w:val="1"/>
        <w:rPr>
          <w:sz w:val="22"/>
          <w:szCs w:val="22"/>
        </w:rPr>
      </w:pPr>
      <w:r w:rsidRPr="007438B3">
        <w:rPr>
          <w:sz w:val="22"/>
          <w:szCs w:val="22"/>
        </w:rPr>
        <w:t>Moreover, to ensure realization of its policy goals, in reviewing the sale of a permit to an eligible entity, the Commission will assess the bona fides of both the arms</w:t>
      </w:r>
      <w:r w:rsidRPr="00736306">
        <w:rPr>
          <w:sz w:val="22"/>
          <w:szCs w:val="22"/>
        </w:rPr>
        <w:t>-length structure of the transaction and the assignee’s status as an eligible entity.</w:t>
      </w:r>
      <w:r w:rsidRPr="007438B3">
        <w:rPr>
          <w:sz w:val="22"/>
          <w:szCs w:val="22"/>
        </w:rPr>
        <w:t xml:space="preserve">  The Commission also clarified that this exception to its broadcast station construction policy applies both to original construction permits for the construction of new stations and to construction permits for major modifications of authorized broadcast facilities.</w:t>
      </w:r>
      <w:r w:rsidR="0082302A" w:rsidRPr="009E5C5E">
        <w:rPr>
          <w:sz w:val="22"/>
          <w:szCs w:val="22"/>
        </w:rPr>
        <w:t xml:space="preserve"> </w:t>
      </w:r>
    </w:p>
    <w:p w14:paraId="10CCDC75" w14:textId="6B09F57E" w:rsidR="008E7EBA" w:rsidRPr="009E5C5E" w:rsidRDefault="0082302A" w:rsidP="00EC0231">
      <w:pPr>
        <w:pStyle w:val="ListParagraph"/>
        <w:numPr>
          <w:ilvl w:val="1"/>
          <w:numId w:val="14"/>
        </w:numPr>
        <w:spacing w:after="120"/>
        <w:ind w:left="1080"/>
        <w:contextualSpacing w:val="0"/>
        <w:outlineLvl w:val="1"/>
        <w:rPr>
          <w:sz w:val="22"/>
          <w:szCs w:val="22"/>
        </w:rPr>
      </w:pPr>
      <w:r w:rsidRPr="009E5C5E">
        <w:rPr>
          <w:sz w:val="22"/>
          <w:szCs w:val="22"/>
        </w:rPr>
        <w:t xml:space="preserve">(2) </w:t>
      </w:r>
      <w:r w:rsidRPr="00183094">
        <w:rPr>
          <w:i/>
          <w:iCs/>
          <w:sz w:val="22"/>
          <w:szCs w:val="22"/>
        </w:rPr>
        <w:t>Modification of Attribution Rule</w:t>
      </w:r>
      <w:r w:rsidR="00142ED2" w:rsidRPr="009E5C5E">
        <w:rPr>
          <w:sz w:val="22"/>
          <w:szCs w:val="22"/>
        </w:rPr>
        <w:t xml:space="preserve">.  </w:t>
      </w:r>
      <w:r w:rsidR="6C336E42" w:rsidRPr="00183094">
        <w:rPr>
          <w:sz w:val="22"/>
          <w:szCs w:val="22"/>
        </w:rPr>
        <w:t>47 CFR Section 73.3555, Note 2(i)(</w:t>
      </w:r>
      <w:r w:rsidR="41AE32D1" w:rsidRPr="00183094">
        <w:rPr>
          <w:sz w:val="22"/>
          <w:szCs w:val="22"/>
        </w:rPr>
        <w:t>2</w:t>
      </w:r>
      <w:r w:rsidR="6C336E42" w:rsidRPr="00183094">
        <w:rPr>
          <w:sz w:val="22"/>
          <w:szCs w:val="22"/>
        </w:rPr>
        <w:t>)</w:t>
      </w:r>
      <w:r w:rsidR="41AE32D1" w:rsidRPr="00183094">
        <w:rPr>
          <w:sz w:val="22"/>
          <w:szCs w:val="22"/>
        </w:rPr>
        <w:t xml:space="preserve">.  </w:t>
      </w:r>
      <w:r w:rsidR="00142ED2" w:rsidRPr="00142ED2">
        <w:rPr>
          <w:sz w:val="22"/>
          <w:szCs w:val="22"/>
        </w:rPr>
        <w:t xml:space="preserve">The Commission’s broadcast attribution rules define which financial or other interests in, or relationships with, a licensee are counted in applying the broadcast ownership rules. </w:t>
      </w:r>
      <w:r w:rsidR="00520299">
        <w:rPr>
          <w:sz w:val="22"/>
          <w:szCs w:val="22"/>
        </w:rPr>
        <w:t xml:space="preserve"> </w:t>
      </w:r>
      <w:r w:rsidR="00142ED2" w:rsidRPr="00142ED2">
        <w:rPr>
          <w:sz w:val="22"/>
          <w:szCs w:val="22"/>
        </w:rPr>
        <w:t xml:space="preserve">A holder of an equity or debt interest in a media outlet subject to the media ownership rules may exceed the 33 percent threshold set forth in the </w:t>
      </w:r>
      <w:r w:rsidR="004E4F98">
        <w:rPr>
          <w:sz w:val="22"/>
          <w:szCs w:val="22"/>
        </w:rPr>
        <w:t xml:space="preserve">equity/debt plus (EDP) attribution </w:t>
      </w:r>
      <w:r w:rsidR="00142ED2" w:rsidRPr="00142ED2">
        <w:rPr>
          <w:sz w:val="22"/>
          <w:szCs w:val="22"/>
        </w:rPr>
        <w:t>rule</w:t>
      </w:r>
      <w:r w:rsidR="004E4F98">
        <w:rPr>
          <w:sz w:val="22"/>
          <w:szCs w:val="22"/>
        </w:rPr>
        <w:t>—47 CFR Section 73.3555, Note 2(i)(1)—</w:t>
      </w:r>
      <w:r w:rsidR="00142ED2" w:rsidRPr="00142ED2">
        <w:rPr>
          <w:sz w:val="22"/>
          <w:szCs w:val="22"/>
        </w:rPr>
        <w:t>without triggering attribution where such an investment would enable an eligible entity to acquire a broadcast station provided:</w:t>
      </w:r>
      <w:r w:rsidR="00520299">
        <w:rPr>
          <w:sz w:val="22"/>
          <w:szCs w:val="22"/>
        </w:rPr>
        <w:t xml:space="preserve"> </w:t>
      </w:r>
      <w:r w:rsidR="00142ED2" w:rsidRPr="00142ED2">
        <w:rPr>
          <w:sz w:val="22"/>
          <w:szCs w:val="22"/>
        </w:rPr>
        <w:t xml:space="preserve"> (1) the combined equity and debt of the interest holder in the eligible entity is less than 50 percent, or (2) the total debt of the interest holder in the eligible entity does not exceed 80 percent of the asset value of the station being acquired by the eligible entity and the interest holder does not </w:t>
      </w:r>
      <w:r w:rsidR="00142ED2" w:rsidRPr="009E5C5E">
        <w:rPr>
          <w:sz w:val="22"/>
          <w:szCs w:val="22"/>
        </w:rPr>
        <w:t>hold any equity interest, option, or promise to acquire an equity interest in the eligible entity or any related entity.</w:t>
      </w:r>
      <w:r w:rsidR="00520299">
        <w:rPr>
          <w:sz w:val="22"/>
          <w:szCs w:val="22"/>
        </w:rPr>
        <w:t xml:space="preserve"> </w:t>
      </w:r>
      <w:r w:rsidR="00142ED2" w:rsidRPr="009E5C5E">
        <w:rPr>
          <w:sz w:val="22"/>
          <w:szCs w:val="22"/>
        </w:rPr>
        <w:t xml:space="preserve"> These higher investment limits in eligible entities also apply for purposes of determining eligibility for the new entrant bidding credit in broadcast auctions.</w:t>
      </w:r>
    </w:p>
    <w:p w14:paraId="06A4894E" w14:textId="3FB3BE11" w:rsidR="008E7EBA" w:rsidRPr="007438B3" w:rsidRDefault="0082302A" w:rsidP="00EC0231">
      <w:pPr>
        <w:pStyle w:val="ListParagraph"/>
        <w:numPr>
          <w:ilvl w:val="1"/>
          <w:numId w:val="14"/>
        </w:numPr>
        <w:spacing w:after="120"/>
        <w:ind w:left="1080"/>
        <w:contextualSpacing w:val="0"/>
        <w:outlineLvl w:val="1"/>
        <w:rPr>
          <w:sz w:val="22"/>
          <w:szCs w:val="22"/>
        </w:rPr>
      </w:pPr>
      <w:r w:rsidRPr="007438B3">
        <w:rPr>
          <w:sz w:val="22"/>
          <w:szCs w:val="22"/>
        </w:rPr>
        <w:t xml:space="preserve">(3) </w:t>
      </w:r>
      <w:r w:rsidRPr="00183094">
        <w:rPr>
          <w:i/>
          <w:iCs/>
          <w:sz w:val="22"/>
          <w:szCs w:val="22"/>
        </w:rPr>
        <w:t>Distress Sale Policy</w:t>
      </w:r>
      <w:r w:rsidR="009E5C5E" w:rsidRPr="007438B3">
        <w:rPr>
          <w:sz w:val="22"/>
          <w:szCs w:val="22"/>
        </w:rPr>
        <w:t xml:space="preserve">.  </w:t>
      </w:r>
      <w:r w:rsidR="009E5C5E" w:rsidRPr="009E5C5E">
        <w:rPr>
          <w:sz w:val="22"/>
          <w:szCs w:val="22"/>
        </w:rPr>
        <w:t>The Commission’s distress sale policy permits a licensee whose license was designated for revocation hearing, or whose renewal application was designated for hearing on basic qualifications issues, to assign its license prior to commencement of the hearing to a</w:t>
      </w:r>
      <w:r w:rsidR="004E4F98">
        <w:rPr>
          <w:sz w:val="22"/>
          <w:szCs w:val="22"/>
        </w:rPr>
        <w:t>n eligible entity</w:t>
      </w:r>
      <w:r w:rsidR="009E5C5E" w:rsidRPr="009E5C5E">
        <w:rPr>
          <w:sz w:val="22"/>
          <w:szCs w:val="22"/>
        </w:rPr>
        <w:t xml:space="preserve">.  </w:t>
      </w:r>
    </w:p>
    <w:p w14:paraId="7A6D3574" w14:textId="2F004AE9" w:rsidR="008E7EBA" w:rsidRPr="007438B3" w:rsidRDefault="0082302A" w:rsidP="00EC0231">
      <w:pPr>
        <w:pStyle w:val="ListParagraph"/>
        <w:numPr>
          <w:ilvl w:val="1"/>
          <w:numId w:val="14"/>
        </w:numPr>
        <w:spacing w:after="120"/>
        <w:ind w:left="1080"/>
        <w:contextualSpacing w:val="0"/>
        <w:outlineLvl w:val="1"/>
        <w:rPr>
          <w:sz w:val="22"/>
          <w:szCs w:val="22"/>
        </w:rPr>
      </w:pPr>
      <w:r w:rsidRPr="007438B3">
        <w:rPr>
          <w:sz w:val="22"/>
          <w:szCs w:val="22"/>
        </w:rPr>
        <w:t xml:space="preserve">(4) </w:t>
      </w:r>
      <w:r w:rsidRPr="00183094">
        <w:rPr>
          <w:i/>
          <w:iCs/>
          <w:sz w:val="22"/>
          <w:szCs w:val="22"/>
        </w:rPr>
        <w:t>Duopoly Priority for Companies that Finance or Incubate an Eligible Entity</w:t>
      </w:r>
      <w:r w:rsidR="009E5C5E" w:rsidRPr="007438B3">
        <w:rPr>
          <w:sz w:val="22"/>
          <w:szCs w:val="22"/>
        </w:rPr>
        <w:t xml:space="preserve">.  Under the </w:t>
      </w:r>
      <w:r w:rsidR="00427BE1">
        <w:rPr>
          <w:sz w:val="22"/>
          <w:szCs w:val="22"/>
        </w:rPr>
        <w:t>L</w:t>
      </w:r>
      <w:r w:rsidR="009E5C5E" w:rsidRPr="007438B3">
        <w:rPr>
          <w:sz w:val="22"/>
          <w:szCs w:val="22"/>
        </w:rPr>
        <w:t xml:space="preserve">ocal </w:t>
      </w:r>
      <w:r w:rsidR="00427BE1">
        <w:rPr>
          <w:sz w:val="22"/>
          <w:szCs w:val="22"/>
        </w:rPr>
        <w:t>T</w:t>
      </w:r>
      <w:r w:rsidR="009E5C5E" w:rsidRPr="007438B3">
        <w:rPr>
          <w:sz w:val="22"/>
          <w:szCs w:val="22"/>
        </w:rPr>
        <w:t xml:space="preserve">elevision </w:t>
      </w:r>
      <w:r w:rsidR="00427BE1">
        <w:rPr>
          <w:sz w:val="22"/>
          <w:szCs w:val="22"/>
        </w:rPr>
        <w:t>O</w:t>
      </w:r>
      <w:r w:rsidR="009E5C5E" w:rsidRPr="007438B3">
        <w:rPr>
          <w:sz w:val="22"/>
          <w:szCs w:val="22"/>
        </w:rPr>
        <w:t xml:space="preserve">wnership </w:t>
      </w:r>
      <w:r w:rsidR="00427BE1">
        <w:rPr>
          <w:sz w:val="22"/>
          <w:szCs w:val="22"/>
        </w:rPr>
        <w:t>R</w:t>
      </w:r>
      <w:r w:rsidR="009E5C5E" w:rsidRPr="007438B3">
        <w:rPr>
          <w:sz w:val="22"/>
          <w:szCs w:val="22"/>
        </w:rPr>
        <w:t xml:space="preserve">ule, </w:t>
      </w:r>
      <w:r w:rsidR="74BC529A" w:rsidRPr="007438B3">
        <w:rPr>
          <w:sz w:val="22"/>
          <w:szCs w:val="22"/>
        </w:rPr>
        <w:t>47 C</w:t>
      </w:r>
      <w:r w:rsidR="7DEC3474" w:rsidRPr="007438B3">
        <w:rPr>
          <w:sz w:val="22"/>
          <w:szCs w:val="22"/>
        </w:rPr>
        <w:t xml:space="preserve">FR Section 73.3555(b), </w:t>
      </w:r>
      <w:r w:rsidR="009E5C5E" w:rsidRPr="007438B3">
        <w:rPr>
          <w:sz w:val="22"/>
          <w:szCs w:val="22"/>
        </w:rPr>
        <w:t xml:space="preserve">a company can own two </w:t>
      </w:r>
      <w:r w:rsidR="00DC1A19">
        <w:rPr>
          <w:sz w:val="22"/>
          <w:szCs w:val="22"/>
        </w:rPr>
        <w:t>television</w:t>
      </w:r>
      <w:r w:rsidR="009E5C5E" w:rsidRPr="007438B3">
        <w:rPr>
          <w:sz w:val="22"/>
          <w:szCs w:val="22"/>
        </w:rPr>
        <w:t xml:space="preserve"> stations in a market: </w:t>
      </w:r>
      <w:r w:rsidR="00250071">
        <w:rPr>
          <w:sz w:val="22"/>
          <w:szCs w:val="22"/>
        </w:rPr>
        <w:t xml:space="preserve"> </w:t>
      </w:r>
      <w:r w:rsidR="009E5C5E" w:rsidRPr="007438B3">
        <w:rPr>
          <w:sz w:val="22"/>
          <w:szCs w:val="22"/>
        </w:rPr>
        <w:t xml:space="preserve">(1) if no more than one of the two is among the top four stations in ratings </w:t>
      </w:r>
      <w:r w:rsidR="003D597B">
        <w:rPr>
          <w:sz w:val="22"/>
          <w:szCs w:val="22"/>
        </w:rPr>
        <w:t xml:space="preserve">(top four prohibition) </w:t>
      </w:r>
      <w:r w:rsidR="009E5C5E" w:rsidRPr="007438B3">
        <w:rPr>
          <w:sz w:val="22"/>
          <w:szCs w:val="22"/>
        </w:rPr>
        <w:t>and eight independently owned television stations would remain aft</w:t>
      </w:r>
      <w:r w:rsidR="003D597B">
        <w:rPr>
          <w:sz w:val="22"/>
          <w:szCs w:val="22"/>
        </w:rPr>
        <w:t>er the merger (eight voices test</w:t>
      </w:r>
      <w:r w:rsidR="009E5C5E" w:rsidRPr="007438B3">
        <w:rPr>
          <w:sz w:val="22"/>
          <w:szCs w:val="22"/>
        </w:rPr>
        <w:t xml:space="preserve">) or (2) if there is no </w:t>
      </w:r>
      <w:r w:rsidR="00DC1A19">
        <w:rPr>
          <w:sz w:val="22"/>
          <w:szCs w:val="22"/>
        </w:rPr>
        <w:t>digital NLSC</w:t>
      </w:r>
      <w:r w:rsidR="009E5C5E" w:rsidRPr="007438B3">
        <w:rPr>
          <w:sz w:val="22"/>
          <w:szCs w:val="22"/>
        </w:rPr>
        <w:t xml:space="preserve"> overlap between the two stations sought to be commonly owned. </w:t>
      </w:r>
      <w:r w:rsidR="007438B3" w:rsidRPr="007438B3">
        <w:rPr>
          <w:sz w:val="22"/>
          <w:szCs w:val="22"/>
        </w:rPr>
        <w:t xml:space="preserve"> </w:t>
      </w:r>
      <w:r w:rsidR="001A41D7">
        <w:rPr>
          <w:sz w:val="22"/>
          <w:szCs w:val="22"/>
        </w:rPr>
        <w:t>W</w:t>
      </w:r>
      <w:r w:rsidR="009E5C5E" w:rsidRPr="007438B3">
        <w:rPr>
          <w:sz w:val="22"/>
          <w:szCs w:val="22"/>
        </w:rPr>
        <w:t xml:space="preserve">hen the </w:t>
      </w:r>
      <w:r w:rsidR="00427BE1">
        <w:rPr>
          <w:sz w:val="22"/>
          <w:szCs w:val="22"/>
        </w:rPr>
        <w:t>L</w:t>
      </w:r>
      <w:r w:rsidR="009E5C5E" w:rsidRPr="007438B3">
        <w:rPr>
          <w:sz w:val="22"/>
          <w:szCs w:val="22"/>
        </w:rPr>
        <w:t xml:space="preserve">ocal </w:t>
      </w:r>
      <w:r w:rsidR="00427BE1">
        <w:rPr>
          <w:sz w:val="22"/>
          <w:szCs w:val="22"/>
        </w:rPr>
        <w:t>T</w:t>
      </w:r>
      <w:r w:rsidR="009E5C5E" w:rsidRPr="007438B3">
        <w:rPr>
          <w:sz w:val="22"/>
          <w:szCs w:val="22"/>
        </w:rPr>
        <w:t xml:space="preserve">elevision </w:t>
      </w:r>
      <w:r w:rsidR="00427BE1">
        <w:rPr>
          <w:sz w:val="22"/>
          <w:szCs w:val="22"/>
        </w:rPr>
        <w:t>O</w:t>
      </w:r>
      <w:r w:rsidR="009E5C5E" w:rsidRPr="007438B3">
        <w:rPr>
          <w:sz w:val="22"/>
          <w:szCs w:val="22"/>
        </w:rPr>
        <w:t xml:space="preserve">wnership </w:t>
      </w:r>
      <w:r w:rsidR="00427BE1">
        <w:rPr>
          <w:sz w:val="22"/>
          <w:szCs w:val="22"/>
        </w:rPr>
        <w:t>R</w:t>
      </w:r>
      <w:r w:rsidR="009E5C5E" w:rsidRPr="007438B3">
        <w:rPr>
          <w:sz w:val="22"/>
          <w:szCs w:val="22"/>
        </w:rPr>
        <w:t xml:space="preserve">ule permits only one additional duopoly (combination of two television stations) in a market, an entity financing or incubating an eligible entity will be given priority if it files for a duopoly in that market simultaneously with non-eligible entities that are also seeking a duopoly. </w:t>
      </w:r>
      <w:r w:rsidR="007438B3" w:rsidRPr="007438B3">
        <w:rPr>
          <w:sz w:val="22"/>
          <w:szCs w:val="22"/>
        </w:rPr>
        <w:t xml:space="preserve"> </w:t>
      </w:r>
      <w:r w:rsidR="009E5C5E" w:rsidRPr="007438B3">
        <w:rPr>
          <w:sz w:val="22"/>
          <w:szCs w:val="22"/>
        </w:rPr>
        <w:t>This vested priority in a duopolization queue would reward the broadcaster that had incubated or financed an eligible entity if it filed simultaneously for a duopoly with a non-incubating entity.</w:t>
      </w:r>
      <w:r w:rsidRPr="007438B3">
        <w:rPr>
          <w:sz w:val="22"/>
          <w:szCs w:val="22"/>
        </w:rPr>
        <w:t xml:space="preserve"> </w:t>
      </w:r>
    </w:p>
    <w:p w14:paraId="41E2C07A" w14:textId="12F41615" w:rsidR="008E7EBA" w:rsidRPr="00520299" w:rsidRDefault="0082302A" w:rsidP="00EC0231">
      <w:pPr>
        <w:pStyle w:val="ListParagraph"/>
        <w:numPr>
          <w:ilvl w:val="1"/>
          <w:numId w:val="14"/>
        </w:numPr>
        <w:spacing w:after="120"/>
        <w:ind w:left="1080"/>
        <w:contextualSpacing w:val="0"/>
        <w:outlineLvl w:val="1"/>
        <w:rPr>
          <w:sz w:val="22"/>
          <w:szCs w:val="22"/>
        </w:rPr>
      </w:pPr>
      <w:r w:rsidRPr="007438B3">
        <w:rPr>
          <w:sz w:val="22"/>
          <w:szCs w:val="22"/>
        </w:rPr>
        <w:t xml:space="preserve">(5) </w:t>
      </w:r>
      <w:r w:rsidRPr="00183094">
        <w:rPr>
          <w:i/>
          <w:iCs/>
          <w:sz w:val="22"/>
          <w:szCs w:val="22"/>
        </w:rPr>
        <w:t>Extension of Divestiture Deadline in Certain Mergers</w:t>
      </w:r>
      <w:r w:rsidR="007438B3" w:rsidRPr="00736306">
        <w:rPr>
          <w:sz w:val="22"/>
          <w:szCs w:val="22"/>
        </w:rPr>
        <w:t>.</w:t>
      </w:r>
      <w:r w:rsidRPr="00520299">
        <w:rPr>
          <w:sz w:val="22"/>
          <w:szCs w:val="22"/>
        </w:rPr>
        <w:t xml:space="preserve"> </w:t>
      </w:r>
      <w:r w:rsidR="007438B3" w:rsidRPr="00520299">
        <w:rPr>
          <w:sz w:val="22"/>
          <w:szCs w:val="22"/>
        </w:rPr>
        <w:t xml:space="preserve"> </w:t>
      </w:r>
      <w:r w:rsidR="001A41D7">
        <w:rPr>
          <w:sz w:val="22"/>
          <w:szCs w:val="22"/>
        </w:rPr>
        <w:t xml:space="preserve">Finding that </w:t>
      </w:r>
      <w:r w:rsidR="007438B3" w:rsidRPr="007438B3">
        <w:rPr>
          <w:sz w:val="22"/>
          <w:szCs w:val="22"/>
        </w:rPr>
        <w:t>rigidly enforc</w:t>
      </w:r>
      <w:r w:rsidR="001A41D7">
        <w:rPr>
          <w:sz w:val="22"/>
          <w:szCs w:val="22"/>
        </w:rPr>
        <w:t>ing</w:t>
      </w:r>
      <w:r w:rsidR="007438B3" w:rsidRPr="007438B3">
        <w:rPr>
          <w:sz w:val="22"/>
          <w:szCs w:val="22"/>
        </w:rPr>
        <w:t xml:space="preserve"> divestiture deadlines </w:t>
      </w:r>
      <w:r w:rsidR="001A41D7">
        <w:rPr>
          <w:sz w:val="22"/>
          <w:szCs w:val="22"/>
        </w:rPr>
        <w:t>may</w:t>
      </w:r>
      <w:r w:rsidR="007438B3" w:rsidRPr="007438B3">
        <w:rPr>
          <w:sz w:val="22"/>
          <w:szCs w:val="22"/>
        </w:rPr>
        <w:t xml:space="preserve"> sometimes disadvantag</w:t>
      </w:r>
      <w:r w:rsidR="00EF7459">
        <w:rPr>
          <w:sz w:val="22"/>
          <w:szCs w:val="22"/>
        </w:rPr>
        <w:t>e</w:t>
      </w:r>
      <w:r w:rsidR="007438B3" w:rsidRPr="007438B3">
        <w:rPr>
          <w:sz w:val="22"/>
          <w:szCs w:val="22"/>
        </w:rPr>
        <w:t xml:space="preserve"> potential </w:t>
      </w:r>
      <w:r w:rsidR="00DC1A19">
        <w:rPr>
          <w:sz w:val="22"/>
          <w:szCs w:val="22"/>
        </w:rPr>
        <w:t>diverse</w:t>
      </w:r>
      <w:r w:rsidR="007438B3" w:rsidRPr="007438B3">
        <w:rPr>
          <w:sz w:val="22"/>
          <w:szCs w:val="22"/>
        </w:rPr>
        <w:t xml:space="preserve"> owners</w:t>
      </w:r>
      <w:r w:rsidR="001A41D7">
        <w:rPr>
          <w:sz w:val="22"/>
          <w:szCs w:val="22"/>
        </w:rPr>
        <w:t>,</w:t>
      </w:r>
      <w:r w:rsidR="007438B3" w:rsidRPr="007438B3">
        <w:rPr>
          <w:sz w:val="22"/>
          <w:szCs w:val="22"/>
        </w:rPr>
        <w:t xml:space="preserve"> the Commission adopted a policy to consider requests to extend divestiture deadlines in mergers in which applicants have actively solicited bids for divested properties from eligible entities.  Entities availing themselves of an extension must either sell a given property to an eligible entity within the extended deadline or have the property placed in an irrevocable trust for sale by an independent trustee to an eligible entity.  This prevent</w:t>
      </w:r>
      <w:r w:rsidR="007438B3" w:rsidRPr="00736306">
        <w:rPr>
          <w:sz w:val="22"/>
          <w:szCs w:val="22"/>
        </w:rPr>
        <w:t>s</w:t>
      </w:r>
      <w:r w:rsidR="007438B3" w:rsidRPr="00520299">
        <w:rPr>
          <w:sz w:val="22"/>
          <w:szCs w:val="22"/>
        </w:rPr>
        <w:t xml:space="preserve"> potential abuse of the extensions and ensures that the extensions will actually result in sales to eligible entities.</w:t>
      </w:r>
    </w:p>
    <w:p w14:paraId="3F4EBA13" w14:textId="50EF8455" w:rsidR="008E7EBA" w:rsidRPr="007438B3" w:rsidRDefault="0082302A" w:rsidP="00EC0231">
      <w:pPr>
        <w:pStyle w:val="ListParagraph"/>
        <w:numPr>
          <w:ilvl w:val="1"/>
          <w:numId w:val="14"/>
        </w:numPr>
        <w:spacing w:after="120"/>
        <w:ind w:left="1080"/>
        <w:contextualSpacing w:val="0"/>
        <w:outlineLvl w:val="1"/>
        <w:rPr>
          <w:sz w:val="22"/>
          <w:szCs w:val="22"/>
        </w:rPr>
      </w:pPr>
      <w:r w:rsidRPr="007438B3">
        <w:rPr>
          <w:sz w:val="22"/>
          <w:szCs w:val="22"/>
        </w:rPr>
        <w:t xml:space="preserve">(6) </w:t>
      </w:r>
      <w:r w:rsidRPr="00183094">
        <w:rPr>
          <w:i/>
          <w:iCs/>
          <w:sz w:val="22"/>
          <w:szCs w:val="22"/>
        </w:rPr>
        <w:t>Assignment or Transfer of Grandfathered Radio Station Combinations</w:t>
      </w:r>
      <w:r w:rsidRPr="007438B3">
        <w:rPr>
          <w:sz w:val="22"/>
          <w:szCs w:val="22"/>
        </w:rPr>
        <w:t xml:space="preserve">.  </w:t>
      </w:r>
      <w:r w:rsidR="007438B3" w:rsidRPr="007438B3">
        <w:rPr>
          <w:sz w:val="22"/>
          <w:szCs w:val="22"/>
        </w:rPr>
        <w:t xml:space="preserve">In the </w:t>
      </w:r>
      <w:r w:rsidR="007438B3" w:rsidRPr="00183094">
        <w:rPr>
          <w:i/>
          <w:iCs/>
          <w:sz w:val="22"/>
          <w:szCs w:val="22"/>
        </w:rPr>
        <w:t>2002 Biennial Review Order</w:t>
      </w:r>
      <w:r w:rsidR="007438B3" w:rsidRPr="007438B3">
        <w:rPr>
          <w:sz w:val="22"/>
          <w:szCs w:val="22"/>
        </w:rPr>
        <w:t>, the Commission “grandfathered” owners of existing combinations of broadcast stations</w:t>
      </w:r>
      <w:r w:rsidR="00E34660">
        <w:rPr>
          <w:sz w:val="22"/>
          <w:szCs w:val="22"/>
        </w:rPr>
        <w:t xml:space="preserve"> and</w:t>
      </w:r>
      <w:r w:rsidR="007438B3" w:rsidRPr="007438B3">
        <w:rPr>
          <w:sz w:val="22"/>
          <w:szCs w:val="22"/>
        </w:rPr>
        <w:t xml:space="preserve"> did not require such owners to divest their stations even if their combinations exceeded the new ownership limits adopted in tha</w:t>
      </w:r>
      <w:r w:rsidR="4EB1D8DE" w:rsidRPr="007438B3">
        <w:rPr>
          <w:sz w:val="22"/>
          <w:szCs w:val="22"/>
        </w:rPr>
        <w:t>t</w:t>
      </w:r>
      <w:r w:rsidR="007438B3" w:rsidRPr="007438B3">
        <w:rPr>
          <w:sz w:val="22"/>
          <w:szCs w:val="22"/>
        </w:rPr>
        <w:t xml:space="preserve"> order. The Commission, however, generally prohibited the transfer of such combinations. </w:t>
      </w:r>
      <w:r w:rsidR="00DC1A19">
        <w:rPr>
          <w:sz w:val="22"/>
          <w:szCs w:val="22"/>
        </w:rPr>
        <w:t xml:space="preserve"> </w:t>
      </w:r>
      <w:r w:rsidR="007438B3" w:rsidRPr="007438B3">
        <w:rPr>
          <w:sz w:val="22"/>
          <w:szCs w:val="22"/>
        </w:rPr>
        <w:t>As an exception to this general rule prohibiting transfers of noncompliant combinations, the Commission permitted the sale of such grandfathered station combinations to eligible entities.  The Commission extended this exception by permitting the assignment or transfer of grandfathered radio station combinations intact to any buyer, not just an eligible entity, provided that such a buyer files an application to assign the excess stations to an eligible entity, or to an irrevocable divestiture trust for purposes of ultimate assignment to an eligible entity, within 12 months after consummation of the purchase of the grandfathered cluster. Non-eligible entities seeking to acquire a grandfathered radio station group will be required to file a divestiture trust agreement with their initial application to allow the Commission to evaluate the proposed trust at the outset.</w:t>
      </w:r>
    </w:p>
    <w:p w14:paraId="5AA967C8" w14:textId="53A7DB7E" w:rsidR="003E1679" w:rsidRPr="007438B3" w:rsidRDefault="006C79A7" w:rsidP="003852EB">
      <w:pPr>
        <w:pStyle w:val="ListParagraph"/>
        <w:keepNext/>
        <w:numPr>
          <w:ilvl w:val="0"/>
          <w:numId w:val="19"/>
        </w:numPr>
        <w:spacing w:after="120"/>
        <w:ind w:left="360"/>
        <w:contextualSpacing w:val="0"/>
        <w:outlineLvl w:val="1"/>
        <w:rPr>
          <w:color w:val="000000"/>
          <w:sz w:val="22"/>
          <w:szCs w:val="22"/>
          <w:shd w:val="clear" w:color="auto" w:fill="FFFFFF"/>
        </w:rPr>
      </w:pPr>
      <w:r w:rsidRPr="00183094">
        <w:rPr>
          <w:b/>
          <w:bCs/>
          <w:sz w:val="22"/>
          <w:szCs w:val="22"/>
        </w:rPr>
        <w:t xml:space="preserve">Filing of </w:t>
      </w:r>
      <w:r w:rsidR="004D55CD" w:rsidRPr="00183094">
        <w:rPr>
          <w:b/>
          <w:bCs/>
          <w:sz w:val="22"/>
          <w:szCs w:val="22"/>
        </w:rPr>
        <w:t>T</w:t>
      </w:r>
      <w:r w:rsidRPr="00183094">
        <w:rPr>
          <w:b/>
          <w:bCs/>
          <w:sz w:val="22"/>
          <w:szCs w:val="22"/>
        </w:rPr>
        <w:t>elevision SSAs</w:t>
      </w:r>
      <w:r w:rsidR="007E5235" w:rsidRPr="00183094">
        <w:rPr>
          <w:b/>
          <w:bCs/>
          <w:sz w:val="22"/>
          <w:szCs w:val="22"/>
        </w:rPr>
        <w:t xml:space="preserve"> </w:t>
      </w:r>
    </w:p>
    <w:p w14:paraId="21769E83" w14:textId="4025907F" w:rsidR="003E1679" w:rsidRPr="00EA4BD0" w:rsidRDefault="003E1679" w:rsidP="00EA4BD0">
      <w:pPr>
        <w:pStyle w:val="ListParagraph"/>
        <w:numPr>
          <w:ilvl w:val="0"/>
          <w:numId w:val="14"/>
        </w:numPr>
        <w:spacing w:after="120"/>
        <w:ind w:left="720"/>
        <w:contextualSpacing w:val="0"/>
        <w:outlineLvl w:val="1"/>
        <w:rPr>
          <w:sz w:val="22"/>
          <w:szCs w:val="22"/>
        </w:rPr>
      </w:pPr>
      <w:r w:rsidRPr="008E7EBA">
        <w:rPr>
          <w:sz w:val="22"/>
          <w:szCs w:val="22"/>
        </w:rPr>
        <w:t xml:space="preserve">The </w:t>
      </w:r>
      <w:r w:rsidRPr="00183094">
        <w:rPr>
          <w:i/>
          <w:iCs/>
          <w:sz w:val="22"/>
          <w:szCs w:val="22"/>
        </w:rPr>
        <w:t>Second Re</w:t>
      </w:r>
      <w:r w:rsidR="007F44C5" w:rsidRPr="00183094">
        <w:rPr>
          <w:i/>
          <w:iCs/>
          <w:sz w:val="22"/>
          <w:szCs w:val="22"/>
        </w:rPr>
        <w:t>port and Order</w:t>
      </w:r>
      <w:r w:rsidR="007F44C5" w:rsidRPr="008E7EBA">
        <w:rPr>
          <w:sz w:val="22"/>
          <w:szCs w:val="22"/>
        </w:rPr>
        <w:t xml:space="preserve"> </w:t>
      </w:r>
      <w:r w:rsidR="00250071">
        <w:rPr>
          <w:sz w:val="22"/>
          <w:szCs w:val="22"/>
        </w:rPr>
        <w:t xml:space="preserve">adopted a definition of SSAs and </w:t>
      </w:r>
      <w:r w:rsidR="007F44C5" w:rsidRPr="008E7EBA">
        <w:rPr>
          <w:sz w:val="22"/>
          <w:szCs w:val="22"/>
        </w:rPr>
        <w:t>required</w:t>
      </w:r>
      <w:r w:rsidRPr="008E7EBA">
        <w:rPr>
          <w:sz w:val="22"/>
          <w:szCs w:val="22"/>
        </w:rPr>
        <w:t xml:space="preserve"> commercial </w:t>
      </w:r>
      <w:r w:rsidRPr="00492460">
        <w:rPr>
          <w:sz w:val="22"/>
          <w:szCs w:val="22"/>
        </w:rPr>
        <w:t xml:space="preserve">television stations </w:t>
      </w:r>
      <w:r w:rsidR="007F44C5" w:rsidRPr="00492460">
        <w:rPr>
          <w:sz w:val="22"/>
          <w:szCs w:val="22"/>
        </w:rPr>
        <w:t xml:space="preserve">to </w:t>
      </w:r>
      <w:r w:rsidRPr="00492460">
        <w:rPr>
          <w:sz w:val="22"/>
          <w:szCs w:val="22"/>
        </w:rPr>
        <w:t xml:space="preserve">place SSAs in their public inspection files. </w:t>
      </w:r>
      <w:r w:rsidR="31A84B61" w:rsidRPr="00183094">
        <w:rPr>
          <w:sz w:val="22"/>
          <w:szCs w:val="22"/>
        </w:rPr>
        <w:t>47 CFR Section 73.3526.</w:t>
      </w:r>
      <w:r w:rsidRPr="00492460">
        <w:rPr>
          <w:sz w:val="22"/>
          <w:szCs w:val="22"/>
        </w:rPr>
        <w:t xml:space="preserve"> </w:t>
      </w:r>
      <w:r w:rsidR="0045449E" w:rsidRPr="00EA4BD0">
        <w:rPr>
          <w:sz w:val="22"/>
          <w:szCs w:val="22"/>
        </w:rPr>
        <w:t xml:space="preserve">Each station that is party to an SSA executed </w:t>
      </w:r>
      <w:r w:rsidR="00EA4BD0">
        <w:rPr>
          <w:sz w:val="22"/>
          <w:szCs w:val="22"/>
        </w:rPr>
        <w:t xml:space="preserve">on or </w:t>
      </w:r>
      <w:r w:rsidR="0045449E" w:rsidRPr="00EA4BD0">
        <w:rPr>
          <w:sz w:val="22"/>
          <w:szCs w:val="22"/>
        </w:rPr>
        <w:t xml:space="preserve">prior to the effective date of the disclosure requirement adopted in the </w:t>
      </w:r>
      <w:r w:rsidR="0045449E" w:rsidRPr="00183094">
        <w:rPr>
          <w:i/>
          <w:iCs/>
          <w:sz w:val="22"/>
          <w:szCs w:val="22"/>
        </w:rPr>
        <w:t>Second Report and Order</w:t>
      </w:r>
      <w:r w:rsidR="0045449E" w:rsidRPr="00EA4BD0">
        <w:rPr>
          <w:sz w:val="22"/>
          <w:szCs w:val="22"/>
        </w:rPr>
        <w:t xml:space="preserve"> shall place a copy of the SSA in its public inspection file within 180 days after the disclosure requirement becomes effective, provided that the agreement is not already in the station’s public inspection file.</w:t>
      </w:r>
      <w:r w:rsidR="00EA4BD0">
        <w:rPr>
          <w:rStyle w:val="FootnoteReference"/>
          <w:sz w:val="22"/>
          <w:szCs w:val="22"/>
        </w:rPr>
        <w:footnoteReference w:id="6"/>
      </w:r>
      <w:r w:rsidR="0045449E" w:rsidRPr="00EA4BD0">
        <w:rPr>
          <w:sz w:val="22"/>
          <w:szCs w:val="22"/>
        </w:rPr>
        <w:t xml:space="preserve">  SSAs that are executed after the disclosure requirement is effective must be placed in the stations’ online public files in a timely fashion, and stations are reminded to maintain orderly public files.</w:t>
      </w:r>
    </w:p>
    <w:p w14:paraId="6D286187" w14:textId="7B9D31D6" w:rsidR="005A27C4" w:rsidRPr="009F577E" w:rsidRDefault="00540AFF" w:rsidP="002D4C7C">
      <w:pPr>
        <w:pStyle w:val="ListParagraph"/>
        <w:numPr>
          <w:ilvl w:val="0"/>
          <w:numId w:val="14"/>
        </w:numPr>
        <w:spacing w:after="120"/>
        <w:ind w:left="720"/>
        <w:contextualSpacing w:val="0"/>
        <w:outlineLvl w:val="1"/>
        <w:rPr>
          <w:color w:val="000000"/>
          <w:sz w:val="22"/>
          <w:szCs w:val="22"/>
          <w:shd w:val="clear" w:color="auto" w:fill="FFFFFF"/>
        </w:rPr>
      </w:pPr>
      <w:r w:rsidRPr="00C77C9F">
        <w:rPr>
          <w:sz w:val="22"/>
          <w:szCs w:val="22"/>
        </w:rPr>
        <w:t xml:space="preserve">The </w:t>
      </w:r>
      <w:r w:rsidRPr="00183094">
        <w:rPr>
          <w:i/>
          <w:iCs/>
          <w:sz w:val="22"/>
          <w:szCs w:val="22"/>
        </w:rPr>
        <w:t>Second Report and Order</w:t>
      </w:r>
      <w:r w:rsidRPr="00C77C9F">
        <w:rPr>
          <w:sz w:val="22"/>
          <w:szCs w:val="22"/>
        </w:rPr>
        <w:t xml:space="preserve"> </w:t>
      </w:r>
      <w:r>
        <w:rPr>
          <w:sz w:val="22"/>
          <w:szCs w:val="22"/>
        </w:rPr>
        <w:t xml:space="preserve">defines SSAs as </w:t>
      </w:r>
      <w:r w:rsidRPr="00C63ACF">
        <w:rPr>
          <w:sz w:val="22"/>
          <w:szCs w:val="22"/>
        </w:rPr>
        <w:t>any agreement or series of agreements, whether written or oral, in which (1) a station provides any station-related services, including, but not limited to, administrative</w:t>
      </w:r>
      <w:r w:rsidRPr="005D4583">
        <w:rPr>
          <w:sz w:val="22"/>
          <w:szCs w:val="22"/>
        </w:rPr>
        <w:t>, technical</w:t>
      </w:r>
      <w:r w:rsidRPr="0029662D">
        <w:rPr>
          <w:sz w:val="22"/>
          <w:szCs w:val="22"/>
        </w:rPr>
        <w:t xml:space="preserve">, sales, and/or programming support, to a station that is not directly or indirectly under common </w:t>
      </w:r>
      <w:r w:rsidRPr="00183094">
        <w:rPr>
          <w:i/>
          <w:iCs/>
          <w:sz w:val="22"/>
          <w:szCs w:val="22"/>
        </w:rPr>
        <w:t>de jure</w:t>
      </w:r>
      <w:r w:rsidRPr="0029662D">
        <w:rPr>
          <w:sz w:val="22"/>
          <w:szCs w:val="22"/>
        </w:rPr>
        <w:t xml:space="preserve"> control permitted under the Commission’s regulations; or (2) stations that are not directly or indirectly under common </w:t>
      </w:r>
      <w:r w:rsidRPr="00183094">
        <w:rPr>
          <w:i/>
          <w:iCs/>
          <w:sz w:val="22"/>
          <w:szCs w:val="22"/>
        </w:rPr>
        <w:t>de jure</w:t>
      </w:r>
      <w:r w:rsidRPr="0029662D">
        <w:rPr>
          <w:sz w:val="22"/>
          <w:szCs w:val="22"/>
        </w:rPr>
        <w:t xml:space="preserve"> control permitted under the Commission’s regulations collaborate to provide or enable the provision of station-related services, including, but not limited to, administrative, technical, sales, and/or programming support, to one or more of the collaborating stations</w:t>
      </w:r>
      <w:r>
        <w:rPr>
          <w:sz w:val="22"/>
          <w:szCs w:val="22"/>
        </w:rPr>
        <w:t>.</w:t>
      </w:r>
    </w:p>
    <w:p w14:paraId="46FCC8EA" w14:textId="699C5912" w:rsidR="00DC62C0" w:rsidRPr="00183094" w:rsidRDefault="00637585" w:rsidP="00183094">
      <w:pPr>
        <w:keepNext/>
        <w:spacing w:before="240" w:after="240"/>
        <w:jc w:val="center"/>
        <w:rPr>
          <w:b/>
          <w:bCs/>
          <w:sz w:val="22"/>
          <w:szCs w:val="22"/>
          <w:u w:val="single"/>
        </w:rPr>
      </w:pPr>
      <w:r w:rsidRPr="00183094">
        <w:rPr>
          <w:b/>
          <w:bCs/>
          <w:sz w:val="22"/>
          <w:szCs w:val="22"/>
          <w:u w:val="single"/>
        </w:rPr>
        <w:t>RECORDKEEPING</w:t>
      </w:r>
    </w:p>
    <w:p w14:paraId="59B4A011" w14:textId="77777777" w:rsidR="0013710A" w:rsidRDefault="00997164" w:rsidP="009F577E">
      <w:pPr>
        <w:spacing w:after="120"/>
        <w:outlineLvl w:val="1"/>
        <w:rPr>
          <w:sz w:val="22"/>
          <w:szCs w:val="22"/>
        </w:rPr>
      </w:pPr>
      <w:r w:rsidRPr="009F577E">
        <w:rPr>
          <w:sz w:val="22"/>
          <w:szCs w:val="22"/>
        </w:rPr>
        <w:t xml:space="preserve">With respect to the media ownership rules, the </w:t>
      </w:r>
      <w:r w:rsidRPr="00183094">
        <w:rPr>
          <w:i/>
          <w:iCs/>
          <w:sz w:val="22"/>
          <w:szCs w:val="22"/>
        </w:rPr>
        <w:t>Second Report and Order</w:t>
      </w:r>
      <w:r w:rsidRPr="009F577E">
        <w:rPr>
          <w:sz w:val="22"/>
          <w:szCs w:val="22"/>
        </w:rPr>
        <w:t xml:space="preserve"> imposes no increased reporting, recordkeeping</w:t>
      </w:r>
      <w:r w:rsidR="006B5710" w:rsidRPr="009F577E">
        <w:rPr>
          <w:sz w:val="22"/>
          <w:szCs w:val="22"/>
        </w:rPr>
        <w:t>,</w:t>
      </w:r>
      <w:r w:rsidRPr="009F577E">
        <w:rPr>
          <w:sz w:val="22"/>
          <w:szCs w:val="22"/>
        </w:rPr>
        <w:t xml:space="preserve"> or other compliance requirements.</w:t>
      </w:r>
      <w:r w:rsidR="009F577E">
        <w:rPr>
          <w:sz w:val="22"/>
          <w:szCs w:val="22"/>
        </w:rPr>
        <w:t xml:space="preserve">  </w:t>
      </w:r>
    </w:p>
    <w:p w14:paraId="32FE09E3" w14:textId="016D89EA" w:rsidR="00E21375" w:rsidRPr="009F577E" w:rsidRDefault="00E21375" w:rsidP="009F577E">
      <w:pPr>
        <w:spacing w:after="120"/>
        <w:outlineLvl w:val="1"/>
        <w:rPr>
          <w:sz w:val="22"/>
          <w:szCs w:val="22"/>
        </w:rPr>
      </w:pPr>
      <w:r w:rsidRPr="009F577E">
        <w:rPr>
          <w:sz w:val="22"/>
          <w:szCs w:val="22"/>
        </w:rPr>
        <w:t>The readoption of the Television JSA Attribution Rule maintains the requirement to file attributable television JSAs with the Commission</w:t>
      </w:r>
      <w:r w:rsidR="009F577E" w:rsidRPr="009F577E">
        <w:rPr>
          <w:sz w:val="22"/>
          <w:szCs w:val="22"/>
        </w:rPr>
        <w:t xml:space="preserve"> pursuant to 47 CFR</w:t>
      </w:r>
      <w:r w:rsidRPr="009F577E">
        <w:rPr>
          <w:sz w:val="22"/>
          <w:szCs w:val="22"/>
        </w:rPr>
        <w:t xml:space="preserve"> </w:t>
      </w:r>
      <w:r w:rsidR="00250071">
        <w:rPr>
          <w:sz w:val="22"/>
          <w:szCs w:val="22"/>
        </w:rPr>
        <w:t>Section</w:t>
      </w:r>
      <w:r w:rsidRPr="009F577E">
        <w:rPr>
          <w:sz w:val="22"/>
          <w:szCs w:val="22"/>
        </w:rPr>
        <w:t xml:space="preserve"> 73.3613 and authorizes the Media Bureau to amend certain forms that are impacted by the</w:t>
      </w:r>
      <w:r w:rsidR="009F577E" w:rsidRPr="009F577E">
        <w:rPr>
          <w:sz w:val="22"/>
          <w:szCs w:val="22"/>
        </w:rPr>
        <w:t xml:space="preserve"> attribution of</w:t>
      </w:r>
      <w:r w:rsidRPr="009F577E">
        <w:rPr>
          <w:sz w:val="22"/>
          <w:szCs w:val="22"/>
        </w:rPr>
        <w:t xml:space="preserve"> certain television JSAs.  </w:t>
      </w:r>
    </w:p>
    <w:p w14:paraId="6AB48F79" w14:textId="55FA2246" w:rsidR="00DC62C0" w:rsidRPr="009F577E" w:rsidRDefault="00906A39" w:rsidP="009F577E">
      <w:pPr>
        <w:spacing w:after="120"/>
        <w:outlineLvl w:val="1"/>
        <w:rPr>
          <w:sz w:val="22"/>
          <w:szCs w:val="22"/>
        </w:rPr>
      </w:pPr>
      <w:r w:rsidRPr="009F577E">
        <w:rPr>
          <w:sz w:val="22"/>
          <w:szCs w:val="22"/>
        </w:rPr>
        <w:t>To obtain benefits</w:t>
      </w:r>
      <w:r w:rsidR="00751893" w:rsidRPr="009F577E">
        <w:rPr>
          <w:sz w:val="22"/>
          <w:szCs w:val="22"/>
        </w:rPr>
        <w:t xml:space="preserve"> under the revenue-based </w:t>
      </w:r>
      <w:r w:rsidR="0013710A">
        <w:rPr>
          <w:sz w:val="22"/>
          <w:szCs w:val="22"/>
        </w:rPr>
        <w:t>eligible</w:t>
      </w:r>
      <w:r w:rsidR="001064D9">
        <w:rPr>
          <w:sz w:val="22"/>
          <w:szCs w:val="22"/>
        </w:rPr>
        <w:t xml:space="preserve"> </w:t>
      </w:r>
      <w:r w:rsidR="0013710A">
        <w:rPr>
          <w:sz w:val="22"/>
          <w:szCs w:val="22"/>
        </w:rPr>
        <w:t xml:space="preserve">entity </w:t>
      </w:r>
      <w:r w:rsidR="00751893" w:rsidRPr="009F577E">
        <w:rPr>
          <w:sz w:val="22"/>
          <w:szCs w:val="22"/>
        </w:rPr>
        <w:t>standard</w:t>
      </w:r>
      <w:r w:rsidRPr="009F577E">
        <w:rPr>
          <w:sz w:val="22"/>
          <w:szCs w:val="22"/>
        </w:rPr>
        <w:t>, eligible entities will have to demonstrate that they meet the eligibility criteria</w:t>
      </w:r>
      <w:r w:rsidR="00102BB8" w:rsidRPr="009F577E">
        <w:rPr>
          <w:sz w:val="22"/>
          <w:szCs w:val="22"/>
        </w:rPr>
        <w:t xml:space="preserve"> by maintaining </w:t>
      </w:r>
      <w:r w:rsidR="00E21375" w:rsidRPr="009F577E">
        <w:rPr>
          <w:sz w:val="22"/>
          <w:szCs w:val="22"/>
        </w:rPr>
        <w:t xml:space="preserve">adequate </w:t>
      </w:r>
      <w:r w:rsidR="00102BB8" w:rsidRPr="009F577E">
        <w:rPr>
          <w:sz w:val="22"/>
          <w:szCs w:val="22"/>
        </w:rPr>
        <w:t>records for them to do so</w:t>
      </w:r>
      <w:r w:rsidRPr="009F577E">
        <w:rPr>
          <w:sz w:val="22"/>
          <w:szCs w:val="22"/>
        </w:rPr>
        <w:t>.</w:t>
      </w:r>
    </w:p>
    <w:p w14:paraId="1F851F16" w14:textId="690F69E6" w:rsidR="00D83898" w:rsidRPr="00C77C9F" w:rsidRDefault="00906A39" w:rsidP="009F577E">
      <w:pPr>
        <w:spacing w:after="120"/>
        <w:outlineLvl w:val="1"/>
      </w:pPr>
      <w:r w:rsidRPr="009F577E">
        <w:rPr>
          <w:sz w:val="22"/>
          <w:szCs w:val="22"/>
        </w:rPr>
        <w:t xml:space="preserve">Commercial television stations will have to place copies of all </w:t>
      </w:r>
      <w:r w:rsidR="00D83898" w:rsidRPr="009F577E">
        <w:rPr>
          <w:sz w:val="22"/>
          <w:szCs w:val="22"/>
        </w:rPr>
        <w:t>SSAs</w:t>
      </w:r>
      <w:r w:rsidRPr="009F577E">
        <w:rPr>
          <w:sz w:val="22"/>
          <w:szCs w:val="22"/>
        </w:rPr>
        <w:t xml:space="preserve"> in their public inspection files.</w:t>
      </w:r>
      <w:r w:rsidR="00875615" w:rsidRPr="009F577E">
        <w:rPr>
          <w:sz w:val="22"/>
          <w:szCs w:val="22"/>
        </w:rPr>
        <w:t xml:space="preserve">  The substance of oral agreements will have to be reduced to writing.</w:t>
      </w:r>
    </w:p>
    <w:p w14:paraId="70E3811B" w14:textId="1454C218" w:rsidR="009E06C8" w:rsidRPr="00C77C9F" w:rsidRDefault="00637585" w:rsidP="003852EB">
      <w:pPr>
        <w:keepNext/>
        <w:spacing w:before="240" w:after="240"/>
        <w:jc w:val="center"/>
        <w:rPr>
          <w:sz w:val="22"/>
          <w:szCs w:val="22"/>
        </w:rPr>
      </w:pPr>
      <w:r w:rsidRPr="00183094">
        <w:rPr>
          <w:b/>
          <w:bCs/>
          <w:sz w:val="22"/>
          <w:szCs w:val="22"/>
          <w:u w:val="single"/>
        </w:rPr>
        <w:t>IMPACT ON SMALL BUSINESSES</w:t>
      </w:r>
    </w:p>
    <w:p w14:paraId="473EEC62" w14:textId="3D856927" w:rsidR="001F5B32" w:rsidRPr="009F577E" w:rsidRDefault="0012691E" w:rsidP="009F577E">
      <w:pPr>
        <w:spacing w:after="120"/>
        <w:outlineLvl w:val="1"/>
        <w:rPr>
          <w:sz w:val="22"/>
          <w:szCs w:val="22"/>
        </w:rPr>
      </w:pPr>
      <w:r w:rsidRPr="009F577E">
        <w:rPr>
          <w:sz w:val="22"/>
          <w:szCs w:val="22"/>
        </w:rPr>
        <w:t xml:space="preserve">The Commission finds that the rules adopted in the </w:t>
      </w:r>
      <w:r w:rsidRPr="00183094">
        <w:rPr>
          <w:i/>
          <w:iCs/>
          <w:sz w:val="22"/>
          <w:szCs w:val="22"/>
        </w:rPr>
        <w:t>Second Report and Order</w:t>
      </w:r>
      <w:r w:rsidRPr="009F577E">
        <w:rPr>
          <w:sz w:val="22"/>
          <w:szCs w:val="22"/>
        </w:rPr>
        <w:t xml:space="preserve"> will continue to benefit small entities by fostering a media marketplace in which they are better able to compete and by promoting additional broadcast ownership opportunities among a diverse group of owners, including small entities.</w:t>
      </w:r>
      <w:r w:rsidR="009F577E">
        <w:rPr>
          <w:sz w:val="22"/>
          <w:szCs w:val="22"/>
        </w:rPr>
        <w:t xml:space="preserve">  </w:t>
      </w:r>
      <w:r w:rsidR="00C77C9F" w:rsidRPr="009F577E">
        <w:rPr>
          <w:sz w:val="22"/>
          <w:szCs w:val="22"/>
        </w:rPr>
        <w:t xml:space="preserve">The Commission finds that small businesses will not need to hire additional professionals (e.g., attorneys, engineers, economists, or accountants) to comply with the reporting, recordkeeping, and other compliance requirements as a result of any new or modified requirements adopted in the </w:t>
      </w:r>
      <w:r w:rsidR="00C77C9F" w:rsidRPr="00183094">
        <w:rPr>
          <w:i/>
          <w:iCs/>
          <w:sz w:val="22"/>
          <w:szCs w:val="22"/>
        </w:rPr>
        <w:t>Second Report and Order</w:t>
      </w:r>
      <w:r w:rsidR="00C77C9F" w:rsidRPr="009F577E">
        <w:rPr>
          <w:sz w:val="22"/>
          <w:szCs w:val="22"/>
        </w:rPr>
        <w:t>.</w:t>
      </w:r>
    </w:p>
    <w:p w14:paraId="029F1729" w14:textId="57335EF0" w:rsidR="001F5B32" w:rsidRDefault="00807A9E" w:rsidP="009F577E">
      <w:pPr>
        <w:spacing w:after="120"/>
        <w:outlineLvl w:val="1"/>
        <w:rPr>
          <w:sz w:val="22"/>
          <w:szCs w:val="22"/>
        </w:rPr>
      </w:pPr>
      <w:r w:rsidRPr="009F577E">
        <w:rPr>
          <w:sz w:val="22"/>
          <w:szCs w:val="22"/>
        </w:rPr>
        <w:t>Reinstating the revenue-based eligible entity standard allows small-sized applicants and licensees to benefit from flexible licensing, auctions, transactions, and construction policies.  The Commission believes that easing certain regulations for small broadcasters will promote the public interest goal of making access to broadcast spectrum available to a broad range of applicants</w:t>
      </w:r>
      <w:r w:rsidR="009F577E">
        <w:rPr>
          <w:sz w:val="22"/>
          <w:szCs w:val="22"/>
        </w:rPr>
        <w:t>.</w:t>
      </w:r>
    </w:p>
    <w:p w14:paraId="41683E86" w14:textId="593D4166" w:rsidR="009F577E" w:rsidRPr="009F577E" w:rsidRDefault="009F577E" w:rsidP="009F577E">
      <w:pPr>
        <w:spacing w:after="120"/>
        <w:outlineLvl w:val="1"/>
        <w:rPr>
          <w:sz w:val="22"/>
          <w:szCs w:val="22"/>
        </w:rPr>
      </w:pPr>
      <w:r w:rsidRPr="009F577E">
        <w:rPr>
          <w:sz w:val="22"/>
          <w:szCs w:val="22"/>
        </w:rPr>
        <w:t xml:space="preserve">The SSA filing requirement adopted in the </w:t>
      </w:r>
      <w:r w:rsidRPr="00183094">
        <w:rPr>
          <w:i/>
          <w:iCs/>
          <w:sz w:val="22"/>
          <w:szCs w:val="22"/>
        </w:rPr>
        <w:t>Second Report and Order</w:t>
      </w:r>
      <w:r w:rsidRPr="009F577E">
        <w:rPr>
          <w:sz w:val="22"/>
          <w:szCs w:val="22"/>
        </w:rPr>
        <w:t xml:space="preserve"> will have a minimal and uniform impact for all entities required to take action.  Compliance will only require the expenditure of very little additional resources, and the filing requirement is the least burdensome alternative</w:t>
      </w:r>
      <w:r w:rsidR="0F79ADBE" w:rsidRPr="009F577E">
        <w:rPr>
          <w:sz w:val="22"/>
          <w:szCs w:val="22"/>
        </w:rPr>
        <w:t xml:space="preserve"> that addresses t</w:t>
      </w:r>
      <w:r w:rsidR="00183094">
        <w:rPr>
          <w:sz w:val="22"/>
          <w:szCs w:val="22"/>
        </w:rPr>
        <w:t>h</w:t>
      </w:r>
      <w:r w:rsidR="0F79ADBE" w:rsidRPr="009F577E">
        <w:rPr>
          <w:sz w:val="22"/>
          <w:szCs w:val="22"/>
        </w:rPr>
        <w:t>e Commissio</w:t>
      </w:r>
      <w:r w:rsidR="00691579">
        <w:rPr>
          <w:sz w:val="22"/>
          <w:szCs w:val="22"/>
        </w:rPr>
        <w:t>n’</w:t>
      </w:r>
      <w:r w:rsidR="0F79ADBE" w:rsidRPr="009F577E">
        <w:rPr>
          <w:sz w:val="22"/>
          <w:szCs w:val="22"/>
        </w:rPr>
        <w:t>s concerns</w:t>
      </w:r>
      <w:r w:rsidRPr="009F577E">
        <w:rPr>
          <w:sz w:val="22"/>
          <w:szCs w:val="22"/>
        </w:rPr>
        <w:t>.  Accordingly, the adverse economic impact on small businesses will be minimal, at most, and in many cases non-existent.</w:t>
      </w:r>
    </w:p>
    <w:p w14:paraId="521CAE82" w14:textId="4029C308" w:rsidR="00AC448D" w:rsidRPr="00183094" w:rsidRDefault="00637585" w:rsidP="001064D9">
      <w:pPr>
        <w:spacing w:before="240" w:after="240"/>
        <w:jc w:val="center"/>
        <w:rPr>
          <w:b/>
          <w:bCs/>
          <w:sz w:val="22"/>
          <w:szCs w:val="22"/>
          <w:u w:val="single"/>
        </w:rPr>
      </w:pPr>
      <w:r w:rsidRPr="00183094">
        <w:rPr>
          <w:b/>
          <w:bCs/>
          <w:sz w:val="22"/>
          <w:szCs w:val="22"/>
          <w:u w:val="single"/>
        </w:rPr>
        <w:t>INTERNET LINKS</w:t>
      </w:r>
    </w:p>
    <w:p w14:paraId="133DC894" w14:textId="30FBAB55" w:rsidR="00AC448D" w:rsidRPr="00183094" w:rsidRDefault="00AC448D" w:rsidP="001064D9">
      <w:pPr>
        <w:spacing w:after="120"/>
        <w:contextualSpacing/>
        <w:rPr>
          <w:b/>
          <w:bCs/>
          <w:sz w:val="22"/>
          <w:szCs w:val="22"/>
        </w:rPr>
      </w:pPr>
      <w:r w:rsidRPr="00183094">
        <w:rPr>
          <w:b/>
          <w:bCs/>
          <w:sz w:val="22"/>
          <w:szCs w:val="22"/>
        </w:rPr>
        <w:t xml:space="preserve">Second Report and Order </w:t>
      </w:r>
    </w:p>
    <w:p w14:paraId="6FC2AB7A" w14:textId="13652EB9" w:rsidR="00AC448D" w:rsidRPr="007D49F7" w:rsidRDefault="00B97BDE" w:rsidP="0037639B">
      <w:pPr>
        <w:pStyle w:val="ListParagraph"/>
        <w:numPr>
          <w:ilvl w:val="0"/>
          <w:numId w:val="13"/>
        </w:numPr>
        <w:spacing w:after="120"/>
        <w:rPr>
          <w:sz w:val="22"/>
          <w:szCs w:val="22"/>
        </w:rPr>
      </w:pPr>
      <w:hyperlink r:id="rId15" w:history="1">
        <w:r w:rsidR="009A5AB6" w:rsidRPr="0029662D">
          <w:rPr>
            <w:rStyle w:val="Hyperlink"/>
            <w:sz w:val="22"/>
            <w:szCs w:val="22"/>
          </w:rPr>
          <w:t>https://apps.fcc.gov/edocs_public/attachmatch/FCC-16-107A1.pdf</w:t>
        </w:r>
      </w:hyperlink>
    </w:p>
    <w:p w14:paraId="6228BDCF" w14:textId="5DBE91C5" w:rsidR="00AC448D" w:rsidRPr="00183094" w:rsidRDefault="00AC448D" w:rsidP="001064D9">
      <w:pPr>
        <w:spacing w:after="120"/>
        <w:contextualSpacing/>
        <w:rPr>
          <w:b/>
          <w:bCs/>
          <w:sz w:val="22"/>
          <w:szCs w:val="22"/>
        </w:rPr>
      </w:pPr>
      <w:r w:rsidRPr="00183094">
        <w:rPr>
          <w:b/>
          <w:bCs/>
          <w:sz w:val="22"/>
          <w:szCs w:val="22"/>
        </w:rPr>
        <w:t xml:space="preserve">Commissioner Statements </w:t>
      </w:r>
    </w:p>
    <w:p w14:paraId="3EDAAFFA" w14:textId="6F178AE4" w:rsidR="00AC448D" w:rsidRPr="0029662D" w:rsidRDefault="00AC448D" w:rsidP="0037639B">
      <w:pPr>
        <w:pStyle w:val="ListParagraph"/>
        <w:numPr>
          <w:ilvl w:val="0"/>
          <w:numId w:val="13"/>
        </w:numPr>
        <w:spacing w:after="120"/>
        <w:rPr>
          <w:sz w:val="22"/>
          <w:szCs w:val="22"/>
        </w:rPr>
      </w:pPr>
      <w:r w:rsidRPr="0029662D">
        <w:rPr>
          <w:sz w:val="22"/>
          <w:szCs w:val="22"/>
        </w:rPr>
        <w:t>Commissioner Clyburn:</w:t>
      </w:r>
      <w:r w:rsidR="009A5AB6" w:rsidRPr="0029662D">
        <w:rPr>
          <w:sz w:val="22"/>
          <w:szCs w:val="22"/>
        </w:rPr>
        <w:t xml:space="preserve">  </w:t>
      </w:r>
      <w:hyperlink r:id="rId16" w:history="1">
        <w:r w:rsidR="0037639B" w:rsidRPr="0037639B">
          <w:rPr>
            <w:rStyle w:val="Hyperlink"/>
            <w:sz w:val="22"/>
            <w:szCs w:val="22"/>
          </w:rPr>
          <w:t>https://apps.fcc.gov/edocs_public/attachmatch/FCC-16-107A2.pdf</w:t>
        </w:r>
      </w:hyperlink>
      <w:r w:rsidR="0037639B">
        <w:t xml:space="preserve"> </w:t>
      </w:r>
    </w:p>
    <w:p w14:paraId="669DDB44" w14:textId="647B7767" w:rsidR="00AC448D" w:rsidRPr="0029662D" w:rsidRDefault="00AC448D" w:rsidP="0037639B">
      <w:pPr>
        <w:pStyle w:val="ListParagraph"/>
        <w:numPr>
          <w:ilvl w:val="0"/>
          <w:numId w:val="13"/>
        </w:numPr>
        <w:spacing w:after="120"/>
        <w:rPr>
          <w:sz w:val="22"/>
          <w:szCs w:val="22"/>
        </w:rPr>
      </w:pPr>
      <w:r w:rsidRPr="0029662D">
        <w:rPr>
          <w:sz w:val="22"/>
          <w:szCs w:val="22"/>
        </w:rPr>
        <w:t>Commissioner Pai:</w:t>
      </w:r>
      <w:r w:rsidR="009A5AB6" w:rsidRPr="0029662D">
        <w:rPr>
          <w:sz w:val="22"/>
          <w:szCs w:val="22"/>
        </w:rPr>
        <w:t xml:space="preserve">  </w:t>
      </w:r>
      <w:hyperlink r:id="rId17" w:history="1">
        <w:r w:rsidR="009A5AB6" w:rsidRPr="0029662D">
          <w:rPr>
            <w:rStyle w:val="Hyperlink"/>
            <w:sz w:val="22"/>
            <w:szCs w:val="22"/>
          </w:rPr>
          <w:t>https://apps.fcc.gov/edocs_public/attachmatch/FCC-16-107A3.pdf</w:t>
        </w:r>
      </w:hyperlink>
      <w:r w:rsidR="009A5AB6" w:rsidRPr="0029662D">
        <w:rPr>
          <w:sz w:val="22"/>
          <w:szCs w:val="22"/>
        </w:rPr>
        <w:t xml:space="preserve"> </w:t>
      </w:r>
    </w:p>
    <w:p w14:paraId="1166CBF8" w14:textId="0541A594" w:rsidR="00AC448D" w:rsidRPr="007D49F7" w:rsidRDefault="00AC448D" w:rsidP="0037639B">
      <w:pPr>
        <w:pStyle w:val="ListParagraph"/>
        <w:numPr>
          <w:ilvl w:val="0"/>
          <w:numId w:val="13"/>
        </w:numPr>
        <w:spacing w:after="120"/>
        <w:rPr>
          <w:sz w:val="22"/>
          <w:szCs w:val="22"/>
        </w:rPr>
      </w:pPr>
      <w:r w:rsidRPr="0029662D">
        <w:rPr>
          <w:sz w:val="22"/>
          <w:szCs w:val="22"/>
        </w:rPr>
        <w:t xml:space="preserve">Commissioner O’Rielly:  </w:t>
      </w:r>
      <w:hyperlink r:id="rId18" w:history="1">
        <w:r w:rsidR="0037639B" w:rsidRPr="0037639B">
          <w:rPr>
            <w:rStyle w:val="Hyperlink"/>
            <w:sz w:val="22"/>
            <w:szCs w:val="22"/>
          </w:rPr>
          <w:t>https://apps.fcc.gov/edocs_public/attachmatch/FCC-16-107A4.pdf</w:t>
        </w:r>
      </w:hyperlink>
      <w:r w:rsidR="0037639B" w:rsidRPr="3FBA2B76">
        <w:t xml:space="preserve"> </w:t>
      </w:r>
    </w:p>
    <w:p w14:paraId="36A41B81" w14:textId="20520AC0" w:rsidR="00AC448D" w:rsidRPr="00183094" w:rsidRDefault="00AC448D" w:rsidP="001064D9">
      <w:pPr>
        <w:spacing w:after="120"/>
        <w:contextualSpacing/>
        <w:rPr>
          <w:b/>
          <w:bCs/>
          <w:sz w:val="22"/>
          <w:szCs w:val="22"/>
        </w:rPr>
      </w:pPr>
      <w:r w:rsidRPr="00183094">
        <w:rPr>
          <w:b/>
          <w:bCs/>
          <w:sz w:val="22"/>
          <w:szCs w:val="22"/>
        </w:rPr>
        <w:t xml:space="preserve">FCC Rules </w:t>
      </w:r>
    </w:p>
    <w:p w14:paraId="3A485483" w14:textId="6BF63CB6" w:rsidR="004B58F4" w:rsidRDefault="004B58F4" w:rsidP="0037639B">
      <w:pPr>
        <w:pStyle w:val="ListParagraph"/>
        <w:numPr>
          <w:ilvl w:val="0"/>
          <w:numId w:val="13"/>
        </w:numPr>
        <w:spacing w:after="120"/>
        <w:rPr>
          <w:sz w:val="22"/>
          <w:szCs w:val="22"/>
        </w:rPr>
      </w:pPr>
      <w:r>
        <w:rPr>
          <w:sz w:val="22"/>
          <w:szCs w:val="22"/>
        </w:rPr>
        <w:t>47 CFR</w:t>
      </w:r>
      <w:r w:rsidRPr="0056080F">
        <w:rPr>
          <w:sz w:val="22"/>
          <w:szCs w:val="22"/>
        </w:rPr>
        <w:t xml:space="preserve"> </w:t>
      </w:r>
      <w:r w:rsidR="2D79AF6B" w:rsidRPr="2D79AF6B">
        <w:t>§</w:t>
      </w:r>
      <w:r w:rsidRPr="0056080F">
        <w:rPr>
          <w:sz w:val="22"/>
          <w:szCs w:val="22"/>
        </w:rPr>
        <w:t xml:space="preserve"> 73.658(g)</w:t>
      </w:r>
    </w:p>
    <w:p w14:paraId="50BFEE6B" w14:textId="03DF04AE" w:rsidR="00AC448D" w:rsidRPr="0029662D" w:rsidRDefault="00DF02D6" w:rsidP="0037639B">
      <w:pPr>
        <w:pStyle w:val="ListParagraph"/>
        <w:numPr>
          <w:ilvl w:val="0"/>
          <w:numId w:val="13"/>
        </w:numPr>
        <w:spacing w:after="120"/>
        <w:rPr>
          <w:sz w:val="22"/>
          <w:szCs w:val="22"/>
        </w:rPr>
      </w:pPr>
      <w:r>
        <w:rPr>
          <w:sz w:val="22"/>
          <w:szCs w:val="22"/>
        </w:rPr>
        <w:t xml:space="preserve">47 </w:t>
      </w:r>
      <w:r w:rsidR="00393604">
        <w:rPr>
          <w:sz w:val="22"/>
          <w:szCs w:val="22"/>
        </w:rPr>
        <w:t>CFR</w:t>
      </w:r>
      <w:r>
        <w:rPr>
          <w:sz w:val="22"/>
          <w:szCs w:val="22"/>
        </w:rPr>
        <w:t xml:space="preserve"> </w:t>
      </w:r>
      <w:r w:rsidRPr="007C71F5">
        <w:rPr>
          <w:sz w:val="22"/>
          <w:szCs w:val="22"/>
        </w:rPr>
        <w:t>§</w:t>
      </w:r>
      <w:r>
        <w:rPr>
          <w:sz w:val="22"/>
          <w:szCs w:val="22"/>
        </w:rPr>
        <w:t xml:space="preserve"> 73.3526</w:t>
      </w:r>
      <w:r w:rsidR="00AC448D" w:rsidRPr="0029662D">
        <w:rPr>
          <w:sz w:val="22"/>
          <w:szCs w:val="22"/>
        </w:rPr>
        <w:t xml:space="preserve">  </w:t>
      </w:r>
    </w:p>
    <w:p w14:paraId="53AB9EF0" w14:textId="71072ED7" w:rsidR="00AC448D" w:rsidRDefault="00DF02D6" w:rsidP="0037639B">
      <w:pPr>
        <w:pStyle w:val="ListParagraph"/>
        <w:numPr>
          <w:ilvl w:val="0"/>
          <w:numId w:val="13"/>
        </w:numPr>
        <w:spacing w:after="120"/>
        <w:rPr>
          <w:sz w:val="22"/>
          <w:szCs w:val="22"/>
        </w:rPr>
      </w:pPr>
      <w:r>
        <w:rPr>
          <w:sz w:val="22"/>
          <w:szCs w:val="22"/>
        </w:rPr>
        <w:t xml:space="preserve">47 </w:t>
      </w:r>
      <w:r w:rsidR="00393604">
        <w:rPr>
          <w:sz w:val="22"/>
          <w:szCs w:val="22"/>
        </w:rPr>
        <w:t>CFR</w:t>
      </w:r>
      <w:r>
        <w:rPr>
          <w:sz w:val="22"/>
          <w:szCs w:val="22"/>
        </w:rPr>
        <w:t xml:space="preserve"> </w:t>
      </w:r>
      <w:r w:rsidRPr="007C71F5">
        <w:rPr>
          <w:sz w:val="22"/>
          <w:szCs w:val="22"/>
        </w:rPr>
        <w:t>§</w:t>
      </w:r>
      <w:r>
        <w:rPr>
          <w:sz w:val="22"/>
          <w:szCs w:val="22"/>
        </w:rPr>
        <w:t xml:space="preserve"> 73.3555</w:t>
      </w:r>
    </w:p>
    <w:p w14:paraId="31D047D1" w14:textId="41056635" w:rsidR="0C887461" w:rsidRPr="00183094" w:rsidRDefault="0C887461" w:rsidP="001064D9">
      <w:pPr>
        <w:pStyle w:val="ListParagraph"/>
        <w:numPr>
          <w:ilvl w:val="0"/>
          <w:numId w:val="13"/>
        </w:numPr>
        <w:spacing w:after="120"/>
        <w:rPr>
          <w:sz w:val="22"/>
          <w:szCs w:val="22"/>
        </w:rPr>
      </w:pPr>
      <w:r w:rsidRPr="00183094">
        <w:rPr>
          <w:color w:val="191919"/>
          <w:sz w:val="22"/>
          <w:szCs w:val="22"/>
        </w:rPr>
        <w:t xml:space="preserve">47 CFR </w:t>
      </w:r>
      <w:r w:rsidRPr="00183094">
        <w:rPr>
          <w:sz w:val="22"/>
          <w:szCs w:val="22"/>
        </w:rPr>
        <w:t>§</w:t>
      </w:r>
      <w:r w:rsidRPr="00183094">
        <w:rPr>
          <w:color w:val="191919"/>
          <w:sz w:val="22"/>
          <w:szCs w:val="22"/>
        </w:rPr>
        <w:t xml:space="preserve"> 73.3598</w:t>
      </w:r>
    </w:p>
    <w:p w14:paraId="315F8047" w14:textId="542B753D" w:rsidR="00AC448D" w:rsidRPr="007D49F7" w:rsidRDefault="00DF02D6" w:rsidP="0037639B">
      <w:pPr>
        <w:pStyle w:val="ListParagraph"/>
        <w:numPr>
          <w:ilvl w:val="0"/>
          <w:numId w:val="13"/>
        </w:numPr>
        <w:spacing w:after="120"/>
        <w:rPr>
          <w:sz w:val="22"/>
          <w:szCs w:val="22"/>
        </w:rPr>
      </w:pPr>
      <w:r>
        <w:rPr>
          <w:sz w:val="22"/>
          <w:szCs w:val="22"/>
        </w:rPr>
        <w:t xml:space="preserve">47 </w:t>
      </w:r>
      <w:r w:rsidR="00393604">
        <w:rPr>
          <w:sz w:val="22"/>
          <w:szCs w:val="22"/>
        </w:rPr>
        <w:t>CFR</w:t>
      </w:r>
      <w:r w:rsidRPr="007C71F5">
        <w:rPr>
          <w:sz w:val="22"/>
          <w:szCs w:val="22"/>
        </w:rPr>
        <w:t xml:space="preserve"> § 73.3613</w:t>
      </w:r>
    </w:p>
    <w:p w14:paraId="2FFC706C" w14:textId="014CA4C0" w:rsidR="66A0994F" w:rsidRPr="00183094" w:rsidRDefault="66A0994F" w:rsidP="001064D9">
      <w:pPr>
        <w:spacing w:after="120"/>
        <w:ind w:left="360"/>
        <w:rPr>
          <w:sz w:val="22"/>
          <w:szCs w:val="22"/>
        </w:rPr>
      </w:pPr>
    </w:p>
    <w:sectPr w:rsidR="66A0994F" w:rsidRPr="00183094" w:rsidSect="00183094">
      <w:headerReference w:type="first" r:id="rId19"/>
      <w:footerReference w:type="first" r:id="rId20"/>
      <w:pgSz w:w="12240" w:h="15840"/>
      <w:pgMar w:top="1440" w:right="1530" w:bottom="1440" w:left="135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3E154" w14:textId="77777777" w:rsidR="00AB6914" w:rsidRDefault="00AB6914" w:rsidP="00342953">
      <w:r>
        <w:separator/>
      </w:r>
    </w:p>
  </w:endnote>
  <w:endnote w:type="continuationSeparator" w:id="0">
    <w:p w14:paraId="1131FC67" w14:textId="77777777" w:rsidR="00AB6914" w:rsidRDefault="00AB6914" w:rsidP="00342953">
      <w:r>
        <w:continuationSeparator/>
      </w:r>
    </w:p>
  </w:endnote>
  <w:endnote w:type="continuationNotice" w:id="1">
    <w:p w14:paraId="1028318D" w14:textId="77777777" w:rsidR="00AB6914" w:rsidRDefault="00AB6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20A24" w14:textId="77777777" w:rsidR="00B530A4" w:rsidRDefault="00B53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67015"/>
      <w:docPartObj>
        <w:docPartGallery w:val="Page Numbers (Bottom of Page)"/>
        <w:docPartUnique/>
      </w:docPartObj>
    </w:sdtPr>
    <w:sdtEndPr>
      <w:rPr>
        <w:noProof/>
        <w:sz w:val="22"/>
      </w:rPr>
    </w:sdtEndPr>
    <w:sdtContent>
      <w:p w14:paraId="7E98CF34" w14:textId="77777777" w:rsidR="00342953" w:rsidRPr="004B7D54" w:rsidRDefault="00342953">
        <w:pPr>
          <w:pStyle w:val="Footer"/>
          <w:jc w:val="center"/>
          <w:rPr>
            <w:sz w:val="22"/>
          </w:rPr>
        </w:pPr>
        <w:r w:rsidRPr="004B7D54">
          <w:rPr>
            <w:sz w:val="22"/>
          </w:rPr>
          <w:fldChar w:fldCharType="begin"/>
        </w:r>
        <w:r w:rsidRPr="004B7D54">
          <w:rPr>
            <w:sz w:val="22"/>
          </w:rPr>
          <w:instrText xml:space="preserve"> PAGE   \* MERGEFORMAT </w:instrText>
        </w:r>
        <w:r w:rsidRPr="004B7D54">
          <w:rPr>
            <w:sz w:val="22"/>
          </w:rPr>
          <w:fldChar w:fldCharType="separate"/>
        </w:r>
        <w:r w:rsidR="00B97BDE">
          <w:rPr>
            <w:noProof/>
            <w:sz w:val="22"/>
          </w:rPr>
          <w:t>5</w:t>
        </w:r>
        <w:r w:rsidRPr="004B7D54">
          <w:rPr>
            <w:noProof/>
            <w:sz w:val="22"/>
          </w:rPr>
          <w:fldChar w:fldCharType="end"/>
        </w:r>
      </w:p>
    </w:sdtContent>
  </w:sdt>
  <w:p w14:paraId="4751F51A" w14:textId="77777777" w:rsidR="00342953" w:rsidRDefault="003429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FC74F" w14:textId="77777777" w:rsidR="00B530A4" w:rsidRDefault="00B530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8234C" w14:textId="77777777" w:rsidR="00262754" w:rsidRDefault="00262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0027B" w14:textId="77777777" w:rsidR="00AB6914" w:rsidRDefault="00AB6914" w:rsidP="00342953">
      <w:r>
        <w:separator/>
      </w:r>
    </w:p>
  </w:footnote>
  <w:footnote w:type="continuationSeparator" w:id="0">
    <w:p w14:paraId="481492E7" w14:textId="77777777" w:rsidR="00AB6914" w:rsidRDefault="00AB6914" w:rsidP="00342953">
      <w:r>
        <w:continuationSeparator/>
      </w:r>
    </w:p>
  </w:footnote>
  <w:footnote w:type="continuationNotice" w:id="1">
    <w:p w14:paraId="3BF48D4E" w14:textId="77777777" w:rsidR="00AB6914" w:rsidRDefault="00AB6914"/>
  </w:footnote>
  <w:footnote w:id="2">
    <w:p w14:paraId="3A69D247" w14:textId="463680B6" w:rsidR="00FA0EAA" w:rsidRDefault="00FA0EAA" w:rsidP="003852EB">
      <w:pPr>
        <w:pStyle w:val="FootnoteText"/>
        <w:spacing w:after="120"/>
      </w:pPr>
      <w:r>
        <w:rPr>
          <w:rStyle w:val="FootnoteReference"/>
        </w:rPr>
        <w:footnoteRef/>
      </w:r>
      <w:r w:rsidRPr="3FBA2B76">
        <w:t xml:space="preserve"> </w:t>
      </w:r>
      <w:r w:rsidR="006D2ABD">
        <w:t xml:space="preserve">The JSA Attribution Rule was adopted in the initial Report and Order for the 2014 Quadrennial Review.  </w:t>
      </w:r>
      <w:r w:rsidR="006D2ABD" w:rsidRPr="00183094">
        <w:rPr>
          <w:i/>
          <w:iCs/>
        </w:rPr>
        <w:t>2014 Quadrennial Regulatory Review – Review of the Commission’s Broadcast Ownership Rules and Other Rules Adopted Pursuant to Section 202 of the Telecommunications Act of 1996</w:t>
      </w:r>
      <w:r w:rsidR="006D2ABD">
        <w:t xml:space="preserve">, Report and Order and Further Notice of Proposed Rulemaking, 29 FCC Rcd 4371, 4527-45, </w:t>
      </w:r>
      <w:r w:rsidR="00E14E95">
        <w:t>paras.</w:t>
      </w:r>
      <w:r w:rsidR="006D2ABD">
        <w:t xml:space="preserve"> 340-72 (2014)</w:t>
      </w:r>
      <w:r w:rsidR="00DE35ED">
        <w:t xml:space="preserve"> (</w:t>
      </w:r>
      <w:r w:rsidR="00DE35ED" w:rsidRPr="00DE35ED">
        <w:rPr>
          <w:i/>
        </w:rPr>
        <w:t>JSA Order</w:t>
      </w:r>
      <w:r w:rsidR="00DE35ED">
        <w:t>)</w:t>
      </w:r>
      <w:r w:rsidR="006D2ABD">
        <w:t xml:space="preserve">. </w:t>
      </w:r>
      <w:r w:rsidR="00A86399" w:rsidRPr="3FBA2B76">
        <w:t xml:space="preserve"> </w:t>
      </w:r>
      <w:r w:rsidR="00544764">
        <w:t>The Commission prepared a Small Entity Compliance Guide for the JSA Attribution Rule following its adoption in that Report and Order</w:t>
      </w:r>
      <w:r w:rsidR="00544764" w:rsidRPr="00183094">
        <w:rPr>
          <w:i/>
          <w:iCs/>
        </w:rPr>
        <w:t xml:space="preserve">.  </w:t>
      </w:r>
      <w:r w:rsidR="009A37B9" w:rsidRPr="00183094">
        <w:rPr>
          <w:i/>
          <w:iCs/>
        </w:rPr>
        <w:t>2014 Quadrennial Regulatory Review – Review of the Commissions Broadcast Ownership Rule and Other Rules Adopted Pursuant to Section 202 of the Telecommunications Act of 1996</w:t>
      </w:r>
      <w:r w:rsidR="009A37B9" w:rsidRPr="3FBA2B76">
        <w:t xml:space="preserve">, </w:t>
      </w:r>
      <w:r w:rsidR="001364AC">
        <w:t xml:space="preserve">Compliance Guide, </w:t>
      </w:r>
      <w:r w:rsidR="001364AC" w:rsidRPr="001364AC">
        <w:t>31 FCC Rcd 163</w:t>
      </w:r>
      <w:r w:rsidR="001364AC">
        <w:t xml:space="preserve"> (OCBO 2016).  </w:t>
      </w:r>
      <w:r w:rsidR="00544764">
        <w:t xml:space="preserve">Due to the </w:t>
      </w:r>
      <w:r w:rsidR="008F078A">
        <w:t>Third Circuit vacating the rule as it was initially adopted</w:t>
      </w:r>
      <w:r w:rsidR="00544764">
        <w:t xml:space="preserve">, the Commission hereby retracts that Small Entity Compliance Guide in </w:t>
      </w:r>
      <w:r w:rsidR="00511910">
        <w:t>favor</w:t>
      </w:r>
      <w:r w:rsidR="00544764">
        <w:t xml:space="preserve"> of the compliance guidelines outlined herein.</w:t>
      </w:r>
    </w:p>
  </w:footnote>
  <w:footnote w:id="3">
    <w:p w14:paraId="77F81478" w14:textId="2DDD70F6" w:rsidR="00994C47" w:rsidRDefault="00994C47" w:rsidP="003852EB">
      <w:pPr>
        <w:pStyle w:val="FootnoteText"/>
        <w:spacing w:after="120"/>
      </w:pPr>
      <w:r>
        <w:rPr>
          <w:rStyle w:val="FootnoteReference"/>
        </w:rPr>
        <w:footnoteRef/>
      </w:r>
      <w:r>
        <w:t xml:space="preserve"> The original JSA </w:t>
      </w:r>
      <w:r w:rsidR="00773CC8">
        <w:t>A</w:t>
      </w:r>
      <w:r>
        <w:t xml:space="preserve">ttribution </w:t>
      </w:r>
      <w:r w:rsidR="00773CC8">
        <w:t>R</w:t>
      </w:r>
      <w:r>
        <w:t xml:space="preserve">ule became effective on June 19, 2014.  Stations party to a television JSA signed before the release of the JSA Order had until June 19, 2016 (i.e., two years from the effective date of </w:t>
      </w:r>
      <w:r w:rsidR="00427BE1">
        <w:t>T</w:t>
      </w:r>
      <w:r>
        <w:t xml:space="preserve">elevision </w:t>
      </w:r>
      <w:r w:rsidR="00427BE1">
        <w:t>J</w:t>
      </w:r>
      <w:r>
        <w:t xml:space="preserve">SA </w:t>
      </w:r>
      <w:r w:rsidR="00427BE1">
        <w:t>A</w:t>
      </w:r>
      <w:r>
        <w:t xml:space="preserve">ttribution </w:t>
      </w:r>
      <w:r w:rsidR="00427BE1">
        <w:t>R</w:t>
      </w:r>
      <w:r>
        <w:t xml:space="preserve">ule), to ensure compliance with the Commission’s media ownership rules.  The STELA Reauthorization Act of 2014 (STELAR), enacted on December 4, 2014, provided that licensees with attributable television JSAs “shall not be considered to be in violation of the ownership limitations [in section 73.3555 of the Commission’s rules, 47 CFR </w:t>
      </w:r>
      <w:r w:rsidR="00427BE1">
        <w:t>Section</w:t>
      </w:r>
      <w:r>
        <w:t xml:space="preserve"> 73.3555,] by reason of the application of the [attribution] rule” until six months after the end of the two-year compliance period adopted by the Commission.  The six-month period end</w:t>
      </w:r>
      <w:r w:rsidR="00A10036">
        <w:t>ed</w:t>
      </w:r>
      <w:r>
        <w:t xml:space="preserve"> on December 19, 2016. The Consolidated Appropriations Act (2016), enacted on December 18, 2015, provided that, through September 30, 2025, “the amendments to the rules of the Commission [adopted in the 2014 Order] shall not apply to a joint sales agreement (as defined in Note 2(k) to section 73.3555 of title 47, Code of Federal Regulations) that was in effect on March 31, 2014,” and “[a] party to a [television] joint sales agreement that was in effect on March 31, 2014, shall not be considered to be in violation of the ownership limitations of section 73.3555 of title 47, Code of Federal Regulations, by reason of the application of the rule in Note 2(k)(2), as so amended, to the joint sales agreement.”</w:t>
      </w:r>
    </w:p>
  </w:footnote>
  <w:footnote w:id="4">
    <w:p w14:paraId="2419EE7B" w14:textId="1025FD27" w:rsidR="00DE35ED" w:rsidRPr="00DE35ED" w:rsidRDefault="00DE35ED">
      <w:pPr>
        <w:pStyle w:val="FootnoteText"/>
      </w:pPr>
      <w:r>
        <w:rPr>
          <w:rStyle w:val="FootnoteReference"/>
        </w:rPr>
        <w:footnoteRef/>
      </w:r>
      <w:r>
        <w:t xml:space="preserve"> </w:t>
      </w:r>
      <w:r w:rsidRPr="00DE35ED">
        <w:rPr>
          <w:i/>
        </w:rPr>
        <w:t>See</w:t>
      </w:r>
      <w:r>
        <w:t xml:space="preserve"> </w:t>
      </w:r>
      <w:r w:rsidRPr="001B78F4">
        <w:rPr>
          <w:i/>
        </w:rPr>
        <w:t>JSA Order</w:t>
      </w:r>
      <w:r>
        <w:t>, 29 FCC Rcd at 4541-42, paras. 366 &amp; n.1125.</w:t>
      </w:r>
    </w:p>
  </w:footnote>
  <w:footnote w:id="5">
    <w:p w14:paraId="7EF2367B" w14:textId="7F589163" w:rsidR="00393604" w:rsidRDefault="00393604" w:rsidP="003852EB">
      <w:pPr>
        <w:pStyle w:val="FootnoteText"/>
        <w:spacing w:after="120"/>
      </w:pPr>
      <w:r>
        <w:rPr>
          <w:rStyle w:val="FootnoteReference"/>
        </w:rPr>
        <w:footnoteRef/>
      </w:r>
      <w:r w:rsidRPr="3FBA2B76">
        <w:t xml:space="preserve"> </w:t>
      </w:r>
      <w:r w:rsidR="00687A8A">
        <w:t xml:space="preserve">The Commission adopted the revenue-based eligible entity definition in the </w:t>
      </w:r>
      <w:r w:rsidR="00687A8A" w:rsidRPr="00183094">
        <w:rPr>
          <w:i/>
          <w:iCs/>
        </w:rPr>
        <w:t>2002 Biennial Review Order</w:t>
      </w:r>
      <w:r w:rsidR="00687A8A">
        <w:t xml:space="preserve"> as an exception to the prohibition on the transfer of grandfathered station combinations that violated the local radio ownership limits.  </w:t>
      </w:r>
      <w:r w:rsidR="00A86399" w:rsidRPr="00183094">
        <w:rPr>
          <w:i/>
          <w:iCs/>
        </w:rPr>
        <w:t>2002 Biennial Regulatory Review</w:t>
      </w:r>
      <w:r w:rsidR="00475F3C">
        <w:rPr>
          <w:i/>
          <w:iCs/>
        </w:rPr>
        <w:t xml:space="preserve"> - Review of the Commission’</w:t>
      </w:r>
      <w:r w:rsidR="00A86399" w:rsidRPr="00183094">
        <w:rPr>
          <w:i/>
          <w:iCs/>
        </w:rPr>
        <w:t>s Broadcast Ownership Rules and Other Rules Adopted Pursuant to Section 202 of the Telecommunications Act of 1996</w:t>
      </w:r>
      <w:r w:rsidR="00A86399">
        <w:t>, Report and Order and Notice of Proposed Rulemaking, 18 FCC Rcd 13620 (2003)</w:t>
      </w:r>
      <w:r w:rsidR="006C008C" w:rsidRPr="3FBA2B76">
        <w:t xml:space="preserve"> (</w:t>
      </w:r>
      <w:r w:rsidR="006C008C" w:rsidRPr="00183094">
        <w:rPr>
          <w:i/>
          <w:iCs/>
        </w:rPr>
        <w:t>2002 Biennial Review Order</w:t>
      </w:r>
      <w:r w:rsidR="006C008C" w:rsidRPr="3FBA2B76">
        <w:t>)</w:t>
      </w:r>
      <w:r w:rsidR="00A86399" w:rsidRPr="3FBA2B76">
        <w:t xml:space="preserve">.  </w:t>
      </w:r>
      <w:r w:rsidR="00687A8A">
        <w:t xml:space="preserve">Thereafter, in the </w:t>
      </w:r>
      <w:r w:rsidR="00687A8A" w:rsidRPr="00183094">
        <w:rPr>
          <w:i/>
          <w:iCs/>
        </w:rPr>
        <w:t>Diversity Order</w:t>
      </w:r>
      <w:r w:rsidR="00687A8A">
        <w:t xml:space="preserve">, the Commission concluded that additional uses of the eligible entity definition would advance its objectives of promoting ownership diversity by facilitating greater small business participation in the broadcast industry. </w:t>
      </w:r>
      <w:r w:rsidR="00BD36D9" w:rsidRPr="3FBA2B76">
        <w:t xml:space="preserve"> </w:t>
      </w:r>
      <w:r w:rsidR="00A86399" w:rsidRPr="00183094">
        <w:rPr>
          <w:i/>
          <w:iCs/>
        </w:rPr>
        <w:t>Promoting Diversification of Ownership in the Broadcasting Services</w:t>
      </w:r>
      <w:r w:rsidR="00A86399">
        <w:t>, Report and Order and Third Further Notice of Proposed Rulemaking, 23 FCC Rcd 5922 (2008)</w:t>
      </w:r>
      <w:r w:rsidR="006C008C" w:rsidRPr="3FBA2B76">
        <w:t xml:space="preserve"> (</w:t>
      </w:r>
      <w:r w:rsidR="006C008C" w:rsidRPr="00183094">
        <w:rPr>
          <w:i/>
          <w:iCs/>
        </w:rPr>
        <w:t>Diversity Order</w:t>
      </w:r>
      <w:r w:rsidR="006C008C" w:rsidRPr="3FBA2B76">
        <w:t>)</w:t>
      </w:r>
      <w:r w:rsidR="00A86399" w:rsidRPr="3FBA2B76">
        <w:t xml:space="preserve">.  </w:t>
      </w:r>
      <w:r w:rsidR="004E532A">
        <w:t xml:space="preserve">Finding that the Commission had failed to explain how the eligible entity definition as adopted in the </w:t>
      </w:r>
      <w:r w:rsidR="004E532A" w:rsidRPr="00183094">
        <w:rPr>
          <w:i/>
          <w:iCs/>
        </w:rPr>
        <w:t>Diversity Order</w:t>
      </w:r>
      <w:r w:rsidR="004E532A">
        <w:t xml:space="preserve"> would increase broadcast ownership by minorities and women, </w:t>
      </w:r>
      <w:r w:rsidR="00BD36D9">
        <w:t>the Third Circuit</w:t>
      </w:r>
      <w:r w:rsidR="0082302A" w:rsidRPr="3FBA2B76">
        <w:t>,</w:t>
      </w:r>
      <w:r w:rsidR="00BD36D9" w:rsidRPr="3FBA2B76">
        <w:t xml:space="preserve"> </w:t>
      </w:r>
      <w:r w:rsidR="0082302A">
        <w:t>i</w:t>
      </w:r>
      <w:r w:rsidR="004E532A">
        <w:t xml:space="preserve">n </w:t>
      </w:r>
      <w:r w:rsidR="004E532A" w:rsidRPr="00183094">
        <w:rPr>
          <w:i/>
          <w:iCs/>
        </w:rPr>
        <w:t>Prometheus II</w:t>
      </w:r>
      <w:r w:rsidR="0082302A" w:rsidRPr="3FBA2B76">
        <w:t>,</w:t>
      </w:r>
      <w:r w:rsidR="004E532A" w:rsidRPr="3FBA2B76">
        <w:t xml:space="preserve"> </w:t>
      </w:r>
      <w:r w:rsidR="00BD36D9">
        <w:t xml:space="preserve">vacated and remanded each of the measures adopted in the </w:t>
      </w:r>
      <w:r w:rsidR="00BD36D9" w:rsidRPr="00183094">
        <w:rPr>
          <w:i/>
          <w:iCs/>
        </w:rPr>
        <w:t>Diversity Order</w:t>
      </w:r>
      <w:r w:rsidR="00BD36D9">
        <w:t xml:space="preserve"> that incorporated the eligible entity definition. </w:t>
      </w:r>
      <w:r w:rsidR="00A86399" w:rsidRPr="3FBA2B76">
        <w:t xml:space="preserve"> </w:t>
      </w:r>
      <w:r w:rsidR="00A86399" w:rsidRPr="00183094">
        <w:rPr>
          <w:i/>
          <w:iCs/>
        </w:rPr>
        <w:t>Prometheus Radio Project v. FCC</w:t>
      </w:r>
      <w:r w:rsidR="00A86399">
        <w:t xml:space="preserve">, 652 F.3d 431, 437 (3d Cir. 2011).  </w:t>
      </w:r>
      <w:r w:rsidR="0082302A">
        <w:t xml:space="preserve">The </w:t>
      </w:r>
      <w:r w:rsidR="0082302A" w:rsidRPr="00183094">
        <w:rPr>
          <w:i/>
          <w:iCs/>
        </w:rPr>
        <w:t>Second Report and Order</w:t>
      </w:r>
      <w:r w:rsidR="0082302A">
        <w:t xml:space="preserve"> reinstated the revenue-based eligible entity standard because the Commission finds that doing so would serve the public interest by enabling more small businesses to participate in the broadcast industry, thereby encouraging innovation and expanding ownership and viewpoint diversity.  The Commission concluded that such a standard is an appropriate and worthwhile approach for expanding ownership diversity regardless of whether the standard was also effective in promoting ownership of</w:t>
      </w:r>
      <w:r w:rsidR="0082302A" w:rsidRPr="3FBA2B76" w:rsidDel="0082302A">
        <w:t xml:space="preserve"> </w:t>
      </w:r>
      <w:r w:rsidR="0082302A">
        <w:t>broadcast stations specifically by women and minorities.</w:t>
      </w:r>
      <w:r w:rsidR="0082302A" w:rsidRPr="3FBA2B76" w:rsidDel="0082302A">
        <w:t xml:space="preserve"> </w:t>
      </w:r>
    </w:p>
  </w:footnote>
  <w:footnote w:id="6">
    <w:p w14:paraId="788C0BC5" w14:textId="74CBB734" w:rsidR="00EA4BD0" w:rsidRDefault="00EA4BD0">
      <w:pPr>
        <w:pStyle w:val="FootnoteText"/>
      </w:pPr>
      <w:r>
        <w:rPr>
          <w:rStyle w:val="FootnoteReference"/>
        </w:rPr>
        <w:footnoteRef/>
      </w:r>
      <w:r>
        <w:t xml:space="preserve"> The Commission will issue a Public Notice announcing the effective date of this filing requirement following approval of the information collection by the Office of Management and Budget.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9D05B" w14:textId="77777777" w:rsidR="00B530A4" w:rsidRDefault="00B53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A3DA7" w14:textId="77777777" w:rsidR="00B530A4" w:rsidRDefault="00B53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602B6" w14:textId="77777777" w:rsidR="00ED71E3" w:rsidRDefault="00ED71E3" w:rsidP="00ED71E3">
    <w:pPr>
      <w:pStyle w:val="Header"/>
      <w:spacing w:before="360" w:line="228" w:lineRule="auto"/>
      <w:jc w:val="center"/>
    </w:pPr>
    <w:r>
      <w:rPr>
        <w:noProof/>
      </w:rPr>
      <w:drawing>
        <wp:anchor distT="0" distB="0" distL="114300" distR="114300" simplePos="0" relativeHeight="251659264" behindDoc="0" locked="0" layoutInCell="0" allowOverlap="1" wp14:anchorId="2AF266CC" wp14:editId="305E68B7">
          <wp:simplePos x="0" y="0"/>
          <wp:positionH relativeFrom="column">
            <wp:posOffset>-403860</wp:posOffset>
          </wp:positionH>
          <wp:positionV relativeFrom="paragraph">
            <wp:posOffset>0</wp:posOffset>
          </wp:positionV>
          <wp:extent cx="865505" cy="822960"/>
          <wp:effectExtent l="0" t="0" r="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Pr="001064D9">
      <w:rPr>
        <w:rFonts w:ascii="CG Times (W1)" w:eastAsia="CG Times (W1)" w:hAnsi="CG Times (W1)" w:cs="CG Times (W1)"/>
        <w:sz w:val="28"/>
        <w:szCs w:val="28"/>
      </w:rPr>
      <w:t>Federal Communications Commission</w:t>
    </w:r>
  </w:p>
  <w:p w14:paraId="3992C3A1" w14:textId="77777777" w:rsidR="00ED71E3" w:rsidRDefault="00ED71E3" w:rsidP="00ED71E3">
    <w:pPr>
      <w:jc w:val="center"/>
    </w:pPr>
    <w:smartTag w:uri="urn:schemas-microsoft-com:office:smarttags" w:element="place">
      <w:smartTag w:uri="urn:schemas-microsoft-com:office:smarttags" w:element="City">
        <w:r w:rsidRPr="001064D9">
          <w:rPr>
            <w:rFonts w:ascii="CG Times (W1)" w:eastAsia="CG Times (W1)" w:hAnsi="CG Times (W1)" w:cs="CG Times (W1)"/>
            <w:sz w:val="28"/>
            <w:szCs w:val="28"/>
          </w:rPr>
          <w:t>Washington</w:t>
        </w:r>
      </w:smartTag>
      <w:r w:rsidRPr="001064D9">
        <w:rPr>
          <w:rFonts w:ascii="CG Times (W1)" w:eastAsia="CG Times (W1)" w:hAnsi="CG Times (W1)" w:cs="CG Times (W1)"/>
          <w:sz w:val="28"/>
          <w:szCs w:val="28"/>
        </w:rPr>
        <w:t xml:space="preserve">, </w:t>
      </w:r>
      <w:smartTag w:uri="urn:schemas-microsoft-com:office:smarttags" w:element="State">
        <w:r w:rsidRPr="001064D9">
          <w:rPr>
            <w:rFonts w:ascii="CG Times (W1)" w:eastAsia="CG Times (W1)" w:hAnsi="CG Times (W1)" w:cs="CG Times (W1)"/>
            <w:sz w:val="28"/>
            <w:szCs w:val="28"/>
          </w:rPr>
          <w:t>D.C.</w:t>
        </w:r>
      </w:smartTag>
      <w:r w:rsidRPr="001064D9">
        <w:rPr>
          <w:rFonts w:ascii="CG Times (W1)" w:eastAsia="CG Times (W1)" w:hAnsi="CG Times (W1)" w:cs="CG Times (W1)"/>
          <w:sz w:val="28"/>
          <w:szCs w:val="28"/>
        </w:rPr>
        <w:t xml:space="preserve"> </w:t>
      </w:r>
      <w:smartTag w:uri="urn:schemas-microsoft-com:office:smarttags" w:element="PostalCode">
        <w:r w:rsidRPr="001064D9">
          <w:rPr>
            <w:rFonts w:ascii="CG Times (W1)" w:eastAsia="CG Times (W1)" w:hAnsi="CG Times (W1)" w:cs="CG Times (W1)"/>
            <w:sz w:val="28"/>
            <w:szCs w:val="28"/>
          </w:rPr>
          <w:t>20554</w:t>
        </w:r>
      </w:smartTag>
    </w:smartTag>
  </w:p>
  <w:p w14:paraId="4E67C437" w14:textId="77777777" w:rsidR="00ED71E3" w:rsidRDefault="00ED71E3" w:rsidP="00ED71E3">
    <w:pPr>
      <w:pStyle w:val="Header"/>
      <w:jc w:val="center"/>
      <w:rPr>
        <w:sz w:val="22"/>
      </w:rPr>
    </w:pPr>
  </w:p>
  <w:p w14:paraId="7DDF4BD1" w14:textId="18391E60" w:rsidR="00ED71E3" w:rsidRDefault="00FB07BF" w:rsidP="00ED71E3">
    <w:pPr>
      <w:pStyle w:val="Header"/>
      <w:jc w:val="center"/>
    </w:pPr>
    <w:r>
      <w:t>January 24</w:t>
    </w:r>
    <w:r w:rsidR="00675C45">
      <w:t>, 2017</w:t>
    </w:r>
  </w:p>
  <w:p w14:paraId="0661DAE2" w14:textId="77777777" w:rsidR="002D4C7C" w:rsidRDefault="002D4C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DFB9" w14:textId="77777777" w:rsidR="002D4C7C" w:rsidRDefault="002D4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5FA"/>
    <w:multiLevelType w:val="hybridMultilevel"/>
    <w:tmpl w:val="F8241378"/>
    <w:lvl w:ilvl="0" w:tplc="E6667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056D"/>
    <w:multiLevelType w:val="hybridMultilevel"/>
    <w:tmpl w:val="2D28A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B615C"/>
    <w:multiLevelType w:val="hybridMultilevel"/>
    <w:tmpl w:val="97A6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57105"/>
    <w:multiLevelType w:val="hybridMultilevel"/>
    <w:tmpl w:val="35AC8C4A"/>
    <w:lvl w:ilvl="0" w:tplc="DA8231A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FB285C"/>
    <w:multiLevelType w:val="hybridMultilevel"/>
    <w:tmpl w:val="8354C3A6"/>
    <w:lvl w:ilvl="0" w:tplc="B518C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7417D4"/>
    <w:multiLevelType w:val="hybridMultilevel"/>
    <w:tmpl w:val="270A2638"/>
    <w:lvl w:ilvl="0" w:tplc="819EFD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C3752"/>
    <w:multiLevelType w:val="hybridMultilevel"/>
    <w:tmpl w:val="F7C4E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60D31"/>
    <w:multiLevelType w:val="hybridMultilevel"/>
    <w:tmpl w:val="AC6E72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84690"/>
    <w:multiLevelType w:val="hybridMultilevel"/>
    <w:tmpl w:val="771855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DC264AA"/>
    <w:multiLevelType w:val="hybridMultilevel"/>
    <w:tmpl w:val="3F983E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60D35"/>
    <w:multiLevelType w:val="hybridMultilevel"/>
    <w:tmpl w:val="AA8A0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D4598"/>
    <w:multiLevelType w:val="hybridMultilevel"/>
    <w:tmpl w:val="9938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214E4"/>
    <w:multiLevelType w:val="hybridMultilevel"/>
    <w:tmpl w:val="8354C3A6"/>
    <w:lvl w:ilvl="0" w:tplc="B518C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053B5E"/>
    <w:multiLevelType w:val="hybridMultilevel"/>
    <w:tmpl w:val="A4BC28FA"/>
    <w:lvl w:ilvl="0" w:tplc="D3A2A1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9549E"/>
    <w:multiLevelType w:val="hybridMultilevel"/>
    <w:tmpl w:val="CDE2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928AB"/>
    <w:multiLevelType w:val="hybridMultilevel"/>
    <w:tmpl w:val="2B0CE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5B339D"/>
    <w:multiLevelType w:val="hybridMultilevel"/>
    <w:tmpl w:val="47C01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551ECF"/>
    <w:multiLevelType w:val="hybridMultilevel"/>
    <w:tmpl w:val="5CA2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90C9C"/>
    <w:multiLevelType w:val="multilevel"/>
    <w:tmpl w:val="BF76B34A"/>
    <w:lvl w:ilvl="0">
      <w:start w:val="9"/>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ABC4B1B"/>
    <w:multiLevelType w:val="hybridMultilevel"/>
    <w:tmpl w:val="139A77D0"/>
    <w:lvl w:ilvl="0" w:tplc="EF66D38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D2656C"/>
    <w:multiLevelType w:val="hybridMultilevel"/>
    <w:tmpl w:val="044C4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92570E3"/>
    <w:multiLevelType w:val="hybridMultilevel"/>
    <w:tmpl w:val="0E96D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D67BD0"/>
    <w:multiLevelType w:val="multilevel"/>
    <w:tmpl w:val="BF76B34A"/>
    <w:lvl w:ilvl="0">
      <w:start w:val="9"/>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AD35E69"/>
    <w:multiLevelType w:val="hybridMultilevel"/>
    <w:tmpl w:val="6B7848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67A79F6"/>
    <w:multiLevelType w:val="hybridMultilevel"/>
    <w:tmpl w:val="3D5C5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73A2B81"/>
    <w:multiLevelType w:val="hybridMultilevel"/>
    <w:tmpl w:val="52C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34E65"/>
    <w:multiLevelType w:val="hybridMultilevel"/>
    <w:tmpl w:val="7D64FE7C"/>
    <w:lvl w:ilvl="0" w:tplc="C7406EF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F1926"/>
    <w:multiLevelType w:val="hybridMultilevel"/>
    <w:tmpl w:val="F6DA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6"/>
  </w:num>
  <w:num w:numId="4">
    <w:abstractNumId w:val="9"/>
  </w:num>
  <w:num w:numId="5">
    <w:abstractNumId w:val="0"/>
  </w:num>
  <w:num w:numId="6">
    <w:abstractNumId w:val="1"/>
  </w:num>
  <w:num w:numId="7">
    <w:abstractNumId w:val="21"/>
  </w:num>
  <w:num w:numId="8">
    <w:abstractNumId w:val="21"/>
    <w:lvlOverride w:ilvl="0">
      <w:startOverride w:val="1"/>
    </w:lvlOverride>
  </w:num>
  <w:num w:numId="9">
    <w:abstractNumId w:val="6"/>
  </w:num>
  <w:num w:numId="10">
    <w:abstractNumId w:val="28"/>
  </w:num>
  <w:num w:numId="11">
    <w:abstractNumId w:val="12"/>
  </w:num>
  <w:num w:numId="12">
    <w:abstractNumId w:val="4"/>
  </w:num>
  <w:num w:numId="13">
    <w:abstractNumId w:val="11"/>
  </w:num>
  <w:num w:numId="14">
    <w:abstractNumId w:val="8"/>
  </w:num>
  <w:num w:numId="15">
    <w:abstractNumId w:val="16"/>
  </w:num>
  <w:num w:numId="16">
    <w:abstractNumId w:val="18"/>
  </w:num>
  <w:num w:numId="17">
    <w:abstractNumId w:val="23"/>
  </w:num>
  <w:num w:numId="18">
    <w:abstractNumId w:val="14"/>
  </w:num>
  <w:num w:numId="19">
    <w:abstractNumId w:val="19"/>
  </w:num>
  <w:num w:numId="20">
    <w:abstractNumId w:val="5"/>
  </w:num>
  <w:num w:numId="21">
    <w:abstractNumId w:val="13"/>
  </w:num>
  <w:num w:numId="22">
    <w:abstractNumId w:val="20"/>
  </w:num>
  <w:num w:numId="23">
    <w:abstractNumId w:val="27"/>
  </w:num>
  <w:num w:numId="24">
    <w:abstractNumId w:val="3"/>
  </w:num>
  <w:num w:numId="25">
    <w:abstractNumId w:val="15"/>
  </w:num>
  <w:num w:numId="26">
    <w:abstractNumId w:val="10"/>
  </w:num>
  <w:num w:numId="27">
    <w:abstractNumId w:val="2"/>
  </w:num>
  <w:num w:numId="28">
    <w:abstractNumId w:val="17"/>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3A"/>
    <w:rsid w:val="000052FB"/>
    <w:rsid w:val="0000767F"/>
    <w:rsid w:val="00011BC0"/>
    <w:rsid w:val="00015E67"/>
    <w:rsid w:val="0002026F"/>
    <w:rsid w:val="0002284D"/>
    <w:rsid w:val="00025531"/>
    <w:rsid w:val="0003295A"/>
    <w:rsid w:val="00032AF7"/>
    <w:rsid w:val="000346F1"/>
    <w:rsid w:val="0004564D"/>
    <w:rsid w:val="00051E99"/>
    <w:rsid w:val="000652E6"/>
    <w:rsid w:val="00065CE5"/>
    <w:rsid w:val="0006615B"/>
    <w:rsid w:val="000661CD"/>
    <w:rsid w:val="000713E8"/>
    <w:rsid w:val="00072371"/>
    <w:rsid w:val="0007667F"/>
    <w:rsid w:val="00076B13"/>
    <w:rsid w:val="00077D82"/>
    <w:rsid w:val="00077E74"/>
    <w:rsid w:val="000805CB"/>
    <w:rsid w:val="00090312"/>
    <w:rsid w:val="0009228E"/>
    <w:rsid w:val="0009623F"/>
    <w:rsid w:val="000A06EA"/>
    <w:rsid w:val="000A29CF"/>
    <w:rsid w:val="000A326A"/>
    <w:rsid w:val="000A7EBC"/>
    <w:rsid w:val="000B1CAA"/>
    <w:rsid w:val="000B361C"/>
    <w:rsid w:val="000B3B48"/>
    <w:rsid w:val="000B3D23"/>
    <w:rsid w:val="000B47B3"/>
    <w:rsid w:val="000B632D"/>
    <w:rsid w:val="000B7E86"/>
    <w:rsid w:val="000C2242"/>
    <w:rsid w:val="000C5668"/>
    <w:rsid w:val="000D2DCC"/>
    <w:rsid w:val="000D61C7"/>
    <w:rsid w:val="000E1F67"/>
    <w:rsid w:val="000E65AA"/>
    <w:rsid w:val="000E667D"/>
    <w:rsid w:val="000F4CE5"/>
    <w:rsid w:val="000F4F0E"/>
    <w:rsid w:val="00101A74"/>
    <w:rsid w:val="00102BB8"/>
    <w:rsid w:val="001064D9"/>
    <w:rsid w:val="0010756B"/>
    <w:rsid w:val="001104E0"/>
    <w:rsid w:val="00111A40"/>
    <w:rsid w:val="001154BC"/>
    <w:rsid w:val="001158E3"/>
    <w:rsid w:val="00117CCE"/>
    <w:rsid w:val="00121BB0"/>
    <w:rsid w:val="0012691E"/>
    <w:rsid w:val="00126A40"/>
    <w:rsid w:val="00134D56"/>
    <w:rsid w:val="00136256"/>
    <w:rsid w:val="001364AC"/>
    <w:rsid w:val="0013710A"/>
    <w:rsid w:val="00142ED2"/>
    <w:rsid w:val="0014452C"/>
    <w:rsid w:val="00144E8B"/>
    <w:rsid w:val="00144F5F"/>
    <w:rsid w:val="001579AC"/>
    <w:rsid w:val="00162D02"/>
    <w:rsid w:val="00166645"/>
    <w:rsid w:val="001674C1"/>
    <w:rsid w:val="00173886"/>
    <w:rsid w:val="001757CC"/>
    <w:rsid w:val="00183094"/>
    <w:rsid w:val="00191BA4"/>
    <w:rsid w:val="00192FAE"/>
    <w:rsid w:val="00195F6D"/>
    <w:rsid w:val="0019793C"/>
    <w:rsid w:val="001A1AA0"/>
    <w:rsid w:val="001A386A"/>
    <w:rsid w:val="001A38AE"/>
    <w:rsid w:val="001A41D7"/>
    <w:rsid w:val="001A72C8"/>
    <w:rsid w:val="001A7743"/>
    <w:rsid w:val="001C1DA3"/>
    <w:rsid w:val="001D09C4"/>
    <w:rsid w:val="001D542D"/>
    <w:rsid w:val="001D60C2"/>
    <w:rsid w:val="001D7C26"/>
    <w:rsid w:val="001E0496"/>
    <w:rsid w:val="001E2970"/>
    <w:rsid w:val="001E4396"/>
    <w:rsid w:val="001E51E1"/>
    <w:rsid w:val="001F02FC"/>
    <w:rsid w:val="001F5B32"/>
    <w:rsid w:val="0020108D"/>
    <w:rsid w:val="0020772F"/>
    <w:rsid w:val="002144F0"/>
    <w:rsid w:val="00217214"/>
    <w:rsid w:val="00222815"/>
    <w:rsid w:val="0022424B"/>
    <w:rsid w:val="00226DAD"/>
    <w:rsid w:val="00227B32"/>
    <w:rsid w:val="002307D8"/>
    <w:rsid w:val="002310A2"/>
    <w:rsid w:val="002435C1"/>
    <w:rsid w:val="002457CA"/>
    <w:rsid w:val="00250071"/>
    <w:rsid w:val="002517BD"/>
    <w:rsid w:val="002522CB"/>
    <w:rsid w:val="002531BD"/>
    <w:rsid w:val="00253803"/>
    <w:rsid w:val="00262754"/>
    <w:rsid w:val="00262DD6"/>
    <w:rsid w:val="00270D1E"/>
    <w:rsid w:val="00271145"/>
    <w:rsid w:val="002713F5"/>
    <w:rsid w:val="002721BE"/>
    <w:rsid w:val="002747D8"/>
    <w:rsid w:val="00282A2D"/>
    <w:rsid w:val="00286D39"/>
    <w:rsid w:val="00293265"/>
    <w:rsid w:val="0029580F"/>
    <w:rsid w:val="00295DE4"/>
    <w:rsid w:val="0029662D"/>
    <w:rsid w:val="00297EB5"/>
    <w:rsid w:val="002A637E"/>
    <w:rsid w:val="002B76E6"/>
    <w:rsid w:val="002B7FAC"/>
    <w:rsid w:val="002C346C"/>
    <w:rsid w:val="002C4FED"/>
    <w:rsid w:val="002C7F24"/>
    <w:rsid w:val="002D34D9"/>
    <w:rsid w:val="002D4C7C"/>
    <w:rsid w:val="002D5A62"/>
    <w:rsid w:val="002D6913"/>
    <w:rsid w:val="002E0E17"/>
    <w:rsid w:val="002E1230"/>
    <w:rsid w:val="002E32D3"/>
    <w:rsid w:val="002F1BE5"/>
    <w:rsid w:val="002F4EB0"/>
    <w:rsid w:val="002F5C83"/>
    <w:rsid w:val="002F66C4"/>
    <w:rsid w:val="00303F23"/>
    <w:rsid w:val="00304383"/>
    <w:rsid w:val="0031055E"/>
    <w:rsid w:val="00310642"/>
    <w:rsid w:val="0031647A"/>
    <w:rsid w:val="003178FA"/>
    <w:rsid w:val="00320337"/>
    <w:rsid w:val="00321CF7"/>
    <w:rsid w:val="00331F3A"/>
    <w:rsid w:val="0034098C"/>
    <w:rsid w:val="00342953"/>
    <w:rsid w:val="003436CB"/>
    <w:rsid w:val="003516AB"/>
    <w:rsid w:val="003524BA"/>
    <w:rsid w:val="00354973"/>
    <w:rsid w:val="00360DA0"/>
    <w:rsid w:val="00362C59"/>
    <w:rsid w:val="003642C8"/>
    <w:rsid w:val="003722BE"/>
    <w:rsid w:val="00373B5E"/>
    <w:rsid w:val="00375362"/>
    <w:rsid w:val="0037639B"/>
    <w:rsid w:val="00377019"/>
    <w:rsid w:val="0038095B"/>
    <w:rsid w:val="00381B33"/>
    <w:rsid w:val="00383407"/>
    <w:rsid w:val="00384D2F"/>
    <w:rsid w:val="003852EB"/>
    <w:rsid w:val="00393604"/>
    <w:rsid w:val="003943C0"/>
    <w:rsid w:val="003944B7"/>
    <w:rsid w:val="003974B3"/>
    <w:rsid w:val="003978B2"/>
    <w:rsid w:val="003A0037"/>
    <w:rsid w:val="003A1B9D"/>
    <w:rsid w:val="003A1C88"/>
    <w:rsid w:val="003A3C5B"/>
    <w:rsid w:val="003A59F6"/>
    <w:rsid w:val="003A755E"/>
    <w:rsid w:val="003A7674"/>
    <w:rsid w:val="003B177E"/>
    <w:rsid w:val="003B1B55"/>
    <w:rsid w:val="003B1B8F"/>
    <w:rsid w:val="003B6DFD"/>
    <w:rsid w:val="003C30F2"/>
    <w:rsid w:val="003C4FB7"/>
    <w:rsid w:val="003C5819"/>
    <w:rsid w:val="003C6044"/>
    <w:rsid w:val="003D052D"/>
    <w:rsid w:val="003D38DB"/>
    <w:rsid w:val="003D597B"/>
    <w:rsid w:val="003D664B"/>
    <w:rsid w:val="003D7F04"/>
    <w:rsid w:val="003E1679"/>
    <w:rsid w:val="003E3D0B"/>
    <w:rsid w:val="003F1EF5"/>
    <w:rsid w:val="003F3E8A"/>
    <w:rsid w:val="003F41B7"/>
    <w:rsid w:val="0040091B"/>
    <w:rsid w:val="0040120D"/>
    <w:rsid w:val="00407CFB"/>
    <w:rsid w:val="00411683"/>
    <w:rsid w:val="00416FE7"/>
    <w:rsid w:val="00417F40"/>
    <w:rsid w:val="00420A93"/>
    <w:rsid w:val="00425897"/>
    <w:rsid w:val="00427BE1"/>
    <w:rsid w:val="00430102"/>
    <w:rsid w:val="00430522"/>
    <w:rsid w:val="004452F4"/>
    <w:rsid w:val="0044543D"/>
    <w:rsid w:val="00451BE2"/>
    <w:rsid w:val="004542AA"/>
    <w:rsid w:val="0045449E"/>
    <w:rsid w:val="004545CB"/>
    <w:rsid w:val="004546E5"/>
    <w:rsid w:val="00455BCB"/>
    <w:rsid w:val="0046257B"/>
    <w:rsid w:val="00465871"/>
    <w:rsid w:val="00465F9F"/>
    <w:rsid w:val="00475F3C"/>
    <w:rsid w:val="00486901"/>
    <w:rsid w:val="004923D0"/>
    <w:rsid w:val="00492460"/>
    <w:rsid w:val="004926FD"/>
    <w:rsid w:val="004956FD"/>
    <w:rsid w:val="004A32FA"/>
    <w:rsid w:val="004B3DF6"/>
    <w:rsid w:val="004B3FCA"/>
    <w:rsid w:val="004B58F4"/>
    <w:rsid w:val="004B7D54"/>
    <w:rsid w:val="004C02BA"/>
    <w:rsid w:val="004C1455"/>
    <w:rsid w:val="004C20BD"/>
    <w:rsid w:val="004D2B80"/>
    <w:rsid w:val="004D5543"/>
    <w:rsid w:val="004D55CD"/>
    <w:rsid w:val="004D6DFA"/>
    <w:rsid w:val="004E0E6A"/>
    <w:rsid w:val="004E27C2"/>
    <w:rsid w:val="004E2915"/>
    <w:rsid w:val="004E4F98"/>
    <w:rsid w:val="004E51BB"/>
    <w:rsid w:val="004E532A"/>
    <w:rsid w:val="004E6CEF"/>
    <w:rsid w:val="004F282B"/>
    <w:rsid w:val="004F6A94"/>
    <w:rsid w:val="00500256"/>
    <w:rsid w:val="0050058D"/>
    <w:rsid w:val="00500809"/>
    <w:rsid w:val="00510303"/>
    <w:rsid w:val="00510BEE"/>
    <w:rsid w:val="00511910"/>
    <w:rsid w:val="0051551B"/>
    <w:rsid w:val="00516BD8"/>
    <w:rsid w:val="00520299"/>
    <w:rsid w:val="00520FA7"/>
    <w:rsid w:val="0052250A"/>
    <w:rsid w:val="005241D5"/>
    <w:rsid w:val="00526C5B"/>
    <w:rsid w:val="005307CD"/>
    <w:rsid w:val="0053593C"/>
    <w:rsid w:val="005369B0"/>
    <w:rsid w:val="00540AFF"/>
    <w:rsid w:val="00544764"/>
    <w:rsid w:val="00555CB2"/>
    <w:rsid w:val="00556178"/>
    <w:rsid w:val="0056080F"/>
    <w:rsid w:val="00560DA4"/>
    <w:rsid w:val="005618CA"/>
    <w:rsid w:val="005621FE"/>
    <w:rsid w:val="00570824"/>
    <w:rsid w:val="00574079"/>
    <w:rsid w:val="00574A89"/>
    <w:rsid w:val="005757BC"/>
    <w:rsid w:val="0057595E"/>
    <w:rsid w:val="005761A5"/>
    <w:rsid w:val="00584A77"/>
    <w:rsid w:val="00585264"/>
    <w:rsid w:val="00591CCC"/>
    <w:rsid w:val="00593C27"/>
    <w:rsid w:val="0059519C"/>
    <w:rsid w:val="005A27C4"/>
    <w:rsid w:val="005B0E2E"/>
    <w:rsid w:val="005B3BAB"/>
    <w:rsid w:val="005B3D85"/>
    <w:rsid w:val="005B6055"/>
    <w:rsid w:val="005B73D0"/>
    <w:rsid w:val="005C5C97"/>
    <w:rsid w:val="005C5EEB"/>
    <w:rsid w:val="005C77C8"/>
    <w:rsid w:val="005D0E24"/>
    <w:rsid w:val="005D4583"/>
    <w:rsid w:val="005D5568"/>
    <w:rsid w:val="005D6474"/>
    <w:rsid w:val="005D6C3F"/>
    <w:rsid w:val="005E6D6E"/>
    <w:rsid w:val="005F40FC"/>
    <w:rsid w:val="005F585C"/>
    <w:rsid w:val="00600643"/>
    <w:rsid w:val="00606DDE"/>
    <w:rsid w:val="00607908"/>
    <w:rsid w:val="00612893"/>
    <w:rsid w:val="00615FBE"/>
    <w:rsid w:val="00621DDA"/>
    <w:rsid w:val="0063281A"/>
    <w:rsid w:val="00632CB5"/>
    <w:rsid w:val="00634E54"/>
    <w:rsid w:val="00637585"/>
    <w:rsid w:val="0064155B"/>
    <w:rsid w:val="00642BD1"/>
    <w:rsid w:val="0064590D"/>
    <w:rsid w:val="006514B1"/>
    <w:rsid w:val="006519F9"/>
    <w:rsid w:val="0065555A"/>
    <w:rsid w:val="0066309C"/>
    <w:rsid w:val="00663CEB"/>
    <w:rsid w:val="00663FF8"/>
    <w:rsid w:val="00665F42"/>
    <w:rsid w:val="006752DD"/>
    <w:rsid w:val="00675C45"/>
    <w:rsid w:val="00685BA9"/>
    <w:rsid w:val="00687A8A"/>
    <w:rsid w:val="00691579"/>
    <w:rsid w:val="00691DB4"/>
    <w:rsid w:val="00696843"/>
    <w:rsid w:val="006978DD"/>
    <w:rsid w:val="006A0882"/>
    <w:rsid w:val="006A261E"/>
    <w:rsid w:val="006A35EE"/>
    <w:rsid w:val="006A3614"/>
    <w:rsid w:val="006A3DCB"/>
    <w:rsid w:val="006A4E39"/>
    <w:rsid w:val="006A6CD3"/>
    <w:rsid w:val="006B10C7"/>
    <w:rsid w:val="006B5710"/>
    <w:rsid w:val="006B6925"/>
    <w:rsid w:val="006C008C"/>
    <w:rsid w:val="006C17A4"/>
    <w:rsid w:val="006C2892"/>
    <w:rsid w:val="006C345E"/>
    <w:rsid w:val="006C7678"/>
    <w:rsid w:val="006C79A7"/>
    <w:rsid w:val="006C7CE0"/>
    <w:rsid w:val="006D2ABD"/>
    <w:rsid w:val="006D41D3"/>
    <w:rsid w:val="006D5E48"/>
    <w:rsid w:val="006D770E"/>
    <w:rsid w:val="006D7E36"/>
    <w:rsid w:val="006E0D50"/>
    <w:rsid w:val="006E153A"/>
    <w:rsid w:val="006E59C2"/>
    <w:rsid w:val="006E655A"/>
    <w:rsid w:val="006F737C"/>
    <w:rsid w:val="00701168"/>
    <w:rsid w:val="007034C7"/>
    <w:rsid w:val="00706F4B"/>
    <w:rsid w:val="00710ACB"/>
    <w:rsid w:val="00711651"/>
    <w:rsid w:val="0071371B"/>
    <w:rsid w:val="00714818"/>
    <w:rsid w:val="00715907"/>
    <w:rsid w:val="007173B2"/>
    <w:rsid w:val="00722D28"/>
    <w:rsid w:val="00723F09"/>
    <w:rsid w:val="00725015"/>
    <w:rsid w:val="00727978"/>
    <w:rsid w:val="00732656"/>
    <w:rsid w:val="00736306"/>
    <w:rsid w:val="00740113"/>
    <w:rsid w:val="00740E65"/>
    <w:rsid w:val="00741AD8"/>
    <w:rsid w:val="00741D5C"/>
    <w:rsid w:val="007438B3"/>
    <w:rsid w:val="00743EC9"/>
    <w:rsid w:val="0074409F"/>
    <w:rsid w:val="00744231"/>
    <w:rsid w:val="00751893"/>
    <w:rsid w:val="00755325"/>
    <w:rsid w:val="0075745C"/>
    <w:rsid w:val="00757A1C"/>
    <w:rsid w:val="0076067D"/>
    <w:rsid w:val="00764445"/>
    <w:rsid w:val="007650AF"/>
    <w:rsid w:val="007716D0"/>
    <w:rsid w:val="00773CC8"/>
    <w:rsid w:val="00776B44"/>
    <w:rsid w:val="00777069"/>
    <w:rsid w:val="00783DD7"/>
    <w:rsid w:val="007925B2"/>
    <w:rsid w:val="00793281"/>
    <w:rsid w:val="00793FC1"/>
    <w:rsid w:val="00795C60"/>
    <w:rsid w:val="007A11CB"/>
    <w:rsid w:val="007B044B"/>
    <w:rsid w:val="007B1790"/>
    <w:rsid w:val="007C6ACC"/>
    <w:rsid w:val="007D4583"/>
    <w:rsid w:val="007D49F7"/>
    <w:rsid w:val="007D4CF4"/>
    <w:rsid w:val="007D59D2"/>
    <w:rsid w:val="007D6E8F"/>
    <w:rsid w:val="007D773B"/>
    <w:rsid w:val="007E0986"/>
    <w:rsid w:val="007E1077"/>
    <w:rsid w:val="007E3BED"/>
    <w:rsid w:val="007E4436"/>
    <w:rsid w:val="007E5235"/>
    <w:rsid w:val="007E78DC"/>
    <w:rsid w:val="007F44C5"/>
    <w:rsid w:val="007F4FA4"/>
    <w:rsid w:val="007F7B49"/>
    <w:rsid w:val="00807A9E"/>
    <w:rsid w:val="008114D4"/>
    <w:rsid w:val="0081344C"/>
    <w:rsid w:val="00822DAF"/>
    <w:rsid w:val="0082302A"/>
    <w:rsid w:val="00825219"/>
    <w:rsid w:val="00826181"/>
    <w:rsid w:val="0083129B"/>
    <w:rsid w:val="00833296"/>
    <w:rsid w:val="00852425"/>
    <w:rsid w:val="0085457E"/>
    <w:rsid w:val="00875615"/>
    <w:rsid w:val="00876F9F"/>
    <w:rsid w:val="00884E76"/>
    <w:rsid w:val="00885A4B"/>
    <w:rsid w:val="008867A0"/>
    <w:rsid w:val="00890525"/>
    <w:rsid w:val="00893073"/>
    <w:rsid w:val="008930E3"/>
    <w:rsid w:val="00897E1B"/>
    <w:rsid w:val="008A2E0C"/>
    <w:rsid w:val="008A4A77"/>
    <w:rsid w:val="008B0C72"/>
    <w:rsid w:val="008C2F8B"/>
    <w:rsid w:val="008C5D15"/>
    <w:rsid w:val="008D3F9F"/>
    <w:rsid w:val="008E072F"/>
    <w:rsid w:val="008E0E42"/>
    <w:rsid w:val="008E4929"/>
    <w:rsid w:val="008E786F"/>
    <w:rsid w:val="008E7EBA"/>
    <w:rsid w:val="008F078A"/>
    <w:rsid w:val="008F1C50"/>
    <w:rsid w:val="008F33E5"/>
    <w:rsid w:val="008F3787"/>
    <w:rsid w:val="008F4353"/>
    <w:rsid w:val="008F54B7"/>
    <w:rsid w:val="008F5E46"/>
    <w:rsid w:val="00906A39"/>
    <w:rsid w:val="009073F1"/>
    <w:rsid w:val="009127B3"/>
    <w:rsid w:val="00920AE2"/>
    <w:rsid w:val="00921836"/>
    <w:rsid w:val="009239D1"/>
    <w:rsid w:val="00946C4C"/>
    <w:rsid w:val="0095125C"/>
    <w:rsid w:val="00955AD4"/>
    <w:rsid w:val="00955F03"/>
    <w:rsid w:val="009621E9"/>
    <w:rsid w:val="00973800"/>
    <w:rsid w:val="0097592C"/>
    <w:rsid w:val="00980609"/>
    <w:rsid w:val="00980FB4"/>
    <w:rsid w:val="00981A38"/>
    <w:rsid w:val="00990CF9"/>
    <w:rsid w:val="009916C8"/>
    <w:rsid w:val="0099179A"/>
    <w:rsid w:val="00992E7C"/>
    <w:rsid w:val="00994C47"/>
    <w:rsid w:val="00997164"/>
    <w:rsid w:val="009A37B9"/>
    <w:rsid w:val="009A5AB6"/>
    <w:rsid w:val="009B11DF"/>
    <w:rsid w:val="009B6F18"/>
    <w:rsid w:val="009C3D9E"/>
    <w:rsid w:val="009C3E07"/>
    <w:rsid w:val="009C4590"/>
    <w:rsid w:val="009C4C9D"/>
    <w:rsid w:val="009C52CC"/>
    <w:rsid w:val="009D45E2"/>
    <w:rsid w:val="009D64AA"/>
    <w:rsid w:val="009E06C8"/>
    <w:rsid w:val="009E0D82"/>
    <w:rsid w:val="009E26FE"/>
    <w:rsid w:val="009E5C5E"/>
    <w:rsid w:val="009F2D88"/>
    <w:rsid w:val="009F4855"/>
    <w:rsid w:val="009F577E"/>
    <w:rsid w:val="009F711D"/>
    <w:rsid w:val="00A00B98"/>
    <w:rsid w:val="00A06030"/>
    <w:rsid w:val="00A06910"/>
    <w:rsid w:val="00A10036"/>
    <w:rsid w:val="00A20E5A"/>
    <w:rsid w:val="00A231A4"/>
    <w:rsid w:val="00A23E93"/>
    <w:rsid w:val="00A247D6"/>
    <w:rsid w:val="00A25E16"/>
    <w:rsid w:val="00A26754"/>
    <w:rsid w:val="00A30885"/>
    <w:rsid w:val="00A31A23"/>
    <w:rsid w:val="00A33810"/>
    <w:rsid w:val="00A37348"/>
    <w:rsid w:val="00A37D8D"/>
    <w:rsid w:val="00A41870"/>
    <w:rsid w:val="00A62C2A"/>
    <w:rsid w:val="00A70684"/>
    <w:rsid w:val="00A74066"/>
    <w:rsid w:val="00A81E4E"/>
    <w:rsid w:val="00A86399"/>
    <w:rsid w:val="00A86E87"/>
    <w:rsid w:val="00A93F91"/>
    <w:rsid w:val="00A95362"/>
    <w:rsid w:val="00A95C66"/>
    <w:rsid w:val="00A95F69"/>
    <w:rsid w:val="00AA3ADE"/>
    <w:rsid w:val="00AA3F5E"/>
    <w:rsid w:val="00AB4E91"/>
    <w:rsid w:val="00AB6914"/>
    <w:rsid w:val="00AC448D"/>
    <w:rsid w:val="00AD1318"/>
    <w:rsid w:val="00AD18CF"/>
    <w:rsid w:val="00AD2561"/>
    <w:rsid w:val="00AD529C"/>
    <w:rsid w:val="00AD5B7B"/>
    <w:rsid w:val="00AE14A3"/>
    <w:rsid w:val="00AE18C7"/>
    <w:rsid w:val="00AE3FB2"/>
    <w:rsid w:val="00AE5E27"/>
    <w:rsid w:val="00AE738B"/>
    <w:rsid w:val="00B00ED5"/>
    <w:rsid w:val="00B02842"/>
    <w:rsid w:val="00B05809"/>
    <w:rsid w:val="00B072E9"/>
    <w:rsid w:val="00B10C1B"/>
    <w:rsid w:val="00B12C92"/>
    <w:rsid w:val="00B13F1E"/>
    <w:rsid w:val="00B15316"/>
    <w:rsid w:val="00B16A2D"/>
    <w:rsid w:val="00B236A6"/>
    <w:rsid w:val="00B254F2"/>
    <w:rsid w:val="00B32809"/>
    <w:rsid w:val="00B3547D"/>
    <w:rsid w:val="00B41D77"/>
    <w:rsid w:val="00B43219"/>
    <w:rsid w:val="00B476E4"/>
    <w:rsid w:val="00B530A4"/>
    <w:rsid w:val="00B54A37"/>
    <w:rsid w:val="00B5564D"/>
    <w:rsid w:val="00B56747"/>
    <w:rsid w:val="00B61797"/>
    <w:rsid w:val="00B62468"/>
    <w:rsid w:val="00B648FB"/>
    <w:rsid w:val="00B6607D"/>
    <w:rsid w:val="00B66A19"/>
    <w:rsid w:val="00B71743"/>
    <w:rsid w:val="00B72310"/>
    <w:rsid w:val="00B76DCD"/>
    <w:rsid w:val="00B85DC1"/>
    <w:rsid w:val="00B97BDE"/>
    <w:rsid w:val="00BA14E2"/>
    <w:rsid w:val="00BA329B"/>
    <w:rsid w:val="00BA32B3"/>
    <w:rsid w:val="00BA53D8"/>
    <w:rsid w:val="00BA6013"/>
    <w:rsid w:val="00BB156E"/>
    <w:rsid w:val="00BC0C08"/>
    <w:rsid w:val="00BC144F"/>
    <w:rsid w:val="00BD050C"/>
    <w:rsid w:val="00BD19F1"/>
    <w:rsid w:val="00BD36D9"/>
    <w:rsid w:val="00BD4A0C"/>
    <w:rsid w:val="00BD51C5"/>
    <w:rsid w:val="00BD5285"/>
    <w:rsid w:val="00BE07AC"/>
    <w:rsid w:val="00BE279E"/>
    <w:rsid w:val="00BE45ED"/>
    <w:rsid w:val="00BF0B5F"/>
    <w:rsid w:val="00BF242F"/>
    <w:rsid w:val="00BF3189"/>
    <w:rsid w:val="00BF3DDE"/>
    <w:rsid w:val="00BF6D44"/>
    <w:rsid w:val="00C03F18"/>
    <w:rsid w:val="00C04586"/>
    <w:rsid w:val="00C04747"/>
    <w:rsid w:val="00C04A3B"/>
    <w:rsid w:val="00C077DB"/>
    <w:rsid w:val="00C107BD"/>
    <w:rsid w:val="00C142EC"/>
    <w:rsid w:val="00C16940"/>
    <w:rsid w:val="00C22F1E"/>
    <w:rsid w:val="00C24F67"/>
    <w:rsid w:val="00C33DCD"/>
    <w:rsid w:val="00C345E2"/>
    <w:rsid w:val="00C368FF"/>
    <w:rsid w:val="00C37C0F"/>
    <w:rsid w:val="00C456EF"/>
    <w:rsid w:val="00C45D32"/>
    <w:rsid w:val="00C5189C"/>
    <w:rsid w:val="00C5206D"/>
    <w:rsid w:val="00C63ACF"/>
    <w:rsid w:val="00C677A7"/>
    <w:rsid w:val="00C7278D"/>
    <w:rsid w:val="00C74078"/>
    <w:rsid w:val="00C74F4D"/>
    <w:rsid w:val="00C77C9F"/>
    <w:rsid w:val="00C803F9"/>
    <w:rsid w:val="00C82805"/>
    <w:rsid w:val="00C874DA"/>
    <w:rsid w:val="00CA0A77"/>
    <w:rsid w:val="00CA2CA5"/>
    <w:rsid w:val="00CA4340"/>
    <w:rsid w:val="00CA481F"/>
    <w:rsid w:val="00CA5AE5"/>
    <w:rsid w:val="00CB0764"/>
    <w:rsid w:val="00CB24A2"/>
    <w:rsid w:val="00CB667C"/>
    <w:rsid w:val="00CC2449"/>
    <w:rsid w:val="00CC305E"/>
    <w:rsid w:val="00CC4D44"/>
    <w:rsid w:val="00CC50AA"/>
    <w:rsid w:val="00CC65F1"/>
    <w:rsid w:val="00CC6DD6"/>
    <w:rsid w:val="00CD4010"/>
    <w:rsid w:val="00CD6B87"/>
    <w:rsid w:val="00CE2218"/>
    <w:rsid w:val="00CF0548"/>
    <w:rsid w:val="00CF3F52"/>
    <w:rsid w:val="00D00DFD"/>
    <w:rsid w:val="00D01E7B"/>
    <w:rsid w:val="00D0454E"/>
    <w:rsid w:val="00D049F6"/>
    <w:rsid w:val="00D0586A"/>
    <w:rsid w:val="00D1019F"/>
    <w:rsid w:val="00D1140B"/>
    <w:rsid w:val="00D24543"/>
    <w:rsid w:val="00D265C2"/>
    <w:rsid w:val="00D276DE"/>
    <w:rsid w:val="00D35020"/>
    <w:rsid w:val="00D3553A"/>
    <w:rsid w:val="00D45FFE"/>
    <w:rsid w:val="00D47BD2"/>
    <w:rsid w:val="00D51AD4"/>
    <w:rsid w:val="00D57479"/>
    <w:rsid w:val="00D57DAE"/>
    <w:rsid w:val="00D62803"/>
    <w:rsid w:val="00D6340A"/>
    <w:rsid w:val="00D66094"/>
    <w:rsid w:val="00D75AE0"/>
    <w:rsid w:val="00D76C94"/>
    <w:rsid w:val="00D81355"/>
    <w:rsid w:val="00D83898"/>
    <w:rsid w:val="00D84366"/>
    <w:rsid w:val="00D86FAC"/>
    <w:rsid w:val="00D87145"/>
    <w:rsid w:val="00D913B0"/>
    <w:rsid w:val="00D922D6"/>
    <w:rsid w:val="00D93BB5"/>
    <w:rsid w:val="00D944D9"/>
    <w:rsid w:val="00D958BA"/>
    <w:rsid w:val="00D96FC4"/>
    <w:rsid w:val="00DA08D1"/>
    <w:rsid w:val="00DA1D2A"/>
    <w:rsid w:val="00DA382E"/>
    <w:rsid w:val="00DA7DAB"/>
    <w:rsid w:val="00DB2B1F"/>
    <w:rsid w:val="00DB52F3"/>
    <w:rsid w:val="00DB72CC"/>
    <w:rsid w:val="00DB738C"/>
    <w:rsid w:val="00DC1784"/>
    <w:rsid w:val="00DC1901"/>
    <w:rsid w:val="00DC1A19"/>
    <w:rsid w:val="00DC1B77"/>
    <w:rsid w:val="00DC326A"/>
    <w:rsid w:val="00DC62C0"/>
    <w:rsid w:val="00DC77E7"/>
    <w:rsid w:val="00DD14D1"/>
    <w:rsid w:val="00DD62C8"/>
    <w:rsid w:val="00DE13E2"/>
    <w:rsid w:val="00DE35ED"/>
    <w:rsid w:val="00DE39C7"/>
    <w:rsid w:val="00DE5EB5"/>
    <w:rsid w:val="00DE64B8"/>
    <w:rsid w:val="00DF02D6"/>
    <w:rsid w:val="00DF4021"/>
    <w:rsid w:val="00DF5328"/>
    <w:rsid w:val="00E04819"/>
    <w:rsid w:val="00E102AB"/>
    <w:rsid w:val="00E115CC"/>
    <w:rsid w:val="00E13D72"/>
    <w:rsid w:val="00E149BB"/>
    <w:rsid w:val="00E14E95"/>
    <w:rsid w:val="00E179B3"/>
    <w:rsid w:val="00E21375"/>
    <w:rsid w:val="00E30364"/>
    <w:rsid w:val="00E30BFA"/>
    <w:rsid w:val="00E34660"/>
    <w:rsid w:val="00E4565C"/>
    <w:rsid w:val="00E5343A"/>
    <w:rsid w:val="00E56B0B"/>
    <w:rsid w:val="00E56DFF"/>
    <w:rsid w:val="00E56F55"/>
    <w:rsid w:val="00E5746D"/>
    <w:rsid w:val="00E6590D"/>
    <w:rsid w:val="00E703A8"/>
    <w:rsid w:val="00E73150"/>
    <w:rsid w:val="00E73CD0"/>
    <w:rsid w:val="00E809A1"/>
    <w:rsid w:val="00E81194"/>
    <w:rsid w:val="00E86F94"/>
    <w:rsid w:val="00E872F9"/>
    <w:rsid w:val="00E90C87"/>
    <w:rsid w:val="00E924FE"/>
    <w:rsid w:val="00E92FA3"/>
    <w:rsid w:val="00E9333D"/>
    <w:rsid w:val="00E93416"/>
    <w:rsid w:val="00EA4BD0"/>
    <w:rsid w:val="00EA68FC"/>
    <w:rsid w:val="00EB3AE0"/>
    <w:rsid w:val="00EB3BA1"/>
    <w:rsid w:val="00EB441D"/>
    <w:rsid w:val="00EB4CB1"/>
    <w:rsid w:val="00EB6C3A"/>
    <w:rsid w:val="00EC0231"/>
    <w:rsid w:val="00EC0991"/>
    <w:rsid w:val="00EC1445"/>
    <w:rsid w:val="00ED19A9"/>
    <w:rsid w:val="00ED447C"/>
    <w:rsid w:val="00ED5402"/>
    <w:rsid w:val="00ED71E3"/>
    <w:rsid w:val="00EE23CD"/>
    <w:rsid w:val="00EE5B08"/>
    <w:rsid w:val="00EE734A"/>
    <w:rsid w:val="00EE7946"/>
    <w:rsid w:val="00EF2B0F"/>
    <w:rsid w:val="00EF7459"/>
    <w:rsid w:val="00F00540"/>
    <w:rsid w:val="00F011C2"/>
    <w:rsid w:val="00F020D5"/>
    <w:rsid w:val="00F11120"/>
    <w:rsid w:val="00F27D47"/>
    <w:rsid w:val="00F3184F"/>
    <w:rsid w:val="00F55D4E"/>
    <w:rsid w:val="00F64E11"/>
    <w:rsid w:val="00F67A3F"/>
    <w:rsid w:val="00F72F2E"/>
    <w:rsid w:val="00F8248F"/>
    <w:rsid w:val="00F8480F"/>
    <w:rsid w:val="00F873DC"/>
    <w:rsid w:val="00F90DF1"/>
    <w:rsid w:val="00F96145"/>
    <w:rsid w:val="00F961E3"/>
    <w:rsid w:val="00FA0A44"/>
    <w:rsid w:val="00FA0EAA"/>
    <w:rsid w:val="00FA424C"/>
    <w:rsid w:val="00FA4901"/>
    <w:rsid w:val="00FA560F"/>
    <w:rsid w:val="00FA5E6E"/>
    <w:rsid w:val="00FA6E38"/>
    <w:rsid w:val="00FA6F12"/>
    <w:rsid w:val="00FA718F"/>
    <w:rsid w:val="00FB07BF"/>
    <w:rsid w:val="00FB0F1E"/>
    <w:rsid w:val="00FB435C"/>
    <w:rsid w:val="00FC4A18"/>
    <w:rsid w:val="00FC5D37"/>
    <w:rsid w:val="00FC6054"/>
    <w:rsid w:val="00FC66CF"/>
    <w:rsid w:val="00FC69F2"/>
    <w:rsid w:val="00FD1569"/>
    <w:rsid w:val="00FD4143"/>
    <w:rsid w:val="00FE2E93"/>
    <w:rsid w:val="00FE46B2"/>
    <w:rsid w:val="00FE4CD3"/>
    <w:rsid w:val="00FF2F6F"/>
    <w:rsid w:val="00FF31E4"/>
    <w:rsid w:val="00FF6053"/>
    <w:rsid w:val="0928DF5E"/>
    <w:rsid w:val="0A33A77D"/>
    <w:rsid w:val="0B436C43"/>
    <w:rsid w:val="0C887461"/>
    <w:rsid w:val="0F79ADBE"/>
    <w:rsid w:val="11B8840B"/>
    <w:rsid w:val="14AAE740"/>
    <w:rsid w:val="14E355E3"/>
    <w:rsid w:val="1A4D4609"/>
    <w:rsid w:val="1EF87CA9"/>
    <w:rsid w:val="20BB6C6A"/>
    <w:rsid w:val="234DC245"/>
    <w:rsid w:val="2754E72A"/>
    <w:rsid w:val="2AD13899"/>
    <w:rsid w:val="2D29D794"/>
    <w:rsid w:val="2D79AF6B"/>
    <w:rsid w:val="31A84B61"/>
    <w:rsid w:val="368CD01D"/>
    <w:rsid w:val="36959284"/>
    <w:rsid w:val="3B08E2E8"/>
    <w:rsid w:val="3D179BFB"/>
    <w:rsid w:val="3F2754EE"/>
    <w:rsid w:val="3F7E2B22"/>
    <w:rsid w:val="3FBA2B76"/>
    <w:rsid w:val="40A0198C"/>
    <w:rsid w:val="41AE32D1"/>
    <w:rsid w:val="427570B6"/>
    <w:rsid w:val="4C18B35A"/>
    <w:rsid w:val="4C513E04"/>
    <w:rsid w:val="4EB1D8DE"/>
    <w:rsid w:val="576B1676"/>
    <w:rsid w:val="58C47F9E"/>
    <w:rsid w:val="5B0CD44E"/>
    <w:rsid w:val="61FDD8C1"/>
    <w:rsid w:val="64655096"/>
    <w:rsid w:val="664CE2D3"/>
    <w:rsid w:val="66A0994F"/>
    <w:rsid w:val="6C336E42"/>
    <w:rsid w:val="6E43EB03"/>
    <w:rsid w:val="70FB48A0"/>
    <w:rsid w:val="745818BE"/>
    <w:rsid w:val="74BC529A"/>
    <w:rsid w:val="758F3376"/>
    <w:rsid w:val="79F89CB3"/>
    <w:rsid w:val="7C744F4F"/>
    <w:rsid w:val="7DEC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21"/>
    <o:shapelayout v:ext="edit">
      <o:idmap v:ext="edit" data="1"/>
    </o:shapelayout>
  </w:shapeDefaults>
  <w:decimalSymbol w:val="."/>
  <w:listSeparator w:val=","/>
  <w14:docId w14:val="453E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53"/>
    <w:pPr>
      <w:tabs>
        <w:tab w:val="center" w:pos="4680"/>
        <w:tab w:val="right" w:pos="9360"/>
      </w:tabs>
    </w:pPr>
  </w:style>
  <w:style w:type="character" w:customStyle="1" w:styleId="HeaderChar">
    <w:name w:val="Header Char"/>
    <w:basedOn w:val="DefaultParagraphFont"/>
    <w:link w:val="Header"/>
    <w:uiPriority w:val="99"/>
    <w:rsid w:val="00342953"/>
    <w:rPr>
      <w:sz w:val="24"/>
      <w:szCs w:val="24"/>
    </w:rPr>
  </w:style>
  <w:style w:type="paragraph" w:styleId="Footer">
    <w:name w:val="footer"/>
    <w:basedOn w:val="Normal"/>
    <w:link w:val="FooterChar"/>
    <w:uiPriority w:val="99"/>
    <w:unhideWhenUsed/>
    <w:rsid w:val="00342953"/>
    <w:pPr>
      <w:tabs>
        <w:tab w:val="center" w:pos="4680"/>
        <w:tab w:val="right" w:pos="9360"/>
      </w:tabs>
    </w:pPr>
  </w:style>
  <w:style w:type="character" w:customStyle="1" w:styleId="FooterChar">
    <w:name w:val="Footer Char"/>
    <w:basedOn w:val="DefaultParagraphFont"/>
    <w:link w:val="Footer"/>
    <w:uiPriority w:val="99"/>
    <w:rsid w:val="00342953"/>
    <w:rPr>
      <w:sz w:val="24"/>
      <w:szCs w:val="24"/>
    </w:rPr>
  </w:style>
  <w:style w:type="character" w:styleId="Hyperlink">
    <w:name w:val="Hyperlink"/>
    <w:basedOn w:val="DefaultParagraphFont"/>
    <w:uiPriority w:val="99"/>
    <w:unhideWhenUsed/>
    <w:rsid w:val="008867A0"/>
    <w:rPr>
      <w:color w:val="0000FF" w:themeColor="hyperlink"/>
      <w:u w:val="single"/>
    </w:rPr>
  </w:style>
  <w:style w:type="paragraph" w:styleId="ListParagraph">
    <w:name w:val="List Paragraph"/>
    <w:basedOn w:val="Normal"/>
    <w:uiPriority w:val="34"/>
    <w:qFormat/>
    <w:rsid w:val="00CF3F52"/>
    <w:pPr>
      <w:ind w:left="720"/>
      <w:contextualSpacing/>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basedOn w:val="Normal"/>
    <w:link w:val="FootnoteTextChar"/>
    <w:unhideWhenUsed/>
    <w:rsid w:val="006A0882"/>
    <w:rPr>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6A0882"/>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nhideWhenUsed/>
    <w:rsid w:val="006A0882"/>
    <w:rPr>
      <w:vertAlign w:val="superscript"/>
    </w:rPr>
  </w:style>
  <w:style w:type="paragraph" w:styleId="BalloonText">
    <w:name w:val="Balloon Text"/>
    <w:basedOn w:val="Normal"/>
    <w:link w:val="BalloonTextChar"/>
    <w:uiPriority w:val="99"/>
    <w:semiHidden/>
    <w:unhideWhenUsed/>
    <w:rsid w:val="00FC4A18"/>
    <w:rPr>
      <w:rFonts w:ascii="Tahoma" w:hAnsi="Tahoma" w:cs="Tahoma"/>
      <w:sz w:val="16"/>
      <w:szCs w:val="16"/>
    </w:rPr>
  </w:style>
  <w:style w:type="character" w:customStyle="1" w:styleId="BalloonTextChar">
    <w:name w:val="Balloon Text Char"/>
    <w:basedOn w:val="DefaultParagraphFont"/>
    <w:link w:val="BalloonText"/>
    <w:uiPriority w:val="99"/>
    <w:semiHidden/>
    <w:rsid w:val="00FC4A18"/>
    <w:rPr>
      <w:rFonts w:ascii="Tahoma" w:hAnsi="Tahoma" w:cs="Tahoma"/>
      <w:sz w:val="16"/>
      <w:szCs w:val="16"/>
    </w:rPr>
  </w:style>
  <w:style w:type="paragraph" w:customStyle="1" w:styleId="Default">
    <w:name w:val="Default"/>
    <w:rsid w:val="009C52C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D6C3F"/>
    <w:rPr>
      <w:sz w:val="16"/>
      <w:szCs w:val="16"/>
    </w:rPr>
  </w:style>
  <w:style w:type="paragraph" w:styleId="CommentText">
    <w:name w:val="annotation text"/>
    <w:basedOn w:val="Normal"/>
    <w:link w:val="CommentTextChar"/>
    <w:uiPriority w:val="99"/>
    <w:semiHidden/>
    <w:unhideWhenUsed/>
    <w:rsid w:val="005D6C3F"/>
    <w:rPr>
      <w:sz w:val="20"/>
      <w:szCs w:val="20"/>
    </w:rPr>
  </w:style>
  <w:style w:type="character" w:customStyle="1" w:styleId="CommentTextChar">
    <w:name w:val="Comment Text Char"/>
    <w:basedOn w:val="DefaultParagraphFont"/>
    <w:link w:val="CommentText"/>
    <w:uiPriority w:val="99"/>
    <w:semiHidden/>
    <w:rsid w:val="005D6C3F"/>
  </w:style>
  <w:style w:type="paragraph" w:styleId="CommentSubject">
    <w:name w:val="annotation subject"/>
    <w:basedOn w:val="CommentText"/>
    <w:next w:val="CommentText"/>
    <w:link w:val="CommentSubjectChar"/>
    <w:uiPriority w:val="99"/>
    <w:semiHidden/>
    <w:unhideWhenUsed/>
    <w:rsid w:val="005D6C3F"/>
    <w:rPr>
      <w:b/>
      <w:bCs/>
    </w:rPr>
  </w:style>
  <w:style w:type="character" w:customStyle="1" w:styleId="CommentSubjectChar">
    <w:name w:val="Comment Subject Char"/>
    <w:basedOn w:val="CommentTextChar"/>
    <w:link w:val="CommentSubject"/>
    <w:uiPriority w:val="99"/>
    <w:semiHidden/>
    <w:rsid w:val="005D6C3F"/>
    <w:rPr>
      <w:b/>
      <w:bCs/>
    </w:rPr>
  </w:style>
  <w:style w:type="character" w:styleId="FollowedHyperlink">
    <w:name w:val="FollowedHyperlink"/>
    <w:basedOn w:val="DefaultParagraphFont"/>
    <w:uiPriority w:val="99"/>
    <w:semiHidden/>
    <w:unhideWhenUsed/>
    <w:rsid w:val="002E1230"/>
    <w:rPr>
      <w:color w:val="800080" w:themeColor="followedHyperlink"/>
      <w:u w:val="single"/>
    </w:rPr>
  </w:style>
  <w:style w:type="paragraph" w:customStyle="1" w:styleId="ParaNum">
    <w:name w:val="ParaNum"/>
    <w:basedOn w:val="Normal"/>
    <w:link w:val="ParaNumCharChar1"/>
    <w:rsid w:val="008B0C72"/>
    <w:pPr>
      <w:widowControl w:val="0"/>
      <w:numPr>
        <w:numId w:val="7"/>
      </w:numPr>
      <w:tabs>
        <w:tab w:val="clear" w:pos="1080"/>
        <w:tab w:val="num" w:pos="1440"/>
      </w:tabs>
      <w:spacing w:after="120"/>
    </w:pPr>
    <w:rPr>
      <w:snapToGrid w:val="0"/>
      <w:kern w:val="28"/>
      <w:sz w:val="22"/>
      <w:szCs w:val="20"/>
    </w:rPr>
  </w:style>
  <w:style w:type="character" w:customStyle="1" w:styleId="ParaNumCharChar1">
    <w:name w:val="ParaNum Char Char1"/>
    <w:link w:val="ParaNum"/>
    <w:locked/>
    <w:rsid w:val="008B0C72"/>
    <w:rPr>
      <w:snapToGrid w:val="0"/>
      <w:kern w:val="28"/>
      <w:sz w:val="22"/>
    </w:rPr>
  </w:style>
  <w:style w:type="paragraph" w:styleId="NormalWeb">
    <w:name w:val="Normal (Web)"/>
    <w:basedOn w:val="Normal"/>
    <w:uiPriority w:val="99"/>
    <w:rsid w:val="008F3787"/>
    <w:rPr>
      <w:snapToGrid w:val="0"/>
    </w:rPr>
  </w:style>
  <w:style w:type="paragraph" w:styleId="TOC1">
    <w:name w:val="toc 1"/>
    <w:basedOn w:val="Normal"/>
    <w:next w:val="Normal"/>
    <w:rsid w:val="00FF2F6F"/>
    <w:pPr>
      <w:widowControl w:val="0"/>
      <w:tabs>
        <w:tab w:val="left" w:pos="360"/>
        <w:tab w:val="right" w:leader="dot" w:pos="9360"/>
      </w:tabs>
      <w:suppressAutoHyphens/>
      <w:ind w:left="360" w:right="720" w:hanging="360"/>
    </w:pPr>
    <w:rPr>
      <w:caps/>
      <w:noProof/>
      <w:snapToGrid w:val="0"/>
      <w:kern w:val="28"/>
      <w:sz w:val="22"/>
      <w:szCs w:val="20"/>
    </w:rPr>
  </w:style>
  <w:style w:type="paragraph" w:styleId="PlainText">
    <w:name w:val="Plain Text"/>
    <w:basedOn w:val="Normal"/>
    <w:link w:val="PlainTextChar"/>
    <w:uiPriority w:val="99"/>
    <w:rsid w:val="00FF2F6F"/>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FF2F6F"/>
    <w:rPr>
      <w:rFonts w:ascii="Courier New" w:eastAsia="MS Mincho" w:hAnsi="Courier New" w:cs="Courier New"/>
      <w:lang w:eastAsia="ja-JP"/>
    </w:rPr>
  </w:style>
  <w:style w:type="paragraph" w:styleId="Revision">
    <w:name w:val="Revision"/>
    <w:hidden/>
    <w:uiPriority w:val="99"/>
    <w:semiHidden/>
    <w:rsid w:val="00B254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53"/>
    <w:pPr>
      <w:tabs>
        <w:tab w:val="center" w:pos="4680"/>
        <w:tab w:val="right" w:pos="9360"/>
      </w:tabs>
    </w:pPr>
  </w:style>
  <w:style w:type="character" w:customStyle="1" w:styleId="HeaderChar">
    <w:name w:val="Header Char"/>
    <w:basedOn w:val="DefaultParagraphFont"/>
    <w:link w:val="Header"/>
    <w:uiPriority w:val="99"/>
    <w:rsid w:val="00342953"/>
    <w:rPr>
      <w:sz w:val="24"/>
      <w:szCs w:val="24"/>
    </w:rPr>
  </w:style>
  <w:style w:type="paragraph" w:styleId="Footer">
    <w:name w:val="footer"/>
    <w:basedOn w:val="Normal"/>
    <w:link w:val="FooterChar"/>
    <w:uiPriority w:val="99"/>
    <w:unhideWhenUsed/>
    <w:rsid w:val="00342953"/>
    <w:pPr>
      <w:tabs>
        <w:tab w:val="center" w:pos="4680"/>
        <w:tab w:val="right" w:pos="9360"/>
      </w:tabs>
    </w:pPr>
  </w:style>
  <w:style w:type="character" w:customStyle="1" w:styleId="FooterChar">
    <w:name w:val="Footer Char"/>
    <w:basedOn w:val="DefaultParagraphFont"/>
    <w:link w:val="Footer"/>
    <w:uiPriority w:val="99"/>
    <w:rsid w:val="00342953"/>
    <w:rPr>
      <w:sz w:val="24"/>
      <w:szCs w:val="24"/>
    </w:rPr>
  </w:style>
  <w:style w:type="character" w:styleId="Hyperlink">
    <w:name w:val="Hyperlink"/>
    <w:basedOn w:val="DefaultParagraphFont"/>
    <w:uiPriority w:val="99"/>
    <w:unhideWhenUsed/>
    <w:rsid w:val="008867A0"/>
    <w:rPr>
      <w:color w:val="0000FF" w:themeColor="hyperlink"/>
      <w:u w:val="single"/>
    </w:rPr>
  </w:style>
  <w:style w:type="paragraph" w:styleId="ListParagraph">
    <w:name w:val="List Paragraph"/>
    <w:basedOn w:val="Normal"/>
    <w:uiPriority w:val="34"/>
    <w:qFormat/>
    <w:rsid w:val="00CF3F52"/>
    <w:pPr>
      <w:ind w:left="720"/>
      <w:contextualSpacing/>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basedOn w:val="Normal"/>
    <w:link w:val="FootnoteTextChar"/>
    <w:unhideWhenUsed/>
    <w:rsid w:val="006A0882"/>
    <w:rPr>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6A0882"/>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nhideWhenUsed/>
    <w:rsid w:val="006A0882"/>
    <w:rPr>
      <w:vertAlign w:val="superscript"/>
    </w:rPr>
  </w:style>
  <w:style w:type="paragraph" w:styleId="BalloonText">
    <w:name w:val="Balloon Text"/>
    <w:basedOn w:val="Normal"/>
    <w:link w:val="BalloonTextChar"/>
    <w:uiPriority w:val="99"/>
    <w:semiHidden/>
    <w:unhideWhenUsed/>
    <w:rsid w:val="00FC4A18"/>
    <w:rPr>
      <w:rFonts w:ascii="Tahoma" w:hAnsi="Tahoma" w:cs="Tahoma"/>
      <w:sz w:val="16"/>
      <w:szCs w:val="16"/>
    </w:rPr>
  </w:style>
  <w:style w:type="character" w:customStyle="1" w:styleId="BalloonTextChar">
    <w:name w:val="Balloon Text Char"/>
    <w:basedOn w:val="DefaultParagraphFont"/>
    <w:link w:val="BalloonText"/>
    <w:uiPriority w:val="99"/>
    <w:semiHidden/>
    <w:rsid w:val="00FC4A18"/>
    <w:rPr>
      <w:rFonts w:ascii="Tahoma" w:hAnsi="Tahoma" w:cs="Tahoma"/>
      <w:sz w:val="16"/>
      <w:szCs w:val="16"/>
    </w:rPr>
  </w:style>
  <w:style w:type="paragraph" w:customStyle="1" w:styleId="Default">
    <w:name w:val="Default"/>
    <w:rsid w:val="009C52C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D6C3F"/>
    <w:rPr>
      <w:sz w:val="16"/>
      <w:szCs w:val="16"/>
    </w:rPr>
  </w:style>
  <w:style w:type="paragraph" w:styleId="CommentText">
    <w:name w:val="annotation text"/>
    <w:basedOn w:val="Normal"/>
    <w:link w:val="CommentTextChar"/>
    <w:uiPriority w:val="99"/>
    <w:semiHidden/>
    <w:unhideWhenUsed/>
    <w:rsid w:val="005D6C3F"/>
    <w:rPr>
      <w:sz w:val="20"/>
      <w:szCs w:val="20"/>
    </w:rPr>
  </w:style>
  <w:style w:type="character" w:customStyle="1" w:styleId="CommentTextChar">
    <w:name w:val="Comment Text Char"/>
    <w:basedOn w:val="DefaultParagraphFont"/>
    <w:link w:val="CommentText"/>
    <w:uiPriority w:val="99"/>
    <w:semiHidden/>
    <w:rsid w:val="005D6C3F"/>
  </w:style>
  <w:style w:type="paragraph" w:styleId="CommentSubject">
    <w:name w:val="annotation subject"/>
    <w:basedOn w:val="CommentText"/>
    <w:next w:val="CommentText"/>
    <w:link w:val="CommentSubjectChar"/>
    <w:uiPriority w:val="99"/>
    <w:semiHidden/>
    <w:unhideWhenUsed/>
    <w:rsid w:val="005D6C3F"/>
    <w:rPr>
      <w:b/>
      <w:bCs/>
    </w:rPr>
  </w:style>
  <w:style w:type="character" w:customStyle="1" w:styleId="CommentSubjectChar">
    <w:name w:val="Comment Subject Char"/>
    <w:basedOn w:val="CommentTextChar"/>
    <w:link w:val="CommentSubject"/>
    <w:uiPriority w:val="99"/>
    <w:semiHidden/>
    <w:rsid w:val="005D6C3F"/>
    <w:rPr>
      <w:b/>
      <w:bCs/>
    </w:rPr>
  </w:style>
  <w:style w:type="character" w:styleId="FollowedHyperlink">
    <w:name w:val="FollowedHyperlink"/>
    <w:basedOn w:val="DefaultParagraphFont"/>
    <w:uiPriority w:val="99"/>
    <w:semiHidden/>
    <w:unhideWhenUsed/>
    <w:rsid w:val="002E1230"/>
    <w:rPr>
      <w:color w:val="800080" w:themeColor="followedHyperlink"/>
      <w:u w:val="single"/>
    </w:rPr>
  </w:style>
  <w:style w:type="paragraph" w:customStyle="1" w:styleId="ParaNum">
    <w:name w:val="ParaNum"/>
    <w:basedOn w:val="Normal"/>
    <w:link w:val="ParaNumCharChar1"/>
    <w:rsid w:val="008B0C72"/>
    <w:pPr>
      <w:widowControl w:val="0"/>
      <w:numPr>
        <w:numId w:val="7"/>
      </w:numPr>
      <w:tabs>
        <w:tab w:val="clear" w:pos="1080"/>
        <w:tab w:val="num" w:pos="1440"/>
      </w:tabs>
      <w:spacing w:after="120"/>
    </w:pPr>
    <w:rPr>
      <w:snapToGrid w:val="0"/>
      <w:kern w:val="28"/>
      <w:sz w:val="22"/>
      <w:szCs w:val="20"/>
    </w:rPr>
  </w:style>
  <w:style w:type="character" w:customStyle="1" w:styleId="ParaNumCharChar1">
    <w:name w:val="ParaNum Char Char1"/>
    <w:link w:val="ParaNum"/>
    <w:locked/>
    <w:rsid w:val="008B0C72"/>
    <w:rPr>
      <w:snapToGrid w:val="0"/>
      <w:kern w:val="28"/>
      <w:sz w:val="22"/>
    </w:rPr>
  </w:style>
  <w:style w:type="paragraph" w:styleId="NormalWeb">
    <w:name w:val="Normal (Web)"/>
    <w:basedOn w:val="Normal"/>
    <w:uiPriority w:val="99"/>
    <w:rsid w:val="008F3787"/>
    <w:rPr>
      <w:snapToGrid w:val="0"/>
    </w:rPr>
  </w:style>
  <w:style w:type="paragraph" w:styleId="TOC1">
    <w:name w:val="toc 1"/>
    <w:basedOn w:val="Normal"/>
    <w:next w:val="Normal"/>
    <w:rsid w:val="00FF2F6F"/>
    <w:pPr>
      <w:widowControl w:val="0"/>
      <w:tabs>
        <w:tab w:val="left" w:pos="360"/>
        <w:tab w:val="right" w:leader="dot" w:pos="9360"/>
      </w:tabs>
      <w:suppressAutoHyphens/>
      <w:ind w:left="360" w:right="720" w:hanging="360"/>
    </w:pPr>
    <w:rPr>
      <w:caps/>
      <w:noProof/>
      <w:snapToGrid w:val="0"/>
      <w:kern w:val="28"/>
      <w:sz w:val="22"/>
      <w:szCs w:val="20"/>
    </w:rPr>
  </w:style>
  <w:style w:type="paragraph" w:styleId="PlainText">
    <w:name w:val="Plain Text"/>
    <w:basedOn w:val="Normal"/>
    <w:link w:val="PlainTextChar"/>
    <w:uiPriority w:val="99"/>
    <w:rsid w:val="00FF2F6F"/>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FF2F6F"/>
    <w:rPr>
      <w:rFonts w:ascii="Courier New" w:eastAsia="MS Mincho" w:hAnsi="Courier New" w:cs="Courier New"/>
      <w:lang w:eastAsia="ja-JP"/>
    </w:rPr>
  </w:style>
  <w:style w:type="paragraph" w:styleId="Revision">
    <w:name w:val="Revision"/>
    <w:hidden/>
    <w:uiPriority w:val="99"/>
    <w:semiHidden/>
    <w:rsid w:val="00B254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pps.fcc.gov/edocs_public/attachmatch/FCC-16-107A4.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pps.fcc.gov/edocs_public/attachmatch/FCC-16-107A3.pdf" TargetMode="External"/><Relationship Id="rId2" Type="http://schemas.openxmlformats.org/officeDocument/2006/relationships/styles" Target="styles.xml"/><Relationship Id="rId16" Type="http://schemas.openxmlformats.org/officeDocument/2006/relationships/hyperlink" Target="https://apps.fcc.gov/edocs_public/attachmatch/FCC-16-107A2.pdf"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fcc.gov/edocs_public/attachmatch/FCC-16-107A1.pdf"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reports-research/guides/how-file-paper-documents-fcc"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3982</Words>
  <Characters>22701</Characters>
  <Application>Microsoft Office Word</Application>
  <DocSecurity>0</DocSecurity>
  <Lines>335</Lines>
  <Paragraphs>81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26756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2017-01-24T16:13:00Z</dcterms:created>
  <dcterms:modified xsi:type="dcterms:W3CDTF">2017-01-24T16:13:00Z</dcterms:modified>
  <cp:category> </cp:category>
  <cp:contentStatus> </cp:contentStatus>
</cp:coreProperties>
</file>