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Pr="00701330" w:rsidRDefault="00701330">
      <w:pPr>
        <w:jc w:val="right"/>
        <w:rPr>
          <w:b/>
          <w:sz w:val="24"/>
        </w:rPr>
      </w:pPr>
      <w:r w:rsidRPr="00701330">
        <w:rPr>
          <w:b/>
          <w:sz w:val="24"/>
        </w:rPr>
        <w:lastRenderedPageBreak/>
        <w:t>DA 17-959</w:t>
      </w:r>
    </w:p>
    <w:p w:rsidR="00602577" w:rsidRPr="00C07BFB" w:rsidRDefault="00C07BFB">
      <w:pPr>
        <w:spacing w:before="60"/>
        <w:jc w:val="right"/>
        <w:rPr>
          <w:b/>
          <w:sz w:val="24"/>
        </w:rPr>
      </w:pPr>
      <w:r w:rsidRPr="00C07BFB">
        <w:rPr>
          <w:b/>
          <w:sz w:val="24"/>
        </w:rPr>
        <w:t>Released: October 2, 2017</w:t>
      </w:r>
    </w:p>
    <w:p w:rsidR="00602577" w:rsidRDefault="00602577">
      <w:pPr>
        <w:jc w:val="right"/>
        <w:rPr>
          <w:sz w:val="24"/>
        </w:rPr>
      </w:pPr>
    </w:p>
    <w:p w:rsidR="00C71AD3" w:rsidRPr="003A627E" w:rsidRDefault="00C71AD3" w:rsidP="00C71AD3">
      <w:pPr>
        <w:spacing w:after="120"/>
        <w:jc w:val="center"/>
        <w:rPr>
          <w:rFonts w:ascii="Times New Roman Bold" w:hAnsi="Times New Roman Bold"/>
          <w:b/>
          <w:caps/>
          <w:szCs w:val="22"/>
        </w:rPr>
      </w:pPr>
      <w:r w:rsidRPr="003A627E">
        <w:rPr>
          <w:rFonts w:ascii="Times New Roman Bold" w:hAnsi="Times New Roman Bold"/>
          <w:b/>
          <w:caps/>
          <w:szCs w:val="22"/>
        </w:rPr>
        <w:t xml:space="preserve">secure DATA ENCLAVE FOR ACCESSING </w:t>
      </w:r>
      <w:r w:rsidR="004F2F44">
        <w:rPr>
          <w:rFonts w:ascii="Times New Roman Bold" w:hAnsi="Times New Roman Bold"/>
          <w:b/>
          <w:caps/>
          <w:szCs w:val="22"/>
        </w:rPr>
        <w:t xml:space="preserve">HIGHLY CONFIDENTIAL </w:t>
      </w:r>
      <w:r w:rsidRPr="003A627E">
        <w:rPr>
          <w:rFonts w:ascii="Times New Roman Bold" w:hAnsi="Times New Roman Bold"/>
          <w:b/>
          <w:caps/>
          <w:szCs w:val="22"/>
        </w:rPr>
        <w:t>BUSINESS DATA SERVICES (SPecial access) DATA will close on december 31, 2017</w:t>
      </w:r>
    </w:p>
    <w:p w:rsidR="00C71AD3" w:rsidRPr="003A627E" w:rsidRDefault="00C71AD3" w:rsidP="00C71AD3">
      <w:pPr>
        <w:spacing w:after="120"/>
        <w:jc w:val="center"/>
        <w:rPr>
          <w:b/>
          <w:szCs w:val="22"/>
        </w:rPr>
      </w:pPr>
      <w:r w:rsidRPr="003A627E">
        <w:rPr>
          <w:b/>
          <w:szCs w:val="22"/>
        </w:rPr>
        <w:t xml:space="preserve">WC Docket Nos. 16-143, </w:t>
      </w:r>
      <w:r w:rsidR="00BD70E5">
        <w:rPr>
          <w:b/>
          <w:szCs w:val="22"/>
        </w:rPr>
        <w:t xml:space="preserve">15-247, </w:t>
      </w:r>
      <w:r w:rsidRPr="003A627E">
        <w:rPr>
          <w:b/>
          <w:szCs w:val="22"/>
        </w:rPr>
        <w:t>05-25; RM-10593</w:t>
      </w:r>
    </w:p>
    <w:p w:rsidR="00C71AD3" w:rsidRDefault="00C71AD3" w:rsidP="00C71AD3">
      <w:pPr>
        <w:spacing w:after="120"/>
        <w:rPr>
          <w:szCs w:val="22"/>
        </w:rPr>
      </w:pPr>
      <w:r w:rsidRPr="003A627E">
        <w:rPr>
          <w:b/>
          <w:szCs w:val="22"/>
        </w:rPr>
        <w:tab/>
      </w:r>
      <w:r w:rsidRPr="003A627E">
        <w:rPr>
          <w:szCs w:val="22"/>
        </w:rPr>
        <w:t>In this Public Notice, the Wirel</w:t>
      </w:r>
      <w:r>
        <w:rPr>
          <w:szCs w:val="22"/>
        </w:rPr>
        <w:t>ine Competition Bureau (Bureau) announces</w:t>
      </w:r>
      <w:r w:rsidRPr="003A627E">
        <w:rPr>
          <w:szCs w:val="22"/>
        </w:rPr>
        <w:t xml:space="preserve"> that the secure data enclave </w:t>
      </w:r>
      <w:r w:rsidR="001938E1" w:rsidRPr="003A627E">
        <w:rPr>
          <w:szCs w:val="22"/>
        </w:rPr>
        <w:t>u</w:t>
      </w:r>
      <w:r w:rsidR="001938E1">
        <w:rPr>
          <w:szCs w:val="22"/>
        </w:rPr>
        <w:t>sed</w:t>
      </w:r>
      <w:r w:rsidR="001938E1" w:rsidRPr="003A627E">
        <w:rPr>
          <w:szCs w:val="22"/>
        </w:rPr>
        <w:t xml:space="preserve"> </w:t>
      </w:r>
      <w:r w:rsidRPr="003A627E">
        <w:rPr>
          <w:szCs w:val="22"/>
        </w:rPr>
        <w:t xml:space="preserve">by </w:t>
      </w:r>
      <w:r w:rsidR="00D248A9">
        <w:rPr>
          <w:szCs w:val="22"/>
        </w:rPr>
        <w:t xml:space="preserve">authorized </w:t>
      </w:r>
      <w:r w:rsidRPr="003A627E">
        <w:rPr>
          <w:szCs w:val="22"/>
        </w:rPr>
        <w:t xml:space="preserve">parties for accessing and analyzing highly confidential data filed in the business data services (special access) proceeding will </w:t>
      </w:r>
      <w:r>
        <w:rPr>
          <w:szCs w:val="22"/>
        </w:rPr>
        <w:t>close</w:t>
      </w:r>
      <w:r w:rsidRPr="003A627E">
        <w:rPr>
          <w:szCs w:val="22"/>
        </w:rPr>
        <w:t xml:space="preserve"> on </w:t>
      </w:r>
      <w:r w:rsidRPr="003A627E">
        <w:rPr>
          <w:b/>
          <w:szCs w:val="22"/>
        </w:rPr>
        <w:t>December 31, 2017</w:t>
      </w:r>
      <w:r w:rsidRPr="003A627E">
        <w:rPr>
          <w:szCs w:val="22"/>
        </w:rPr>
        <w:t>.</w:t>
      </w:r>
      <w:r>
        <w:rPr>
          <w:szCs w:val="22"/>
        </w:rPr>
        <w:t xml:space="preserve">  </w:t>
      </w:r>
    </w:p>
    <w:p w:rsidR="00CA0929" w:rsidRDefault="00C71AD3" w:rsidP="00BC6824">
      <w:pPr>
        <w:spacing w:after="120"/>
        <w:ind w:firstLine="720"/>
        <w:rPr>
          <w:szCs w:val="22"/>
        </w:rPr>
      </w:pPr>
      <w:r w:rsidRPr="00473F10">
        <w:rPr>
          <w:szCs w:val="22"/>
        </w:rPr>
        <w:t xml:space="preserve">On December 18, 2012, the Commission </w:t>
      </w:r>
      <w:r>
        <w:rPr>
          <w:szCs w:val="22"/>
        </w:rPr>
        <w:t xml:space="preserve">released the </w:t>
      </w:r>
      <w:r w:rsidRPr="006D00ED">
        <w:rPr>
          <w:i/>
          <w:szCs w:val="22"/>
        </w:rPr>
        <w:t>Data Collection Order</w:t>
      </w:r>
      <w:r>
        <w:rPr>
          <w:szCs w:val="22"/>
        </w:rPr>
        <w:t xml:space="preserve"> initiating </w:t>
      </w:r>
      <w:r w:rsidRPr="00473F10">
        <w:rPr>
          <w:szCs w:val="22"/>
        </w:rPr>
        <w:t xml:space="preserve">a </w:t>
      </w:r>
      <w:r>
        <w:rPr>
          <w:szCs w:val="22"/>
        </w:rPr>
        <w:t xml:space="preserve">comprehensive </w:t>
      </w:r>
      <w:r w:rsidRPr="00473F10">
        <w:rPr>
          <w:szCs w:val="22"/>
        </w:rPr>
        <w:t>data collection for analy</w:t>
      </w:r>
      <w:r w:rsidR="00BC3DB0">
        <w:rPr>
          <w:szCs w:val="22"/>
        </w:rPr>
        <w:t xml:space="preserve">zing </w:t>
      </w:r>
      <w:r w:rsidRPr="00473F10">
        <w:rPr>
          <w:szCs w:val="22"/>
        </w:rPr>
        <w:t xml:space="preserve">the </w:t>
      </w:r>
      <w:r>
        <w:rPr>
          <w:szCs w:val="22"/>
        </w:rPr>
        <w:t xml:space="preserve">business data services </w:t>
      </w:r>
      <w:r w:rsidRPr="00473F10">
        <w:rPr>
          <w:szCs w:val="22"/>
        </w:rPr>
        <w:t>market</w:t>
      </w:r>
      <w:r>
        <w:rPr>
          <w:szCs w:val="22"/>
        </w:rPr>
        <w:t xml:space="preserve"> and delegated authority to the Bureau to implement the collection.</w:t>
      </w:r>
      <w:r>
        <w:rPr>
          <w:rStyle w:val="FootnoteReference"/>
          <w:szCs w:val="22"/>
        </w:rPr>
        <w:footnoteReference w:id="1"/>
      </w:r>
      <w:r>
        <w:rPr>
          <w:szCs w:val="22"/>
        </w:rPr>
        <w:t xml:space="preserve">  Data collected include </w:t>
      </w:r>
      <w:r w:rsidR="001938E1">
        <w:rPr>
          <w:szCs w:val="22"/>
        </w:rPr>
        <w:t xml:space="preserve">information </w:t>
      </w:r>
      <w:r>
        <w:rPr>
          <w:szCs w:val="22"/>
        </w:rPr>
        <w:t>from p</w:t>
      </w:r>
      <w:r w:rsidRPr="00624C43">
        <w:rPr>
          <w:szCs w:val="22"/>
        </w:rPr>
        <w:t xml:space="preserve">roviders and purchasers of traditional </w:t>
      </w:r>
      <w:r w:rsidR="00F36DAA">
        <w:rPr>
          <w:szCs w:val="22"/>
        </w:rPr>
        <w:t>circuit</w:t>
      </w:r>
      <w:r w:rsidRPr="00624C43">
        <w:rPr>
          <w:szCs w:val="22"/>
        </w:rPr>
        <w:t>-based dedicated services, including DS1s and DS3s, packet-based dedicated services such as</w:t>
      </w:r>
      <w:r>
        <w:rPr>
          <w:szCs w:val="22"/>
        </w:rPr>
        <w:t xml:space="preserve"> </w:t>
      </w:r>
      <w:r w:rsidRPr="00624C43">
        <w:rPr>
          <w:szCs w:val="22"/>
        </w:rPr>
        <w:t xml:space="preserve">Ethernet, and </w:t>
      </w:r>
      <w:r w:rsidR="001938E1">
        <w:rPr>
          <w:szCs w:val="22"/>
        </w:rPr>
        <w:t xml:space="preserve">from </w:t>
      </w:r>
      <w:r w:rsidRPr="00624C43">
        <w:rPr>
          <w:szCs w:val="22"/>
        </w:rPr>
        <w:t>certain entities providing best effort business broadband Internet access service</w:t>
      </w:r>
      <w:r>
        <w:rPr>
          <w:szCs w:val="22"/>
        </w:rPr>
        <w:t>.</w:t>
      </w:r>
      <w:r>
        <w:rPr>
          <w:rStyle w:val="FootnoteReference"/>
          <w:szCs w:val="22"/>
        </w:rPr>
        <w:footnoteReference w:id="2"/>
      </w:r>
      <w:r>
        <w:rPr>
          <w:szCs w:val="22"/>
        </w:rPr>
        <w:t xml:space="preserve">  </w:t>
      </w:r>
      <w:r w:rsidR="00E244D2" w:rsidRPr="00E244D2">
        <w:rPr>
          <w:szCs w:val="22"/>
        </w:rPr>
        <w:t>By February 27, 2015, the last group of filers were required to respond to the data collection.</w:t>
      </w:r>
      <w:r w:rsidR="00E244D2">
        <w:rPr>
          <w:rStyle w:val="FootnoteReference"/>
          <w:szCs w:val="22"/>
        </w:rPr>
        <w:footnoteReference w:id="3"/>
      </w:r>
      <w:r w:rsidR="00E244D2">
        <w:rPr>
          <w:szCs w:val="22"/>
        </w:rPr>
        <w:t xml:space="preserve">  </w:t>
      </w:r>
      <w:r w:rsidR="00A26FCA">
        <w:rPr>
          <w:szCs w:val="22"/>
        </w:rPr>
        <w:t>T</w:t>
      </w:r>
      <w:r w:rsidR="00BC6824">
        <w:rPr>
          <w:szCs w:val="22"/>
        </w:rPr>
        <w:t xml:space="preserve">he collected </w:t>
      </w:r>
      <w:r w:rsidR="001938E1">
        <w:rPr>
          <w:szCs w:val="22"/>
        </w:rPr>
        <w:t xml:space="preserve">data and analysis based on the data </w:t>
      </w:r>
      <w:r w:rsidR="004824FA">
        <w:rPr>
          <w:szCs w:val="22"/>
        </w:rPr>
        <w:t xml:space="preserve">are </w:t>
      </w:r>
      <w:r w:rsidR="00BC6824">
        <w:rPr>
          <w:szCs w:val="22"/>
        </w:rPr>
        <w:t>integral part</w:t>
      </w:r>
      <w:r w:rsidR="004824FA">
        <w:rPr>
          <w:szCs w:val="22"/>
        </w:rPr>
        <w:t>s</w:t>
      </w:r>
      <w:r w:rsidR="00BC6824">
        <w:rPr>
          <w:szCs w:val="22"/>
        </w:rPr>
        <w:t xml:space="preserve"> of the record in the </w:t>
      </w:r>
      <w:r w:rsidR="00BC6824" w:rsidRPr="008B7B27">
        <w:rPr>
          <w:szCs w:val="22"/>
        </w:rPr>
        <w:t>broad</w:t>
      </w:r>
      <w:r w:rsidR="00BC6824">
        <w:rPr>
          <w:szCs w:val="22"/>
        </w:rPr>
        <w:t>er</w:t>
      </w:r>
      <w:r w:rsidR="00BC6824" w:rsidRPr="008B7B27">
        <w:rPr>
          <w:szCs w:val="22"/>
        </w:rPr>
        <w:t xml:space="preserve"> </w:t>
      </w:r>
      <w:r w:rsidR="00532940">
        <w:rPr>
          <w:szCs w:val="22"/>
        </w:rPr>
        <w:t>rulemaking proceeding on</w:t>
      </w:r>
      <w:r w:rsidR="00BC6824" w:rsidRPr="008B7B27">
        <w:rPr>
          <w:szCs w:val="22"/>
        </w:rPr>
        <w:t xml:space="preserve"> what regulatory framework to apply to price cap </w:t>
      </w:r>
      <w:r w:rsidR="00685951">
        <w:rPr>
          <w:szCs w:val="22"/>
        </w:rPr>
        <w:t>incumbent local exchange carriers</w:t>
      </w:r>
      <w:r w:rsidR="00532940">
        <w:rPr>
          <w:szCs w:val="22"/>
        </w:rPr>
        <w:t xml:space="preserve"> (LECs)</w:t>
      </w:r>
      <w:r w:rsidR="00685951">
        <w:rPr>
          <w:szCs w:val="22"/>
        </w:rPr>
        <w:t xml:space="preserve"> </w:t>
      </w:r>
      <w:r w:rsidR="00BC6824" w:rsidRPr="008B7B27">
        <w:rPr>
          <w:szCs w:val="22"/>
        </w:rPr>
        <w:t xml:space="preserve">interstate </w:t>
      </w:r>
      <w:r w:rsidR="00BC6824">
        <w:rPr>
          <w:szCs w:val="22"/>
        </w:rPr>
        <w:t>business data s</w:t>
      </w:r>
      <w:r w:rsidR="00BC6824" w:rsidRPr="008B7B27">
        <w:rPr>
          <w:szCs w:val="22"/>
        </w:rPr>
        <w:t>ervices</w:t>
      </w:r>
      <w:r w:rsidR="00BC6824">
        <w:rPr>
          <w:szCs w:val="22"/>
        </w:rPr>
        <w:t>.</w:t>
      </w:r>
      <w:r w:rsidR="00BC6824">
        <w:rPr>
          <w:rStyle w:val="FootnoteReference"/>
          <w:szCs w:val="22"/>
        </w:rPr>
        <w:footnoteReference w:id="4"/>
      </w:r>
      <w:r w:rsidR="00BC6824">
        <w:rPr>
          <w:szCs w:val="22"/>
        </w:rPr>
        <w:t xml:space="preserve">  The data was also </w:t>
      </w:r>
      <w:r w:rsidR="001938E1">
        <w:rPr>
          <w:szCs w:val="22"/>
        </w:rPr>
        <w:t xml:space="preserve">incorporated into the record of </w:t>
      </w:r>
      <w:r w:rsidR="00BC6824">
        <w:rPr>
          <w:szCs w:val="22"/>
        </w:rPr>
        <w:t xml:space="preserve">the </w:t>
      </w:r>
      <w:r w:rsidR="001938E1">
        <w:rPr>
          <w:szCs w:val="22"/>
        </w:rPr>
        <w:t xml:space="preserve">Commission’s </w:t>
      </w:r>
      <w:r w:rsidR="00BC6824">
        <w:rPr>
          <w:szCs w:val="22"/>
        </w:rPr>
        <w:t xml:space="preserve">investigation into </w:t>
      </w:r>
      <w:r w:rsidR="00BC6824" w:rsidRPr="00BC6824">
        <w:rPr>
          <w:szCs w:val="22"/>
        </w:rPr>
        <w:t xml:space="preserve">terms and conditions of certain incumbent </w:t>
      </w:r>
      <w:r w:rsidR="00BC6824">
        <w:rPr>
          <w:szCs w:val="22"/>
        </w:rPr>
        <w:t>LEC</w:t>
      </w:r>
      <w:r w:rsidR="00BC6824" w:rsidRPr="00BC6824">
        <w:rPr>
          <w:szCs w:val="22"/>
        </w:rPr>
        <w:t xml:space="preserve"> tariff pricing plans for business data services</w:t>
      </w:r>
      <w:r w:rsidR="00BC6824">
        <w:rPr>
          <w:szCs w:val="22"/>
        </w:rPr>
        <w:t>.</w:t>
      </w:r>
      <w:r w:rsidR="00BC6824">
        <w:rPr>
          <w:rStyle w:val="FootnoteReference"/>
          <w:szCs w:val="22"/>
        </w:rPr>
        <w:footnoteReference w:id="5"/>
      </w:r>
      <w:r w:rsidR="00BC6824">
        <w:rPr>
          <w:szCs w:val="22"/>
        </w:rPr>
        <w:t xml:space="preserve">  </w:t>
      </w:r>
    </w:p>
    <w:p w:rsidR="00C71AD3" w:rsidRDefault="00C71AD3" w:rsidP="00BC6824">
      <w:pPr>
        <w:spacing w:after="120"/>
        <w:ind w:firstLine="720"/>
        <w:rPr>
          <w:szCs w:val="22"/>
        </w:rPr>
      </w:pPr>
      <w:r>
        <w:rPr>
          <w:szCs w:val="22"/>
        </w:rPr>
        <w:lastRenderedPageBreak/>
        <w:t xml:space="preserve">The </w:t>
      </w:r>
      <w:r w:rsidR="001938E1">
        <w:rPr>
          <w:szCs w:val="22"/>
        </w:rPr>
        <w:t xml:space="preserve">collected </w:t>
      </w:r>
      <w:r>
        <w:rPr>
          <w:szCs w:val="22"/>
        </w:rPr>
        <w:t xml:space="preserve">data </w:t>
      </w:r>
      <w:r w:rsidR="004237EA">
        <w:rPr>
          <w:szCs w:val="22"/>
        </w:rPr>
        <w:t xml:space="preserve">includes </w:t>
      </w:r>
      <w:r w:rsidR="00EE3A8D">
        <w:rPr>
          <w:szCs w:val="22"/>
        </w:rPr>
        <w:t xml:space="preserve">highly </w:t>
      </w:r>
      <w:r>
        <w:rPr>
          <w:szCs w:val="22"/>
        </w:rPr>
        <w:t xml:space="preserve">competitively sensitive </w:t>
      </w:r>
      <w:r w:rsidR="007D331F">
        <w:rPr>
          <w:szCs w:val="22"/>
        </w:rPr>
        <w:t xml:space="preserve">information only </w:t>
      </w:r>
      <w:r>
        <w:rPr>
          <w:szCs w:val="22"/>
        </w:rPr>
        <w:t xml:space="preserve">available subject to protective orders </w:t>
      </w:r>
      <w:r w:rsidR="007D331F">
        <w:rPr>
          <w:szCs w:val="22"/>
        </w:rPr>
        <w:t xml:space="preserve">that </w:t>
      </w:r>
      <w:r>
        <w:rPr>
          <w:szCs w:val="22"/>
        </w:rPr>
        <w:t>govern the process</w:t>
      </w:r>
      <w:r w:rsidR="007D331F">
        <w:rPr>
          <w:szCs w:val="22"/>
        </w:rPr>
        <w:t>es</w:t>
      </w:r>
      <w:r>
        <w:rPr>
          <w:szCs w:val="22"/>
        </w:rPr>
        <w:t xml:space="preserve"> for designating, submitting and accessing </w:t>
      </w:r>
      <w:r w:rsidR="0000152C">
        <w:rPr>
          <w:szCs w:val="22"/>
        </w:rPr>
        <w:t xml:space="preserve">confidential and </w:t>
      </w:r>
      <w:r>
        <w:rPr>
          <w:szCs w:val="22"/>
        </w:rPr>
        <w:t>highly confidential information.</w:t>
      </w:r>
      <w:r w:rsidRPr="003A627E">
        <w:rPr>
          <w:rStyle w:val="FootnoteReference"/>
          <w:szCs w:val="22"/>
        </w:rPr>
        <w:footnoteReference w:id="6"/>
      </w:r>
      <w:r>
        <w:rPr>
          <w:szCs w:val="22"/>
        </w:rPr>
        <w:t xml:space="preserve">  </w:t>
      </w:r>
      <w:r w:rsidR="001C241B">
        <w:rPr>
          <w:szCs w:val="22"/>
        </w:rPr>
        <w:t>A</w:t>
      </w:r>
      <w:r>
        <w:rPr>
          <w:szCs w:val="22"/>
        </w:rPr>
        <w:t xml:space="preserve">ccess to </w:t>
      </w:r>
      <w:r w:rsidR="00C009D8">
        <w:rPr>
          <w:szCs w:val="22"/>
        </w:rPr>
        <w:t>the</w:t>
      </w:r>
      <w:r w:rsidR="00D5304A">
        <w:rPr>
          <w:szCs w:val="22"/>
        </w:rPr>
        <w:t xml:space="preserve"> </w:t>
      </w:r>
      <w:r>
        <w:rPr>
          <w:szCs w:val="22"/>
        </w:rPr>
        <w:t xml:space="preserve">highly confidential data </w:t>
      </w:r>
      <w:r w:rsidR="001C241B">
        <w:rPr>
          <w:szCs w:val="22"/>
        </w:rPr>
        <w:t xml:space="preserve">is </w:t>
      </w:r>
      <w:r>
        <w:rPr>
          <w:szCs w:val="22"/>
        </w:rPr>
        <w:t xml:space="preserve">limited to outside counsel </w:t>
      </w:r>
      <w:r w:rsidR="001C241B">
        <w:rPr>
          <w:szCs w:val="22"/>
        </w:rPr>
        <w:t xml:space="preserve">and </w:t>
      </w:r>
      <w:r>
        <w:rPr>
          <w:szCs w:val="22"/>
        </w:rPr>
        <w:t>consultants, and their employees, not involved in competitive decision-</w:t>
      </w:r>
      <w:r w:rsidR="003B0461">
        <w:rPr>
          <w:szCs w:val="22"/>
        </w:rPr>
        <w:t>making</w:t>
      </w:r>
      <w:r w:rsidR="001938E1">
        <w:rPr>
          <w:szCs w:val="22"/>
        </w:rPr>
        <w:t>.</w:t>
      </w:r>
      <w:r>
        <w:rPr>
          <w:rStyle w:val="FootnoteReference"/>
          <w:szCs w:val="22"/>
        </w:rPr>
        <w:footnoteReference w:id="7"/>
      </w:r>
      <w:r>
        <w:rPr>
          <w:szCs w:val="22"/>
        </w:rPr>
        <w:t xml:space="preserve"> </w:t>
      </w:r>
      <w:r w:rsidR="001938E1">
        <w:rPr>
          <w:szCs w:val="22"/>
        </w:rPr>
        <w:t xml:space="preserve"> Individuals </w:t>
      </w:r>
      <w:r w:rsidR="003B0461">
        <w:rPr>
          <w:szCs w:val="22"/>
        </w:rPr>
        <w:t xml:space="preserve">seeking access </w:t>
      </w:r>
      <w:r w:rsidR="001938E1">
        <w:rPr>
          <w:szCs w:val="22"/>
        </w:rPr>
        <w:t xml:space="preserve">to the data </w:t>
      </w:r>
      <w:r w:rsidR="004B0EE4">
        <w:rPr>
          <w:szCs w:val="22"/>
        </w:rPr>
        <w:t xml:space="preserve">are </w:t>
      </w:r>
      <w:r w:rsidR="00CA0929">
        <w:rPr>
          <w:szCs w:val="22"/>
        </w:rPr>
        <w:t>required to execute</w:t>
      </w:r>
      <w:r w:rsidR="006316FF">
        <w:rPr>
          <w:szCs w:val="22"/>
        </w:rPr>
        <w:t xml:space="preserve"> and file with the Commission</w:t>
      </w:r>
      <w:r w:rsidR="00CA0929">
        <w:rPr>
          <w:szCs w:val="22"/>
        </w:rPr>
        <w:t xml:space="preserve"> </w:t>
      </w:r>
      <w:r w:rsidR="006316FF">
        <w:rPr>
          <w:szCs w:val="22"/>
        </w:rPr>
        <w:t>a</w:t>
      </w:r>
      <w:r w:rsidR="00CA0929">
        <w:rPr>
          <w:szCs w:val="22"/>
        </w:rPr>
        <w:t xml:space="preserve">cknowledgments of </w:t>
      </w:r>
      <w:r w:rsidR="006316FF">
        <w:rPr>
          <w:szCs w:val="22"/>
        </w:rPr>
        <w:t>c</w:t>
      </w:r>
      <w:r w:rsidR="00CA0929">
        <w:rPr>
          <w:szCs w:val="22"/>
        </w:rPr>
        <w:t>onfidentiality</w:t>
      </w:r>
      <w:r w:rsidR="00A22F27">
        <w:rPr>
          <w:szCs w:val="22"/>
        </w:rPr>
        <w:t xml:space="preserve"> (Acknowledgments)</w:t>
      </w:r>
      <w:r w:rsidR="00CA0929">
        <w:rPr>
          <w:szCs w:val="22"/>
        </w:rPr>
        <w:t xml:space="preserve"> subject to an objection process.</w:t>
      </w:r>
      <w:r w:rsidR="00CA0929">
        <w:rPr>
          <w:rStyle w:val="FootnoteReference"/>
          <w:szCs w:val="22"/>
        </w:rPr>
        <w:footnoteReference w:id="8"/>
      </w:r>
    </w:p>
    <w:p w:rsidR="00C009D8" w:rsidRDefault="00C71AD3" w:rsidP="001747EF">
      <w:pPr>
        <w:spacing w:after="120"/>
        <w:ind w:firstLine="720"/>
        <w:rPr>
          <w:rFonts w:eastAsia="Calibri"/>
          <w:szCs w:val="22"/>
        </w:rPr>
      </w:pPr>
      <w:r>
        <w:rPr>
          <w:szCs w:val="22"/>
        </w:rPr>
        <w:t>Given the scale and scope of the collection and to allow parties to participate</w:t>
      </w:r>
      <w:r w:rsidR="00D049A4">
        <w:rPr>
          <w:szCs w:val="22"/>
        </w:rPr>
        <w:t xml:space="preserve"> meaningfully</w:t>
      </w:r>
      <w:r>
        <w:rPr>
          <w:szCs w:val="22"/>
        </w:rPr>
        <w:t xml:space="preserve"> in the proceeding, the Bureau established a secure data enclave as the exclusive method for authorized parties to access and analyze </w:t>
      </w:r>
      <w:r w:rsidR="003B0461">
        <w:rPr>
          <w:szCs w:val="22"/>
        </w:rPr>
        <w:t xml:space="preserve">the </w:t>
      </w:r>
      <w:r>
        <w:rPr>
          <w:szCs w:val="22"/>
        </w:rPr>
        <w:t>highly confidential data</w:t>
      </w:r>
      <w:r w:rsidR="004750A1">
        <w:rPr>
          <w:szCs w:val="22"/>
        </w:rPr>
        <w:t xml:space="preserve"> submitted in response to the data collection</w:t>
      </w:r>
      <w:r>
        <w:rPr>
          <w:szCs w:val="22"/>
        </w:rPr>
        <w:t>.</w:t>
      </w:r>
      <w:r>
        <w:rPr>
          <w:rStyle w:val="FootnoteReference"/>
          <w:szCs w:val="22"/>
        </w:rPr>
        <w:footnoteReference w:id="9"/>
      </w:r>
      <w:r>
        <w:rPr>
          <w:szCs w:val="22"/>
        </w:rPr>
        <w:t xml:space="preserve">  </w:t>
      </w:r>
      <w:r w:rsidRPr="003A627E">
        <w:rPr>
          <w:szCs w:val="22"/>
        </w:rPr>
        <w:t xml:space="preserve">The Commission </w:t>
      </w:r>
      <w:r w:rsidRPr="00C71AD3">
        <w:rPr>
          <w:rFonts w:eastAsia="Calibri"/>
          <w:szCs w:val="22"/>
        </w:rPr>
        <w:t>contracted with the National Opinion Research Center dba NORC at the University of Chicago (NORC) to host the secure data enclave</w:t>
      </w:r>
      <w:r w:rsidR="00871A54">
        <w:rPr>
          <w:rFonts w:eastAsia="Calibri"/>
          <w:szCs w:val="22"/>
        </w:rPr>
        <w:t xml:space="preserve"> through its NORC Data Enclave</w:t>
      </w:r>
      <w:r w:rsidRPr="00C71AD3">
        <w:rPr>
          <w:rFonts w:eastAsia="Calibri"/>
          <w:szCs w:val="22"/>
        </w:rPr>
        <w:t>.</w:t>
      </w:r>
      <w:r w:rsidRPr="00C71AD3">
        <w:rPr>
          <w:rFonts w:eastAsia="Calibri"/>
          <w:szCs w:val="22"/>
          <w:vertAlign w:val="superscript"/>
        </w:rPr>
        <w:footnoteReference w:id="10"/>
      </w:r>
      <w:r w:rsidRPr="00C71AD3">
        <w:rPr>
          <w:rFonts w:eastAsia="Calibri"/>
          <w:szCs w:val="22"/>
        </w:rPr>
        <w:t xml:space="preserve">  </w:t>
      </w:r>
      <w:r w:rsidR="00871A54">
        <w:rPr>
          <w:rFonts w:eastAsia="Calibri"/>
          <w:szCs w:val="22"/>
        </w:rPr>
        <w:t>A</w:t>
      </w:r>
      <w:r>
        <w:rPr>
          <w:szCs w:val="22"/>
        </w:rPr>
        <w:t xml:space="preserve">uthorized parties </w:t>
      </w:r>
      <w:r w:rsidR="00BC3DB0">
        <w:rPr>
          <w:szCs w:val="22"/>
        </w:rPr>
        <w:t xml:space="preserve">have been </w:t>
      </w:r>
      <w:r w:rsidR="00871A54">
        <w:rPr>
          <w:szCs w:val="22"/>
        </w:rPr>
        <w:t>able to</w:t>
      </w:r>
      <w:r>
        <w:rPr>
          <w:szCs w:val="22"/>
        </w:rPr>
        <w:t xml:space="preserve"> </w:t>
      </w:r>
      <w:r w:rsidRPr="003A627E">
        <w:rPr>
          <w:szCs w:val="22"/>
        </w:rPr>
        <w:t xml:space="preserve">access the data and analytical software </w:t>
      </w:r>
      <w:r w:rsidR="00871A54">
        <w:rPr>
          <w:szCs w:val="22"/>
        </w:rPr>
        <w:t xml:space="preserve">either </w:t>
      </w:r>
      <w:r w:rsidRPr="00C71AD3">
        <w:rPr>
          <w:rFonts w:eastAsia="Calibri"/>
          <w:szCs w:val="22"/>
        </w:rPr>
        <w:t>remote</w:t>
      </w:r>
      <w:r w:rsidR="00602B5D">
        <w:rPr>
          <w:rFonts w:eastAsia="Calibri"/>
          <w:szCs w:val="22"/>
        </w:rPr>
        <w:t>ly via a</w:t>
      </w:r>
      <w:r w:rsidRPr="00C71AD3">
        <w:rPr>
          <w:rFonts w:eastAsia="Calibri"/>
          <w:szCs w:val="22"/>
        </w:rPr>
        <w:t xml:space="preserve"> virtual private network (VPN) or in-person at NORC facilities in Bethesda, Maryland.</w:t>
      </w:r>
      <w:r w:rsidRPr="00C71AD3">
        <w:rPr>
          <w:rStyle w:val="FootnoteReference"/>
          <w:rFonts w:eastAsia="Calibri"/>
          <w:szCs w:val="22"/>
        </w:rPr>
        <w:footnoteReference w:id="11"/>
      </w:r>
      <w:r w:rsidRPr="00C71AD3">
        <w:rPr>
          <w:rFonts w:eastAsia="Calibri"/>
          <w:szCs w:val="22"/>
        </w:rPr>
        <w:t xml:space="preserve">  </w:t>
      </w:r>
      <w:r w:rsidR="000F7A54">
        <w:rPr>
          <w:rFonts w:eastAsia="Calibri"/>
          <w:szCs w:val="22"/>
        </w:rPr>
        <w:t xml:space="preserve">The </w:t>
      </w:r>
      <w:r w:rsidR="00235D1B">
        <w:rPr>
          <w:rFonts w:eastAsia="Calibri"/>
          <w:szCs w:val="22"/>
        </w:rPr>
        <w:t>NORC Data Enclave</w:t>
      </w:r>
      <w:r w:rsidR="000F7A54">
        <w:rPr>
          <w:rFonts w:eastAsia="Calibri"/>
          <w:szCs w:val="22"/>
        </w:rPr>
        <w:t xml:space="preserve"> provide</w:t>
      </w:r>
      <w:r w:rsidR="00BC3DB0">
        <w:rPr>
          <w:rFonts w:eastAsia="Calibri"/>
          <w:szCs w:val="22"/>
        </w:rPr>
        <w:t>s</w:t>
      </w:r>
      <w:r w:rsidR="000F7A54">
        <w:rPr>
          <w:rFonts w:eastAsia="Calibri"/>
          <w:szCs w:val="22"/>
        </w:rPr>
        <w:t xml:space="preserve"> access to </w:t>
      </w:r>
      <w:r w:rsidR="00871A54">
        <w:rPr>
          <w:rFonts w:eastAsia="Calibri"/>
          <w:szCs w:val="22"/>
        </w:rPr>
        <w:t>the</w:t>
      </w:r>
      <w:r w:rsidR="00602B5D">
        <w:rPr>
          <w:rFonts w:eastAsia="Calibri"/>
          <w:szCs w:val="22"/>
        </w:rPr>
        <w:t xml:space="preserve"> </w:t>
      </w:r>
      <w:r w:rsidR="000F7A54">
        <w:rPr>
          <w:rFonts w:eastAsia="Calibri"/>
          <w:szCs w:val="22"/>
        </w:rPr>
        <w:t xml:space="preserve">data, </w:t>
      </w:r>
      <w:r w:rsidR="000F7A54" w:rsidRPr="000F7A54">
        <w:rPr>
          <w:rFonts w:eastAsia="Calibri"/>
          <w:szCs w:val="22"/>
        </w:rPr>
        <w:t>analytical software</w:t>
      </w:r>
      <w:r w:rsidR="000F7A54">
        <w:rPr>
          <w:rFonts w:eastAsia="Calibri"/>
          <w:szCs w:val="22"/>
        </w:rPr>
        <w:t xml:space="preserve"> to </w:t>
      </w:r>
      <w:r w:rsidR="00F210D4">
        <w:rPr>
          <w:rFonts w:eastAsia="Calibri"/>
          <w:szCs w:val="22"/>
        </w:rPr>
        <w:t>analyze the data,</w:t>
      </w:r>
      <w:r w:rsidR="000F7A54">
        <w:rPr>
          <w:rFonts w:eastAsia="Calibri"/>
          <w:szCs w:val="22"/>
        </w:rPr>
        <w:t xml:space="preserve"> and</w:t>
      </w:r>
      <w:r w:rsidR="000F7A54" w:rsidRPr="000F7A54">
        <w:rPr>
          <w:rFonts w:eastAsia="Calibri"/>
          <w:szCs w:val="22"/>
        </w:rPr>
        <w:t xml:space="preserve"> virtual lockers </w:t>
      </w:r>
      <w:r w:rsidR="000F7A54">
        <w:rPr>
          <w:rFonts w:eastAsia="Calibri"/>
          <w:szCs w:val="22"/>
        </w:rPr>
        <w:t xml:space="preserve">for storing notes and analysis results.  Parties </w:t>
      </w:r>
      <w:r w:rsidR="00D049A4">
        <w:rPr>
          <w:rFonts w:eastAsia="Calibri"/>
          <w:szCs w:val="22"/>
        </w:rPr>
        <w:t xml:space="preserve">have </w:t>
      </w:r>
      <w:r w:rsidR="000F7A54">
        <w:rPr>
          <w:rFonts w:eastAsia="Calibri"/>
          <w:szCs w:val="22"/>
        </w:rPr>
        <w:t xml:space="preserve">also </w:t>
      </w:r>
      <w:r w:rsidR="00D049A4">
        <w:rPr>
          <w:rFonts w:eastAsia="Calibri"/>
          <w:szCs w:val="22"/>
        </w:rPr>
        <w:t xml:space="preserve">been </w:t>
      </w:r>
      <w:r w:rsidR="000F7A54">
        <w:rPr>
          <w:rFonts w:eastAsia="Calibri"/>
          <w:szCs w:val="22"/>
        </w:rPr>
        <w:t>able</w:t>
      </w:r>
      <w:r w:rsidR="000F7A54" w:rsidRPr="000F7A54">
        <w:rPr>
          <w:rFonts w:eastAsia="Calibri"/>
          <w:szCs w:val="22"/>
        </w:rPr>
        <w:t xml:space="preserve"> </w:t>
      </w:r>
      <w:r w:rsidR="000F7A54">
        <w:rPr>
          <w:rFonts w:eastAsia="Calibri"/>
          <w:szCs w:val="22"/>
        </w:rPr>
        <w:t xml:space="preserve">to </w:t>
      </w:r>
      <w:r w:rsidR="000F7A54" w:rsidRPr="000F7A54">
        <w:rPr>
          <w:rFonts w:eastAsia="Calibri"/>
          <w:szCs w:val="22"/>
        </w:rPr>
        <w:t xml:space="preserve">remove their analysis results </w:t>
      </w:r>
      <w:r w:rsidR="000F7A54">
        <w:rPr>
          <w:rFonts w:eastAsia="Calibri"/>
          <w:szCs w:val="22"/>
        </w:rPr>
        <w:t>subject to NORC</w:t>
      </w:r>
      <w:r w:rsidR="007C2BD2">
        <w:rPr>
          <w:rFonts w:eastAsia="Calibri"/>
          <w:szCs w:val="22"/>
        </w:rPr>
        <w:t>’s</w:t>
      </w:r>
      <w:r w:rsidR="000F7A54">
        <w:rPr>
          <w:rFonts w:eastAsia="Calibri"/>
          <w:szCs w:val="22"/>
        </w:rPr>
        <w:t xml:space="preserve"> </w:t>
      </w:r>
      <w:r w:rsidR="00F210D4">
        <w:rPr>
          <w:rFonts w:eastAsia="Calibri"/>
          <w:szCs w:val="22"/>
        </w:rPr>
        <w:t>release process</w:t>
      </w:r>
      <w:r w:rsidR="000F7A54" w:rsidRPr="000F7A54">
        <w:rPr>
          <w:rFonts w:eastAsia="Calibri"/>
          <w:szCs w:val="22"/>
        </w:rPr>
        <w:t>.</w:t>
      </w:r>
      <w:r w:rsidR="000F7A54">
        <w:rPr>
          <w:rStyle w:val="FootnoteReference"/>
          <w:rFonts w:eastAsia="Calibri"/>
          <w:szCs w:val="22"/>
        </w:rPr>
        <w:footnoteReference w:id="12"/>
      </w:r>
      <w:r w:rsidR="000F7A54" w:rsidRPr="000F7A54">
        <w:rPr>
          <w:rFonts w:eastAsia="Calibri"/>
          <w:szCs w:val="22"/>
        </w:rPr>
        <w:t xml:space="preserve">  </w:t>
      </w:r>
      <w:r w:rsidR="00C009D8">
        <w:rPr>
          <w:rFonts w:eastAsia="Calibri"/>
          <w:szCs w:val="22"/>
        </w:rPr>
        <w:t>These procedures provided authorized p</w:t>
      </w:r>
      <w:r w:rsidR="00C009D8" w:rsidRPr="003A1658">
        <w:rPr>
          <w:rFonts w:eastAsia="Calibri"/>
          <w:szCs w:val="22"/>
        </w:rPr>
        <w:t xml:space="preserve">arties </w:t>
      </w:r>
      <w:r w:rsidR="00C009D8">
        <w:rPr>
          <w:rFonts w:eastAsia="Calibri"/>
          <w:szCs w:val="22"/>
        </w:rPr>
        <w:t xml:space="preserve">with a </w:t>
      </w:r>
      <w:r w:rsidR="00C009D8" w:rsidRPr="003A1658">
        <w:rPr>
          <w:rFonts w:eastAsia="Calibri"/>
          <w:szCs w:val="22"/>
        </w:rPr>
        <w:t xml:space="preserve">full </w:t>
      </w:r>
      <w:r w:rsidR="00C009D8">
        <w:rPr>
          <w:rFonts w:eastAsia="Calibri"/>
          <w:szCs w:val="22"/>
        </w:rPr>
        <w:t xml:space="preserve">opportunity to analyze the highly confidential data, and to </w:t>
      </w:r>
      <w:r w:rsidR="00C009D8" w:rsidRPr="003A1658">
        <w:rPr>
          <w:rFonts w:eastAsia="Calibri"/>
          <w:szCs w:val="22"/>
        </w:rPr>
        <w:t>present the results of their analy</w:t>
      </w:r>
      <w:r w:rsidR="00C009D8">
        <w:rPr>
          <w:rFonts w:eastAsia="Calibri"/>
          <w:szCs w:val="22"/>
        </w:rPr>
        <w:t>sis and arguments based on those results</w:t>
      </w:r>
      <w:r w:rsidR="00C009D8" w:rsidRPr="003A1658">
        <w:rPr>
          <w:rFonts w:eastAsia="Calibri"/>
          <w:szCs w:val="22"/>
        </w:rPr>
        <w:t xml:space="preserve"> to the Commission.</w:t>
      </w:r>
      <w:r w:rsidR="00C009D8">
        <w:rPr>
          <w:rStyle w:val="FootnoteReference"/>
          <w:rFonts w:eastAsia="Calibri"/>
          <w:szCs w:val="22"/>
        </w:rPr>
        <w:footnoteReference w:id="13"/>
      </w:r>
      <w:r w:rsidR="00C009D8">
        <w:rPr>
          <w:rFonts w:eastAsia="Calibri"/>
          <w:szCs w:val="22"/>
        </w:rPr>
        <w:t xml:space="preserve">  </w:t>
      </w:r>
    </w:p>
    <w:p w:rsidR="00C009D8" w:rsidRDefault="001D7F06" w:rsidP="001747EF">
      <w:pPr>
        <w:spacing w:after="120"/>
        <w:ind w:firstLine="720"/>
        <w:rPr>
          <w:rFonts w:eastAsia="Calibri"/>
          <w:szCs w:val="22"/>
        </w:rPr>
      </w:pPr>
      <w:r w:rsidRPr="00C71AD3">
        <w:rPr>
          <w:rFonts w:eastAsia="Calibri"/>
          <w:szCs w:val="22"/>
        </w:rPr>
        <w:t xml:space="preserve">On April 28, 2017, </w:t>
      </w:r>
      <w:r>
        <w:rPr>
          <w:rFonts w:eastAsia="Calibri"/>
          <w:szCs w:val="22"/>
        </w:rPr>
        <w:t xml:space="preserve">after carefully reviewing </w:t>
      </w:r>
      <w:r w:rsidR="00F32216">
        <w:rPr>
          <w:rFonts w:eastAsia="Calibri"/>
          <w:szCs w:val="22"/>
        </w:rPr>
        <w:t>commenters</w:t>
      </w:r>
      <w:r w:rsidR="0036108C">
        <w:rPr>
          <w:rFonts w:eastAsia="Calibri"/>
          <w:szCs w:val="22"/>
        </w:rPr>
        <w:t>’</w:t>
      </w:r>
      <w:r w:rsidR="00F32216">
        <w:rPr>
          <w:rFonts w:eastAsia="Calibri"/>
          <w:szCs w:val="22"/>
        </w:rPr>
        <w:t xml:space="preserve"> arguments raised in the record</w:t>
      </w:r>
      <w:r>
        <w:rPr>
          <w:rFonts w:eastAsia="Calibri"/>
          <w:szCs w:val="22"/>
        </w:rPr>
        <w:t>, including those based on analys</w:t>
      </w:r>
      <w:r w:rsidR="00F32216">
        <w:rPr>
          <w:rFonts w:eastAsia="Calibri"/>
          <w:szCs w:val="22"/>
        </w:rPr>
        <w:t>is</w:t>
      </w:r>
      <w:r>
        <w:rPr>
          <w:rFonts w:eastAsia="Calibri"/>
          <w:szCs w:val="22"/>
        </w:rPr>
        <w:t xml:space="preserve"> of highly confidential data available through the NORC </w:t>
      </w:r>
      <w:r w:rsidR="00F32216">
        <w:rPr>
          <w:rFonts w:eastAsia="Calibri"/>
          <w:szCs w:val="22"/>
        </w:rPr>
        <w:t>D</w:t>
      </w:r>
      <w:r>
        <w:rPr>
          <w:rFonts w:eastAsia="Calibri"/>
          <w:szCs w:val="22"/>
        </w:rPr>
        <w:t xml:space="preserve">ata </w:t>
      </w:r>
      <w:r w:rsidR="00F32216">
        <w:rPr>
          <w:rFonts w:eastAsia="Calibri"/>
          <w:szCs w:val="22"/>
        </w:rPr>
        <w:t>E</w:t>
      </w:r>
      <w:r>
        <w:rPr>
          <w:rFonts w:eastAsia="Calibri"/>
          <w:szCs w:val="22"/>
        </w:rPr>
        <w:t xml:space="preserve">nclave, </w:t>
      </w:r>
      <w:r w:rsidR="00C009D8" w:rsidRPr="00C71AD3">
        <w:rPr>
          <w:rFonts w:eastAsia="Calibri"/>
          <w:szCs w:val="22"/>
        </w:rPr>
        <w:t xml:space="preserve">the Commission released the </w:t>
      </w:r>
      <w:r w:rsidR="00C009D8" w:rsidRPr="00C71AD3">
        <w:rPr>
          <w:rFonts w:eastAsia="Calibri"/>
          <w:i/>
          <w:szCs w:val="22"/>
        </w:rPr>
        <w:t>Business Data Services Order</w:t>
      </w:r>
      <w:r w:rsidR="00F32216">
        <w:rPr>
          <w:rFonts w:eastAsia="Calibri"/>
          <w:szCs w:val="22"/>
        </w:rPr>
        <w:t xml:space="preserve"> </w:t>
      </w:r>
      <w:r w:rsidR="00A310AE">
        <w:rPr>
          <w:rFonts w:eastAsia="Calibri"/>
          <w:szCs w:val="22"/>
        </w:rPr>
        <w:t>establishing</w:t>
      </w:r>
      <w:r w:rsidR="00D07250">
        <w:rPr>
          <w:rFonts w:eastAsia="Calibri"/>
          <w:szCs w:val="22"/>
        </w:rPr>
        <w:t xml:space="preserve"> a </w:t>
      </w:r>
      <w:r>
        <w:rPr>
          <w:rFonts w:eastAsia="Calibri"/>
          <w:szCs w:val="22"/>
        </w:rPr>
        <w:t xml:space="preserve">new </w:t>
      </w:r>
      <w:r w:rsidR="00D07250">
        <w:rPr>
          <w:rFonts w:eastAsia="Calibri"/>
          <w:szCs w:val="22"/>
        </w:rPr>
        <w:t xml:space="preserve">regulatory </w:t>
      </w:r>
      <w:r>
        <w:rPr>
          <w:rFonts w:eastAsia="Calibri"/>
          <w:szCs w:val="22"/>
        </w:rPr>
        <w:t xml:space="preserve">framework for the provision of </w:t>
      </w:r>
      <w:r w:rsidR="00C009D8" w:rsidRPr="00C71AD3">
        <w:rPr>
          <w:rFonts w:eastAsia="Calibri"/>
          <w:szCs w:val="22"/>
        </w:rPr>
        <w:t>business data services.</w:t>
      </w:r>
      <w:r w:rsidRPr="00C71AD3">
        <w:rPr>
          <w:rStyle w:val="FootnoteReference"/>
          <w:rFonts w:eastAsia="Calibri"/>
          <w:szCs w:val="22"/>
        </w:rPr>
        <w:footnoteReference w:id="14"/>
      </w:r>
      <w:r w:rsidRPr="00C71AD3">
        <w:rPr>
          <w:rFonts w:eastAsia="Calibri"/>
          <w:szCs w:val="22"/>
        </w:rPr>
        <w:t xml:space="preserve"> </w:t>
      </w:r>
      <w:r w:rsidR="00C009D8" w:rsidRPr="00C71AD3">
        <w:rPr>
          <w:rFonts w:eastAsia="Calibri"/>
          <w:szCs w:val="22"/>
        </w:rPr>
        <w:t xml:space="preserve"> No part</w:t>
      </w:r>
      <w:r w:rsidR="00C009D8">
        <w:rPr>
          <w:rFonts w:eastAsia="Calibri"/>
          <w:szCs w:val="22"/>
        </w:rPr>
        <w:t xml:space="preserve">y </w:t>
      </w:r>
      <w:r w:rsidR="00F32216">
        <w:rPr>
          <w:rFonts w:eastAsia="Calibri"/>
          <w:szCs w:val="22"/>
        </w:rPr>
        <w:t xml:space="preserve">filed a </w:t>
      </w:r>
      <w:r w:rsidR="00C009D8" w:rsidRPr="00C71AD3">
        <w:rPr>
          <w:rFonts w:eastAsia="Calibri"/>
          <w:szCs w:val="22"/>
        </w:rPr>
        <w:t>petition</w:t>
      </w:r>
      <w:r w:rsidR="00F32216">
        <w:rPr>
          <w:rFonts w:eastAsia="Calibri"/>
          <w:szCs w:val="22"/>
        </w:rPr>
        <w:t xml:space="preserve"> </w:t>
      </w:r>
      <w:r w:rsidR="00C009D8" w:rsidRPr="00C71AD3">
        <w:rPr>
          <w:rFonts w:eastAsia="Calibri"/>
          <w:szCs w:val="22"/>
        </w:rPr>
        <w:t>for reconsideration</w:t>
      </w:r>
      <w:r w:rsidR="00C009D8">
        <w:rPr>
          <w:rFonts w:eastAsia="Calibri"/>
          <w:szCs w:val="22"/>
        </w:rPr>
        <w:t xml:space="preserve"> </w:t>
      </w:r>
      <w:r>
        <w:rPr>
          <w:rFonts w:eastAsia="Calibri"/>
          <w:szCs w:val="22"/>
        </w:rPr>
        <w:t>of th</w:t>
      </w:r>
      <w:r w:rsidR="00F32216">
        <w:rPr>
          <w:rFonts w:eastAsia="Calibri"/>
          <w:szCs w:val="22"/>
        </w:rPr>
        <w:t xml:space="preserve">e </w:t>
      </w:r>
      <w:r w:rsidR="00F32216" w:rsidRPr="007A5969">
        <w:rPr>
          <w:rFonts w:eastAsia="Calibri"/>
          <w:i/>
          <w:szCs w:val="22"/>
        </w:rPr>
        <w:t>Business Data Services Order</w:t>
      </w:r>
      <w:r>
        <w:rPr>
          <w:rFonts w:eastAsia="Calibri"/>
          <w:szCs w:val="22"/>
        </w:rPr>
        <w:t xml:space="preserve">, so there </w:t>
      </w:r>
      <w:r w:rsidR="00B83125">
        <w:rPr>
          <w:rFonts w:eastAsia="Calibri"/>
          <w:szCs w:val="22"/>
        </w:rPr>
        <w:t xml:space="preserve">is </w:t>
      </w:r>
      <w:r>
        <w:rPr>
          <w:rFonts w:eastAsia="Calibri"/>
          <w:szCs w:val="22"/>
        </w:rPr>
        <w:t xml:space="preserve">no further need for </w:t>
      </w:r>
      <w:r w:rsidR="00C447BB">
        <w:rPr>
          <w:rFonts w:eastAsia="Calibri"/>
          <w:szCs w:val="22"/>
        </w:rPr>
        <w:t xml:space="preserve">authorized parties to </w:t>
      </w:r>
      <w:r w:rsidR="009A53D3">
        <w:rPr>
          <w:rFonts w:eastAsia="Calibri"/>
          <w:szCs w:val="22"/>
        </w:rPr>
        <w:t xml:space="preserve">access the NORC </w:t>
      </w:r>
      <w:r w:rsidR="00B83125">
        <w:rPr>
          <w:rFonts w:eastAsia="Calibri"/>
          <w:szCs w:val="22"/>
        </w:rPr>
        <w:t>D</w:t>
      </w:r>
      <w:r w:rsidR="009A53D3">
        <w:rPr>
          <w:rFonts w:eastAsia="Calibri"/>
          <w:szCs w:val="22"/>
        </w:rPr>
        <w:t xml:space="preserve">ata </w:t>
      </w:r>
      <w:r w:rsidR="00B83125">
        <w:rPr>
          <w:rFonts w:eastAsia="Calibri"/>
          <w:szCs w:val="22"/>
        </w:rPr>
        <w:t>E</w:t>
      </w:r>
      <w:r w:rsidR="009A53D3">
        <w:rPr>
          <w:rFonts w:eastAsia="Calibri"/>
          <w:szCs w:val="22"/>
        </w:rPr>
        <w:t>nclave for the purpose of present</w:t>
      </w:r>
      <w:r w:rsidR="00C447BB">
        <w:rPr>
          <w:rFonts w:eastAsia="Calibri"/>
          <w:szCs w:val="22"/>
        </w:rPr>
        <w:t>ing</w:t>
      </w:r>
      <w:r w:rsidR="009A53D3">
        <w:rPr>
          <w:rFonts w:eastAsia="Calibri"/>
          <w:szCs w:val="22"/>
        </w:rPr>
        <w:t xml:space="preserve"> arguments </w:t>
      </w:r>
      <w:r w:rsidR="006104E3">
        <w:rPr>
          <w:rFonts w:eastAsia="Calibri"/>
          <w:szCs w:val="22"/>
        </w:rPr>
        <w:t xml:space="preserve">based on new data analysis not already in the record </w:t>
      </w:r>
      <w:r w:rsidR="00604CEC">
        <w:rPr>
          <w:rFonts w:eastAsia="Calibri"/>
          <w:szCs w:val="22"/>
        </w:rPr>
        <w:t xml:space="preserve">that </w:t>
      </w:r>
      <w:r w:rsidR="00AE6D1A">
        <w:rPr>
          <w:rFonts w:eastAsia="Calibri"/>
          <w:szCs w:val="22"/>
        </w:rPr>
        <w:t>the Commission</w:t>
      </w:r>
      <w:r w:rsidR="00604CEC">
        <w:rPr>
          <w:rFonts w:eastAsia="Calibri"/>
          <w:szCs w:val="22"/>
        </w:rPr>
        <w:t xml:space="preserve"> has not had an opportunity to pass</w:t>
      </w:r>
      <w:r w:rsidR="009A53D3">
        <w:rPr>
          <w:rFonts w:eastAsia="Calibri"/>
          <w:szCs w:val="22"/>
        </w:rPr>
        <w:t>.</w:t>
      </w:r>
      <w:r w:rsidR="00B83125">
        <w:rPr>
          <w:rStyle w:val="FootnoteReference"/>
          <w:rFonts w:eastAsia="Calibri"/>
          <w:szCs w:val="22"/>
        </w:rPr>
        <w:footnoteReference w:id="15"/>
      </w:r>
      <w:r w:rsidR="009A53D3">
        <w:rPr>
          <w:rFonts w:eastAsia="Calibri"/>
          <w:szCs w:val="22"/>
        </w:rPr>
        <w:t xml:space="preserve">  While</w:t>
      </w:r>
      <w:r w:rsidR="00C009D8">
        <w:rPr>
          <w:rFonts w:eastAsia="Calibri"/>
          <w:szCs w:val="22"/>
        </w:rPr>
        <w:t xml:space="preserve"> </w:t>
      </w:r>
      <w:r w:rsidR="009F2C9A">
        <w:rPr>
          <w:rFonts w:eastAsia="Calibri"/>
          <w:szCs w:val="22"/>
        </w:rPr>
        <w:t xml:space="preserve">several parties petitioned for judicial review of </w:t>
      </w:r>
      <w:r w:rsidR="00C009D8">
        <w:rPr>
          <w:rFonts w:eastAsia="Calibri"/>
          <w:szCs w:val="22"/>
        </w:rPr>
        <w:t xml:space="preserve">the </w:t>
      </w:r>
      <w:r w:rsidR="00230362">
        <w:rPr>
          <w:rFonts w:eastAsia="Calibri"/>
          <w:i/>
          <w:szCs w:val="22"/>
        </w:rPr>
        <w:t xml:space="preserve">Business Data Services </w:t>
      </w:r>
      <w:r w:rsidR="00C009D8" w:rsidRPr="001747EF">
        <w:rPr>
          <w:rFonts w:eastAsia="Calibri"/>
          <w:i/>
          <w:szCs w:val="22"/>
        </w:rPr>
        <w:t>Order</w:t>
      </w:r>
      <w:r w:rsidR="009F2C9A">
        <w:rPr>
          <w:rFonts w:eastAsia="Calibri"/>
          <w:szCs w:val="22"/>
        </w:rPr>
        <w:t>,</w:t>
      </w:r>
      <w:r w:rsidR="00C009D8">
        <w:rPr>
          <w:rStyle w:val="FootnoteReference"/>
          <w:rFonts w:eastAsia="Calibri"/>
          <w:szCs w:val="22"/>
        </w:rPr>
        <w:footnoteReference w:id="16"/>
      </w:r>
      <w:r w:rsidR="00C009D8">
        <w:rPr>
          <w:rFonts w:eastAsia="Calibri"/>
          <w:szCs w:val="22"/>
        </w:rPr>
        <w:t xml:space="preserve"> </w:t>
      </w:r>
      <w:r w:rsidR="009F2C9A">
        <w:rPr>
          <w:rFonts w:eastAsia="Calibri"/>
          <w:szCs w:val="22"/>
        </w:rPr>
        <w:t>t</w:t>
      </w:r>
      <w:r w:rsidR="00C009D8">
        <w:rPr>
          <w:rFonts w:eastAsia="Calibri"/>
          <w:szCs w:val="22"/>
        </w:rPr>
        <w:t xml:space="preserve">he briefing schedule </w:t>
      </w:r>
      <w:r w:rsidR="00341C3D">
        <w:rPr>
          <w:rFonts w:eastAsia="Calibri"/>
          <w:szCs w:val="22"/>
        </w:rPr>
        <w:t xml:space="preserve">established by the court </w:t>
      </w:r>
      <w:r w:rsidR="00B83125">
        <w:rPr>
          <w:rFonts w:eastAsia="Calibri"/>
          <w:szCs w:val="22"/>
        </w:rPr>
        <w:t>concludes on</w:t>
      </w:r>
      <w:r w:rsidR="00C009D8">
        <w:rPr>
          <w:rFonts w:eastAsia="Calibri"/>
          <w:szCs w:val="22"/>
        </w:rPr>
        <w:t xml:space="preserve"> </w:t>
      </w:r>
      <w:r w:rsidR="00F86485">
        <w:rPr>
          <w:rFonts w:eastAsia="Calibri"/>
          <w:szCs w:val="22"/>
        </w:rPr>
        <w:t>January 2, 2018</w:t>
      </w:r>
      <w:r w:rsidR="00230362">
        <w:rPr>
          <w:rFonts w:eastAsia="Calibri"/>
          <w:szCs w:val="22"/>
        </w:rPr>
        <w:t>.</w:t>
      </w:r>
      <w:r w:rsidR="009F2C9A">
        <w:rPr>
          <w:rStyle w:val="FootnoteReference"/>
          <w:rFonts w:eastAsia="Calibri"/>
          <w:szCs w:val="22"/>
        </w:rPr>
        <w:footnoteReference w:id="17"/>
      </w:r>
      <w:r w:rsidR="00230362">
        <w:rPr>
          <w:rFonts w:eastAsia="Calibri"/>
          <w:szCs w:val="22"/>
        </w:rPr>
        <w:t xml:space="preserve">  That deadline will afford the </w:t>
      </w:r>
      <w:r w:rsidR="005E74EA">
        <w:rPr>
          <w:rFonts w:eastAsia="Calibri"/>
          <w:szCs w:val="22"/>
        </w:rPr>
        <w:t>petitioners, respondents and i</w:t>
      </w:r>
      <w:r w:rsidR="005E74EA" w:rsidRPr="005E74EA">
        <w:rPr>
          <w:rFonts w:eastAsia="Calibri"/>
          <w:szCs w:val="22"/>
        </w:rPr>
        <w:t>ntervenors</w:t>
      </w:r>
      <w:r w:rsidR="001747EF">
        <w:rPr>
          <w:rFonts w:eastAsia="Calibri"/>
          <w:szCs w:val="22"/>
        </w:rPr>
        <w:t xml:space="preserve"> ample time to access the NORC </w:t>
      </w:r>
      <w:r w:rsidR="00405085">
        <w:rPr>
          <w:rFonts w:eastAsia="Calibri"/>
          <w:szCs w:val="22"/>
        </w:rPr>
        <w:t>D</w:t>
      </w:r>
      <w:r w:rsidR="001747EF">
        <w:rPr>
          <w:rFonts w:eastAsia="Calibri"/>
          <w:szCs w:val="22"/>
        </w:rPr>
        <w:t xml:space="preserve">ata </w:t>
      </w:r>
      <w:r w:rsidR="00405085">
        <w:rPr>
          <w:rFonts w:eastAsia="Calibri"/>
          <w:szCs w:val="22"/>
        </w:rPr>
        <w:t>E</w:t>
      </w:r>
      <w:r w:rsidR="001747EF">
        <w:rPr>
          <w:rFonts w:eastAsia="Calibri"/>
          <w:szCs w:val="22"/>
        </w:rPr>
        <w:t>nclave before it closes</w:t>
      </w:r>
      <w:r w:rsidR="006B014C">
        <w:rPr>
          <w:rFonts w:eastAsia="Calibri"/>
          <w:szCs w:val="22"/>
        </w:rPr>
        <w:t xml:space="preserve"> for purposes of judicial review</w:t>
      </w:r>
      <w:r w:rsidR="001747EF">
        <w:rPr>
          <w:rFonts w:eastAsia="Calibri"/>
          <w:szCs w:val="22"/>
        </w:rPr>
        <w:t xml:space="preserve">.  </w:t>
      </w:r>
    </w:p>
    <w:p w:rsidR="00B41B96" w:rsidRDefault="00B41B96" w:rsidP="001747EF">
      <w:pPr>
        <w:spacing w:after="120"/>
        <w:ind w:firstLine="720"/>
        <w:rPr>
          <w:rFonts w:eastAsia="Calibri"/>
          <w:szCs w:val="22"/>
        </w:rPr>
      </w:pPr>
      <w:r w:rsidRPr="00B41B96">
        <w:rPr>
          <w:rFonts w:eastAsia="Calibri"/>
          <w:szCs w:val="22"/>
        </w:rPr>
        <w:t xml:space="preserve">On </w:t>
      </w:r>
      <w:r>
        <w:rPr>
          <w:rFonts w:eastAsia="Calibri"/>
          <w:szCs w:val="22"/>
        </w:rPr>
        <w:t>August 29, 2017, the D.C. Circuit remanded the Commission</w:t>
      </w:r>
      <w:r w:rsidR="002C0FE2">
        <w:rPr>
          <w:rFonts w:eastAsia="Calibri"/>
          <w:szCs w:val="22"/>
        </w:rPr>
        <w:t>’s</w:t>
      </w:r>
      <w:r>
        <w:rPr>
          <w:rFonts w:eastAsia="Calibri"/>
          <w:szCs w:val="22"/>
        </w:rPr>
        <w:t xml:space="preserve"> </w:t>
      </w:r>
      <w:r w:rsidRPr="009516EF">
        <w:rPr>
          <w:rFonts w:eastAsia="Calibri"/>
          <w:i/>
          <w:szCs w:val="22"/>
        </w:rPr>
        <w:t>Tariff Investigation Order</w:t>
      </w:r>
      <w:r w:rsidR="002C0FE2">
        <w:rPr>
          <w:rFonts w:eastAsia="Calibri"/>
          <w:szCs w:val="22"/>
        </w:rPr>
        <w:t xml:space="preserve">, </w:t>
      </w:r>
      <w:r w:rsidR="00E43770">
        <w:rPr>
          <w:rFonts w:eastAsia="Calibri"/>
          <w:szCs w:val="22"/>
        </w:rPr>
        <w:t xml:space="preserve">which </w:t>
      </w:r>
      <w:r w:rsidR="002C0FE2">
        <w:rPr>
          <w:rFonts w:eastAsia="Calibri"/>
          <w:szCs w:val="22"/>
        </w:rPr>
        <w:t xml:space="preserve">had </w:t>
      </w:r>
      <w:r w:rsidR="00E43770" w:rsidRPr="00E43770">
        <w:rPr>
          <w:rFonts w:eastAsia="Calibri"/>
          <w:szCs w:val="22"/>
        </w:rPr>
        <w:t xml:space="preserve">declared </w:t>
      </w:r>
      <w:r w:rsidR="00E43770">
        <w:rPr>
          <w:rFonts w:eastAsia="Calibri"/>
          <w:szCs w:val="22"/>
        </w:rPr>
        <w:t xml:space="preserve">unlawful </w:t>
      </w:r>
      <w:r w:rsidR="00E43770" w:rsidRPr="00E43770">
        <w:rPr>
          <w:rFonts w:eastAsia="Calibri"/>
          <w:szCs w:val="22"/>
        </w:rPr>
        <w:t>certain</w:t>
      </w:r>
      <w:r w:rsidR="00E43770">
        <w:rPr>
          <w:rFonts w:eastAsia="Calibri"/>
          <w:szCs w:val="22"/>
        </w:rPr>
        <w:t xml:space="preserve"> incumbent LEC</w:t>
      </w:r>
      <w:r w:rsidR="00E43770" w:rsidRPr="00E43770">
        <w:rPr>
          <w:rFonts w:eastAsia="Calibri"/>
          <w:szCs w:val="22"/>
        </w:rPr>
        <w:t xml:space="preserve"> </w:t>
      </w:r>
      <w:r w:rsidR="00E43770">
        <w:rPr>
          <w:rFonts w:eastAsia="Calibri"/>
          <w:szCs w:val="22"/>
        </w:rPr>
        <w:t xml:space="preserve">tariff </w:t>
      </w:r>
      <w:r w:rsidR="00E43770" w:rsidRPr="00E43770">
        <w:rPr>
          <w:rFonts w:eastAsia="Calibri"/>
          <w:szCs w:val="22"/>
        </w:rPr>
        <w:t xml:space="preserve">terms and conditions </w:t>
      </w:r>
      <w:r w:rsidR="00E43770">
        <w:rPr>
          <w:rFonts w:eastAsia="Calibri"/>
          <w:szCs w:val="22"/>
        </w:rPr>
        <w:t>for business data services</w:t>
      </w:r>
      <w:r w:rsidRPr="00B41B96">
        <w:rPr>
          <w:rFonts w:eastAsia="Calibri"/>
          <w:szCs w:val="22"/>
        </w:rPr>
        <w:t>.</w:t>
      </w:r>
      <w:r>
        <w:rPr>
          <w:rStyle w:val="FootnoteReference"/>
          <w:rFonts w:eastAsia="Calibri"/>
          <w:szCs w:val="22"/>
        </w:rPr>
        <w:footnoteReference w:id="18"/>
      </w:r>
      <w:r w:rsidRPr="00B41B96">
        <w:rPr>
          <w:rFonts w:eastAsia="Calibri"/>
          <w:szCs w:val="22"/>
        </w:rPr>
        <w:t xml:space="preserve">  Given the scope of the analyses already presented to the Commission, the Commission’s findings in the </w:t>
      </w:r>
      <w:r w:rsidRPr="009516EF">
        <w:rPr>
          <w:rFonts w:eastAsia="Calibri"/>
          <w:i/>
          <w:szCs w:val="22"/>
        </w:rPr>
        <w:t>Business Data Services Order</w:t>
      </w:r>
      <w:r w:rsidRPr="00B41B96">
        <w:rPr>
          <w:rFonts w:eastAsia="Calibri"/>
          <w:szCs w:val="22"/>
        </w:rPr>
        <w:t xml:space="preserve">, and the additional data collected as part of the tariff investigation, we find that it </w:t>
      </w:r>
      <w:r w:rsidR="00FB226D">
        <w:rPr>
          <w:rFonts w:eastAsia="Calibri"/>
          <w:szCs w:val="22"/>
        </w:rPr>
        <w:t xml:space="preserve">is </w:t>
      </w:r>
      <w:r w:rsidRPr="00B41B96">
        <w:rPr>
          <w:rFonts w:eastAsia="Calibri"/>
          <w:szCs w:val="22"/>
        </w:rPr>
        <w:t>highly unlikely that resolution of this remand will require any additional analysis of the data in the NORC Data Enclave.</w:t>
      </w:r>
      <w:r w:rsidR="00E43770">
        <w:rPr>
          <w:rStyle w:val="FootnoteReference"/>
          <w:rFonts w:eastAsia="Calibri"/>
          <w:szCs w:val="22"/>
        </w:rPr>
        <w:footnoteReference w:id="19"/>
      </w:r>
    </w:p>
    <w:p w:rsidR="00C71AD3" w:rsidRPr="00C71AD3" w:rsidRDefault="00BD3ED4" w:rsidP="00C71AD3">
      <w:pPr>
        <w:spacing w:after="120"/>
        <w:ind w:firstLine="720"/>
        <w:rPr>
          <w:rFonts w:eastAsia="Calibri"/>
          <w:szCs w:val="22"/>
        </w:rPr>
      </w:pPr>
      <w:r>
        <w:rPr>
          <w:rFonts w:eastAsia="Calibri"/>
          <w:szCs w:val="22"/>
        </w:rPr>
        <w:t>In these circumstances, w</w:t>
      </w:r>
      <w:r w:rsidR="00260CAD" w:rsidRPr="00260CAD">
        <w:rPr>
          <w:rFonts w:eastAsia="Calibri"/>
          <w:szCs w:val="22"/>
        </w:rPr>
        <w:t xml:space="preserve">e find that </w:t>
      </w:r>
      <w:r w:rsidR="00260CAD">
        <w:rPr>
          <w:rFonts w:eastAsia="Calibri"/>
          <w:szCs w:val="22"/>
        </w:rPr>
        <w:t>there</w:t>
      </w:r>
      <w:r w:rsidR="00260CAD" w:rsidRPr="00C71AD3">
        <w:rPr>
          <w:rFonts w:eastAsia="Calibri"/>
          <w:szCs w:val="22"/>
        </w:rPr>
        <w:t xml:space="preserve"> is little</w:t>
      </w:r>
      <w:r w:rsidR="00B62AFA">
        <w:rPr>
          <w:rFonts w:eastAsia="Calibri"/>
          <w:szCs w:val="22"/>
        </w:rPr>
        <w:t>, if any,</w:t>
      </w:r>
      <w:r w:rsidR="00260CAD" w:rsidRPr="00C71AD3">
        <w:rPr>
          <w:rFonts w:eastAsia="Calibri"/>
          <w:szCs w:val="22"/>
        </w:rPr>
        <w:t xml:space="preserve"> utility in </w:t>
      </w:r>
      <w:r w:rsidR="00260CAD">
        <w:rPr>
          <w:rFonts w:eastAsia="Calibri"/>
          <w:szCs w:val="22"/>
        </w:rPr>
        <w:t>maintaining</w:t>
      </w:r>
      <w:r w:rsidR="00260CAD" w:rsidRPr="00C71AD3">
        <w:rPr>
          <w:rFonts w:eastAsia="Calibri"/>
          <w:szCs w:val="22"/>
        </w:rPr>
        <w:t xml:space="preserve"> continued access to the </w:t>
      </w:r>
      <w:r w:rsidR="00260CAD">
        <w:rPr>
          <w:rFonts w:eastAsia="Calibri"/>
          <w:szCs w:val="22"/>
        </w:rPr>
        <w:t xml:space="preserve">complete </w:t>
      </w:r>
      <w:r w:rsidR="003305F0">
        <w:rPr>
          <w:rFonts w:eastAsia="Calibri"/>
          <w:szCs w:val="22"/>
        </w:rPr>
        <w:t xml:space="preserve">business data services </w:t>
      </w:r>
      <w:r w:rsidR="00260CAD" w:rsidRPr="00C71AD3">
        <w:rPr>
          <w:rFonts w:eastAsia="Calibri"/>
          <w:szCs w:val="22"/>
        </w:rPr>
        <w:t>data</w:t>
      </w:r>
      <w:r w:rsidR="00260CAD">
        <w:rPr>
          <w:rFonts w:eastAsia="Calibri"/>
          <w:szCs w:val="22"/>
        </w:rPr>
        <w:t>set via the secure data enclave</w:t>
      </w:r>
      <w:r>
        <w:rPr>
          <w:rFonts w:eastAsia="Calibri"/>
          <w:szCs w:val="22"/>
        </w:rPr>
        <w:t>.  Maintaining that access</w:t>
      </w:r>
      <w:r w:rsidR="00260CAD">
        <w:rPr>
          <w:rFonts w:eastAsia="Calibri"/>
          <w:szCs w:val="22"/>
        </w:rPr>
        <w:t xml:space="preserve"> </w:t>
      </w:r>
      <w:r>
        <w:rPr>
          <w:rFonts w:eastAsia="Calibri"/>
          <w:szCs w:val="22"/>
        </w:rPr>
        <w:t xml:space="preserve">would entail significant </w:t>
      </w:r>
      <w:r w:rsidR="00260CAD">
        <w:rPr>
          <w:rFonts w:eastAsia="Calibri"/>
          <w:szCs w:val="22"/>
        </w:rPr>
        <w:t xml:space="preserve">public expense </w:t>
      </w:r>
      <w:r>
        <w:rPr>
          <w:rFonts w:eastAsia="Calibri"/>
          <w:szCs w:val="22"/>
        </w:rPr>
        <w:t>and require continued oversight by Commission staff</w:t>
      </w:r>
      <w:r w:rsidR="00260CAD" w:rsidRPr="00C71AD3">
        <w:rPr>
          <w:rFonts w:eastAsia="Calibri"/>
          <w:szCs w:val="22"/>
        </w:rPr>
        <w:t xml:space="preserve">.  </w:t>
      </w:r>
      <w:r w:rsidR="00230670">
        <w:rPr>
          <w:rFonts w:eastAsia="Calibri"/>
          <w:szCs w:val="22"/>
        </w:rPr>
        <w:t xml:space="preserve">Even after the secure </w:t>
      </w:r>
      <w:r w:rsidR="007B3DDC">
        <w:rPr>
          <w:rFonts w:eastAsia="Calibri"/>
          <w:szCs w:val="22"/>
        </w:rPr>
        <w:t xml:space="preserve">data </w:t>
      </w:r>
      <w:r w:rsidR="00230670">
        <w:rPr>
          <w:rFonts w:eastAsia="Calibri"/>
          <w:szCs w:val="22"/>
        </w:rPr>
        <w:t>enclave is closed, a</w:t>
      </w:r>
      <w:r w:rsidR="00A105C7">
        <w:rPr>
          <w:rFonts w:eastAsia="Calibri"/>
          <w:szCs w:val="22"/>
        </w:rPr>
        <w:t>uthorized p</w:t>
      </w:r>
      <w:r w:rsidR="00C71AD3" w:rsidRPr="00C71AD3">
        <w:rPr>
          <w:rFonts w:eastAsia="Calibri"/>
          <w:szCs w:val="22"/>
        </w:rPr>
        <w:t xml:space="preserve">arties </w:t>
      </w:r>
      <w:r w:rsidR="00230670">
        <w:rPr>
          <w:rFonts w:eastAsia="Calibri"/>
          <w:szCs w:val="22"/>
        </w:rPr>
        <w:t xml:space="preserve">will </w:t>
      </w:r>
      <w:r w:rsidR="00C71AD3" w:rsidRPr="00C71AD3">
        <w:rPr>
          <w:rFonts w:eastAsia="Calibri"/>
          <w:szCs w:val="22"/>
        </w:rPr>
        <w:t xml:space="preserve">still </w:t>
      </w:r>
      <w:r w:rsidR="00230670">
        <w:rPr>
          <w:rFonts w:eastAsia="Calibri"/>
          <w:szCs w:val="22"/>
        </w:rPr>
        <w:t xml:space="preserve">be </w:t>
      </w:r>
      <w:r w:rsidR="00C71AD3" w:rsidRPr="00C71AD3">
        <w:rPr>
          <w:rFonts w:eastAsia="Calibri"/>
          <w:szCs w:val="22"/>
        </w:rPr>
        <w:t xml:space="preserve">able to access unredacted highly confidential data </w:t>
      </w:r>
      <w:r w:rsidR="00FD6C7B">
        <w:rPr>
          <w:rFonts w:eastAsia="Calibri"/>
          <w:szCs w:val="22"/>
        </w:rPr>
        <w:t>in</w:t>
      </w:r>
      <w:r w:rsidR="00FD6C7B" w:rsidRPr="00C71AD3">
        <w:rPr>
          <w:rFonts w:eastAsia="Calibri"/>
          <w:szCs w:val="22"/>
        </w:rPr>
        <w:t xml:space="preserve"> </w:t>
      </w:r>
      <w:r w:rsidR="00C71AD3" w:rsidRPr="00C71AD3">
        <w:rPr>
          <w:rFonts w:eastAsia="Calibri"/>
          <w:szCs w:val="22"/>
        </w:rPr>
        <w:t>comments and reply comments filed in the record of this proceeding pursuant to the protective orders.</w:t>
      </w:r>
      <w:r w:rsidR="00306E26">
        <w:rPr>
          <w:rStyle w:val="FootnoteReference"/>
          <w:rFonts w:eastAsia="Calibri"/>
          <w:szCs w:val="22"/>
        </w:rPr>
        <w:footnoteReference w:id="20"/>
      </w:r>
      <w:r w:rsidR="00C71AD3" w:rsidRPr="00C71AD3">
        <w:rPr>
          <w:rFonts w:eastAsia="Calibri"/>
          <w:szCs w:val="22"/>
        </w:rPr>
        <w:t xml:space="preserve">  </w:t>
      </w:r>
      <w:r w:rsidR="00F80AD5">
        <w:rPr>
          <w:rFonts w:eastAsia="Calibri"/>
          <w:szCs w:val="22"/>
        </w:rPr>
        <w:t>Finally, m</w:t>
      </w:r>
      <w:r w:rsidR="005E0AF9">
        <w:rPr>
          <w:rFonts w:eastAsia="Calibri"/>
          <w:szCs w:val="22"/>
        </w:rPr>
        <w:t>ost</w:t>
      </w:r>
      <w:r w:rsidR="005E0AF9" w:rsidRPr="00C71AD3">
        <w:rPr>
          <w:rFonts w:eastAsia="Calibri"/>
          <w:szCs w:val="22"/>
        </w:rPr>
        <w:t xml:space="preserve"> of</w:t>
      </w:r>
      <w:r w:rsidR="00BF261F">
        <w:rPr>
          <w:rFonts w:eastAsia="Calibri"/>
          <w:szCs w:val="22"/>
        </w:rPr>
        <w:t xml:space="preserve"> the</w:t>
      </w:r>
      <w:r w:rsidR="005E0AF9" w:rsidRPr="00C71AD3">
        <w:rPr>
          <w:rFonts w:eastAsia="Calibri"/>
          <w:szCs w:val="22"/>
        </w:rPr>
        <w:t xml:space="preserve"> data collected dates from 2013 </w:t>
      </w:r>
      <w:r w:rsidR="005E0AF9">
        <w:rPr>
          <w:rFonts w:eastAsia="Calibri"/>
          <w:szCs w:val="22"/>
        </w:rPr>
        <w:t xml:space="preserve">and is becoming </w:t>
      </w:r>
      <w:r w:rsidR="006B5BA2">
        <w:rPr>
          <w:rFonts w:eastAsia="Calibri"/>
          <w:szCs w:val="22"/>
        </w:rPr>
        <w:t xml:space="preserve">increasingly </w:t>
      </w:r>
      <w:r w:rsidR="005E0AF9" w:rsidRPr="00C71AD3">
        <w:rPr>
          <w:rFonts w:eastAsia="Calibri"/>
          <w:szCs w:val="22"/>
        </w:rPr>
        <w:t>less</w:t>
      </w:r>
      <w:r w:rsidR="005E0AF9">
        <w:rPr>
          <w:rFonts w:eastAsia="Calibri"/>
          <w:szCs w:val="22"/>
        </w:rPr>
        <w:t xml:space="preserve"> reflective of current market conditions</w:t>
      </w:r>
      <w:r w:rsidR="005E0AF9" w:rsidRPr="00C71AD3">
        <w:rPr>
          <w:rFonts w:eastAsia="Calibri"/>
          <w:szCs w:val="22"/>
        </w:rPr>
        <w:t>.</w:t>
      </w:r>
      <w:r w:rsidR="00CB1AF5">
        <w:rPr>
          <w:rStyle w:val="FootnoteReference"/>
          <w:rFonts w:eastAsia="Calibri"/>
          <w:szCs w:val="22"/>
        </w:rPr>
        <w:footnoteReference w:id="21"/>
      </w:r>
      <w:r w:rsidR="005E0AF9" w:rsidRPr="00C71AD3">
        <w:rPr>
          <w:rFonts w:eastAsia="Calibri"/>
          <w:szCs w:val="22"/>
        </w:rPr>
        <w:t xml:space="preserve"> </w:t>
      </w:r>
      <w:r w:rsidR="005E0AF9" w:rsidRPr="00260CAD">
        <w:t xml:space="preserve"> </w:t>
      </w:r>
      <w:r w:rsidR="000F22EA">
        <w:rPr>
          <w:rFonts w:eastAsia="Calibri"/>
          <w:szCs w:val="22"/>
        </w:rPr>
        <w:t>In sum, t</w:t>
      </w:r>
      <w:r w:rsidR="00C71AD3" w:rsidRPr="00C71AD3">
        <w:rPr>
          <w:rFonts w:eastAsia="Calibri"/>
          <w:szCs w:val="22"/>
        </w:rPr>
        <w:t xml:space="preserve">he financial and administrative </w:t>
      </w:r>
      <w:r w:rsidR="000D612B">
        <w:rPr>
          <w:rFonts w:eastAsia="Calibri"/>
          <w:szCs w:val="22"/>
        </w:rPr>
        <w:t>burdens</w:t>
      </w:r>
      <w:r w:rsidR="00C71AD3" w:rsidRPr="00C71AD3">
        <w:rPr>
          <w:rFonts w:eastAsia="Calibri"/>
          <w:szCs w:val="22"/>
        </w:rPr>
        <w:t xml:space="preserve"> to the Commission </w:t>
      </w:r>
      <w:r w:rsidR="000D612B">
        <w:rPr>
          <w:rFonts w:eastAsia="Calibri"/>
          <w:szCs w:val="22"/>
        </w:rPr>
        <w:t xml:space="preserve">and </w:t>
      </w:r>
      <w:r w:rsidR="006B5BA2">
        <w:rPr>
          <w:rFonts w:eastAsia="Calibri"/>
          <w:szCs w:val="22"/>
        </w:rPr>
        <w:t xml:space="preserve">the </w:t>
      </w:r>
      <w:r w:rsidR="000D612B">
        <w:rPr>
          <w:rFonts w:eastAsia="Calibri"/>
          <w:szCs w:val="22"/>
        </w:rPr>
        <w:t xml:space="preserve">public </w:t>
      </w:r>
      <w:r w:rsidR="00C71AD3" w:rsidRPr="00C71AD3">
        <w:rPr>
          <w:rFonts w:eastAsia="Calibri"/>
          <w:szCs w:val="22"/>
        </w:rPr>
        <w:t xml:space="preserve">of continuing to maintain the secure data enclave </w:t>
      </w:r>
      <w:r w:rsidR="00865422">
        <w:rPr>
          <w:rFonts w:eastAsia="Calibri"/>
          <w:szCs w:val="22"/>
        </w:rPr>
        <w:t xml:space="preserve">far </w:t>
      </w:r>
      <w:r w:rsidR="00C71AD3" w:rsidRPr="00C71AD3">
        <w:rPr>
          <w:rFonts w:eastAsia="Calibri"/>
          <w:szCs w:val="22"/>
        </w:rPr>
        <w:t xml:space="preserve">outweigh </w:t>
      </w:r>
      <w:r w:rsidR="00A46765">
        <w:rPr>
          <w:rFonts w:eastAsia="Calibri"/>
          <w:szCs w:val="22"/>
        </w:rPr>
        <w:t>any</w:t>
      </w:r>
      <w:r w:rsidR="00A46765" w:rsidRPr="00C71AD3">
        <w:rPr>
          <w:rFonts w:eastAsia="Calibri"/>
          <w:szCs w:val="22"/>
        </w:rPr>
        <w:t xml:space="preserve"> </w:t>
      </w:r>
      <w:r w:rsidR="00C71AD3" w:rsidRPr="00C71AD3">
        <w:rPr>
          <w:rFonts w:eastAsia="Calibri"/>
          <w:szCs w:val="22"/>
        </w:rPr>
        <w:t xml:space="preserve">benefits </w:t>
      </w:r>
      <w:r w:rsidR="006949C9">
        <w:rPr>
          <w:rFonts w:eastAsia="Calibri"/>
          <w:szCs w:val="22"/>
        </w:rPr>
        <w:t xml:space="preserve">of </w:t>
      </w:r>
      <w:r w:rsidR="00A46765">
        <w:rPr>
          <w:rFonts w:eastAsia="Calibri"/>
          <w:szCs w:val="22"/>
        </w:rPr>
        <w:t xml:space="preserve">continuing to </w:t>
      </w:r>
      <w:r w:rsidR="00C71AD3" w:rsidRPr="00C71AD3">
        <w:rPr>
          <w:rFonts w:eastAsia="Calibri"/>
          <w:szCs w:val="22"/>
        </w:rPr>
        <w:t>provid</w:t>
      </w:r>
      <w:r w:rsidR="00A46765">
        <w:rPr>
          <w:rFonts w:eastAsia="Calibri"/>
          <w:szCs w:val="22"/>
        </w:rPr>
        <w:t xml:space="preserve">e </w:t>
      </w:r>
      <w:r w:rsidR="006949C9">
        <w:rPr>
          <w:rFonts w:eastAsia="Calibri"/>
          <w:szCs w:val="22"/>
        </w:rPr>
        <w:t xml:space="preserve">parties with </w:t>
      </w:r>
      <w:r w:rsidR="00C71AD3" w:rsidRPr="00C71AD3">
        <w:rPr>
          <w:rFonts w:eastAsia="Calibri"/>
          <w:szCs w:val="22"/>
        </w:rPr>
        <w:t>access to the data</w:t>
      </w:r>
      <w:r w:rsidR="0068634F">
        <w:rPr>
          <w:rFonts w:eastAsia="Calibri"/>
          <w:szCs w:val="22"/>
        </w:rPr>
        <w:t xml:space="preserve"> for analysis</w:t>
      </w:r>
      <w:r w:rsidR="00C71AD3" w:rsidRPr="00C71AD3">
        <w:rPr>
          <w:rFonts w:eastAsia="Calibri"/>
          <w:szCs w:val="22"/>
        </w:rPr>
        <w:t>.</w:t>
      </w:r>
    </w:p>
    <w:p w:rsidR="00C2116B" w:rsidRDefault="00984D86" w:rsidP="00C71AD3">
      <w:pPr>
        <w:spacing w:after="120"/>
        <w:ind w:firstLine="720"/>
        <w:rPr>
          <w:szCs w:val="22"/>
        </w:rPr>
      </w:pPr>
      <w:r w:rsidRPr="00C71AD3">
        <w:rPr>
          <w:rFonts w:eastAsia="Calibri"/>
          <w:szCs w:val="22"/>
        </w:rPr>
        <w:t xml:space="preserve">Accordingly, </w:t>
      </w:r>
      <w:r w:rsidR="00964819">
        <w:rPr>
          <w:rFonts w:eastAsia="Calibri"/>
          <w:szCs w:val="22"/>
        </w:rPr>
        <w:t>on</w:t>
      </w:r>
      <w:r w:rsidR="00964819" w:rsidRPr="00C71AD3">
        <w:rPr>
          <w:rFonts w:eastAsia="Calibri"/>
          <w:szCs w:val="22"/>
        </w:rPr>
        <w:t xml:space="preserve"> </w:t>
      </w:r>
      <w:r w:rsidRPr="00C71AD3">
        <w:rPr>
          <w:rFonts w:eastAsia="Calibri"/>
          <w:szCs w:val="22"/>
        </w:rPr>
        <w:t>December 31, 2017 the secure data enclave</w:t>
      </w:r>
      <w:r>
        <w:rPr>
          <w:rFonts w:eastAsia="Calibri"/>
          <w:szCs w:val="22"/>
        </w:rPr>
        <w:t xml:space="preserve"> for business data services data will close</w:t>
      </w:r>
      <w:r w:rsidRPr="00C71AD3">
        <w:rPr>
          <w:rFonts w:eastAsia="Calibri"/>
          <w:szCs w:val="22"/>
        </w:rPr>
        <w:t>.</w:t>
      </w:r>
      <w:r>
        <w:rPr>
          <w:rFonts w:eastAsia="Calibri"/>
          <w:szCs w:val="22"/>
        </w:rPr>
        <w:t xml:space="preserve">  </w:t>
      </w:r>
      <w:r w:rsidR="00964819">
        <w:rPr>
          <w:rFonts w:eastAsia="Calibri"/>
          <w:szCs w:val="22"/>
        </w:rPr>
        <w:t>After that date, p</w:t>
      </w:r>
      <w:r w:rsidR="00C71AD3">
        <w:rPr>
          <w:szCs w:val="22"/>
        </w:rPr>
        <w:t xml:space="preserve">arties will no longer have access </w:t>
      </w:r>
      <w:r w:rsidR="00EE176D">
        <w:rPr>
          <w:szCs w:val="22"/>
        </w:rPr>
        <w:t>to</w:t>
      </w:r>
      <w:r w:rsidR="00C71AD3">
        <w:rPr>
          <w:szCs w:val="22"/>
        </w:rPr>
        <w:t xml:space="preserve"> the secure data enclave</w:t>
      </w:r>
      <w:r w:rsidR="00EE176D">
        <w:rPr>
          <w:szCs w:val="22"/>
        </w:rPr>
        <w:t>, including</w:t>
      </w:r>
      <w:r w:rsidR="00C71AD3">
        <w:rPr>
          <w:szCs w:val="22"/>
        </w:rPr>
        <w:t xml:space="preserve"> the business data services data, analytical software </w:t>
      </w:r>
      <w:r w:rsidR="00EE176D">
        <w:rPr>
          <w:szCs w:val="22"/>
        </w:rPr>
        <w:t>and any</w:t>
      </w:r>
      <w:r w:rsidR="00C71AD3">
        <w:rPr>
          <w:szCs w:val="22"/>
        </w:rPr>
        <w:t xml:space="preserve"> virtual lockers</w:t>
      </w:r>
      <w:r w:rsidR="007A55BF">
        <w:rPr>
          <w:szCs w:val="22"/>
        </w:rPr>
        <w:t xml:space="preserve"> containing notes and analysis results.</w:t>
      </w:r>
      <w:r w:rsidR="007A55BF">
        <w:rPr>
          <w:rStyle w:val="FootnoteReference"/>
          <w:szCs w:val="22"/>
        </w:rPr>
        <w:footnoteReference w:id="22"/>
      </w:r>
      <w:r w:rsidR="00C71AD3">
        <w:rPr>
          <w:szCs w:val="22"/>
        </w:rPr>
        <w:t xml:space="preserve"> </w:t>
      </w:r>
      <w:r w:rsidR="00EE176D">
        <w:rPr>
          <w:szCs w:val="22"/>
        </w:rPr>
        <w:t xml:space="preserve"> </w:t>
      </w:r>
      <w:r w:rsidR="007A55BF">
        <w:rPr>
          <w:szCs w:val="22"/>
        </w:rPr>
        <w:t>A</w:t>
      </w:r>
      <w:r w:rsidR="00C71AD3">
        <w:rPr>
          <w:szCs w:val="22"/>
        </w:rPr>
        <w:t xml:space="preserve">ny </w:t>
      </w:r>
      <w:r w:rsidR="007A55BF">
        <w:rPr>
          <w:szCs w:val="22"/>
        </w:rPr>
        <w:t>notes, analysis results or other documents, programs</w:t>
      </w:r>
      <w:r w:rsidR="00C71AD3">
        <w:rPr>
          <w:szCs w:val="22"/>
        </w:rPr>
        <w:t xml:space="preserve"> </w:t>
      </w:r>
      <w:r w:rsidR="007A55BF">
        <w:rPr>
          <w:szCs w:val="22"/>
        </w:rPr>
        <w:t xml:space="preserve">or files </w:t>
      </w:r>
      <w:r w:rsidR="00C71AD3">
        <w:rPr>
          <w:szCs w:val="22"/>
        </w:rPr>
        <w:t xml:space="preserve">saved to </w:t>
      </w:r>
      <w:r w:rsidR="00EE176D">
        <w:rPr>
          <w:szCs w:val="22"/>
        </w:rPr>
        <w:t xml:space="preserve">virtual lockers </w:t>
      </w:r>
      <w:r w:rsidR="00C71AD3">
        <w:rPr>
          <w:szCs w:val="22"/>
        </w:rPr>
        <w:t>will be deleted</w:t>
      </w:r>
      <w:r w:rsidR="001F5C49">
        <w:rPr>
          <w:szCs w:val="22"/>
        </w:rPr>
        <w:t xml:space="preserve"> and p</w:t>
      </w:r>
      <w:r w:rsidR="007A55BF">
        <w:rPr>
          <w:szCs w:val="22"/>
        </w:rPr>
        <w:t xml:space="preserve">arties </w:t>
      </w:r>
      <w:r w:rsidR="00CF1E1C">
        <w:rPr>
          <w:szCs w:val="22"/>
        </w:rPr>
        <w:t>will no longer be able</w:t>
      </w:r>
      <w:r w:rsidR="007A55BF">
        <w:rPr>
          <w:szCs w:val="22"/>
        </w:rPr>
        <w:t xml:space="preserve"> to </w:t>
      </w:r>
      <w:r w:rsidR="00414ACB">
        <w:rPr>
          <w:szCs w:val="22"/>
        </w:rPr>
        <w:t xml:space="preserve">request </w:t>
      </w:r>
      <w:r w:rsidR="00660248">
        <w:rPr>
          <w:szCs w:val="22"/>
        </w:rPr>
        <w:t xml:space="preserve">copies </w:t>
      </w:r>
      <w:r w:rsidR="00414ACB">
        <w:rPr>
          <w:szCs w:val="22"/>
        </w:rPr>
        <w:t>from NORC</w:t>
      </w:r>
      <w:r w:rsidR="00CF1E1C">
        <w:rPr>
          <w:szCs w:val="22"/>
        </w:rPr>
        <w:t>.</w:t>
      </w:r>
      <w:r w:rsidR="00CF1E1C">
        <w:rPr>
          <w:rStyle w:val="FootnoteReference"/>
          <w:szCs w:val="22"/>
        </w:rPr>
        <w:footnoteReference w:id="23"/>
      </w:r>
      <w:r w:rsidR="00CF1E1C">
        <w:rPr>
          <w:szCs w:val="22"/>
        </w:rPr>
        <w:t xml:space="preserve">  Up until December 31, 2017, parties may remove </w:t>
      </w:r>
      <w:r w:rsidR="000D612B">
        <w:rPr>
          <w:szCs w:val="22"/>
        </w:rPr>
        <w:t xml:space="preserve">their </w:t>
      </w:r>
      <w:r w:rsidR="00715076">
        <w:rPr>
          <w:szCs w:val="22"/>
        </w:rPr>
        <w:t xml:space="preserve">notes, </w:t>
      </w:r>
      <w:r w:rsidR="00CF1E1C">
        <w:rPr>
          <w:szCs w:val="22"/>
        </w:rPr>
        <w:t>analysis results</w:t>
      </w:r>
      <w:r w:rsidR="00715076">
        <w:rPr>
          <w:szCs w:val="22"/>
        </w:rPr>
        <w:t xml:space="preserve"> or other documents</w:t>
      </w:r>
      <w:r w:rsidR="00CF1E1C">
        <w:rPr>
          <w:szCs w:val="22"/>
        </w:rPr>
        <w:t xml:space="preserve"> from the secure data enclave </w:t>
      </w:r>
      <w:r w:rsidR="007A55BF">
        <w:rPr>
          <w:szCs w:val="22"/>
        </w:rPr>
        <w:t>subject to NORC</w:t>
      </w:r>
      <w:r w:rsidR="00755C10">
        <w:rPr>
          <w:szCs w:val="22"/>
        </w:rPr>
        <w:t>’s</w:t>
      </w:r>
      <w:r w:rsidR="007A55BF">
        <w:rPr>
          <w:szCs w:val="22"/>
        </w:rPr>
        <w:t xml:space="preserve"> release process </w:t>
      </w:r>
      <w:r w:rsidR="00C71AD3">
        <w:rPr>
          <w:szCs w:val="22"/>
        </w:rPr>
        <w:t>consistent with the protective orders.</w:t>
      </w:r>
      <w:r w:rsidR="00CF1E1C">
        <w:rPr>
          <w:rStyle w:val="FootnoteReference"/>
          <w:szCs w:val="22"/>
        </w:rPr>
        <w:footnoteReference w:id="24"/>
      </w:r>
      <w:r w:rsidR="00755C10">
        <w:rPr>
          <w:szCs w:val="22"/>
        </w:rPr>
        <w:t xml:space="preserve">  </w:t>
      </w:r>
      <w:r w:rsidR="00414ACB">
        <w:rPr>
          <w:szCs w:val="22"/>
        </w:rPr>
        <w:t xml:space="preserve">The Commission will </w:t>
      </w:r>
      <w:r w:rsidR="006B5BA2">
        <w:rPr>
          <w:szCs w:val="22"/>
        </w:rPr>
        <w:t xml:space="preserve">retain </w:t>
      </w:r>
      <w:r w:rsidR="007F0BE2">
        <w:rPr>
          <w:szCs w:val="22"/>
        </w:rPr>
        <w:t>the</w:t>
      </w:r>
      <w:r w:rsidR="00414ACB">
        <w:rPr>
          <w:szCs w:val="22"/>
        </w:rPr>
        <w:t xml:space="preserve"> </w:t>
      </w:r>
      <w:r w:rsidR="006B5BA2">
        <w:rPr>
          <w:szCs w:val="22"/>
        </w:rPr>
        <w:t xml:space="preserve">data collected in the </w:t>
      </w:r>
      <w:r w:rsidR="004B5252">
        <w:rPr>
          <w:szCs w:val="22"/>
        </w:rPr>
        <w:t xml:space="preserve">business data services </w:t>
      </w:r>
      <w:r w:rsidR="006B5BA2">
        <w:rPr>
          <w:szCs w:val="22"/>
        </w:rPr>
        <w:t xml:space="preserve">rulemaking proceeding </w:t>
      </w:r>
      <w:r w:rsidR="00414ACB">
        <w:rPr>
          <w:szCs w:val="22"/>
        </w:rPr>
        <w:t xml:space="preserve">consistent </w:t>
      </w:r>
      <w:r w:rsidR="00560325">
        <w:rPr>
          <w:szCs w:val="22"/>
        </w:rPr>
        <w:t>with applicable statutory requirements</w:t>
      </w:r>
      <w:r w:rsidR="00D9173E">
        <w:rPr>
          <w:szCs w:val="22"/>
        </w:rPr>
        <w:t>.</w:t>
      </w:r>
      <w:r w:rsidR="00D9173E">
        <w:rPr>
          <w:rStyle w:val="FootnoteReference"/>
          <w:szCs w:val="22"/>
        </w:rPr>
        <w:footnoteReference w:id="25"/>
      </w:r>
      <w:r w:rsidR="00C2116B" w:rsidRPr="00C2116B">
        <w:rPr>
          <w:szCs w:val="22"/>
        </w:rPr>
        <w:t xml:space="preserve"> </w:t>
      </w:r>
    </w:p>
    <w:p w:rsidR="00C71AD3" w:rsidRPr="003A627E" w:rsidRDefault="00D30474" w:rsidP="00C71AD3">
      <w:pPr>
        <w:spacing w:after="120"/>
        <w:ind w:firstLine="720"/>
        <w:rPr>
          <w:szCs w:val="22"/>
        </w:rPr>
      </w:pPr>
      <w:r>
        <w:rPr>
          <w:szCs w:val="22"/>
        </w:rPr>
        <w:t>A</w:t>
      </w:r>
      <w:r w:rsidR="00C2116B">
        <w:rPr>
          <w:szCs w:val="22"/>
        </w:rPr>
        <w:t xml:space="preserve">fter </w:t>
      </w:r>
      <w:r>
        <w:rPr>
          <w:szCs w:val="22"/>
        </w:rPr>
        <w:t>December 31, 2017</w:t>
      </w:r>
      <w:r w:rsidR="00C2116B">
        <w:rPr>
          <w:szCs w:val="22"/>
        </w:rPr>
        <w:t xml:space="preserve">, the Bureau </w:t>
      </w:r>
      <w:r w:rsidR="00A65017">
        <w:rPr>
          <w:szCs w:val="22"/>
        </w:rPr>
        <w:t xml:space="preserve">and NORC </w:t>
      </w:r>
      <w:r w:rsidR="00C2116B">
        <w:rPr>
          <w:szCs w:val="22"/>
        </w:rPr>
        <w:t>will no longer process requests to access the secure data enclave.</w:t>
      </w:r>
      <w:r w:rsidR="00C2116B">
        <w:rPr>
          <w:rStyle w:val="FootnoteReference"/>
          <w:szCs w:val="22"/>
        </w:rPr>
        <w:footnoteReference w:id="26"/>
      </w:r>
      <w:r w:rsidR="00C2116B">
        <w:rPr>
          <w:szCs w:val="22"/>
        </w:rPr>
        <w:t xml:space="preserve">  </w:t>
      </w:r>
      <w:r>
        <w:rPr>
          <w:szCs w:val="22"/>
        </w:rPr>
        <w:t>Closure of the secure data enclave</w:t>
      </w:r>
      <w:r w:rsidR="00911FAD">
        <w:rPr>
          <w:szCs w:val="22"/>
        </w:rPr>
        <w:t>, however,</w:t>
      </w:r>
      <w:r>
        <w:rPr>
          <w:szCs w:val="22"/>
        </w:rPr>
        <w:t xml:space="preserve"> </w:t>
      </w:r>
      <w:r w:rsidR="00C2116B">
        <w:rPr>
          <w:szCs w:val="22"/>
        </w:rPr>
        <w:t>will not affect authorized parties access</w:t>
      </w:r>
      <w:r w:rsidR="009917A6">
        <w:rPr>
          <w:szCs w:val="22"/>
        </w:rPr>
        <w:t xml:space="preserve"> to</w:t>
      </w:r>
      <w:r w:rsidR="00C2116B">
        <w:rPr>
          <w:szCs w:val="22"/>
        </w:rPr>
        <w:t xml:space="preserve"> confidential and highly </w:t>
      </w:r>
      <w:r w:rsidR="009917A6">
        <w:rPr>
          <w:szCs w:val="22"/>
        </w:rPr>
        <w:t xml:space="preserve">confidential </w:t>
      </w:r>
      <w:r w:rsidR="00C2116B">
        <w:rPr>
          <w:szCs w:val="22"/>
        </w:rPr>
        <w:t xml:space="preserve">information </w:t>
      </w:r>
      <w:r w:rsidR="00A65017">
        <w:rPr>
          <w:szCs w:val="22"/>
        </w:rPr>
        <w:t xml:space="preserve">that is </w:t>
      </w:r>
      <w:r w:rsidR="00C2116B">
        <w:rPr>
          <w:szCs w:val="22"/>
        </w:rPr>
        <w:t>accessible outside the secure data enclave</w:t>
      </w:r>
      <w:r>
        <w:rPr>
          <w:szCs w:val="22"/>
        </w:rPr>
        <w:t>.</w:t>
      </w:r>
      <w:r w:rsidR="00C2116B">
        <w:rPr>
          <w:rStyle w:val="FootnoteReference"/>
          <w:szCs w:val="22"/>
        </w:rPr>
        <w:footnoteReference w:id="27"/>
      </w:r>
      <w:r w:rsidR="00C2116B">
        <w:rPr>
          <w:szCs w:val="22"/>
        </w:rPr>
        <w:t xml:space="preserve">  </w:t>
      </w:r>
      <w:r>
        <w:rPr>
          <w:szCs w:val="22"/>
        </w:rPr>
        <w:t xml:space="preserve">Authorized parties </w:t>
      </w:r>
      <w:r w:rsidR="009917A6">
        <w:rPr>
          <w:szCs w:val="22"/>
        </w:rPr>
        <w:t xml:space="preserve">will continue to be able to </w:t>
      </w:r>
      <w:r w:rsidR="00636F31">
        <w:rPr>
          <w:szCs w:val="22"/>
        </w:rPr>
        <w:t>discuss and share the contents of confidential and highly confidential documents with other authorized parties</w:t>
      </w:r>
      <w:r w:rsidR="009917A6">
        <w:rPr>
          <w:szCs w:val="22"/>
        </w:rPr>
        <w:t>,</w:t>
      </w:r>
      <w:r w:rsidR="006A54B6">
        <w:rPr>
          <w:szCs w:val="22"/>
        </w:rPr>
        <w:t xml:space="preserve"> as appropriate,</w:t>
      </w:r>
      <w:r w:rsidR="00636F31">
        <w:rPr>
          <w:rStyle w:val="FootnoteReference"/>
          <w:szCs w:val="22"/>
        </w:rPr>
        <w:footnoteReference w:id="28"/>
      </w:r>
      <w:r w:rsidR="00636F31">
        <w:rPr>
          <w:szCs w:val="22"/>
        </w:rPr>
        <w:t xml:space="preserve"> </w:t>
      </w:r>
      <w:r w:rsidR="009917A6">
        <w:rPr>
          <w:szCs w:val="22"/>
        </w:rPr>
        <w:t xml:space="preserve">and to access the </w:t>
      </w:r>
      <w:r w:rsidR="00A65017">
        <w:rPr>
          <w:szCs w:val="22"/>
        </w:rPr>
        <w:t xml:space="preserve">confidential and highly confidential </w:t>
      </w:r>
      <w:r w:rsidR="009917A6">
        <w:rPr>
          <w:szCs w:val="22"/>
        </w:rPr>
        <w:t>portions of any documents issued by, or filed with</w:t>
      </w:r>
      <w:r w:rsidR="00E2282C">
        <w:rPr>
          <w:szCs w:val="22"/>
        </w:rPr>
        <w:t xml:space="preserve">, </w:t>
      </w:r>
      <w:r w:rsidR="00A65017">
        <w:rPr>
          <w:szCs w:val="22"/>
        </w:rPr>
        <w:t xml:space="preserve">with the Commission </w:t>
      </w:r>
      <w:r w:rsidR="00E2282C">
        <w:rPr>
          <w:szCs w:val="22"/>
        </w:rPr>
        <w:t xml:space="preserve">or a reviewing court in the </w:t>
      </w:r>
      <w:r w:rsidR="00E2282C">
        <w:rPr>
          <w:i/>
          <w:szCs w:val="22"/>
        </w:rPr>
        <w:t xml:space="preserve">Business Data Services </w:t>
      </w:r>
      <w:r w:rsidR="00E2282C">
        <w:rPr>
          <w:szCs w:val="22"/>
        </w:rPr>
        <w:t xml:space="preserve">or the </w:t>
      </w:r>
      <w:r w:rsidR="00E2282C">
        <w:rPr>
          <w:i/>
          <w:szCs w:val="22"/>
        </w:rPr>
        <w:t xml:space="preserve">Tariff Investigation </w:t>
      </w:r>
      <w:r w:rsidR="00911FAD">
        <w:rPr>
          <w:szCs w:val="22"/>
        </w:rPr>
        <w:t>proceeding</w:t>
      </w:r>
      <w:r w:rsidR="00E2282C">
        <w:rPr>
          <w:szCs w:val="22"/>
        </w:rPr>
        <w:t>s.</w:t>
      </w:r>
      <w:r w:rsidR="00A65017">
        <w:rPr>
          <w:rStyle w:val="FootnoteReference"/>
          <w:szCs w:val="22"/>
        </w:rPr>
        <w:footnoteReference w:id="29"/>
      </w:r>
      <w:r w:rsidR="00A65017">
        <w:rPr>
          <w:szCs w:val="22"/>
        </w:rPr>
        <w:t xml:space="preserve">  </w:t>
      </w:r>
      <w:r w:rsidR="00911FAD">
        <w:rPr>
          <w:szCs w:val="22"/>
        </w:rPr>
        <w:t xml:space="preserve">Accordingly, the Bureau will continue to process requests seeking </w:t>
      </w:r>
      <w:r w:rsidR="00911FAD" w:rsidRPr="00A53375">
        <w:rPr>
          <w:szCs w:val="22"/>
        </w:rPr>
        <w:t>authorization to</w:t>
      </w:r>
      <w:r w:rsidR="00911FAD">
        <w:rPr>
          <w:szCs w:val="22"/>
        </w:rPr>
        <w:t xml:space="preserve"> </w:t>
      </w:r>
      <w:r w:rsidR="00911FAD" w:rsidRPr="00A53375">
        <w:rPr>
          <w:szCs w:val="22"/>
        </w:rPr>
        <w:t>access confidential and highly confidential information</w:t>
      </w:r>
      <w:r w:rsidR="00911FAD">
        <w:rPr>
          <w:szCs w:val="22"/>
        </w:rPr>
        <w:t xml:space="preserve"> subject to the </w:t>
      </w:r>
      <w:r w:rsidR="00E2282C">
        <w:rPr>
          <w:szCs w:val="22"/>
        </w:rPr>
        <w:t xml:space="preserve">applicable </w:t>
      </w:r>
      <w:r w:rsidR="00911FAD">
        <w:rPr>
          <w:szCs w:val="22"/>
        </w:rPr>
        <w:t>protective orders.</w:t>
      </w:r>
      <w:r w:rsidR="00911FAD">
        <w:rPr>
          <w:rStyle w:val="FootnoteReference"/>
          <w:szCs w:val="22"/>
        </w:rPr>
        <w:footnoteReference w:id="30"/>
      </w:r>
    </w:p>
    <w:p w:rsidR="00C71AD3" w:rsidRPr="003A627E" w:rsidRDefault="00C71AD3" w:rsidP="00422A09">
      <w:pPr>
        <w:spacing w:after="120"/>
        <w:rPr>
          <w:szCs w:val="22"/>
        </w:rPr>
      </w:pPr>
      <w:r>
        <w:rPr>
          <w:szCs w:val="22"/>
        </w:rPr>
        <w:tab/>
        <w:t xml:space="preserve">For further information, please contact Christopher Koves, Pricing Policy Division, Wireline Competition Bureau, at (202) 418-8209 or via email at </w:t>
      </w:r>
      <w:hyperlink r:id="rId14" w:history="1">
        <w:r w:rsidRPr="004C0C9F">
          <w:rPr>
            <w:rStyle w:val="Hyperlink"/>
            <w:szCs w:val="22"/>
          </w:rPr>
          <w:t>Christopher.Koves@fcc.gov</w:t>
        </w:r>
      </w:hyperlink>
      <w:r>
        <w:rPr>
          <w:szCs w:val="22"/>
        </w:rPr>
        <w:t xml:space="preserve">, or Joseph Price, </w:t>
      </w:r>
      <w:r w:rsidRPr="008B0062">
        <w:rPr>
          <w:szCs w:val="22"/>
        </w:rPr>
        <w:t>Pricing Policy Division, Wireline Competition Bureau, at (202) 418-</w:t>
      </w:r>
      <w:r>
        <w:rPr>
          <w:szCs w:val="22"/>
        </w:rPr>
        <w:t>1423</w:t>
      </w:r>
      <w:r w:rsidRPr="008B0062">
        <w:rPr>
          <w:szCs w:val="22"/>
        </w:rPr>
        <w:t xml:space="preserve"> or via email</w:t>
      </w:r>
      <w:r>
        <w:rPr>
          <w:szCs w:val="22"/>
        </w:rPr>
        <w:t xml:space="preserve"> at </w:t>
      </w:r>
      <w:hyperlink r:id="rId15" w:history="1">
        <w:r w:rsidRPr="004C0C9F">
          <w:rPr>
            <w:rStyle w:val="Hyperlink"/>
            <w:szCs w:val="22"/>
          </w:rPr>
          <w:t>Joseph.Price@fcc.gov</w:t>
        </w:r>
      </w:hyperlink>
      <w:r>
        <w:rPr>
          <w:szCs w:val="22"/>
        </w:rPr>
        <w:t xml:space="preserve">.  </w:t>
      </w:r>
    </w:p>
    <w:p w:rsidR="00602577" w:rsidRDefault="00C71AD3" w:rsidP="001B4487">
      <w:pPr>
        <w:contextualSpacing/>
        <w:jc w:val="center"/>
        <w:rPr>
          <w:sz w:val="24"/>
        </w:rPr>
      </w:pPr>
      <w:r>
        <w:rPr>
          <w:rFonts w:eastAsia="Calibri"/>
          <w:b/>
          <w:szCs w:val="22"/>
        </w:rPr>
        <w:t>- FCC -</w:t>
      </w:r>
    </w:p>
    <w:sectPr w:rsidR="0060257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088" w:rsidRDefault="00D14088">
      <w:r>
        <w:separator/>
      </w:r>
    </w:p>
  </w:endnote>
  <w:endnote w:type="continuationSeparator" w:id="0">
    <w:p w:rsidR="00D14088" w:rsidRDefault="00D14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054" w:rsidRDefault="005640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F98" w:rsidRDefault="00421F98">
    <w:pPr>
      <w:pStyle w:val="Footer"/>
      <w:jc w:val="center"/>
    </w:pPr>
    <w:r>
      <w:fldChar w:fldCharType="begin"/>
    </w:r>
    <w:r>
      <w:instrText xml:space="preserve"> PAGE   \* MERGEFORMAT </w:instrText>
    </w:r>
    <w:r>
      <w:fldChar w:fldCharType="separate"/>
    </w:r>
    <w:r w:rsidR="00AC713D">
      <w:rPr>
        <w:noProof/>
      </w:rPr>
      <w:t>2</w:t>
    </w:r>
    <w:r>
      <w:rPr>
        <w:noProof/>
      </w:rPr>
      <w:fldChar w:fldCharType="end"/>
    </w:r>
  </w:p>
  <w:p w:rsidR="00421F98" w:rsidRDefault="00421F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054" w:rsidRDefault="005640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088" w:rsidRDefault="00D14088">
      <w:r>
        <w:separator/>
      </w:r>
    </w:p>
  </w:footnote>
  <w:footnote w:type="continuationSeparator" w:id="0">
    <w:p w:rsidR="00D14088" w:rsidRDefault="00D14088">
      <w:r>
        <w:continuationSeparator/>
      </w:r>
    </w:p>
  </w:footnote>
  <w:footnote w:id="1">
    <w:p w:rsidR="00C71AD3" w:rsidRPr="001C3D83" w:rsidRDefault="00C71AD3" w:rsidP="00A65017">
      <w:pPr>
        <w:autoSpaceDE w:val="0"/>
        <w:autoSpaceDN w:val="0"/>
        <w:adjustRightInd w:val="0"/>
        <w:spacing w:after="120"/>
        <w:rPr>
          <w:sz w:val="20"/>
        </w:rPr>
      </w:pPr>
      <w:r w:rsidRPr="001C3D83">
        <w:rPr>
          <w:rStyle w:val="FootnoteReference"/>
          <w:sz w:val="20"/>
        </w:rPr>
        <w:footnoteRef/>
      </w:r>
      <w:r w:rsidRPr="001C3D83">
        <w:rPr>
          <w:sz w:val="20"/>
        </w:rPr>
        <w:t xml:space="preserve"> </w:t>
      </w:r>
      <w:r w:rsidRPr="001C3D83">
        <w:rPr>
          <w:i/>
          <w:iCs/>
          <w:sz w:val="20"/>
        </w:rPr>
        <w:t>Special Access for Price Cap Local Exchange Carriers; AT&amp;T Corp. Petition for Rulemaking to Reform Regulation of Incumbent Local Exchange Carrier Rates for Interstate Special Access Services</w:t>
      </w:r>
      <w:r w:rsidRPr="001C3D83">
        <w:rPr>
          <w:sz w:val="20"/>
        </w:rPr>
        <w:t>, WC Docket No. 05-25, RM-10593, Order and Further Notice of Proposed Rulemaking, 27 FCC Rcd 16318, 16340, para. 52 n.111 (2012) (</w:t>
      </w:r>
      <w:r w:rsidRPr="001C3D83">
        <w:rPr>
          <w:i/>
          <w:iCs/>
          <w:sz w:val="20"/>
        </w:rPr>
        <w:t>Data Collection Order</w:t>
      </w:r>
      <w:r w:rsidRPr="001C3D83">
        <w:rPr>
          <w:sz w:val="20"/>
        </w:rPr>
        <w:t>).</w:t>
      </w:r>
    </w:p>
  </w:footnote>
  <w:footnote w:id="2">
    <w:p w:rsidR="00C71AD3" w:rsidRPr="001C3D83" w:rsidRDefault="00C71AD3" w:rsidP="00A65017">
      <w:pPr>
        <w:autoSpaceDE w:val="0"/>
        <w:autoSpaceDN w:val="0"/>
        <w:adjustRightInd w:val="0"/>
        <w:spacing w:after="120"/>
        <w:rPr>
          <w:sz w:val="20"/>
        </w:rPr>
      </w:pPr>
      <w:r w:rsidRPr="001C3D83">
        <w:rPr>
          <w:rStyle w:val="FootnoteReference"/>
          <w:sz w:val="20"/>
        </w:rPr>
        <w:footnoteRef/>
      </w:r>
      <w:r w:rsidRPr="001C3D83">
        <w:rPr>
          <w:sz w:val="20"/>
        </w:rPr>
        <w:t xml:space="preserve"> </w:t>
      </w:r>
      <w:r w:rsidRPr="001C3D83">
        <w:rPr>
          <w:i/>
          <w:sz w:val="20"/>
        </w:rPr>
        <w:t>See</w:t>
      </w:r>
      <w:r w:rsidRPr="001C3D83">
        <w:rPr>
          <w:sz w:val="20"/>
        </w:rPr>
        <w:t xml:space="preserve"> FCC, </w:t>
      </w:r>
      <w:r w:rsidRPr="001C3D83">
        <w:rPr>
          <w:i/>
          <w:sz w:val="20"/>
        </w:rPr>
        <w:t>Special Access Data Collection Overview</w:t>
      </w:r>
      <w:r w:rsidRPr="001C3D83">
        <w:rPr>
          <w:sz w:val="20"/>
        </w:rPr>
        <w:t xml:space="preserve">, </w:t>
      </w:r>
      <w:hyperlink r:id="rId1" w:history="1">
        <w:r w:rsidRPr="001C3D83">
          <w:rPr>
            <w:rStyle w:val="Hyperlink"/>
            <w:sz w:val="20"/>
          </w:rPr>
          <w:t>https://www.fcc.gov/general/special-access-data-collection-overview-0</w:t>
        </w:r>
      </w:hyperlink>
      <w:r w:rsidRPr="001C3D83">
        <w:rPr>
          <w:sz w:val="20"/>
        </w:rPr>
        <w:t xml:space="preserve"> (last visited Sept. </w:t>
      </w:r>
      <w:r w:rsidR="00B41B96" w:rsidRPr="001C3D83">
        <w:rPr>
          <w:sz w:val="20"/>
        </w:rPr>
        <w:t>29</w:t>
      </w:r>
      <w:r w:rsidRPr="001C3D83">
        <w:rPr>
          <w:sz w:val="20"/>
        </w:rPr>
        <w:t xml:space="preserve">, 2017).  For a more detailed discussion of the Bureau’s implementation of the data collection and an overview of the data collected, see </w:t>
      </w:r>
      <w:r w:rsidRPr="001C3D83">
        <w:rPr>
          <w:i/>
          <w:sz w:val="20"/>
        </w:rPr>
        <w:t>Business Data Services in an Internet Protocol Environment et al</w:t>
      </w:r>
      <w:r w:rsidRPr="001C3D83">
        <w:rPr>
          <w:sz w:val="20"/>
        </w:rPr>
        <w:t>., WC Docket No. 16-143 et al., Tariff Investigation Order and Further Notice of Proposed Rulemaking, 31 FCC Rcd 4723, 4737-43, paras. 29-37, 39-43 (2016)</w:t>
      </w:r>
      <w:r w:rsidR="003D1AA8" w:rsidRPr="001C3D83">
        <w:rPr>
          <w:sz w:val="20"/>
        </w:rPr>
        <w:t xml:space="preserve">, </w:t>
      </w:r>
      <w:r w:rsidR="003D1AA8" w:rsidRPr="001C3D83">
        <w:rPr>
          <w:i/>
          <w:sz w:val="20"/>
        </w:rPr>
        <w:t>remanded</w:t>
      </w:r>
      <w:r w:rsidR="0039454C" w:rsidRPr="001C3D83">
        <w:rPr>
          <w:i/>
          <w:sz w:val="20"/>
        </w:rPr>
        <w:t xml:space="preserve"> in part</w:t>
      </w:r>
      <w:r w:rsidR="00ED09CC" w:rsidRPr="001C3D83">
        <w:rPr>
          <w:sz w:val="20"/>
        </w:rPr>
        <w:t xml:space="preserve">, </w:t>
      </w:r>
      <w:r w:rsidR="008C6C6F" w:rsidRPr="001C3D83">
        <w:rPr>
          <w:sz w:val="20"/>
        </w:rPr>
        <w:t xml:space="preserve">Order, </w:t>
      </w:r>
      <w:r w:rsidR="003D1AA8" w:rsidRPr="001C3D83">
        <w:rPr>
          <w:i/>
          <w:sz w:val="20"/>
        </w:rPr>
        <w:t>AT&amp;T</w:t>
      </w:r>
      <w:r w:rsidR="00A61412" w:rsidRPr="001C3D83">
        <w:rPr>
          <w:i/>
          <w:sz w:val="20"/>
        </w:rPr>
        <w:t>, Inc.</w:t>
      </w:r>
      <w:r w:rsidR="004B0EAE" w:rsidRPr="001C3D83">
        <w:rPr>
          <w:i/>
          <w:sz w:val="20"/>
        </w:rPr>
        <w:t>,</w:t>
      </w:r>
      <w:r w:rsidR="00A61412" w:rsidRPr="001C3D83">
        <w:rPr>
          <w:i/>
          <w:sz w:val="20"/>
        </w:rPr>
        <w:t xml:space="preserve"> et al.</w:t>
      </w:r>
      <w:r w:rsidR="003D1AA8" w:rsidRPr="001C3D83">
        <w:rPr>
          <w:i/>
          <w:sz w:val="20"/>
        </w:rPr>
        <w:t xml:space="preserve"> v. FCC</w:t>
      </w:r>
      <w:r w:rsidR="003D1AA8" w:rsidRPr="001C3D83">
        <w:rPr>
          <w:sz w:val="20"/>
        </w:rPr>
        <w:t>, Nos. 16-1145, 16-1166</w:t>
      </w:r>
      <w:r w:rsidR="00A61412" w:rsidRPr="001C3D83">
        <w:rPr>
          <w:sz w:val="20"/>
        </w:rPr>
        <w:t>, 11-1177</w:t>
      </w:r>
      <w:r w:rsidR="003D1AA8" w:rsidRPr="001C3D83">
        <w:rPr>
          <w:sz w:val="20"/>
        </w:rPr>
        <w:t xml:space="preserve"> (D.C. Cir. Aug. 29, 2017)</w:t>
      </w:r>
      <w:r w:rsidRPr="001C3D83">
        <w:rPr>
          <w:sz w:val="20"/>
        </w:rPr>
        <w:t xml:space="preserve"> (</w:t>
      </w:r>
      <w:r w:rsidRPr="001C3D83">
        <w:rPr>
          <w:i/>
          <w:sz w:val="20"/>
        </w:rPr>
        <w:t>Further Notice</w:t>
      </w:r>
      <w:r w:rsidR="00A4378C" w:rsidRPr="001C3D83">
        <w:rPr>
          <w:i/>
          <w:sz w:val="20"/>
        </w:rPr>
        <w:t xml:space="preserve"> </w:t>
      </w:r>
      <w:r w:rsidR="00A4378C" w:rsidRPr="001C3D83">
        <w:rPr>
          <w:sz w:val="20"/>
        </w:rPr>
        <w:t xml:space="preserve">or </w:t>
      </w:r>
      <w:r w:rsidR="00A4378C" w:rsidRPr="001C3D83">
        <w:rPr>
          <w:i/>
          <w:sz w:val="20"/>
        </w:rPr>
        <w:t>Tariff Investigation Order</w:t>
      </w:r>
      <w:r w:rsidRPr="001C3D83">
        <w:rPr>
          <w:sz w:val="20"/>
        </w:rPr>
        <w:t>).</w:t>
      </w:r>
    </w:p>
  </w:footnote>
  <w:footnote w:id="3">
    <w:p w:rsidR="00E244D2" w:rsidRPr="001C3D83" w:rsidRDefault="00E244D2" w:rsidP="00131B30">
      <w:pPr>
        <w:pStyle w:val="FootnoteText"/>
        <w:spacing w:after="120"/>
        <w:rPr>
          <w:sz w:val="20"/>
        </w:rPr>
      </w:pPr>
      <w:r w:rsidRPr="001C3D83">
        <w:rPr>
          <w:rStyle w:val="FootnoteReference"/>
          <w:sz w:val="20"/>
        </w:rPr>
        <w:footnoteRef/>
      </w:r>
      <w:r w:rsidRPr="001C3D83">
        <w:rPr>
          <w:sz w:val="20"/>
        </w:rPr>
        <w:t xml:space="preserve"> </w:t>
      </w:r>
      <w:r w:rsidR="00A53241" w:rsidRPr="001C3D83">
        <w:rPr>
          <w:i/>
          <w:sz w:val="20"/>
        </w:rPr>
        <w:t>See Further Notice</w:t>
      </w:r>
      <w:r w:rsidR="00A53241" w:rsidRPr="001C3D83">
        <w:rPr>
          <w:sz w:val="20"/>
        </w:rPr>
        <w:t>, 31 FCC Rcd at 4740, para. 37.</w:t>
      </w:r>
    </w:p>
  </w:footnote>
  <w:footnote w:id="4">
    <w:p w:rsidR="00BC6824" w:rsidRPr="001C3D83" w:rsidRDefault="00BC6824" w:rsidP="00131B30">
      <w:pPr>
        <w:pStyle w:val="FootnoteText"/>
        <w:spacing w:after="120"/>
        <w:rPr>
          <w:sz w:val="20"/>
        </w:rPr>
      </w:pPr>
      <w:r w:rsidRPr="001C3D83">
        <w:rPr>
          <w:rStyle w:val="FootnoteReference"/>
          <w:sz w:val="20"/>
        </w:rPr>
        <w:footnoteRef/>
      </w:r>
      <w:r w:rsidRPr="001C3D83">
        <w:rPr>
          <w:sz w:val="20"/>
        </w:rPr>
        <w:t xml:space="preserve"> </w:t>
      </w:r>
      <w:r w:rsidRPr="001C3D83">
        <w:rPr>
          <w:i/>
          <w:sz w:val="20"/>
        </w:rPr>
        <w:t>See</w:t>
      </w:r>
      <w:r w:rsidR="00F80C23" w:rsidRPr="001C3D83">
        <w:rPr>
          <w:i/>
          <w:sz w:val="20"/>
        </w:rPr>
        <w:t xml:space="preserve"> Data Collection Order</w:t>
      </w:r>
      <w:r w:rsidR="00F80C23" w:rsidRPr="001C3D83">
        <w:rPr>
          <w:sz w:val="20"/>
        </w:rPr>
        <w:t>, 27 FCC Rcd</w:t>
      </w:r>
      <w:r w:rsidRPr="001C3D83">
        <w:rPr>
          <w:sz w:val="20"/>
        </w:rPr>
        <w:t xml:space="preserve"> at 16322-23, 16341, 16345, paras. 8, 56, 66.</w:t>
      </w:r>
    </w:p>
  </w:footnote>
  <w:footnote w:id="5">
    <w:p w:rsidR="00BC6824" w:rsidRPr="001C3D83" w:rsidRDefault="00BC6824" w:rsidP="00131B30">
      <w:pPr>
        <w:pStyle w:val="FootnoteText"/>
        <w:spacing w:after="120"/>
        <w:rPr>
          <w:sz w:val="20"/>
        </w:rPr>
      </w:pPr>
      <w:r w:rsidRPr="001C3D83">
        <w:rPr>
          <w:rStyle w:val="FootnoteReference"/>
          <w:sz w:val="20"/>
        </w:rPr>
        <w:footnoteRef/>
      </w:r>
      <w:r w:rsidRPr="001C3D83">
        <w:rPr>
          <w:sz w:val="20"/>
        </w:rPr>
        <w:t xml:space="preserve"> </w:t>
      </w:r>
      <w:r w:rsidRPr="001C3D83">
        <w:rPr>
          <w:i/>
          <w:sz w:val="20"/>
        </w:rPr>
        <w:t>See Investigation of Certain Price Cap Local Exchange Carrier Business Data Services Tariff Pricing Plans et al</w:t>
      </w:r>
      <w:r w:rsidRPr="001C3D83">
        <w:rPr>
          <w:sz w:val="20"/>
        </w:rPr>
        <w:t xml:space="preserve">., WC Docket No. 15-247 et al., Order and Protective Orders, 31 FCC Rcd 13680, </w:t>
      </w:r>
      <w:r w:rsidR="003456E7" w:rsidRPr="001C3D83">
        <w:rPr>
          <w:sz w:val="20"/>
        </w:rPr>
        <w:t>13680</w:t>
      </w:r>
      <w:r w:rsidRPr="001C3D83">
        <w:rPr>
          <w:sz w:val="20"/>
        </w:rPr>
        <w:t>, para. 1 (WCB 2015)</w:t>
      </w:r>
      <w:r w:rsidR="00CB7622" w:rsidRPr="001C3D83">
        <w:rPr>
          <w:sz w:val="20"/>
        </w:rPr>
        <w:t xml:space="preserve"> </w:t>
      </w:r>
      <w:r w:rsidR="005A685C" w:rsidRPr="001C3D83">
        <w:rPr>
          <w:sz w:val="20"/>
        </w:rPr>
        <w:t>(</w:t>
      </w:r>
      <w:r w:rsidR="005A685C" w:rsidRPr="001C3D83">
        <w:rPr>
          <w:i/>
          <w:sz w:val="20"/>
        </w:rPr>
        <w:t>Tariff Investigation Protective Order</w:t>
      </w:r>
      <w:r w:rsidR="005A685C" w:rsidRPr="001C3D83">
        <w:rPr>
          <w:sz w:val="20"/>
        </w:rPr>
        <w:t>)</w:t>
      </w:r>
      <w:r w:rsidR="00A4378C" w:rsidRPr="001C3D83">
        <w:rPr>
          <w:sz w:val="20"/>
        </w:rPr>
        <w:t xml:space="preserve">; </w:t>
      </w:r>
      <w:r w:rsidR="00A4378C" w:rsidRPr="001C3D83">
        <w:rPr>
          <w:i/>
          <w:sz w:val="20"/>
        </w:rPr>
        <w:t>see also</w:t>
      </w:r>
      <w:r w:rsidR="00A4378C" w:rsidRPr="001C3D83">
        <w:rPr>
          <w:sz w:val="20"/>
        </w:rPr>
        <w:t xml:space="preserve"> Order, </w:t>
      </w:r>
      <w:r w:rsidR="00A4378C" w:rsidRPr="001C3D83">
        <w:rPr>
          <w:i/>
          <w:sz w:val="20"/>
        </w:rPr>
        <w:t>AT&amp;T</w:t>
      </w:r>
      <w:r w:rsidR="0094113B" w:rsidRPr="001C3D83">
        <w:rPr>
          <w:i/>
          <w:sz w:val="20"/>
        </w:rPr>
        <w:t>, Inc., et al.</w:t>
      </w:r>
      <w:r w:rsidR="00A4378C" w:rsidRPr="001C3D83">
        <w:rPr>
          <w:i/>
          <w:sz w:val="20"/>
        </w:rPr>
        <w:t xml:space="preserve"> v. FCC</w:t>
      </w:r>
      <w:r w:rsidR="00A4378C" w:rsidRPr="001C3D83">
        <w:rPr>
          <w:sz w:val="20"/>
        </w:rPr>
        <w:t>, Nos. 16-1145, 16-1166</w:t>
      </w:r>
      <w:r w:rsidR="00DB59E3" w:rsidRPr="001C3D83">
        <w:rPr>
          <w:sz w:val="20"/>
        </w:rPr>
        <w:t>, 16-1177</w:t>
      </w:r>
      <w:r w:rsidR="00A4378C" w:rsidRPr="001C3D83">
        <w:rPr>
          <w:sz w:val="20"/>
        </w:rPr>
        <w:t xml:space="preserve"> (D.C. Cir. Aug. 29, 2017) (granting Commission’s motion for voluntary remand of the </w:t>
      </w:r>
      <w:r w:rsidR="00A4378C" w:rsidRPr="001C3D83">
        <w:rPr>
          <w:i/>
          <w:sz w:val="20"/>
        </w:rPr>
        <w:t>Tariff Investigation Order</w:t>
      </w:r>
      <w:r w:rsidR="00A4378C" w:rsidRPr="001C3D83">
        <w:rPr>
          <w:sz w:val="20"/>
        </w:rPr>
        <w:t>)</w:t>
      </w:r>
      <w:r w:rsidR="00CB7622" w:rsidRPr="001C3D83">
        <w:rPr>
          <w:sz w:val="20"/>
        </w:rPr>
        <w:t xml:space="preserve">; </w:t>
      </w:r>
      <w:r w:rsidR="00CB7622" w:rsidRPr="001C3D83">
        <w:rPr>
          <w:i/>
          <w:sz w:val="20"/>
        </w:rPr>
        <w:t>see also</w:t>
      </w:r>
      <w:r w:rsidR="00CB7622" w:rsidRPr="001C3D83">
        <w:rPr>
          <w:sz w:val="20"/>
        </w:rPr>
        <w:t xml:space="preserve"> FCC Mot. for Voluntary Remand, </w:t>
      </w:r>
      <w:r w:rsidR="00D5304A" w:rsidRPr="001C3D83">
        <w:rPr>
          <w:i/>
          <w:sz w:val="20"/>
        </w:rPr>
        <w:t xml:space="preserve">AT&amp;T, Inc., </w:t>
      </w:r>
      <w:r w:rsidR="00CB7622" w:rsidRPr="001C3D83">
        <w:rPr>
          <w:i/>
          <w:sz w:val="20"/>
        </w:rPr>
        <w:t>et al. v. FCC</w:t>
      </w:r>
      <w:r w:rsidR="00CB7622" w:rsidRPr="001C3D83">
        <w:rPr>
          <w:sz w:val="20"/>
        </w:rPr>
        <w:t xml:space="preserve">, No. 16-1166 (D.C. Cir. June 13, 2017).  </w:t>
      </w:r>
    </w:p>
  </w:footnote>
  <w:footnote w:id="6">
    <w:p w:rsidR="00C71AD3" w:rsidRPr="001C3D83" w:rsidRDefault="00C71AD3">
      <w:pPr>
        <w:autoSpaceDE w:val="0"/>
        <w:autoSpaceDN w:val="0"/>
        <w:adjustRightInd w:val="0"/>
        <w:spacing w:after="120"/>
        <w:rPr>
          <w:sz w:val="20"/>
        </w:rPr>
      </w:pPr>
      <w:r w:rsidRPr="001C3D83">
        <w:rPr>
          <w:rStyle w:val="FootnoteReference"/>
          <w:sz w:val="20"/>
        </w:rPr>
        <w:footnoteRef/>
      </w:r>
      <w:r w:rsidRPr="001C3D83">
        <w:rPr>
          <w:sz w:val="20"/>
        </w:rPr>
        <w:t xml:space="preserve"> </w:t>
      </w:r>
      <w:r w:rsidRPr="001C3D83">
        <w:rPr>
          <w:i/>
          <w:iCs/>
          <w:sz w:val="20"/>
        </w:rPr>
        <w:t xml:space="preserve">See Business Data Services in an Internet Protocol Environment et al., </w:t>
      </w:r>
      <w:r w:rsidRPr="001C3D83">
        <w:rPr>
          <w:iCs/>
          <w:sz w:val="20"/>
        </w:rPr>
        <w:t xml:space="preserve">WC Docket No. 16-143 et al., Order, 31 FCC Rcd 7104 (WCB 2016); </w:t>
      </w:r>
      <w:r w:rsidRPr="001C3D83">
        <w:rPr>
          <w:i/>
          <w:iCs/>
          <w:sz w:val="20"/>
        </w:rPr>
        <w:t>Special Access for Price Cap Local Exchange Carriers; AT&amp;T Corp. Petition for Rulemaking to Reform Regulation of Incumbent Local Exchange Carrier Rates for Interstate Special Access Services</w:t>
      </w:r>
      <w:r w:rsidRPr="001C3D83">
        <w:rPr>
          <w:sz w:val="20"/>
        </w:rPr>
        <w:t>, WC Docket No. 05-25, RM-10593, Order and Modified Data Collection Protective Order, 30 FCC Rcd 10027 (WCB 2015) (</w:t>
      </w:r>
      <w:r w:rsidRPr="001C3D83">
        <w:rPr>
          <w:i/>
          <w:iCs/>
          <w:sz w:val="20"/>
        </w:rPr>
        <w:t>Modified Data Collection Protective Order</w:t>
      </w:r>
      <w:r w:rsidRPr="001C3D83">
        <w:rPr>
          <w:sz w:val="20"/>
        </w:rPr>
        <w:t>); Order and Data Collection Protective Order, 29 FCC Rcd 11657 (WCB 2014) (</w:t>
      </w:r>
      <w:r w:rsidRPr="001C3D83">
        <w:rPr>
          <w:i/>
          <w:iCs/>
          <w:sz w:val="20"/>
        </w:rPr>
        <w:t>Data Collection Protective Order</w:t>
      </w:r>
      <w:r w:rsidRPr="001C3D83">
        <w:rPr>
          <w:sz w:val="20"/>
        </w:rPr>
        <w:t>); Second Protective Order, 25 FCC Rcd 17725 (WCB 2010) (</w:t>
      </w:r>
      <w:r w:rsidRPr="001C3D83">
        <w:rPr>
          <w:i/>
          <w:iCs/>
          <w:sz w:val="20"/>
        </w:rPr>
        <w:t>Second Protective Order</w:t>
      </w:r>
      <w:r w:rsidRPr="001C3D83">
        <w:rPr>
          <w:sz w:val="20"/>
        </w:rPr>
        <w:t>); Modified Protective Order, 25 FCC Rcd 15168 (WCB 2010) (</w:t>
      </w:r>
      <w:r w:rsidRPr="001C3D83">
        <w:rPr>
          <w:i/>
          <w:iCs/>
          <w:sz w:val="20"/>
        </w:rPr>
        <w:t>Modified Protective Order</w:t>
      </w:r>
      <w:r w:rsidR="00BD70E5" w:rsidRPr="001C3D83">
        <w:rPr>
          <w:sz w:val="20"/>
        </w:rPr>
        <w:t xml:space="preserve">); </w:t>
      </w:r>
      <w:r w:rsidR="00BD70E5" w:rsidRPr="001C3D83">
        <w:rPr>
          <w:i/>
          <w:sz w:val="20"/>
        </w:rPr>
        <w:t xml:space="preserve">see </w:t>
      </w:r>
      <w:r w:rsidR="003456E7" w:rsidRPr="001C3D83">
        <w:rPr>
          <w:i/>
          <w:sz w:val="20"/>
        </w:rPr>
        <w:t>Tariff Investigation Protective Order</w:t>
      </w:r>
      <w:r w:rsidR="00BD70E5" w:rsidRPr="001C3D83">
        <w:rPr>
          <w:sz w:val="20"/>
        </w:rPr>
        <w:t xml:space="preserve">, 31 FCC Rcd </w:t>
      </w:r>
      <w:r w:rsidR="003456E7" w:rsidRPr="001C3D83">
        <w:rPr>
          <w:sz w:val="20"/>
        </w:rPr>
        <w:t>at</w:t>
      </w:r>
      <w:r w:rsidR="00BC6824" w:rsidRPr="001C3D83">
        <w:rPr>
          <w:sz w:val="20"/>
        </w:rPr>
        <w:t xml:space="preserve"> </w:t>
      </w:r>
      <w:r w:rsidR="003456E7" w:rsidRPr="001C3D83">
        <w:rPr>
          <w:sz w:val="20"/>
        </w:rPr>
        <w:t>13683-84, para. 10</w:t>
      </w:r>
      <w:r w:rsidR="00120EE8" w:rsidRPr="001C3D83">
        <w:rPr>
          <w:sz w:val="20"/>
        </w:rPr>
        <w:t xml:space="preserve"> (incorporating highly confidential data collected in the rulemaking proceeding into the record of the tariff investigation).</w:t>
      </w:r>
      <w:r w:rsidR="003456E7" w:rsidRPr="001C3D83">
        <w:rPr>
          <w:sz w:val="20"/>
        </w:rPr>
        <w:t xml:space="preserve"> </w:t>
      </w:r>
    </w:p>
  </w:footnote>
  <w:footnote w:id="7">
    <w:p w:rsidR="00C71AD3" w:rsidRPr="001C3D83" w:rsidRDefault="00C71AD3">
      <w:pPr>
        <w:pStyle w:val="FootnoteText"/>
        <w:spacing w:after="120"/>
        <w:rPr>
          <w:sz w:val="20"/>
        </w:rPr>
      </w:pPr>
      <w:r w:rsidRPr="001C3D83">
        <w:rPr>
          <w:rStyle w:val="FootnoteReference"/>
          <w:sz w:val="20"/>
        </w:rPr>
        <w:footnoteRef/>
      </w:r>
      <w:r w:rsidRPr="001C3D83">
        <w:rPr>
          <w:sz w:val="20"/>
        </w:rPr>
        <w:t xml:space="preserve"> </w:t>
      </w:r>
      <w:r w:rsidRPr="001C3D83">
        <w:rPr>
          <w:i/>
          <w:sz w:val="20"/>
        </w:rPr>
        <w:t>See Data Collection Protective Order</w:t>
      </w:r>
      <w:r w:rsidRPr="001C3D83">
        <w:rPr>
          <w:sz w:val="20"/>
        </w:rPr>
        <w:t xml:space="preserve">, 29 FCC Rcd at 11673, Appx. A at para. 5; </w:t>
      </w:r>
      <w:r w:rsidRPr="001C3D83">
        <w:rPr>
          <w:i/>
          <w:sz w:val="20"/>
        </w:rPr>
        <w:t>Second Protective Order</w:t>
      </w:r>
      <w:r w:rsidR="00BD70E5" w:rsidRPr="001C3D83">
        <w:rPr>
          <w:sz w:val="20"/>
        </w:rPr>
        <w:t xml:space="preserve">, 25 </w:t>
      </w:r>
      <w:r w:rsidRPr="001C3D83">
        <w:rPr>
          <w:sz w:val="20"/>
        </w:rPr>
        <w:t xml:space="preserve">FCC Rcd at 17727, para. 5; </w:t>
      </w:r>
      <w:r w:rsidRPr="001C3D83">
        <w:rPr>
          <w:i/>
          <w:sz w:val="20"/>
        </w:rPr>
        <w:t>see also Modified Protective Order</w:t>
      </w:r>
      <w:r w:rsidR="00933DEA" w:rsidRPr="001C3D83">
        <w:rPr>
          <w:sz w:val="20"/>
        </w:rPr>
        <w:t xml:space="preserve">, 25 FCC Rcd at 15170, para. 4. </w:t>
      </w:r>
    </w:p>
  </w:footnote>
  <w:footnote w:id="8">
    <w:p w:rsidR="00CA0929" w:rsidRPr="001C3D83" w:rsidRDefault="00CA0929">
      <w:pPr>
        <w:pStyle w:val="FootnoteText"/>
        <w:spacing w:after="120"/>
        <w:rPr>
          <w:sz w:val="20"/>
        </w:rPr>
      </w:pPr>
      <w:r w:rsidRPr="001C3D83">
        <w:rPr>
          <w:rStyle w:val="FootnoteReference"/>
          <w:sz w:val="20"/>
        </w:rPr>
        <w:footnoteRef/>
      </w:r>
      <w:r w:rsidRPr="001C3D83">
        <w:rPr>
          <w:sz w:val="20"/>
        </w:rPr>
        <w:t xml:space="preserve"> </w:t>
      </w:r>
      <w:r w:rsidRPr="001C3D83">
        <w:rPr>
          <w:i/>
          <w:sz w:val="20"/>
        </w:rPr>
        <w:t>See</w:t>
      </w:r>
      <w:r w:rsidRPr="001C3D83">
        <w:rPr>
          <w:sz w:val="20"/>
        </w:rPr>
        <w:t xml:space="preserve"> </w:t>
      </w:r>
      <w:r w:rsidRPr="001C3D83">
        <w:rPr>
          <w:i/>
          <w:sz w:val="20"/>
        </w:rPr>
        <w:t>Data Collection Protective Order</w:t>
      </w:r>
      <w:r w:rsidRPr="001C3D83">
        <w:rPr>
          <w:sz w:val="20"/>
        </w:rPr>
        <w:t>, 29 FCC Rcd at 11680, Appx. C;</w:t>
      </w:r>
      <w:r w:rsidR="00A22F27" w:rsidRPr="001C3D83">
        <w:rPr>
          <w:sz w:val="20"/>
        </w:rPr>
        <w:t xml:space="preserve"> </w:t>
      </w:r>
      <w:r w:rsidR="00A22F27" w:rsidRPr="001C3D83">
        <w:rPr>
          <w:i/>
          <w:sz w:val="20"/>
        </w:rPr>
        <w:t>Second Protective Order</w:t>
      </w:r>
      <w:r w:rsidR="00A22F27" w:rsidRPr="001C3D83">
        <w:rPr>
          <w:sz w:val="20"/>
        </w:rPr>
        <w:t xml:space="preserve">, 25 FCC Rcd at 17733, Appx. A; </w:t>
      </w:r>
      <w:r w:rsidR="00A22F27" w:rsidRPr="001C3D83">
        <w:rPr>
          <w:i/>
          <w:sz w:val="20"/>
        </w:rPr>
        <w:t>Modified Protective Order</w:t>
      </w:r>
      <w:r w:rsidR="00A22F27" w:rsidRPr="001C3D83">
        <w:rPr>
          <w:sz w:val="20"/>
        </w:rPr>
        <w:t xml:space="preserve">, 25 FCC Rcd 15175, Appx. A.  </w:t>
      </w:r>
      <w:r w:rsidRPr="001C3D83">
        <w:rPr>
          <w:sz w:val="20"/>
        </w:rPr>
        <w:t xml:space="preserve"> </w:t>
      </w:r>
      <w:r w:rsidR="005A68C7" w:rsidRPr="001C3D83">
        <w:rPr>
          <w:i/>
          <w:sz w:val="20"/>
        </w:rPr>
        <w:t>Wireline Competition Bureau Now Receiving Acknowledgements of Confidentiality Pursuant to Special Access Data Collection Protective Order</w:t>
      </w:r>
      <w:r w:rsidR="005A68C7" w:rsidRPr="001C3D83">
        <w:rPr>
          <w:sz w:val="20"/>
        </w:rPr>
        <w:t>, WC Docket No. 05-25, RM-10593, Public Notice, 30 FCC Rcd 6421 (WCB 2015)</w:t>
      </w:r>
      <w:r w:rsidR="00C279CE" w:rsidRPr="001C3D83">
        <w:rPr>
          <w:sz w:val="20"/>
        </w:rPr>
        <w:t xml:space="preserve"> (</w:t>
      </w:r>
      <w:r w:rsidR="00C279CE" w:rsidRPr="001C3D83">
        <w:rPr>
          <w:i/>
          <w:sz w:val="20"/>
        </w:rPr>
        <w:t>Public Notice</w:t>
      </w:r>
      <w:r w:rsidR="00C279CE" w:rsidRPr="001C3D83">
        <w:rPr>
          <w:sz w:val="20"/>
        </w:rPr>
        <w:t>)</w:t>
      </w:r>
      <w:r w:rsidR="005A68C7" w:rsidRPr="001C3D83">
        <w:rPr>
          <w:sz w:val="20"/>
        </w:rPr>
        <w:t xml:space="preserve">; </w:t>
      </w:r>
      <w:r w:rsidRPr="001C3D83">
        <w:rPr>
          <w:i/>
          <w:sz w:val="20"/>
        </w:rPr>
        <w:t xml:space="preserve">see also </w:t>
      </w:r>
      <w:r w:rsidR="0059098C" w:rsidRPr="001C3D83">
        <w:rPr>
          <w:sz w:val="20"/>
        </w:rPr>
        <w:t>FCC</w:t>
      </w:r>
      <w:r w:rsidR="0059098C" w:rsidRPr="001C3D83">
        <w:rPr>
          <w:i/>
          <w:sz w:val="20"/>
        </w:rPr>
        <w:t xml:space="preserve">, </w:t>
      </w:r>
      <w:r w:rsidRPr="001C3D83">
        <w:rPr>
          <w:i/>
          <w:sz w:val="20"/>
        </w:rPr>
        <w:t>Parties Authorized to Review Special Access Data</w:t>
      </w:r>
      <w:r w:rsidRPr="001C3D83">
        <w:rPr>
          <w:sz w:val="20"/>
        </w:rPr>
        <w:t xml:space="preserve">, </w:t>
      </w:r>
      <w:hyperlink r:id="rId2" w:history="1">
        <w:r w:rsidR="00C542B5" w:rsidRPr="001C3D83">
          <w:rPr>
            <w:rStyle w:val="Hyperlink"/>
            <w:sz w:val="20"/>
          </w:rPr>
          <w:t>https://www.fcc.gov/general/</w:t>
        </w:r>
        <w:r w:rsidR="00C542B5" w:rsidRPr="001C3D83">
          <w:rPr>
            <w:rStyle w:val="Hyperlink"/>
            <w:sz w:val="20"/>
          </w:rPr>
          <w:br/>
          <w:t>parties-authorized-review-special-access-data</w:t>
        </w:r>
      </w:hyperlink>
      <w:r w:rsidR="005A68C7" w:rsidRPr="001C3D83">
        <w:rPr>
          <w:sz w:val="20"/>
        </w:rPr>
        <w:t xml:space="preserve"> (last visited Sept. </w:t>
      </w:r>
      <w:r w:rsidR="00B41B96" w:rsidRPr="001C3D83">
        <w:rPr>
          <w:sz w:val="20"/>
        </w:rPr>
        <w:t>29</w:t>
      </w:r>
      <w:r w:rsidR="005A68C7" w:rsidRPr="001C3D83">
        <w:rPr>
          <w:sz w:val="20"/>
        </w:rPr>
        <w:t xml:space="preserve">, 2017). </w:t>
      </w:r>
    </w:p>
  </w:footnote>
  <w:footnote w:id="9">
    <w:p w:rsidR="00C71AD3" w:rsidRPr="001C3D83" w:rsidRDefault="00C71AD3">
      <w:pPr>
        <w:pStyle w:val="FootnoteText"/>
        <w:spacing w:after="120"/>
        <w:rPr>
          <w:sz w:val="20"/>
        </w:rPr>
      </w:pPr>
      <w:r w:rsidRPr="001C3D83">
        <w:rPr>
          <w:rStyle w:val="FootnoteReference"/>
          <w:sz w:val="20"/>
        </w:rPr>
        <w:footnoteRef/>
      </w:r>
      <w:r w:rsidRPr="001C3D83">
        <w:rPr>
          <w:sz w:val="20"/>
        </w:rPr>
        <w:t xml:space="preserve"> </w:t>
      </w:r>
      <w:r w:rsidRPr="001C3D83">
        <w:rPr>
          <w:i/>
          <w:sz w:val="20"/>
        </w:rPr>
        <w:t>Data Collection Protective Order</w:t>
      </w:r>
      <w:r w:rsidR="007A55BF" w:rsidRPr="001C3D83">
        <w:rPr>
          <w:sz w:val="20"/>
        </w:rPr>
        <w:t>, 29</w:t>
      </w:r>
      <w:r w:rsidRPr="001C3D83">
        <w:rPr>
          <w:sz w:val="20"/>
        </w:rPr>
        <w:t xml:space="preserve"> FCC Rcd at 11657, para. 1.  </w:t>
      </w:r>
    </w:p>
  </w:footnote>
  <w:footnote w:id="10">
    <w:p w:rsidR="00C71AD3" w:rsidRPr="001C3D83" w:rsidRDefault="00C71AD3">
      <w:pPr>
        <w:pStyle w:val="FootnoteText"/>
        <w:spacing w:after="120"/>
        <w:rPr>
          <w:sz w:val="20"/>
        </w:rPr>
      </w:pPr>
      <w:r w:rsidRPr="001C3D83">
        <w:rPr>
          <w:rStyle w:val="FootnoteReference"/>
          <w:sz w:val="20"/>
        </w:rPr>
        <w:footnoteRef/>
      </w:r>
      <w:r w:rsidRPr="001C3D83">
        <w:rPr>
          <w:sz w:val="20"/>
        </w:rPr>
        <w:t xml:space="preserve"> </w:t>
      </w:r>
      <w:r w:rsidRPr="001C3D83">
        <w:rPr>
          <w:i/>
          <w:sz w:val="20"/>
        </w:rPr>
        <w:t>See id</w:t>
      </w:r>
      <w:r w:rsidRPr="001C3D83">
        <w:rPr>
          <w:sz w:val="20"/>
        </w:rPr>
        <w:t xml:space="preserve">. at 11661, para. 12 n.32.  “National Opinion Research Center” is the legal name but </w:t>
      </w:r>
      <w:r w:rsidR="00C03C40" w:rsidRPr="001C3D83">
        <w:rPr>
          <w:sz w:val="20"/>
        </w:rPr>
        <w:t>“</w:t>
      </w:r>
      <w:r w:rsidRPr="001C3D83">
        <w:rPr>
          <w:sz w:val="20"/>
        </w:rPr>
        <w:t>NORC</w:t>
      </w:r>
      <w:r w:rsidR="00C03C40" w:rsidRPr="001C3D83">
        <w:rPr>
          <w:sz w:val="20"/>
        </w:rPr>
        <w:t>”</w:t>
      </w:r>
      <w:r w:rsidRPr="001C3D83">
        <w:rPr>
          <w:sz w:val="20"/>
        </w:rPr>
        <w:t xml:space="preserve"> </w:t>
      </w:r>
      <w:r w:rsidR="00421F98" w:rsidRPr="001C3D83">
        <w:rPr>
          <w:sz w:val="20"/>
        </w:rPr>
        <w:t>i</w:t>
      </w:r>
      <w:r w:rsidRPr="001C3D83">
        <w:rPr>
          <w:sz w:val="20"/>
        </w:rPr>
        <w:t xml:space="preserve">s registered as the “externally facing, to-do-business (TDB) name.”  </w:t>
      </w:r>
      <w:r w:rsidRPr="001C3D83">
        <w:rPr>
          <w:i/>
          <w:sz w:val="20"/>
        </w:rPr>
        <w:t>See</w:t>
      </w:r>
      <w:r w:rsidRPr="001C3D83">
        <w:rPr>
          <w:sz w:val="20"/>
        </w:rPr>
        <w:t xml:space="preserve"> NORC, </w:t>
      </w:r>
      <w:r w:rsidRPr="001C3D83">
        <w:rPr>
          <w:i/>
          <w:sz w:val="20"/>
        </w:rPr>
        <w:t>About Our Name</w:t>
      </w:r>
      <w:r w:rsidRPr="001C3D83">
        <w:rPr>
          <w:sz w:val="20"/>
        </w:rPr>
        <w:t xml:space="preserve">, </w:t>
      </w:r>
      <w:hyperlink r:id="rId3" w:history="1">
        <w:r w:rsidRPr="001C3D83">
          <w:rPr>
            <w:rStyle w:val="Hyperlink"/>
            <w:sz w:val="20"/>
          </w:rPr>
          <w:t>http://www.norc.org/About/</w:t>
        </w:r>
        <w:r w:rsidRPr="001C3D83">
          <w:rPr>
            <w:rStyle w:val="Hyperlink"/>
            <w:sz w:val="20"/>
          </w:rPr>
          <w:br/>
          <w:t>Pages/about-our-name.aspx</w:t>
        </w:r>
      </w:hyperlink>
      <w:r w:rsidRPr="001C3D83">
        <w:rPr>
          <w:sz w:val="20"/>
        </w:rPr>
        <w:t xml:space="preserve"> (</w:t>
      </w:r>
      <w:r w:rsidR="00C333DF" w:rsidRPr="001C3D83">
        <w:rPr>
          <w:sz w:val="20"/>
        </w:rPr>
        <w:t xml:space="preserve">last visited </w:t>
      </w:r>
      <w:r w:rsidRPr="001C3D83">
        <w:rPr>
          <w:sz w:val="20"/>
        </w:rPr>
        <w:t xml:space="preserve">Sept. </w:t>
      </w:r>
      <w:r w:rsidR="00B41B96" w:rsidRPr="001C3D83">
        <w:rPr>
          <w:sz w:val="20"/>
        </w:rPr>
        <w:t>29</w:t>
      </w:r>
      <w:r w:rsidRPr="001C3D83">
        <w:rPr>
          <w:sz w:val="20"/>
        </w:rPr>
        <w:t>, 2017).</w:t>
      </w:r>
    </w:p>
  </w:footnote>
  <w:footnote w:id="11">
    <w:p w:rsidR="00C71AD3" w:rsidRPr="001C3D83" w:rsidRDefault="00C71AD3">
      <w:pPr>
        <w:pStyle w:val="FootnoteText"/>
        <w:spacing w:after="120"/>
        <w:rPr>
          <w:sz w:val="20"/>
        </w:rPr>
      </w:pPr>
      <w:r w:rsidRPr="001C3D83">
        <w:rPr>
          <w:rStyle w:val="FootnoteReference"/>
          <w:sz w:val="20"/>
        </w:rPr>
        <w:footnoteRef/>
      </w:r>
      <w:r w:rsidR="004B670F" w:rsidRPr="001C3D83">
        <w:rPr>
          <w:sz w:val="20"/>
        </w:rPr>
        <w:t xml:space="preserve"> </w:t>
      </w:r>
      <w:r w:rsidR="004B670F" w:rsidRPr="001C3D83">
        <w:rPr>
          <w:i/>
          <w:sz w:val="20"/>
        </w:rPr>
        <w:t>See</w:t>
      </w:r>
      <w:r w:rsidRPr="001C3D83">
        <w:rPr>
          <w:i/>
          <w:sz w:val="20"/>
        </w:rPr>
        <w:t xml:space="preserve"> </w:t>
      </w:r>
      <w:r w:rsidR="004B670F" w:rsidRPr="001C3D83">
        <w:rPr>
          <w:i/>
          <w:sz w:val="20"/>
        </w:rPr>
        <w:t>Data Collection Protective Order</w:t>
      </w:r>
      <w:r w:rsidR="004B670F" w:rsidRPr="001C3D83">
        <w:rPr>
          <w:sz w:val="20"/>
        </w:rPr>
        <w:t xml:space="preserve">, 29 FCC Rcd at 11657, para. 1; </w:t>
      </w:r>
      <w:r w:rsidR="004B670F" w:rsidRPr="001C3D83">
        <w:rPr>
          <w:i/>
          <w:sz w:val="20"/>
        </w:rPr>
        <w:t>Modified Data Collection Protective Order</w:t>
      </w:r>
      <w:r w:rsidR="004B670F" w:rsidRPr="001C3D83">
        <w:rPr>
          <w:sz w:val="20"/>
        </w:rPr>
        <w:t>, 30 FCC Rcd at 10027, para. 1 (modifying how reviewing parties gain remote access to the secure data enclave by using a software-based VPN in lieu of hardware</w:t>
      </w:r>
      <w:r w:rsidR="00755C10" w:rsidRPr="001C3D83">
        <w:rPr>
          <w:sz w:val="20"/>
        </w:rPr>
        <w:t>-</w:t>
      </w:r>
      <w:r w:rsidR="004B670F" w:rsidRPr="001C3D83">
        <w:rPr>
          <w:sz w:val="20"/>
        </w:rPr>
        <w:t>based thin client laptops).</w:t>
      </w:r>
    </w:p>
  </w:footnote>
  <w:footnote w:id="12">
    <w:p w:rsidR="000F7A54" w:rsidRPr="001C3D83" w:rsidRDefault="000F7A54">
      <w:pPr>
        <w:pStyle w:val="FootnoteText"/>
        <w:spacing w:after="120"/>
        <w:rPr>
          <w:sz w:val="20"/>
        </w:rPr>
      </w:pPr>
      <w:r w:rsidRPr="001C3D83">
        <w:rPr>
          <w:rStyle w:val="FootnoteReference"/>
          <w:sz w:val="20"/>
        </w:rPr>
        <w:footnoteRef/>
      </w:r>
      <w:r w:rsidRPr="001C3D83">
        <w:rPr>
          <w:sz w:val="20"/>
        </w:rPr>
        <w:t xml:space="preserve"> </w:t>
      </w:r>
      <w:r w:rsidRPr="001C3D83">
        <w:rPr>
          <w:i/>
          <w:sz w:val="20"/>
        </w:rPr>
        <w:t>See Data Collection Protective Order</w:t>
      </w:r>
      <w:r w:rsidRPr="001C3D83">
        <w:rPr>
          <w:sz w:val="20"/>
        </w:rPr>
        <w:t>, 29 FCC Rcd at</w:t>
      </w:r>
      <w:r w:rsidRPr="001C3D83">
        <w:rPr>
          <w:i/>
          <w:sz w:val="20"/>
        </w:rPr>
        <w:t xml:space="preserve"> </w:t>
      </w:r>
      <w:r w:rsidRPr="001C3D83">
        <w:rPr>
          <w:sz w:val="20"/>
        </w:rPr>
        <w:t>11664, para</w:t>
      </w:r>
      <w:r w:rsidR="002D4C16" w:rsidRPr="001C3D83">
        <w:rPr>
          <w:sz w:val="20"/>
        </w:rPr>
        <w:t>s</w:t>
      </w:r>
      <w:r w:rsidRPr="001C3D83">
        <w:rPr>
          <w:sz w:val="20"/>
        </w:rPr>
        <w:t>. 20-21</w:t>
      </w:r>
      <w:r w:rsidR="00B62AFA" w:rsidRPr="001C3D83">
        <w:rPr>
          <w:sz w:val="20"/>
        </w:rPr>
        <w:t xml:space="preserve"> (directing that the vendor ensure that</w:t>
      </w:r>
      <w:r w:rsidR="005D371A" w:rsidRPr="001C3D83">
        <w:rPr>
          <w:sz w:val="20"/>
        </w:rPr>
        <w:t xml:space="preserve"> the parties do not remove data</w:t>
      </w:r>
      <w:r w:rsidR="00B62AFA" w:rsidRPr="001C3D83">
        <w:rPr>
          <w:sz w:val="20"/>
        </w:rPr>
        <w:t>sets from the secure data enclave).</w:t>
      </w:r>
      <w:r w:rsidRPr="001C3D83">
        <w:rPr>
          <w:sz w:val="20"/>
        </w:rPr>
        <w:t xml:space="preserve"> </w:t>
      </w:r>
    </w:p>
  </w:footnote>
  <w:footnote w:id="13">
    <w:p w:rsidR="00C009D8" w:rsidRPr="001C3D83" w:rsidRDefault="00C009D8">
      <w:pPr>
        <w:pStyle w:val="FootnoteText"/>
        <w:spacing w:after="120"/>
        <w:rPr>
          <w:sz w:val="20"/>
        </w:rPr>
      </w:pPr>
      <w:r w:rsidRPr="001C3D83">
        <w:rPr>
          <w:rStyle w:val="FootnoteReference"/>
          <w:sz w:val="20"/>
        </w:rPr>
        <w:footnoteRef/>
      </w:r>
      <w:r w:rsidRPr="001C3D83">
        <w:rPr>
          <w:sz w:val="20"/>
        </w:rPr>
        <w:t xml:space="preserve"> On June 24, 2015, the Commission began receiving executed Acknowledgements of Confidentiality (Acknowledgements) in order for individuals to begin accessing the data and secure data enclave via the NORC Data Enclave.  </w:t>
      </w:r>
      <w:r w:rsidRPr="001C3D83">
        <w:rPr>
          <w:i/>
          <w:sz w:val="20"/>
        </w:rPr>
        <w:t>See Public Notice</w:t>
      </w:r>
      <w:r w:rsidRPr="001C3D83">
        <w:rPr>
          <w:sz w:val="20"/>
        </w:rPr>
        <w:t xml:space="preserve">, 30 FCC Rcd at 6421.  Comments in the business data services rulemaking proceeding were due June 28, 2016; reply comments were due August 9, 2016.  </w:t>
      </w:r>
      <w:r w:rsidRPr="001C3D83">
        <w:rPr>
          <w:i/>
          <w:sz w:val="20"/>
        </w:rPr>
        <w:t>See Further Notice</w:t>
      </w:r>
      <w:r w:rsidRPr="001C3D83">
        <w:rPr>
          <w:sz w:val="20"/>
        </w:rPr>
        <w:t xml:space="preserve">, 31 FCC Rcd at 4916, para. 544; </w:t>
      </w:r>
      <w:r w:rsidRPr="001C3D83">
        <w:rPr>
          <w:i/>
          <w:sz w:val="20"/>
        </w:rPr>
        <w:t>see Business Data Services in an Internet Protocol Environment et al.</w:t>
      </w:r>
      <w:r w:rsidRPr="001C3D83">
        <w:rPr>
          <w:sz w:val="20"/>
        </w:rPr>
        <w:t>, WC Docket No. 16-143 et al., Order, 31 FCC Rcd 7753 (WCB 2016) (extending reply comment deadline).</w:t>
      </w:r>
    </w:p>
  </w:footnote>
  <w:footnote w:id="14">
    <w:p w:rsidR="001D7F06" w:rsidRPr="001C3D83" w:rsidRDefault="001D7F06">
      <w:pPr>
        <w:pStyle w:val="FootnoteText"/>
        <w:spacing w:after="120"/>
        <w:rPr>
          <w:sz w:val="20"/>
        </w:rPr>
      </w:pPr>
      <w:r w:rsidRPr="001C3D83">
        <w:rPr>
          <w:rStyle w:val="FootnoteReference"/>
          <w:sz w:val="20"/>
        </w:rPr>
        <w:footnoteRef/>
      </w:r>
      <w:r w:rsidRPr="001C3D83">
        <w:rPr>
          <w:sz w:val="20"/>
        </w:rPr>
        <w:t xml:space="preserve"> </w:t>
      </w:r>
      <w:r w:rsidRPr="001C3D83">
        <w:rPr>
          <w:i/>
          <w:sz w:val="20"/>
        </w:rPr>
        <w:t>Business Data Services in an Internet Protocol Environment et al</w:t>
      </w:r>
      <w:r w:rsidRPr="001C3D83">
        <w:rPr>
          <w:sz w:val="20"/>
        </w:rPr>
        <w:t xml:space="preserve">., WC Docket No. 16-143 et al., Report and Order, 32 FCC Rcd 3459 (2017), </w:t>
      </w:r>
      <w:r w:rsidRPr="001C3D83">
        <w:rPr>
          <w:i/>
          <w:sz w:val="20"/>
        </w:rPr>
        <w:t>appeal docketed</w:t>
      </w:r>
      <w:r w:rsidRPr="001C3D83">
        <w:rPr>
          <w:sz w:val="20"/>
        </w:rPr>
        <w:t xml:space="preserve">, Nos. 17-2296, 17-2342, 17-2344 and 17-2685 (8th Cir. </w:t>
      </w:r>
      <w:r w:rsidR="00A45D7C" w:rsidRPr="001C3D83">
        <w:rPr>
          <w:sz w:val="20"/>
        </w:rPr>
        <w:t xml:space="preserve">June 12, </w:t>
      </w:r>
      <w:r w:rsidRPr="001C3D83">
        <w:rPr>
          <w:sz w:val="20"/>
        </w:rPr>
        <w:t>2017).</w:t>
      </w:r>
    </w:p>
  </w:footnote>
  <w:footnote w:id="15">
    <w:p w:rsidR="00B83125" w:rsidRPr="001C3D83" w:rsidRDefault="00B83125">
      <w:pPr>
        <w:pStyle w:val="FootnoteText"/>
        <w:spacing w:after="120"/>
        <w:rPr>
          <w:sz w:val="20"/>
        </w:rPr>
      </w:pPr>
      <w:r w:rsidRPr="001C3D83">
        <w:rPr>
          <w:rStyle w:val="FootnoteReference"/>
          <w:sz w:val="20"/>
        </w:rPr>
        <w:footnoteRef/>
      </w:r>
      <w:r w:rsidRPr="001C3D83">
        <w:rPr>
          <w:sz w:val="20"/>
        </w:rPr>
        <w:t xml:space="preserve"> </w:t>
      </w:r>
      <w:r w:rsidR="00CB7622" w:rsidRPr="001C3D83">
        <w:rPr>
          <w:sz w:val="20"/>
        </w:rPr>
        <w:t xml:space="preserve">A petition for reconsideration is a condition for judicial review where the petitioner is seeking judicial review on questions of fact or law on which the Commission has not had the opportunity to pass.  </w:t>
      </w:r>
      <w:r w:rsidR="00CB7622" w:rsidRPr="001C3D83">
        <w:rPr>
          <w:i/>
          <w:sz w:val="20"/>
        </w:rPr>
        <w:t>See</w:t>
      </w:r>
      <w:r w:rsidR="00CB7622" w:rsidRPr="001C3D83">
        <w:rPr>
          <w:sz w:val="20"/>
        </w:rPr>
        <w:t xml:space="preserve"> 47 U.S.C. § 405(a); </w:t>
      </w:r>
      <w:r w:rsidR="00CB7622" w:rsidRPr="001C3D83">
        <w:rPr>
          <w:i/>
          <w:sz w:val="20"/>
        </w:rPr>
        <w:t>see, e.g.,</w:t>
      </w:r>
      <w:r w:rsidR="00CB7622" w:rsidRPr="001C3D83">
        <w:rPr>
          <w:sz w:val="20"/>
        </w:rPr>
        <w:t xml:space="preserve"> </w:t>
      </w:r>
      <w:r w:rsidR="00CB7622" w:rsidRPr="001C3D83">
        <w:rPr>
          <w:i/>
          <w:sz w:val="20"/>
        </w:rPr>
        <w:t>Bartholdi Cable Co. v. FCC</w:t>
      </w:r>
      <w:r w:rsidR="00CB7622" w:rsidRPr="001C3D83">
        <w:rPr>
          <w:sz w:val="20"/>
        </w:rPr>
        <w:t xml:space="preserve">, 114 F.3d 274, 279-80 (D.C. Cir. 1997); </w:t>
      </w:r>
      <w:r w:rsidR="00CB7622" w:rsidRPr="001C3D83">
        <w:rPr>
          <w:i/>
          <w:sz w:val="20"/>
        </w:rPr>
        <w:t>DIRECTV, Inc. v. FCC</w:t>
      </w:r>
      <w:r w:rsidR="00CB7622" w:rsidRPr="001C3D83">
        <w:rPr>
          <w:sz w:val="20"/>
        </w:rPr>
        <w:t xml:space="preserve">, 110 F.3d 816, 825 (D.C. Cir. 1997); </w:t>
      </w:r>
      <w:r w:rsidR="00CB7622" w:rsidRPr="001C3D83">
        <w:rPr>
          <w:i/>
          <w:sz w:val="20"/>
        </w:rPr>
        <w:t>Russian River Vintage Broadcasting v. FCC</w:t>
      </w:r>
      <w:r w:rsidR="00CB7622" w:rsidRPr="001C3D83">
        <w:rPr>
          <w:sz w:val="20"/>
        </w:rPr>
        <w:t>, 5 F.3d 1518, 1521 (D.C. Cir. 1993) (</w:t>
      </w:r>
      <w:r w:rsidR="00CB7622" w:rsidRPr="001C3D83">
        <w:rPr>
          <w:i/>
          <w:sz w:val="20"/>
        </w:rPr>
        <w:t>RRVB</w:t>
      </w:r>
      <w:r w:rsidR="00CB7622" w:rsidRPr="001C3D83">
        <w:rPr>
          <w:sz w:val="20"/>
        </w:rPr>
        <w:t xml:space="preserve">); </w:t>
      </w:r>
      <w:r w:rsidR="00CB7622" w:rsidRPr="001C3D83">
        <w:rPr>
          <w:i/>
          <w:sz w:val="20"/>
        </w:rPr>
        <w:t>BDPCS v. FCC</w:t>
      </w:r>
      <w:r w:rsidR="00CB7622" w:rsidRPr="001C3D83">
        <w:rPr>
          <w:sz w:val="20"/>
        </w:rPr>
        <w:t>, 351 F. 3d 1177, 1182 (D.C. Cir. 2003).</w:t>
      </w:r>
    </w:p>
  </w:footnote>
  <w:footnote w:id="16">
    <w:p w:rsidR="00C009D8" w:rsidRPr="001C3D83" w:rsidRDefault="00C009D8">
      <w:pPr>
        <w:pStyle w:val="FootnoteText"/>
        <w:spacing w:after="120"/>
        <w:rPr>
          <w:sz w:val="20"/>
        </w:rPr>
      </w:pPr>
      <w:r w:rsidRPr="001C3D83">
        <w:rPr>
          <w:rStyle w:val="FootnoteReference"/>
          <w:sz w:val="20"/>
        </w:rPr>
        <w:footnoteRef/>
      </w:r>
      <w:r w:rsidRPr="001C3D83">
        <w:rPr>
          <w:sz w:val="20"/>
        </w:rPr>
        <w:t xml:space="preserve"> </w:t>
      </w:r>
      <w:r w:rsidR="00604CEC" w:rsidRPr="001C3D83">
        <w:rPr>
          <w:i/>
          <w:sz w:val="20"/>
        </w:rPr>
        <w:t xml:space="preserve">See </w:t>
      </w:r>
      <w:r w:rsidR="00604CEC" w:rsidRPr="001C3D83">
        <w:rPr>
          <w:sz w:val="20"/>
        </w:rPr>
        <w:t>Order,</w:t>
      </w:r>
      <w:r w:rsidR="00604CEC" w:rsidRPr="001C3D83">
        <w:rPr>
          <w:i/>
          <w:sz w:val="20"/>
        </w:rPr>
        <w:t xml:space="preserve"> Citizens Telecommunications Co. of Minn.</w:t>
      </w:r>
      <w:r w:rsidR="00F86485" w:rsidRPr="001C3D83">
        <w:rPr>
          <w:i/>
          <w:sz w:val="20"/>
        </w:rPr>
        <w:t>,</w:t>
      </w:r>
      <w:r w:rsidR="00604CEC" w:rsidRPr="001C3D83">
        <w:rPr>
          <w:i/>
          <w:sz w:val="20"/>
        </w:rPr>
        <w:t xml:space="preserve"> et al. v. FCC</w:t>
      </w:r>
      <w:r w:rsidR="00604CEC" w:rsidRPr="001C3D83">
        <w:rPr>
          <w:sz w:val="20"/>
        </w:rPr>
        <w:t xml:space="preserve">, Nos. 17-2296, 17-2342, 17-2344 and 17-2685 (8th Cir. Aug. 7, 2017) (consolidating challenges to </w:t>
      </w:r>
      <w:r w:rsidR="00604CEC" w:rsidRPr="001C3D83">
        <w:rPr>
          <w:i/>
          <w:sz w:val="20"/>
        </w:rPr>
        <w:t>Business Data Services Order</w:t>
      </w:r>
      <w:r w:rsidR="00604CEC" w:rsidRPr="001C3D83">
        <w:rPr>
          <w:sz w:val="20"/>
        </w:rPr>
        <w:t xml:space="preserve">). </w:t>
      </w:r>
    </w:p>
  </w:footnote>
  <w:footnote w:id="17">
    <w:p w:rsidR="009F2C9A" w:rsidRPr="001C3D83" w:rsidRDefault="009F2C9A">
      <w:pPr>
        <w:pStyle w:val="FootnoteText"/>
        <w:spacing w:after="120"/>
        <w:rPr>
          <w:sz w:val="20"/>
        </w:rPr>
      </w:pPr>
      <w:r w:rsidRPr="001C3D83">
        <w:rPr>
          <w:rStyle w:val="FootnoteReference"/>
          <w:sz w:val="20"/>
        </w:rPr>
        <w:footnoteRef/>
      </w:r>
      <w:r w:rsidRPr="001C3D83">
        <w:rPr>
          <w:sz w:val="20"/>
        </w:rPr>
        <w:t xml:space="preserve"> </w:t>
      </w:r>
      <w:r w:rsidR="00604CEC" w:rsidRPr="001C3D83">
        <w:rPr>
          <w:i/>
          <w:sz w:val="20"/>
        </w:rPr>
        <w:t>S</w:t>
      </w:r>
      <w:r w:rsidR="00B83125" w:rsidRPr="001C3D83">
        <w:rPr>
          <w:i/>
          <w:sz w:val="20"/>
        </w:rPr>
        <w:t>ee</w:t>
      </w:r>
      <w:r w:rsidR="00B83125" w:rsidRPr="001C3D83">
        <w:rPr>
          <w:sz w:val="20"/>
        </w:rPr>
        <w:t xml:space="preserve"> </w:t>
      </w:r>
      <w:r w:rsidR="00A45D7C" w:rsidRPr="001C3D83">
        <w:rPr>
          <w:sz w:val="20"/>
        </w:rPr>
        <w:t>Order,</w:t>
      </w:r>
      <w:r w:rsidR="00A45D7C" w:rsidRPr="001C3D83">
        <w:rPr>
          <w:i/>
          <w:sz w:val="20"/>
        </w:rPr>
        <w:t xml:space="preserve"> Citizens Telecommunications Co. of Minn.</w:t>
      </w:r>
      <w:r w:rsidR="004B4A05" w:rsidRPr="001C3D83">
        <w:rPr>
          <w:i/>
          <w:sz w:val="20"/>
        </w:rPr>
        <w:t>,</w:t>
      </w:r>
      <w:r w:rsidR="00A45D7C" w:rsidRPr="001C3D83">
        <w:rPr>
          <w:i/>
          <w:sz w:val="20"/>
        </w:rPr>
        <w:t xml:space="preserve"> et al. v. FCC</w:t>
      </w:r>
      <w:r w:rsidR="00A45D7C" w:rsidRPr="001C3D83">
        <w:rPr>
          <w:sz w:val="20"/>
        </w:rPr>
        <w:t xml:space="preserve">, Nos. 17-2296, 17-2342, 17-2344 and 17-2685 (8th Cir. Aug. 3, 2017) (setting the briefing schedule); </w:t>
      </w:r>
      <w:r w:rsidR="00F86485" w:rsidRPr="001C3D83">
        <w:rPr>
          <w:sz w:val="20"/>
        </w:rPr>
        <w:t>Consent</w:t>
      </w:r>
      <w:r w:rsidR="00D63E32" w:rsidRPr="001C3D83">
        <w:rPr>
          <w:sz w:val="20"/>
        </w:rPr>
        <w:t xml:space="preserve"> </w:t>
      </w:r>
      <w:r w:rsidR="00B83125" w:rsidRPr="001C3D83">
        <w:rPr>
          <w:sz w:val="20"/>
        </w:rPr>
        <w:t>Mot</w:t>
      </w:r>
      <w:r w:rsidR="00F86485" w:rsidRPr="001C3D83">
        <w:rPr>
          <w:sz w:val="20"/>
        </w:rPr>
        <w:t>. To E</w:t>
      </w:r>
      <w:r w:rsidR="001E7ED1" w:rsidRPr="001C3D83">
        <w:rPr>
          <w:sz w:val="20"/>
        </w:rPr>
        <w:t>stablish Briefing Schedule for T</w:t>
      </w:r>
      <w:r w:rsidR="00F86485" w:rsidRPr="001C3D83">
        <w:rPr>
          <w:sz w:val="20"/>
        </w:rPr>
        <w:t>hese Consolidated Cases</w:t>
      </w:r>
      <w:r w:rsidR="00B83125" w:rsidRPr="001C3D83">
        <w:rPr>
          <w:sz w:val="20"/>
        </w:rPr>
        <w:t xml:space="preserve">, </w:t>
      </w:r>
      <w:r w:rsidR="00D63E32" w:rsidRPr="001C3D83">
        <w:rPr>
          <w:i/>
          <w:sz w:val="20"/>
        </w:rPr>
        <w:t>Citizens Telecommunications Co. of Minn.</w:t>
      </w:r>
      <w:r w:rsidR="00F86485" w:rsidRPr="001C3D83">
        <w:rPr>
          <w:i/>
          <w:sz w:val="20"/>
        </w:rPr>
        <w:t>,</w:t>
      </w:r>
      <w:r w:rsidR="00D63E32" w:rsidRPr="001C3D83">
        <w:rPr>
          <w:i/>
          <w:sz w:val="20"/>
        </w:rPr>
        <w:t xml:space="preserve"> et al. v. FCC</w:t>
      </w:r>
      <w:r w:rsidR="00D63E32" w:rsidRPr="001C3D83">
        <w:rPr>
          <w:sz w:val="20"/>
        </w:rPr>
        <w:t>, Nos. 17-2296, 17-2342, 17-2344 and 17-2685 (8th Cir. Aug. 17, 2017)</w:t>
      </w:r>
      <w:r w:rsidR="00F86485" w:rsidRPr="001C3D83">
        <w:rPr>
          <w:sz w:val="20"/>
        </w:rPr>
        <w:t xml:space="preserve"> (</w:t>
      </w:r>
      <w:r w:rsidR="00920324" w:rsidRPr="001C3D83">
        <w:rPr>
          <w:sz w:val="20"/>
        </w:rPr>
        <w:t xml:space="preserve">proposing </w:t>
      </w:r>
      <w:r w:rsidR="005F240B" w:rsidRPr="001C3D83">
        <w:rPr>
          <w:sz w:val="20"/>
        </w:rPr>
        <w:t xml:space="preserve">revised briefing schedule, including proposing for </w:t>
      </w:r>
      <w:r w:rsidR="00F86485" w:rsidRPr="001C3D83">
        <w:rPr>
          <w:sz w:val="20"/>
        </w:rPr>
        <w:t xml:space="preserve">final briefs </w:t>
      </w:r>
      <w:r w:rsidR="00920324" w:rsidRPr="001C3D83">
        <w:rPr>
          <w:sz w:val="20"/>
        </w:rPr>
        <w:t>be</w:t>
      </w:r>
      <w:r w:rsidR="00F86485" w:rsidRPr="001C3D83">
        <w:rPr>
          <w:sz w:val="20"/>
        </w:rPr>
        <w:t xml:space="preserve"> due January 2, 2018)</w:t>
      </w:r>
      <w:r w:rsidR="00D63E32" w:rsidRPr="001C3D83">
        <w:rPr>
          <w:sz w:val="20"/>
        </w:rPr>
        <w:t xml:space="preserve">; </w:t>
      </w:r>
      <w:r w:rsidR="00A45D7C" w:rsidRPr="001C3D83">
        <w:rPr>
          <w:sz w:val="20"/>
        </w:rPr>
        <w:t>Order,</w:t>
      </w:r>
      <w:r w:rsidR="00A45D7C" w:rsidRPr="001C3D83">
        <w:rPr>
          <w:i/>
          <w:sz w:val="20"/>
        </w:rPr>
        <w:t xml:space="preserve"> Citizens Telecommunications Co. of Minn.</w:t>
      </w:r>
      <w:r w:rsidR="004B4A05" w:rsidRPr="001C3D83">
        <w:rPr>
          <w:i/>
          <w:sz w:val="20"/>
        </w:rPr>
        <w:t>,</w:t>
      </w:r>
      <w:r w:rsidR="00A45D7C" w:rsidRPr="001C3D83">
        <w:rPr>
          <w:i/>
          <w:sz w:val="20"/>
        </w:rPr>
        <w:t xml:space="preserve"> et al. v. FCC</w:t>
      </w:r>
      <w:r w:rsidR="00A45D7C" w:rsidRPr="001C3D83">
        <w:rPr>
          <w:sz w:val="20"/>
        </w:rPr>
        <w:t>, Nos. 17-2296, 17-2342, 17-2344 and 17-2685 (8th Cir. Aug. 22, 2017) (</w:t>
      </w:r>
      <w:r w:rsidR="00B83125" w:rsidRPr="001C3D83">
        <w:rPr>
          <w:sz w:val="20"/>
        </w:rPr>
        <w:t xml:space="preserve">granting </w:t>
      </w:r>
      <w:r w:rsidR="00F86485" w:rsidRPr="001C3D83">
        <w:rPr>
          <w:sz w:val="20"/>
        </w:rPr>
        <w:t xml:space="preserve">consent </w:t>
      </w:r>
      <w:r w:rsidR="00B83125" w:rsidRPr="001C3D83">
        <w:rPr>
          <w:sz w:val="20"/>
        </w:rPr>
        <w:t xml:space="preserve">motion to </w:t>
      </w:r>
      <w:r w:rsidR="00A45D7C" w:rsidRPr="001C3D83">
        <w:rPr>
          <w:sz w:val="20"/>
        </w:rPr>
        <w:t xml:space="preserve">amend the briefing schedule).  </w:t>
      </w:r>
    </w:p>
  </w:footnote>
  <w:footnote w:id="18">
    <w:p w:rsidR="00B41B96" w:rsidRPr="001C3D83" w:rsidRDefault="00B41B96" w:rsidP="009516EF">
      <w:pPr>
        <w:pStyle w:val="FootnoteText"/>
        <w:spacing w:after="120"/>
        <w:rPr>
          <w:sz w:val="20"/>
        </w:rPr>
      </w:pPr>
      <w:r w:rsidRPr="001C3D83">
        <w:rPr>
          <w:rStyle w:val="FootnoteReference"/>
          <w:sz w:val="20"/>
        </w:rPr>
        <w:footnoteRef/>
      </w:r>
      <w:r w:rsidRPr="001C3D83">
        <w:rPr>
          <w:sz w:val="20"/>
        </w:rPr>
        <w:t xml:space="preserve"> </w:t>
      </w:r>
      <w:r w:rsidRPr="001C3D83">
        <w:rPr>
          <w:i/>
          <w:sz w:val="20"/>
        </w:rPr>
        <w:t>See</w:t>
      </w:r>
      <w:r w:rsidRPr="001C3D83">
        <w:rPr>
          <w:sz w:val="20"/>
        </w:rPr>
        <w:t xml:space="preserve"> Order, </w:t>
      </w:r>
      <w:r w:rsidRPr="001C3D83">
        <w:rPr>
          <w:i/>
          <w:sz w:val="20"/>
        </w:rPr>
        <w:t>AT&amp;T, Inc. et al. v. FCC</w:t>
      </w:r>
      <w:r w:rsidRPr="001C3D83">
        <w:rPr>
          <w:sz w:val="20"/>
        </w:rPr>
        <w:t xml:space="preserve">, Nos. 16-1145, 16-1166, 11-1177 (D.C. Cir. Aug. 29, 2017); </w:t>
      </w:r>
      <w:r w:rsidRPr="001C3D83">
        <w:rPr>
          <w:i/>
          <w:sz w:val="20"/>
        </w:rPr>
        <w:t>see also Tariff Investigation Order</w:t>
      </w:r>
      <w:r w:rsidRPr="001C3D83">
        <w:rPr>
          <w:sz w:val="20"/>
        </w:rPr>
        <w:t xml:space="preserve">, 31 FCC Rcd </w:t>
      </w:r>
      <w:r w:rsidR="00E43770" w:rsidRPr="001C3D83">
        <w:rPr>
          <w:sz w:val="20"/>
        </w:rPr>
        <w:t xml:space="preserve">at </w:t>
      </w:r>
      <w:r w:rsidRPr="001C3D83">
        <w:rPr>
          <w:sz w:val="20"/>
        </w:rPr>
        <w:t>47</w:t>
      </w:r>
      <w:r w:rsidR="00E43770" w:rsidRPr="001C3D83">
        <w:rPr>
          <w:sz w:val="20"/>
        </w:rPr>
        <w:t>61-90, paras. 86-158</w:t>
      </w:r>
      <w:r w:rsidRPr="001C3D83">
        <w:rPr>
          <w:sz w:val="20"/>
        </w:rPr>
        <w:t xml:space="preserve">.  </w:t>
      </w:r>
    </w:p>
  </w:footnote>
  <w:footnote w:id="19">
    <w:p w:rsidR="00E43770" w:rsidRPr="001C3D83" w:rsidRDefault="00E43770" w:rsidP="009516EF">
      <w:pPr>
        <w:pStyle w:val="FootnoteText"/>
        <w:spacing w:after="120"/>
        <w:rPr>
          <w:sz w:val="20"/>
        </w:rPr>
      </w:pPr>
      <w:r w:rsidRPr="001C3D83">
        <w:rPr>
          <w:rStyle w:val="FootnoteReference"/>
          <w:sz w:val="20"/>
        </w:rPr>
        <w:footnoteRef/>
      </w:r>
      <w:r w:rsidRPr="001C3D83">
        <w:rPr>
          <w:sz w:val="20"/>
        </w:rPr>
        <w:t xml:space="preserve"> </w:t>
      </w:r>
      <w:r w:rsidRPr="001C3D83">
        <w:rPr>
          <w:i/>
          <w:sz w:val="20"/>
        </w:rPr>
        <w:t>See</w:t>
      </w:r>
      <w:r w:rsidR="0060362A" w:rsidRPr="001C3D83">
        <w:rPr>
          <w:i/>
          <w:sz w:val="20"/>
        </w:rPr>
        <w:t xml:space="preserve"> </w:t>
      </w:r>
      <w:r w:rsidR="00534D84" w:rsidRPr="001C3D83">
        <w:rPr>
          <w:i/>
          <w:sz w:val="20"/>
        </w:rPr>
        <w:t>Investigation of Certain Price Cap Local Exchange Carrier Business Data Services Tariff Pricing Plans</w:t>
      </w:r>
      <w:r w:rsidR="00534D84" w:rsidRPr="001C3D83">
        <w:rPr>
          <w:sz w:val="20"/>
        </w:rPr>
        <w:t xml:space="preserve">, WC Docket No. 15-247, Order Initiating Investigation and Designating Issues for Investigation, 30 FCC Rcd 11417, 11430-31, paras. 26-29 (WCB 2015) (requiring more targeted data from AT&amp;T, CenturyLink, Frontier and Verizon on their tariff pricing plan terms and conditions designated for investigation than the </w:t>
      </w:r>
      <w:r w:rsidR="002D0A2C" w:rsidRPr="001C3D83">
        <w:rPr>
          <w:sz w:val="20"/>
        </w:rPr>
        <w:t xml:space="preserve">data collected as part of the </w:t>
      </w:r>
      <w:r w:rsidR="00534D84" w:rsidRPr="001C3D83">
        <w:rPr>
          <w:sz w:val="20"/>
        </w:rPr>
        <w:t xml:space="preserve">collection adopted in the </w:t>
      </w:r>
      <w:r w:rsidR="00534D84" w:rsidRPr="001C3D83">
        <w:rPr>
          <w:i/>
          <w:sz w:val="20"/>
        </w:rPr>
        <w:t>Data Collection Order</w:t>
      </w:r>
      <w:r w:rsidR="00534D84" w:rsidRPr="001C3D83">
        <w:rPr>
          <w:sz w:val="20"/>
        </w:rPr>
        <w:t>)</w:t>
      </w:r>
      <w:r w:rsidR="0075706C" w:rsidRPr="001C3D83">
        <w:rPr>
          <w:sz w:val="20"/>
        </w:rPr>
        <w:t xml:space="preserve">; </w:t>
      </w:r>
      <w:r w:rsidR="0075706C" w:rsidRPr="001C3D83">
        <w:rPr>
          <w:i/>
          <w:sz w:val="20"/>
        </w:rPr>
        <w:t>Business Data Services Order</w:t>
      </w:r>
      <w:r w:rsidR="0075706C" w:rsidRPr="001C3D83">
        <w:rPr>
          <w:sz w:val="20"/>
        </w:rPr>
        <w:t xml:space="preserve">, 32 FCC Rcd </w:t>
      </w:r>
      <w:r w:rsidR="00534D84" w:rsidRPr="001C3D83">
        <w:rPr>
          <w:sz w:val="20"/>
        </w:rPr>
        <w:t xml:space="preserve">at </w:t>
      </w:r>
      <w:r w:rsidR="0075706C" w:rsidRPr="001C3D83">
        <w:rPr>
          <w:sz w:val="20"/>
        </w:rPr>
        <w:t>34</w:t>
      </w:r>
      <w:r w:rsidR="00534D84" w:rsidRPr="001C3D83">
        <w:rPr>
          <w:sz w:val="20"/>
        </w:rPr>
        <w:t>60-61, para. 1</w:t>
      </w:r>
      <w:r w:rsidR="0075706C" w:rsidRPr="001C3D83">
        <w:rPr>
          <w:sz w:val="20"/>
        </w:rPr>
        <w:t>.</w:t>
      </w:r>
    </w:p>
  </w:footnote>
  <w:footnote w:id="20">
    <w:p w:rsidR="00306E26" w:rsidRPr="001C3D83" w:rsidRDefault="00306E26" w:rsidP="00131B30">
      <w:pPr>
        <w:pStyle w:val="FootnoteText"/>
        <w:spacing w:after="120"/>
        <w:rPr>
          <w:sz w:val="20"/>
        </w:rPr>
      </w:pPr>
      <w:r w:rsidRPr="001C3D83">
        <w:rPr>
          <w:rStyle w:val="FootnoteReference"/>
          <w:sz w:val="20"/>
        </w:rPr>
        <w:footnoteRef/>
      </w:r>
      <w:r w:rsidRPr="001C3D83">
        <w:rPr>
          <w:sz w:val="20"/>
        </w:rPr>
        <w:t xml:space="preserve"> </w:t>
      </w:r>
      <w:r w:rsidRPr="001C3D83">
        <w:rPr>
          <w:i/>
          <w:sz w:val="20"/>
        </w:rPr>
        <w:t>See Data Collection Protective Order</w:t>
      </w:r>
      <w:r w:rsidRPr="001C3D83">
        <w:rPr>
          <w:sz w:val="20"/>
        </w:rPr>
        <w:t>, 29 FCC Rcd at 11664, para. 20.</w:t>
      </w:r>
    </w:p>
  </w:footnote>
  <w:footnote w:id="21">
    <w:p w:rsidR="00CB1AF5" w:rsidRPr="001C3D83" w:rsidRDefault="00CB1AF5" w:rsidP="00131B30">
      <w:pPr>
        <w:pStyle w:val="FootnoteText"/>
        <w:spacing w:after="120"/>
        <w:rPr>
          <w:sz w:val="20"/>
        </w:rPr>
      </w:pPr>
      <w:r w:rsidRPr="001C3D83">
        <w:rPr>
          <w:rStyle w:val="FootnoteReference"/>
          <w:sz w:val="20"/>
        </w:rPr>
        <w:footnoteRef/>
      </w:r>
      <w:r w:rsidRPr="001C3D83">
        <w:rPr>
          <w:sz w:val="20"/>
        </w:rPr>
        <w:t xml:space="preserve"> </w:t>
      </w:r>
      <w:r w:rsidRPr="001C3D83">
        <w:rPr>
          <w:i/>
          <w:sz w:val="20"/>
        </w:rPr>
        <w:t>See</w:t>
      </w:r>
      <w:r w:rsidRPr="001C3D83">
        <w:rPr>
          <w:sz w:val="20"/>
        </w:rPr>
        <w:t xml:space="preserve"> </w:t>
      </w:r>
      <w:r w:rsidRPr="001C3D83">
        <w:rPr>
          <w:i/>
          <w:sz w:val="20"/>
        </w:rPr>
        <w:t>Special Access for Price Cap Local Exchange Carriers; AT&amp;T Corp. Petition for Rulemaking to Reform Regulation of Incumbent Local Exchange Carrier Rates for Interstate Special Access Services</w:t>
      </w:r>
      <w:r w:rsidRPr="001C3D83">
        <w:rPr>
          <w:sz w:val="20"/>
        </w:rPr>
        <w:t xml:space="preserve">, WC Docket No. 05-25, RM-10593, </w:t>
      </w:r>
      <w:r w:rsidR="00360B61" w:rsidRPr="001C3D83">
        <w:rPr>
          <w:sz w:val="20"/>
        </w:rPr>
        <w:t xml:space="preserve">Order on Reconsideration, </w:t>
      </w:r>
      <w:r w:rsidRPr="001C3D83">
        <w:rPr>
          <w:sz w:val="20"/>
        </w:rPr>
        <w:t>29 FCC Rcd 10899, 10902, para. 8 (WCB 2014).</w:t>
      </w:r>
    </w:p>
  </w:footnote>
  <w:footnote w:id="22">
    <w:p w:rsidR="007A55BF" w:rsidRPr="001C3D83" w:rsidRDefault="007A55BF" w:rsidP="00131B30">
      <w:pPr>
        <w:pStyle w:val="FootnoteText"/>
        <w:spacing w:after="120"/>
        <w:rPr>
          <w:sz w:val="20"/>
        </w:rPr>
      </w:pPr>
      <w:r w:rsidRPr="001C3D83">
        <w:rPr>
          <w:rStyle w:val="FootnoteReference"/>
          <w:sz w:val="20"/>
        </w:rPr>
        <w:footnoteRef/>
      </w:r>
      <w:r w:rsidRPr="001C3D83">
        <w:rPr>
          <w:sz w:val="20"/>
        </w:rPr>
        <w:t xml:space="preserve"> </w:t>
      </w:r>
      <w:r w:rsidRPr="001C3D83">
        <w:rPr>
          <w:i/>
          <w:sz w:val="20"/>
        </w:rPr>
        <w:t xml:space="preserve">See </w:t>
      </w:r>
      <w:r w:rsidR="00211EA4" w:rsidRPr="001C3D83">
        <w:rPr>
          <w:i/>
          <w:sz w:val="20"/>
        </w:rPr>
        <w:t>Data Collection Protective Order</w:t>
      </w:r>
      <w:r w:rsidR="00211EA4" w:rsidRPr="001C3D83">
        <w:rPr>
          <w:sz w:val="20"/>
        </w:rPr>
        <w:t>, 29 FCC Rcd at</w:t>
      </w:r>
      <w:r w:rsidR="00211EA4" w:rsidRPr="001C3D83">
        <w:rPr>
          <w:i/>
          <w:sz w:val="20"/>
        </w:rPr>
        <w:t xml:space="preserve"> </w:t>
      </w:r>
      <w:r w:rsidRPr="001C3D83">
        <w:rPr>
          <w:sz w:val="20"/>
        </w:rPr>
        <w:t xml:space="preserve">11664, para. 20. </w:t>
      </w:r>
    </w:p>
  </w:footnote>
  <w:footnote w:id="23">
    <w:p w:rsidR="00CF1E1C" w:rsidRPr="001C3D83" w:rsidRDefault="00CF1E1C" w:rsidP="00131B30">
      <w:pPr>
        <w:pStyle w:val="FootnoteText"/>
        <w:spacing w:after="120"/>
        <w:rPr>
          <w:sz w:val="20"/>
        </w:rPr>
      </w:pPr>
      <w:r w:rsidRPr="001C3D83">
        <w:rPr>
          <w:rStyle w:val="FootnoteReference"/>
          <w:sz w:val="20"/>
        </w:rPr>
        <w:footnoteRef/>
      </w:r>
      <w:r w:rsidRPr="001C3D83">
        <w:rPr>
          <w:sz w:val="20"/>
        </w:rPr>
        <w:t xml:space="preserve"> </w:t>
      </w:r>
      <w:r w:rsidRPr="001C3D83">
        <w:rPr>
          <w:i/>
          <w:sz w:val="20"/>
        </w:rPr>
        <w:t>See id</w:t>
      </w:r>
      <w:r w:rsidRPr="001C3D83">
        <w:rPr>
          <w:sz w:val="20"/>
        </w:rPr>
        <w:t>. at 11664, para. 21.</w:t>
      </w:r>
    </w:p>
  </w:footnote>
  <w:footnote w:id="24">
    <w:p w:rsidR="00CF1E1C" w:rsidRPr="001C3D83" w:rsidRDefault="00CF1E1C">
      <w:pPr>
        <w:pStyle w:val="FootnoteText"/>
        <w:spacing w:after="120"/>
        <w:rPr>
          <w:sz w:val="20"/>
        </w:rPr>
      </w:pPr>
      <w:r w:rsidRPr="001C3D83">
        <w:rPr>
          <w:rStyle w:val="FootnoteReference"/>
          <w:sz w:val="20"/>
        </w:rPr>
        <w:footnoteRef/>
      </w:r>
      <w:r w:rsidRPr="001C3D83">
        <w:rPr>
          <w:sz w:val="20"/>
        </w:rPr>
        <w:t xml:space="preserve"> </w:t>
      </w:r>
      <w:r w:rsidR="0088786C" w:rsidRPr="001C3D83">
        <w:rPr>
          <w:i/>
          <w:sz w:val="20"/>
        </w:rPr>
        <w:t>See i</w:t>
      </w:r>
      <w:r w:rsidRPr="001C3D83">
        <w:rPr>
          <w:i/>
          <w:sz w:val="20"/>
        </w:rPr>
        <w:t>d</w:t>
      </w:r>
      <w:r w:rsidRPr="001C3D83">
        <w:rPr>
          <w:sz w:val="20"/>
        </w:rPr>
        <w:t>.</w:t>
      </w:r>
    </w:p>
  </w:footnote>
  <w:footnote w:id="25">
    <w:p w:rsidR="00D9173E" w:rsidRPr="001C3D83" w:rsidRDefault="00D9173E">
      <w:pPr>
        <w:pStyle w:val="FootnoteText"/>
        <w:spacing w:after="120"/>
        <w:rPr>
          <w:sz w:val="20"/>
        </w:rPr>
      </w:pPr>
      <w:r w:rsidRPr="001C3D83">
        <w:rPr>
          <w:rStyle w:val="FootnoteReference"/>
          <w:sz w:val="20"/>
        </w:rPr>
        <w:footnoteRef/>
      </w:r>
      <w:r w:rsidRPr="001C3D83">
        <w:rPr>
          <w:sz w:val="20"/>
        </w:rPr>
        <w:t xml:space="preserve"> </w:t>
      </w:r>
      <w:r w:rsidR="00B60212" w:rsidRPr="001C3D83">
        <w:rPr>
          <w:i/>
          <w:sz w:val="20"/>
        </w:rPr>
        <w:t xml:space="preserve">See </w:t>
      </w:r>
      <w:r w:rsidR="00A926D3" w:rsidRPr="001C3D83">
        <w:rPr>
          <w:i/>
          <w:sz w:val="20"/>
        </w:rPr>
        <w:t>id.</w:t>
      </w:r>
      <w:r w:rsidR="00B60212" w:rsidRPr="001C3D83">
        <w:rPr>
          <w:sz w:val="20"/>
        </w:rPr>
        <w:t xml:space="preserve"> at</w:t>
      </w:r>
      <w:r w:rsidR="00B60212" w:rsidRPr="001C3D83">
        <w:rPr>
          <w:i/>
          <w:sz w:val="20"/>
        </w:rPr>
        <w:t xml:space="preserve"> </w:t>
      </w:r>
      <w:r w:rsidR="00971915" w:rsidRPr="001C3D83">
        <w:rPr>
          <w:sz w:val="20"/>
        </w:rPr>
        <w:t xml:space="preserve">11668, </w:t>
      </w:r>
      <w:r w:rsidR="0059640E" w:rsidRPr="001C3D83">
        <w:rPr>
          <w:sz w:val="20"/>
        </w:rPr>
        <w:t>pa</w:t>
      </w:r>
      <w:r w:rsidR="00971915" w:rsidRPr="001C3D83">
        <w:rPr>
          <w:sz w:val="20"/>
        </w:rPr>
        <w:t>ra.</w:t>
      </w:r>
      <w:r w:rsidR="0059640E" w:rsidRPr="001C3D83">
        <w:rPr>
          <w:sz w:val="20"/>
        </w:rPr>
        <w:t xml:space="preserve"> 28</w:t>
      </w:r>
      <w:r w:rsidR="00971915" w:rsidRPr="001C3D83">
        <w:rPr>
          <w:sz w:val="20"/>
        </w:rPr>
        <w:t>;</w:t>
      </w:r>
      <w:r w:rsidR="0059640E" w:rsidRPr="001C3D83">
        <w:rPr>
          <w:i/>
          <w:sz w:val="20"/>
        </w:rPr>
        <w:t xml:space="preserve"> </w:t>
      </w:r>
      <w:r w:rsidR="0059640E" w:rsidRPr="001C3D83">
        <w:rPr>
          <w:sz w:val="20"/>
        </w:rPr>
        <w:t xml:space="preserve">44 U.S.C. §§ 3301, </w:t>
      </w:r>
      <w:r w:rsidR="0059640E" w:rsidRPr="001C3D83">
        <w:rPr>
          <w:i/>
          <w:sz w:val="20"/>
        </w:rPr>
        <w:t>et seq</w:t>
      </w:r>
      <w:r w:rsidR="0059640E" w:rsidRPr="001C3D83">
        <w:rPr>
          <w:sz w:val="20"/>
        </w:rPr>
        <w:t>.</w:t>
      </w:r>
    </w:p>
  </w:footnote>
  <w:footnote w:id="26">
    <w:p w:rsidR="00C2116B" w:rsidRPr="001C3D83" w:rsidRDefault="00C2116B">
      <w:pPr>
        <w:pStyle w:val="FootnoteText"/>
        <w:spacing w:after="120"/>
        <w:rPr>
          <w:sz w:val="20"/>
        </w:rPr>
      </w:pPr>
      <w:r w:rsidRPr="001C3D83">
        <w:rPr>
          <w:rStyle w:val="FootnoteReference"/>
          <w:sz w:val="20"/>
        </w:rPr>
        <w:footnoteRef/>
      </w:r>
      <w:r w:rsidRPr="001C3D83">
        <w:rPr>
          <w:sz w:val="20"/>
        </w:rPr>
        <w:t xml:space="preserve"> </w:t>
      </w:r>
      <w:r w:rsidRPr="001C3D83">
        <w:rPr>
          <w:i/>
          <w:sz w:val="20"/>
        </w:rPr>
        <w:t>See</w:t>
      </w:r>
      <w:r w:rsidRPr="001C3D83">
        <w:rPr>
          <w:sz w:val="20"/>
        </w:rPr>
        <w:t xml:space="preserve"> </w:t>
      </w:r>
      <w:r w:rsidRPr="001C3D83">
        <w:rPr>
          <w:i/>
          <w:sz w:val="20"/>
        </w:rPr>
        <w:t>Data Collection Protective Order</w:t>
      </w:r>
      <w:r w:rsidRPr="001C3D83">
        <w:rPr>
          <w:sz w:val="20"/>
        </w:rPr>
        <w:t xml:space="preserve">, 29 FCC Rcd at 11680, Appx. C; </w:t>
      </w:r>
      <w:r w:rsidRPr="001C3D83">
        <w:rPr>
          <w:i/>
          <w:sz w:val="20"/>
        </w:rPr>
        <w:t>Public Notice</w:t>
      </w:r>
      <w:r w:rsidRPr="001C3D83">
        <w:rPr>
          <w:sz w:val="20"/>
        </w:rPr>
        <w:t>, 30 FCC Rcd at 6421.</w:t>
      </w:r>
    </w:p>
  </w:footnote>
  <w:footnote w:id="27">
    <w:p w:rsidR="00C2116B" w:rsidRPr="001C3D83" w:rsidRDefault="00C2116B">
      <w:pPr>
        <w:pStyle w:val="FootnoteText"/>
        <w:spacing w:after="120"/>
        <w:rPr>
          <w:sz w:val="20"/>
        </w:rPr>
      </w:pPr>
      <w:r w:rsidRPr="001C3D83">
        <w:rPr>
          <w:rStyle w:val="FootnoteReference"/>
          <w:sz w:val="20"/>
        </w:rPr>
        <w:footnoteRef/>
      </w:r>
      <w:r w:rsidRPr="001C3D83">
        <w:rPr>
          <w:sz w:val="20"/>
        </w:rPr>
        <w:t xml:space="preserve"> </w:t>
      </w:r>
      <w:r w:rsidR="005C0884" w:rsidRPr="001C3D83">
        <w:rPr>
          <w:i/>
          <w:sz w:val="20"/>
        </w:rPr>
        <w:t>Data Collection Protective Order</w:t>
      </w:r>
      <w:r w:rsidR="005C0884" w:rsidRPr="001C3D83">
        <w:rPr>
          <w:sz w:val="20"/>
        </w:rPr>
        <w:t>, 29 FCC Rcd at 11673, para. 5.</w:t>
      </w:r>
    </w:p>
  </w:footnote>
  <w:footnote w:id="28">
    <w:p w:rsidR="00636F31" w:rsidRPr="001C3D83" w:rsidRDefault="00636F31" w:rsidP="009516EF">
      <w:pPr>
        <w:pStyle w:val="FootnoteText"/>
        <w:spacing w:after="120"/>
        <w:rPr>
          <w:sz w:val="20"/>
        </w:rPr>
      </w:pPr>
      <w:r w:rsidRPr="001C3D83">
        <w:rPr>
          <w:rStyle w:val="FootnoteReference"/>
          <w:sz w:val="20"/>
        </w:rPr>
        <w:footnoteRef/>
      </w:r>
      <w:r w:rsidRPr="001C3D83">
        <w:rPr>
          <w:sz w:val="20"/>
        </w:rPr>
        <w:t xml:space="preserve"> </w:t>
      </w:r>
      <w:r w:rsidRPr="001C3D83">
        <w:rPr>
          <w:i/>
          <w:sz w:val="20"/>
        </w:rPr>
        <w:t>Id</w:t>
      </w:r>
      <w:r w:rsidRPr="001C3D83">
        <w:rPr>
          <w:sz w:val="20"/>
        </w:rPr>
        <w:t xml:space="preserve">. at 11674, </w:t>
      </w:r>
      <w:r w:rsidR="00A65017" w:rsidRPr="001C3D83">
        <w:rPr>
          <w:sz w:val="20"/>
        </w:rPr>
        <w:t xml:space="preserve">Appx. A at </w:t>
      </w:r>
      <w:r w:rsidRPr="001C3D83">
        <w:rPr>
          <w:sz w:val="20"/>
        </w:rPr>
        <w:t xml:space="preserve">para. 9.  </w:t>
      </w:r>
    </w:p>
  </w:footnote>
  <w:footnote w:id="29">
    <w:p w:rsidR="00A65017" w:rsidRPr="001C3D83" w:rsidRDefault="00A65017" w:rsidP="009516EF">
      <w:pPr>
        <w:pStyle w:val="FootnoteText"/>
        <w:spacing w:after="120"/>
        <w:rPr>
          <w:sz w:val="20"/>
        </w:rPr>
      </w:pPr>
      <w:r w:rsidRPr="001C3D83">
        <w:rPr>
          <w:rStyle w:val="FootnoteReference"/>
          <w:sz w:val="20"/>
        </w:rPr>
        <w:footnoteRef/>
      </w:r>
      <w:r w:rsidRPr="001C3D83">
        <w:rPr>
          <w:sz w:val="20"/>
        </w:rPr>
        <w:t xml:space="preserve"> </w:t>
      </w:r>
      <w:r w:rsidR="005C0884" w:rsidRPr="001C3D83">
        <w:rPr>
          <w:i/>
          <w:sz w:val="20"/>
        </w:rPr>
        <w:t>Id</w:t>
      </w:r>
      <w:r w:rsidR="005C0884" w:rsidRPr="001C3D83">
        <w:rPr>
          <w:sz w:val="20"/>
        </w:rPr>
        <w:t xml:space="preserve">. at 11674, Appx. A at para. 8 (permitting authorized parties to use of confidential and highly confidential information solely for purposes of the preparation and conduct of this proceeding before the Commission and any subsequent judicial proceeding arising directly from this proceeding). </w:t>
      </w:r>
    </w:p>
  </w:footnote>
  <w:footnote w:id="30">
    <w:p w:rsidR="00911FAD" w:rsidRPr="001C3D83" w:rsidRDefault="00911FAD" w:rsidP="00911FAD">
      <w:pPr>
        <w:pStyle w:val="FootnoteText"/>
        <w:spacing w:after="120"/>
        <w:rPr>
          <w:sz w:val="20"/>
        </w:rPr>
      </w:pPr>
      <w:r w:rsidRPr="001C3D83">
        <w:rPr>
          <w:rStyle w:val="FootnoteReference"/>
          <w:sz w:val="20"/>
        </w:rPr>
        <w:footnoteRef/>
      </w:r>
      <w:r w:rsidRPr="001C3D83">
        <w:rPr>
          <w:sz w:val="20"/>
        </w:rPr>
        <w:t xml:space="preserve"> </w:t>
      </w:r>
      <w:r w:rsidRPr="001C3D83">
        <w:rPr>
          <w:i/>
          <w:sz w:val="20"/>
        </w:rPr>
        <w:t>See id.</w:t>
      </w:r>
      <w:r w:rsidRPr="001C3D83">
        <w:rPr>
          <w:sz w:val="20"/>
        </w:rPr>
        <w:t xml:space="preserve"> at 11664-65, 11673, paras. 23-24 &amp; Appx. A at para. 5 (the Bureau will periodically release public notices identifying Acknowledgment-filers seeking authorization to access confidential and highly confidential information submitted in the data collection subject to a five business day objection period).  In order to access confidential and highly confidential information submitted in the rulemaking proceeding, parties are required to sign and file with the Commission three Acknowledgments pursuant to the </w:t>
      </w:r>
      <w:r w:rsidRPr="001C3D83">
        <w:rPr>
          <w:i/>
          <w:sz w:val="20"/>
        </w:rPr>
        <w:t>Data Collection Protective Order</w:t>
      </w:r>
      <w:r w:rsidRPr="001C3D83">
        <w:rPr>
          <w:sz w:val="20"/>
        </w:rPr>
        <w:t xml:space="preserve">, </w:t>
      </w:r>
      <w:r w:rsidRPr="001C3D83">
        <w:rPr>
          <w:i/>
          <w:sz w:val="20"/>
        </w:rPr>
        <w:t xml:space="preserve">Second Protective Order </w:t>
      </w:r>
      <w:r w:rsidRPr="001C3D83">
        <w:rPr>
          <w:sz w:val="20"/>
        </w:rPr>
        <w:t xml:space="preserve">and </w:t>
      </w:r>
      <w:r w:rsidRPr="001C3D83">
        <w:rPr>
          <w:i/>
          <w:sz w:val="20"/>
        </w:rPr>
        <w:t>Modified Protective Order</w:t>
      </w:r>
      <w:r w:rsidRPr="001C3D83">
        <w:rPr>
          <w:sz w:val="20"/>
        </w:rPr>
        <w:t xml:space="preserve">.  </w:t>
      </w:r>
      <w:r w:rsidRPr="001C3D83">
        <w:rPr>
          <w:i/>
          <w:sz w:val="20"/>
        </w:rPr>
        <w:t>See id</w:t>
      </w:r>
      <w:r w:rsidRPr="001C3D83">
        <w:rPr>
          <w:sz w:val="20"/>
        </w:rPr>
        <w:t xml:space="preserve">. at 11680, Appx. C; </w:t>
      </w:r>
      <w:r w:rsidRPr="001C3D83">
        <w:rPr>
          <w:i/>
          <w:sz w:val="20"/>
        </w:rPr>
        <w:t>Second Protective Order</w:t>
      </w:r>
      <w:r w:rsidRPr="001C3D83">
        <w:rPr>
          <w:sz w:val="20"/>
        </w:rPr>
        <w:t xml:space="preserve">, 25 FCC Rcd at 17733, Appx. A; </w:t>
      </w:r>
      <w:r w:rsidRPr="001C3D83">
        <w:rPr>
          <w:i/>
          <w:sz w:val="20"/>
        </w:rPr>
        <w:t>Modified Protective Order</w:t>
      </w:r>
      <w:r w:rsidRPr="001C3D83">
        <w:rPr>
          <w:sz w:val="20"/>
        </w:rPr>
        <w:t xml:space="preserve">, 25 FCC Rcd 15175, Appx. 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054" w:rsidRDefault="005640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054" w:rsidRDefault="005640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236C9A">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w14:anchorId="38A828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9264"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236C9A">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w14:anchorId="261554CA">
        <v:line id="_x0000_s2052" style="position:absolute;left:0;text-align:left;z-index:251657216" from="37.6pt,54.95pt" to="501.1pt,55.15pt" o:allowincell="f"/>
      </w:pict>
    </w:r>
    <w:r>
      <w:rPr>
        <w:rFonts w:ascii="News Gothic MT" w:hAnsi="News Gothic MT"/>
        <w:b/>
        <w:noProof/>
        <w:sz w:val="24"/>
      </w:rPr>
      <w:pict w14:anchorId="1B628999">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6192" o:allowincell="f" stroked="f">
          <v:textbox style="mso-next-textbox:#_x0000_s2050">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w14:anchorId="2E457F9C">
        <v:shape id="_x0000_s2053" type="#_x0000_t202" style="position:absolute;left:0;text-align:left;margin-left:301.5pt;margin-top:10.25pt;width:207.95pt;height:43.2pt;z-index:251658240" o:allowincell="f" stroked="f">
          <v:textbox style="mso-next-textbox:#_x0000_s2053"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0CF6"/>
    <w:rsid w:val="0000152C"/>
    <w:rsid w:val="0002524B"/>
    <w:rsid w:val="000265AE"/>
    <w:rsid w:val="00027D16"/>
    <w:rsid w:val="0003580C"/>
    <w:rsid w:val="00036FD4"/>
    <w:rsid w:val="000424B1"/>
    <w:rsid w:val="00065C36"/>
    <w:rsid w:val="000A0953"/>
    <w:rsid w:val="000D612B"/>
    <w:rsid w:val="000E0C6E"/>
    <w:rsid w:val="000E4DC9"/>
    <w:rsid w:val="000F22EA"/>
    <w:rsid w:val="000F7A54"/>
    <w:rsid w:val="00103DF9"/>
    <w:rsid w:val="001122FC"/>
    <w:rsid w:val="00120EE8"/>
    <w:rsid w:val="00122ED2"/>
    <w:rsid w:val="00124F20"/>
    <w:rsid w:val="0013093F"/>
    <w:rsid w:val="00131B30"/>
    <w:rsid w:val="00137A9C"/>
    <w:rsid w:val="001618F3"/>
    <w:rsid w:val="00166B9E"/>
    <w:rsid w:val="001747EF"/>
    <w:rsid w:val="001847D9"/>
    <w:rsid w:val="00185240"/>
    <w:rsid w:val="001938E1"/>
    <w:rsid w:val="001A1C57"/>
    <w:rsid w:val="001A514D"/>
    <w:rsid w:val="001B123B"/>
    <w:rsid w:val="001B4487"/>
    <w:rsid w:val="001B5FF6"/>
    <w:rsid w:val="001C241B"/>
    <w:rsid w:val="001C2AE4"/>
    <w:rsid w:val="001C3D83"/>
    <w:rsid w:val="001D6EFC"/>
    <w:rsid w:val="001D7F06"/>
    <w:rsid w:val="001E0CF6"/>
    <w:rsid w:val="001E7ED1"/>
    <w:rsid w:val="001F1CF3"/>
    <w:rsid w:val="001F29F9"/>
    <w:rsid w:val="001F3BD8"/>
    <w:rsid w:val="001F5C49"/>
    <w:rsid w:val="00207EE9"/>
    <w:rsid w:val="00211EA4"/>
    <w:rsid w:val="00230362"/>
    <w:rsid w:val="00230670"/>
    <w:rsid w:val="00235D1B"/>
    <w:rsid w:val="00236C9A"/>
    <w:rsid w:val="00241DB7"/>
    <w:rsid w:val="00243ABA"/>
    <w:rsid w:val="00251579"/>
    <w:rsid w:val="002559A8"/>
    <w:rsid w:val="00260CAD"/>
    <w:rsid w:val="00266493"/>
    <w:rsid w:val="00272EEF"/>
    <w:rsid w:val="0028126D"/>
    <w:rsid w:val="002B7D71"/>
    <w:rsid w:val="002C0FE2"/>
    <w:rsid w:val="002C26A0"/>
    <w:rsid w:val="002D0A2C"/>
    <w:rsid w:val="002D4C16"/>
    <w:rsid w:val="002E38FD"/>
    <w:rsid w:val="002F1771"/>
    <w:rsid w:val="003007CF"/>
    <w:rsid w:val="00306E26"/>
    <w:rsid w:val="003177E7"/>
    <w:rsid w:val="003305F0"/>
    <w:rsid w:val="00341C3D"/>
    <w:rsid w:val="003456E7"/>
    <w:rsid w:val="00356A13"/>
    <w:rsid w:val="00360B61"/>
    <w:rsid w:val="0036108C"/>
    <w:rsid w:val="00366CDE"/>
    <w:rsid w:val="003731E6"/>
    <w:rsid w:val="003738FD"/>
    <w:rsid w:val="0038656A"/>
    <w:rsid w:val="00392BB8"/>
    <w:rsid w:val="003933ED"/>
    <w:rsid w:val="0039454C"/>
    <w:rsid w:val="003A1658"/>
    <w:rsid w:val="003B0461"/>
    <w:rsid w:val="003D1AA8"/>
    <w:rsid w:val="003E1E68"/>
    <w:rsid w:val="003F28F6"/>
    <w:rsid w:val="003F793B"/>
    <w:rsid w:val="00405085"/>
    <w:rsid w:val="00406AD5"/>
    <w:rsid w:val="0041073E"/>
    <w:rsid w:val="00414ACB"/>
    <w:rsid w:val="00421F98"/>
    <w:rsid w:val="00422A09"/>
    <w:rsid w:val="004237EA"/>
    <w:rsid w:val="00425369"/>
    <w:rsid w:val="00435BD0"/>
    <w:rsid w:val="004415A9"/>
    <w:rsid w:val="00450601"/>
    <w:rsid w:val="00453E69"/>
    <w:rsid w:val="00464DBF"/>
    <w:rsid w:val="004651A9"/>
    <w:rsid w:val="004750A1"/>
    <w:rsid w:val="00476035"/>
    <w:rsid w:val="004817F4"/>
    <w:rsid w:val="004824FA"/>
    <w:rsid w:val="00487B77"/>
    <w:rsid w:val="0049264B"/>
    <w:rsid w:val="004B0EAE"/>
    <w:rsid w:val="004B0EE4"/>
    <w:rsid w:val="004B4A05"/>
    <w:rsid w:val="004B5252"/>
    <w:rsid w:val="004B670F"/>
    <w:rsid w:val="004C18F2"/>
    <w:rsid w:val="004C2447"/>
    <w:rsid w:val="004C36D6"/>
    <w:rsid w:val="004D78CD"/>
    <w:rsid w:val="004F2F44"/>
    <w:rsid w:val="005037B7"/>
    <w:rsid w:val="00503D08"/>
    <w:rsid w:val="00516B2F"/>
    <w:rsid w:val="00521B34"/>
    <w:rsid w:val="00521F2E"/>
    <w:rsid w:val="00532940"/>
    <w:rsid w:val="005340EC"/>
    <w:rsid w:val="00534D84"/>
    <w:rsid w:val="005359A7"/>
    <w:rsid w:val="00560325"/>
    <w:rsid w:val="00564054"/>
    <w:rsid w:val="0057344D"/>
    <w:rsid w:val="00573CA8"/>
    <w:rsid w:val="00575E07"/>
    <w:rsid w:val="00584F58"/>
    <w:rsid w:val="0059098C"/>
    <w:rsid w:val="0059640E"/>
    <w:rsid w:val="005A685C"/>
    <w:rsid w:val="005A68C7"/>
    <w:rsid w:val="005B5F22"/>
    <w:rsid w:val="005C0884"/>
    <w:rsid w:val="005D371A"/>
    <w:rsid w:val="005E0AF9"/>
    <w:rsid w:val="005E0F13"/>
    <w:rsid w:val="005E74EA"/>
    <w:rsid w:val="005E7FEA"/>
    <w:rsid w:val="005F11FE"/>
    <w:rsid w:val="005F240B"/>
    <w:rsid w:val="005F5F7E"/>
    <w:rsid w:val="00602577"/>
    <w:rsid w:val="00602B5D"/>
    <w:rsid w:val="0060362A"/>
    <w:rsid w:val="00604CEC"/>
    <w:rsid w:val="006104E3"/>
    <w:rsid w:val="006111BC"/>
    <w:rsid w:val="006316FF"/>
    <w:rsid w:val="00636F31"/>
    <w:rsid w:val="00644E2F"/>
    <w:rsid w:val="00660248"/>
    <w:rsid w:val="006716B5"/>
    <w:rsid w:val="0067604D"/>
    <w:rsid w:val="006775A2"/>
    <w:rsid w:val="00677B64"/>
    <w:rsid w:val="00680083"/>
    <w:rsid w:val="00683210"/>
    <w:rsid w:val="00685951"/>
    <w:rsid w:val="0068634F"/>
    <w:rsid w:val="00687B98"/>
    <w:rsid w:val="00691159"/>
    <w:rsid w:val="006949C9"/>
    <w:rsid w:val="006A54B6"/>
    <w:rsid w:val="006A798A"/>
    <w:rsid w:val="006B014C"/>
    <w:rsid w:val="006B5BA2"/>
    <w:rsid w:val="006F4B79"/>
    <w:rsid w:val="00701330"/>
    <w:rsid w:val="00715076"/>
    <w:rsid w:val="007410C0"/>
    <w:rsid w:val="00744C27"/>
    <w:rsid w:val="00752B13"/>
    <w:rsid w:val="00755C10"/>
    <w:rsid w:val="0075706C"/>
    <w:rsid w:val="00766FB0"/>
    <w:rsid w:val="00784BC0"/>
    <w:rsid w:val="0079214B"/>
    <w:rsid w:val="00794F57"/>
    <w:rsid w:val="007A0D18"/>
    <w:rsid w:val="007A55BF"/>
    <w:rsid w:val="007A5969"/>
    <w:rsid w:val="007B3DDC"/>
    <w:rsid w:val="007C03CB"/>
    <w:rsid w:val="007C2BD2"/>
    <w:rsid w:val="007C5403"/>
    <w:rsid w:val="007D331F"/>
    <w:rsid w:val="007F0BE2"/>
    <w:rsid w:val="008045DA"/>
    <w:rsid w:val="00842A2A"/>
    <w:rsid w:val="00843540"/>
    <w:rsid w:val="008506AB"/>
    <w:rsid w:val="00865422"/>
    <w:rsid w:val="00871A54"/>
    <w:rsid w:val="0087373B"/>
    <w:rsid w:val="0088786C"/>
    <w:rsid w:val="008914C3"/>
    <w:rsid w:val="008C3733"/>
    <w:rsid w:val="008C5DB9"/>
    <w:rsid w:val="008C6C6F"/>
    <w:rsid w:val="008E4C8D"/>
    <w:rsid w:val="008E51DB"/>
    <w:rsid w:val="008F5815"/>
    <w:rsid w:val="008F75AE"/>
    <w:rsid w:val="00904355"/>
    <w:rsid w:val="00911FAD"/>
    <w:rsid w:val="00920324"/>
    <w:rsid w:val="009245D6"/>
    <w:rsid w:val="00933DEA"/>
    <w:rsid w:val="0094113B"/>
    <w:rsid w:val="009508C1"/>
    <w:rsid w:val="009516EF"/>
    <w:rsid w:val="00955038"/>
    <w:rsid w:val="00964819"/>
    <w:rsid w:val="00971915"/>
    <w:rsid w:val="009779B8"/>
    <w:rsid w:val="00984D86"/>
    <w:rsid w:val="009917A6"/>
    <w:rsid w:val="009A53D3"/>
    <w:rsid w:val="009C5C60"/>
    <w:rsid w:val="009D4AA8"/>
    <w:rsid w:val="009E194C"/>
    <w:rsid w:val="009F2C9A"/>
    <w:rsid w:val="00A000B9"/>
    <w:rsid w:val="00A105C7"/>
    <w:rsid w:val="00A22F27"/>
    <w:rsid w:val="00A26FCA"/>
    <w:rsid w:val="00A310AE"/>
    <w:rsid w:val="00A332A9"/>
    <w:rsid w:val="00A426D7"/>
    <w:rsid w:val="00A4378C"/>
    <w:rsid w:val="00A45D7C"/>
    <w:rsid w:val="00A46765"/>
    <w:rsid w:val="00A53241"/>
    <w:rsid w:val="00A53375"/>
    <w:rsid w:val="00A61412"/>
    <w:rsid w:val="00A65017"/>
    <w:rsid w:val="00A73B4C"/>
    <w:rsid w:val="00A926D3"/>
    <w:rsid w:val="00AA4518"/>
    <w:rsid w:val="00AC09D4"/>
    <w:rsid w:val="00AC713D"/>
    <w:rsid w:val="00AD74A0"/>
    <w:rsid w:val="00AE6D1A"/>
    <w:rsid w:val="00B41B96"/>
    <w:rsid w:val="00B60212"/>
    <w:rsid w:val="00B62AFA"/>
    <w:rsid w:val="00B83125"/>
    <w:rsid w:val="00BC3DB0"/>
    <w:rsid w:val="00BC6824"/>
    <w:rsid w:val="00BC6B08"/>
    <w:rsid w:val="00BD3ED4"/>
    <w:rsid w:val="00BD70E5"/>
    <w:rsid w:val="00BD7D27"/>
    <w:rsid w:val="00BF261F"/>
    <w:rsid w:val="00C009D8"/>
    <w:rsid w:val="00C03C40"/>
    <w:rsid w:val="00C07BFB"/>
    <w:rsid w:val="00C17152"/>
    <w:rsid w:val="00C2116B"/>
    <w:rsid w:val="00C279CE"/>
    <w:rsid w:val="00C333DF"/>
    <w:rsid w:val="00C37CE7"/>
    <w:rsid w:val="00C41E24"/>
    <w:rsid w:val="00C447BB"/>
    <w:rsid w:val="00C542B5"/>
    <w:rsid w:val="00C71AD3"/>
    <w:rsid w:val="00C82C2A"/>
    <w:rsid w:val="00C8633E"/>
    <w:rsid w:val="00C8777E"/>
    <w:rsid w:val="00C93D4E"/>
    <w:rsid w:val="00CA0929"/>
    <w:rsid w:val="00CB1AF5"/>
    <w:rsid w:val="00CB7622"/>
    <w:rsid w:val="00CB7AB7"/>
    <w:rsid w:val="00CE77E2"/>
    <w:rsid w:val="00CF1E1C"/>
    <w:rsid w:val="00D049A4"/>
    <w:rsid w:val="00D07250"/>
    <w:rsid w:val="00D12DD3"/>
    <w:rsid w:val="00D14088"/>
    <w:rsid w:val="00D15350"/>
    <w:rsid w:val="00D17DC0"/>
    <w:rsid w:val="00D248A9"/>
    <w:rsid w:val="00D30474"/>
    <w:rsid w:val="00D50642"/>
    <w:rsid w:val="00D5081D"/>
    <w:rsid w:val="00D52891"/>
    <w:rsid w:val="00D5304A"/>
    <w:rsid w:val="00D565B1"/>
    <w:rsid w:val="00D60EFF"/>
    <w:rsid w:val="00D63E32"/>
    <w:rsid w:val="00D64692"/>
    <w:rsid w:val="00D75BAC"/>
    <w:rsid w:val="00D85892"/>
    <w:rsid w:val="00D90F1D"/>
    <w:rsid w:val="00D9173E"/>
    <w:rsid w:val="00D93C65"/>
    <w:rsid w:val="00DB59E3"/>
    <w:rsid w:val="00DE23CA"/>
    <w:rsid w:val="00E067A6"/>
    <w:rsid w:val="00E2268E"/>
    <w:rsid w:val="00E2282C"/>
    <w:rsid w:val="00E244D2"/>
    <w:rsid w:val="00E321AE"/>
    <w:rsid w:val="00E43770"/>
    <w:rsid w:val="00E52D66"/>
    <w:rsid w:val="00E8304B"/>
    <w:rsid w:val="00E91498"/>
    <w:rsid w:val="00E92B1E"/>
    <w:rsid w:val="00EB2B12"/>
    <w:rsid w:val="00ED09CC"/>
    <w:rsid w:val="00EE176D"/>
    <w:rsid w:val="00EE3A8D"/>
    <w:rsid w:val="00EE48DE"/>
    <w:rsid w:val="00F210D4"/>
    <w:rsid w:val="00F32216"/>
    <w:rsid w:val="00F36DAA"/>
    <w:rsid w:val="00F44608"/>
    <w:rsid w:val="00F7034D"/>
    <w:rsid w:val="00F7616E"/>
    <w:rsid w:val="00F80AD5"/>
    <w:rsid w:val="00F80C23"/>
    <w:rsid w:val="00F86485"/>
    <w:rsid w:val="00FB226D"/>
    <w:rsid w:val="00FC0886"/>
    <w:rsid w:val="00FD2965"/>
    <w:rsid w:val="00FD4A3A"/>
    <w:rsid w:val="00FD6C7B"/>
    <w:rsid w:val="00FF5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rPr>
      <w:vertAlign w:val="superscript"/>
    </w:rPr>
  </w:style>
  <w:style w:type="paragraph" w:styleId="FootnoteText">
    <w:name w:val="footnote text"/>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erChar">
    <w:name w:val="Footer Char"/>
    <w:link w:val="Footer"/>
    <w:uiPriority w:val="99"/>
    <w:rsid w:val="00421F98"/>
    <w:rPr>
      <w:sz w:val="22"/>
    </w:rPr>
  </w:style>
  <w:style w:type="character" w:styleId="CommentReference">
    <w:name w:val="annotation reference"/>
    <w:basedOn w:val="DefaultParagraphFont"/>
    <w:uiPriority w:val="99"/>
    <w:semiHidden/>
    <w:unhideWhenUsed/>
    <w:rsid w:val="00521F2E"/>
    <w:rPr>
      <w:sz w:val="16"/>
      <w:szCs w:val="16"/>
    </w:rPr>
  </w:style>
  <w:style w:type="paragraph" w:styleId="CommentText">
    <w:name w:val="annotation text"/>
    <w:basedOn w:val="Normal"/>
    <w:link w:val="CommentTextChar"/>
    <w:uiPriority w:val="99"/>
    <w:semiHidden/>
    <w:unhideWhenUsed/>
    <w:rsid w:val="00521F2E"/>
    <w:rPr>
      <w:sz w:val="20"/>
    </w:rPr>
  </w:style>
  <w:style w:type="character" w:customStyle="1" w:styleId="CommentTextChar">
    <w:name w:val="Comment Text Char"/>
    <w:basedOn w:val="DefaultParagraphFont"/>
    <w:link w:val="CommentText"/>
    <w:uiPriority w:val="99"/>
    <w:semiHidden/>
    <w:rsid w:val="00521F2E"/>
  </w:style>
  <w:style w:type="paragraph" w:styleId="CommentSubject">
    <w:name w:val="annotation subject"/>
    <w:basedOn w:val="CommentText"/>
    <w:next w:val="CommentText"/>
    <w:link w:val="CommentSubjectChar"/>
    <w:uiPriority w:val="99"/>
    <w:semiHidden/>
    <w:unhideWhenUsed/>
    <w:rsid w:val="00521F2E"/>
    <w:rPr>
      <w:b/>
      <w:bCs/>
    </w:rPr>
  </w:style>
  <w:style w:type="character" w:customStyle="1" w:styleId="CommentSubjectChar">
    <w:name w:val="Comment Subject Char"/>
    <w:basedOn w:val="CommentTextChar"/>
    <w:link w:val="CommentSubject"/>
    <w:uiPriority w:val="99"/>
    <w:semiHidden/>
    <w:rsid w:val="00521F2E"/>
    <w:rPr>
      <w:b/>
      <w:bCs/>
    </w:rPr>
  </w:style>
  <w:style w:type="paragraph" w:styleId="BalloonText">
    <w:name w:val="Balloon Text"/>
    <w:basedOn w:val="Normal"/>
    <w:link w:val="BalloonTextChar"/>
    <w:uiPriority w:val="99"/>
    <w:semiHidden/>
    <w:unhideWhenUsed/>
    <w:rsid w:val="00521F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F2E"/>
    <w:rPr>
      <w:rFonts w:ascii="Segoe UI" w:hAnsi="Segoe UI" w:cs="Segoe UI"/>
      <w:sz w:val="18"/>
      <w:szCs w:val="18"/>
    </w:rPr>
  </w:style>
  <w:style w:type="character" w:customStyle="1" w:styleId="FootnoteTextChar">
    <w:name w:val="Footnote Text Char"/>
    <w:link w:val="FootnoteText"/>
    <w:rsid w:val="000F7A54"/>
    <w:rPr>
      <w:sz w:val="22"/>
    </w:rPr>
  </w:style>
  <w:style w:type="paragraph" w:styleId="Revision">
    <w:name w:val="Revision"/>
    <w:hidden/>
    <w:uiPriority w:val="99"/>
    <w:semiHidden/>
    <w:rsid w:val="001747E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Joseph.Price@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hristopher.Koves@fcc.go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norc.org/About/Pages/about-our-name.aspx" TargetMode="External"/><Relationship Id="rId2" Type="http://schemas.openxmlformats.org/officeDocument/2006/relationships/hyperlink" Target="https://www.fcc.gov/general/parties-authorized-review-special-access-data" TargetMode="External"/><Relationship Id="rId1" Type="http://schemas.openxmlformats.org/officeDocument/2006/relationships/hyperlink" Target="https://www.fcc.gov/general/special-access-data-collection-overview-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1136</Words>
  <Characters>6529</Characters>
  <Application>Microsoft Office Word</Application>
  <DocSecurity>0</DocSecurity>
  <Lines>86</Lines>
  <Paragraphs>15</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7688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2017-09-29T21:51:00Z</cp:lastPrinted>
  <dcterms:created xsi:type="dcterms:W3CDTF">2017-10-02T16:38:00Z</dcterms:created>
  <dcterms:modified xsi:type="dcterms:W3CDTF">2017-10-02T16:38:00Z</dcterms:modified>
  <cp:category> </cp:category>
  <cp:contentStatus> </cp:contentStatus>
</cp:coreProperties>
</file>