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7E" w:rsidRDefault="00FD737E">
      <w:pPr>
        <w:pStyle w:val="Header"/>
        <w:tabs>
          <w:tab w:val="clear" w:pos="4320"/>
          <w:tab w:val="clear" w:pos="8640"/>
        </w:tabs>
        <w:rPr>
          <w:szCs w:val="22"/>
        </w:rPr>
        <w:sectPr w:rsidR="00FD737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80" w:left="720" w:header="720" w:footer="1440" w:gutter="0"/>
          <w:cols w:space="720"/>
          <w:titlePg/>
        </w:sectPr>
      </w:pPr>
      <w:bookmarkStart w:id="1" w:name="_GoBack"/>
      <w:bookmarkEnd w:id="1"/>
    </w:p>
    <w:p w:rsidR="00FD737E" w:rsidRDefault="00A41CA5">
      <w:pPr>
        <w:ind w:left="720" w:firstLine="720"/>
        <w:jc w:val="right"/>
        <w:outlineLvl w:val="0"/>
        <w:rPr>
          <w:b/>
          <w:szCs w:val="22"/>
        </w:rPr>
      </w:pPr>
      <w:r>
        <w:rPr>
          <w:b/>
          <w:szCs w:val="22"/>
        </w:rPr>
        <w:lastRenderedPageBreak/>
        <w:t xml:space="preserve">  </w:t>
      </w:r>
      <w:r>
        <w:rPr>
          <w:b/>
          <w:szCs w:val="22"/>
        </w:rPr>
        <w:tab/>
      </w:r>
      <w:r>
        <w:rPr>
          <w:b/>
          <w:szCs w:val="22"/>
        </w:rPr>
        <w:tab/>
        <w:t xml:space="preserve">   </w:t>
      </w:r>
      <w:r w:rsidR="004928F4">
        <w:rPr>
          <w:b/>
          <w:szCs w:val="22"/>
        </w:rPr>
        <w:t>DA 17-962</w:t>
      </w:r>
    </w:p>
    <w:p w:rsidR="00FD737E" w:rsidRDefault="00684CF1">
      <w:pPr>
        <w:jc w:val="right"/>
        <w:outlineLvl w:val="0"/>
        <w:rPr>
          <w:b/>
          <w:szCs w:val="22"/>
        </w:rPr>
      </w:pPr>
      <w:r>
        <w:rPr>
          <w:b/>
          <w:szCs w:val="22"/>
        </w:rPr>
        <w:t>Released:  October</w:t>
      </w:r>
      <w:r w:rsidR="00A41CA5">
        <w:rPr>
          <w:b/>
          <w:szCs w:val="22"/>
        </w:rPr>
        <w:t xml:space="preserve"> </w:t>
      </w:r>
      <w:r w:rsidR="00F47C94">
        <w:rPr>
          <w:b/>
          <w:szCs w:val="22"/>
        </w:rPr>
        <w:t>3</w:t>
      </w:r>
      <w:r w:rsidR="00F46B68">
        <w:rPr>
          <w:b/>
          <w:szCs w:val="22"/>
        </w:rPr>
        <w:t>,</w:t>
      </w:r>
      <w:r>
        <w:rPr>
          <w:b/>
          <w:szCs w:val="22"/>
        </w:rPr>
        <w:t xml:space="preserve"> 2017</w:t>
      </w:r>
    </w:p>
    <w:p w:rsidR="00FD737E" w:rsidRDefault="00FD737E">
      <w:pPr>
        <w:spacing w:after="240"/>
        <w:jc w:val="center"/>
        <w:rPr>
          <w:b/>
          <w:szCs w:val="22"/>
        </w:rPr>
      </w:pPr>
    </w:p>
    <w:p w:rsidR="00FD737E" w:rsidRDefault="0022740F">
      <w:pPr>
        <w:spacing w:after="240"/>
        <w:jc w:val="center"/>
        <w:rPr>
          <w:b/>
          <w:szCs w:val="22"/>
        </w:rPr>
      </w:pPr>
      <w:r>
        <w:rPr>
          <w:b/>
          <w:szCs w:val="22"/>
        </w:rPr>
        <w:t xml:space="preserve">WIRELINE COMPETITION BUREAU SEEKS COMMENT ON TELAPEX, INC. </w:t>
      </w:r>
      <w:r w:rsidR="00FD737E">
        <w:rPr>
          <w:b/>
          <w:szCs w:val="22"/>
        </w:rPr>
        <w:t>PETITION FOR</w:t>
      </w:r>
      <w:r>
        <w:rPr>
          <w:b/>
          <w:szCs w:val="22"/>
        </w:rPr>
        <w:t xml:space="preserve"> </w:t>
      </w:r>
      <w:r w:rsidR="00FD737E">
        <w:rPr>
          <w:b/>
          <w:szCs w:val="22"/>
        </w:rPr>
        <w:t xml:space="preserve">WAIVER OF </w:t>
      </w:r>
      <w:r>
        <w:rPr>
          <w:b/>
          <w:szCs w:val="22"/>
        </w:rPr>
        <w:t>THE COMMISSION’S RULES FOR MODIFYING ACCESS RATE BANDS AND CHARGES AND 2011 B</w:t>
      </w:r>
      <w:r w:rsidR="00206C9D">
        <w:rPr>
          <w:b/>
          <w:szCs w:val="22"/>
        </w:rPr>
        <w:t xml:space="preserve">ASE PERIOD REVENUE </w:t>
      </w:r>
    </w:p>
    <w:p w:rsidR="00FD737E" w:rsidRDefault="0069464B">
      <w:pPr>
        <w:contextualSpacing/>
        <w:jc w:val="center"/>
        <w:rPr>
          <w:rFonts w:eastAsia="Calibri"/>
          <w:b/>
          <w:szCs w:val="22"/>
        </w:rPr>
      </w:pPr>
      <w:r>
        <w:rPr>
          <w:rFonts w:eastAsia="Calibri"/>
          <w:b/>
          <w:szCs w:val="22"/>
        </w:rPr>
        <w:t>WC Docket No</w:t>
      </w:r>
      <w:r w:rsidR="00FD737E">
        <w:rPr>
          <w:rFonts w:eastAsia="Calibri"/>
          <w:b/>
          <w:szCs w:val="22"/>
        </w:rPr>
        <w:t xml:space="preserve">. </w:t>
      </w:r>
      <w:r w:rsidR="00861FCF">
        <w:rPr>
          <w:rFonts w:eastAsia="Calibri"/>
          <w:b/>
          <w:szCs w:val="22"/>
        </w:rPr>
        <w:t>17-252</w:t>
      </w:r>
    </w:p>
    <w:p w:rsidR="00FD737E" w:rsidRDefault="00FD737E">
      <w:pPr>
        <w:jc w:val="center"/>
        <w:rPr>
          <w:szCs w:val="22"/>
        </w:rPr>
      </w:pPr>
    </w:p>
    <w:p w:rsidR="00FD737E" w:rsidRDefault="00B343C6">
      <w:pPr>
        <w:outlineLvl w:val="0"/>
        <w:rPr>
          <w:b/>
          <w:szCs w:val="22"/>
        </w:rPr>
      </w:pPr>
      <w:r>
        <w:rPr>
          <w:b/>
          <w:szCs w:val="22"/>
        </w:rPr>
        <w:t xml:space="preserve">Comment Date: </w:t>
      </w:r>
      <w:r w:rsidR="00F47C94">
        <w:rPr>
          <w:b/>
          <w:szCs w:val="22"/>
        </w:rPr>
        <w:t xml:space="preserve"> October 23, 2017</w:t>
      </w:r>
    </w:p>
    <w:p w:rsidR="0069464B" w:rsidRDefault="00B343C6">
      <w:pPr>
        <w:outlineLvl w:val="0"/>
        <w:rPr>
          <w:b/>
          <w:szCs w:val="22"/>
        </w:rPr>
      </w:pPr>
      <w:r>
        <w:rPr>
          <w:b/>
          <w:szCs w:val="22"/>
        </w:rPr>
        <w:t xml:space="preserve">Reply Comment Date: </w:t>
      </w:r>
      <w:r w:rsidR="00F47C94">
        <w:rPr>
          <w:b/>
          <w:szCs w:val="22"/>
        </w:rPr>
        <w:t xml:space="preserve"> November 7, 2017</w:t>
      </w:r>
    </w:p>
    <w:p w:rsidR="00FD737E" w:rsidRDefault="00FD737E">
      <w:pPr>
        <w:rPr>
          <w:szCs w:val="22"/>
        </w:rPr>
      </w:pPr>
    </w:p>
    <w:p w:rsidR="00C569E3" w:rsidRDefault="00FD737E">
      <w:r>
        <w:tab/>
        <w:t xml:space="preserve">On </w:t>
      </w:r>
      <w:r w:rsidR="00EE38F7">
        <w:t xml:space="preserve">September 19, 2017, </w:t>
      </w:r>
      <w:r w:rsidR="00E967C3">
        <w:t>Telapex</w:t>
      </w:r>
      <w:r w:rsidR="00EE38F7">
        <w:t xml:space="preserve">, Inc. </w:t>
      </w:r>
      <w:r w:rsidR="00B42C2D">
        <w:t>(</w:t>
      </w:r>
      <w:r w:rsidR="00E967C3">
        <w:t>Telapex</w:t>
      </w:r>
      <w:r w:rsidR="00B42C2D">
        <w:t xml:space="preserve">) </w:t>
      </w:r>
      <w:r w:rsidR="00EE38F7">
        <w:t xml:space="preserve">filed a petition for waiver of sections </w:t>
      </w:r>
      <w:r w:rsidR="00B42C2D">
        <w:t>51.909(a), 51.917(b)(1), and 51.917(b)(7) of the Commission’s rules.</w:t>
      </w:r>
      <w:r w:rsidR="00634AC6">
        <w:rPr>
          <w:rStyle w:val="FootnoteReference"/>
        </w:rPr>
        <w:footnoteReference w:id="1"/>
      </w:r>
      <w:r w:rsidR="00634AC6">
        <w:t xml:space="preserve">  </w:t>
      </w:r>
      <w:r w:rsidR="00F77CE6">
        <w:t xml:space="preserve">Specifically, </w:t>
      </w:r>
      <w:r w:rsidR="005C64D1">
        <w:t xml:space="preserve">Telapex </w:t>
      </w:r>
      <w:r w:rsidR="00F77CE6">
        <w:t xml:space="preserve">seeks a waiver of </w:t>
      </w:r>
      <w:r w:rsidR="005C64D1">
        <w:t xml:space="preserve">the </w:t>
      </w:r>
      <w:r w:rsidR="00F77CE6">
        <w:t xml:space="preserve">rules </w:t>
      </w:r>
      <w:r w:rsidR="00B10CCE">
        <w:t xml:space="preserve">“to </w:t>
      </w:r>
      <w:r w:rsidR="00BF6E13">
        <w:t>implement the merger of</w:t>
      </w:r>
      <w:r w:rsidR="005C64D1">
        <w:t>”</w:t>
      </w:r>
      <w:r w:rsidR="00BF6E13">
        <w:t xml:space="preserve"> </w:t>
      </w:r>
      <w:r w:rsidR="005C64D1">
        <w:t>“two commonly-owned and merged study areas in the same state – Franklin Telephone Company, Inc. (‘Franklin’) and Delta Telephone Company, Inc. (‘Delta’).</w:t>
      </w:r>
      <w:r w:rsidR="00BF6E13">
        <w:t>”</w:t>
      </w:r>
      <w:r w:rsidR="00634AC6">
        <w:rPr>
          <w:rStyle w:val="FootnoteReference"/>
        </w:rPr>
        <w:footnoteReference w:id="2"/>
      </w:r>
      <w:r w:rsidR="00634AC6">
        <w:t xml:space="preserve">  </w:t>
      </w:r>
      <w:r w:rsidR="00BF6E13">
        <w:t xml:space="preserve"> </w:t>
      </w:r>
    </w:p>
    <w:p w:rsidR="00C569E3" w:rsidRDefault="00C569E3"/>
    <w:p w:rsidR="00884297" w:rsidRDefault="00884297" w:rsidP="00884297">
      <w:pPr>
        <w:ind w:firstLine="720"/>
      </w:pPr>
      <w:r>
        <w:t xml:space="preserve">Pursuant to sections 1.415 and 1.419 of the Commission’s rules, 47 CFR §§ 1.415, 1.419, interested parties may file comments and reply comments on or before the dates indicated </w:t>
      </w:r>
      <w:r w:rsidR="005C64D1">
        <w:t>above</w:t>
      </w:r>
      <w:r>
        <w:t xml:space="preserve">.  Comments may be filed using the Commission’s Electronic Comment Filing System (ECFS).  </w:t>
      </w:r>
      <w:r>
        <w:rPr>
          <w:i/>
        </w:rPr>
        <w:t>See Electronic Filing of Documents in Rulemaking Proceedings</w:t>
      </w:r>
      <w:r>
        <w:t>, 63 FR 24121 (1998).</w:t>
      </w:r>
    </w:p>
    <w:p w:rsidR="00FD737E" w:rsidRDefault="00FD737E"/>
    <w:p w:rsidR="00FD737E" w:rsidRDefault="00FD737E">
      <w:pPr>
        <w:numPr>
          <w:ilvl w:val="0"/>
          <w:numId w:val="23"/>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FD737E" w:rsidRDefault="00FD737E"/>
    <w:p w:rsidR="00FD737E" w:rsidRDefault="00FD737E">
      <w:pPr>
        <w:numPr>
          <w:ilvl w:val="0"/>
          <w:numId w:val="16"/>
        </w:numPr>
      </w:pPr>
      <w:r>
        <w:t>Paper Filers:  Parties who choose to file by paper must file an origina</w:t>
      </w:r>
      <w:r w:rsidR="000D593C">
        <w:t>l and one copy of each filing.  Paper filings can be sent by hand or messenger delivery, by commercial overnight courier, or by first-class or overnight U.S. Postal Service mail.</w:t>
      </w:r>
    </w:p>
    <w:p w:rsidR="000D593C" w:rsidRDefault="000D593C" w:rsidP="000D593C">
      <w:pPr>
        <w:ind w:left="720"/>
      </w:pPr>
    </w:p>
    <w:p w:rsidR="000D593C" w:rsidRPr="000D593C" w:rsidRDefault="000D593C" w:rsidP="000D593C">
      <w:pPr>
        <w:numPr>
          <w:ilvl w:val="1"/>
          <w:numId w:val="24"/>
        </w:numPr>
        <w:rPr>
          <w:color w:val="000000"/>
          <w:szCs w:val="22"/>
        </w:rPr>
      </w:pPr>
      <w:r w:rsidRPr="000D593C">
        <w:rPr>
          <w:color w:val="000000"/>
          <w:szCs w:val="22"/>
        </w:rPr>
        <w:t>All hand-delivered or messenger-delivered paper filings for the Commission’s Secretary must be delivered to FCC Headquarters at 445 12</w:t>
      </w:r>
      <w:r w:rsidRPr="000D593C">
        <w:rPr>
          <w:color w:val="000000"/>
          <w:szCs w:val="22"/>
          <w:vertAlign w:val="superscript"/>
        </w:rPr>
        <w:t>th</w:t>
      </w:r>
      <w:r w:rsidRPr="000D593C">
        <w:rPr>
          <w:color w:val="000000"/>
          <w:szCs w:val="22"/>
        </w:rPr>
        <w:t> St., SW, Room TW-A325, Washington, DC 20554.  The filing hours are 8:00 a.m. to 7:00 p.m.  All hand deliveries must be held together with rubber bands or fasteners.  All envelopes and boxes must be disposed of before entering the building. </w:t>
      </w:r>
    </w:p>
    <w:p w:rsidR="000D593C" w:rsidRPr="000D593C" w:rsidRDefault="000D593C" w:rsidP="000D593C">
      <w:pPr>
        <w:spacing w:before="100" w:beforeAutospacing="1"/>
        <w:ind w:left="1440"/>
        <w:rPr>
          <w:color w:val="000000"/>
          <w:sz w:val="18"/>
          <w:szCs w:val="18"/>
        </w:rPr>
      </w:pPr>
      <w:r w:rsidRPr="000D593C">
        <w:rPr>
          <w:color w:val="000000"/>
          <w:sz w:val="18"/>
          <w:szCs w:val="18"/>
        </w:rPr>
        <w:lastRenderedPageBreak/>
        <w:t> </w:t>
      </w:r>
    </w:p>
    <w:p w:rsidR="000D593C" w:rsidRPr="000A51BE" w:rsidRDefault="000D593C" w:rsidP="000D593C">
      <w:pPr>
        <w:numPr>
          <w:ilvl w:val="1"/>
          <w:numId w:val="25"/>
        </w:numPr>
        <w:rPr>
          <w:color w:val="000000"/>
          <w:szCs w:val="22"/>
        </w:rPr>
      </w:pPr>
      <w:r w:rsidRPr="00DA641D">
        <w:rPr>
          <w:color w:val="000000"/>
          <w:szCs w:val="22"/>
        </w:rPr>
        <w:t>Commercial overnight mail (other than U.S. Postal Service Express Mail and</w:t>
      </w:r>
      <w:r w:rsidR="00D15FE6" w:rsidRPr="00DA641D">
        <w:rPr>
          <w:color w:val="000000"/>
          <w:szCs w:val="22"/>
        </w:rPr>
        <w:t xml:space="preserve"> Priority Mail) must be sent to</w:t>
      </w:r>
      <w:r w:rsidRPr="00DA641D">
        <w:rPr>
          <w:color w:val="000000"/>
          <w:szCs w:val="22"/>
        </w:rPr>
        <w:t xml:space="preserve"> 9050 Junction Drive, </w:t>
      </w:r>
      <w:r w:rsidR="000A51BE">
        <w:rPr>
          <w:color w:val="000000"/>
          <w:szCs w:val="22"/>
        </w:rPr>
        <w:t xml:space="preserve">Annapolis Junction, </w:t>
      </w:r>
      <w:r w:rsidRPr="00DA641D">
        <w:rPr>
          <w:color w:val="000000"/>
          <w:szCs w:val="22"/>
        </w:rPr>
        <w:t>MD  2070</w:t>
      </w:r>
      <w:r w:rsidR="000A51BE" w:rsidRPr="00DA641D">
        <w:rPr>
          <w:color w:val="000000"/>
          <w:szCs w:val="22"/>
        </w:rPr>
        <w:t>1</w:t>
      </w:r>
      <w:r w:rsidRPr="00DA641D">
        <w:rPr>
          <w:color w:val="000000"/>
          <w:szCs w:val="22"/>
        </w:rPr>
        <w:t>.</w:t>
      </w:r>
    </w:p>
    <w:p w:rsidR="000D593C" w:rsidRPr="000D593C" w:rsidRDefault="000D593C" w:rsidP="000D593C">
      <w:pPr>
        <w:rPr>
          <w:color w:val="000000"/>
          <w:sz w:val="18"/>
          <w:szCs w:val="18"/>
        </w:rPr>
      </w:pPr>
      <w:r w:rsidRPr="000D593C">
        <w:rPr>
          <w:color w:val="000000"/>
          <w:sz w:val="18"/>
          <w:szCs w:val="18"/>
        </w:rPr>
        <w:t> </w:t>
      </w:r>
    </w:p>
    <w:p w:rsidR="000D593C" w:rsidRPr="000D593C" w:rsidRDefault="000D593C" w:rsidP="000D593C">
      <w:pPr>
        <w:numPr>
          <w:ilvl w:val="1"/>
          <w:numId w:val="26"/>
        </w:numPr>
        <w:rPr>
          <w:color w:val="000000"/>
          <w:szCs w:val="22"/>
        </w:rPr>
      </w:pPr>
      <w:r w:rsidRPr="000D593C">
        <w:rPr>
          <w:color w:val="000000"/>
          <w:szCs w:val="22"/>
        </w:rPr>
        <w:t>U.S. Postal Service first-class, Express, and Priority mail must be addressed to 445 12</w:t>
      </w:r>
      <w:r w:rsidRPr="000D593C">
        <w:rPr>
          <w:color w:val="000000"/>
          <w:szCs w:val="22"/>
          <w:vertAlign w:val="superscript"/>
        </w:rPr>
        <w:t>th</w:t>
      </w:r>
      <w:r w:rsidRPr="000D593C">
        <w:rPr>
          <w:color w:val="000000"/>
          <w:szCs w:val="22"/>
        </w:rPr>
        <w:t> Street, SW, Washington DC  20554.</w:t>
      </w:r>
    </w:p>
    <w:p w:rsidR="000D593C" w:rsidRPr="000D593C" w:rsidRDefault="000D593C" w:rsidP="000D593C">
      <w:pPr>
        <w:rPr>
          <w:color w:val="000000"/>
          <w:szCs w:val="22"/>
        </w:rPr>
      </w:pPr>
      <w:r w:rsidRPr="000D593C">
        <w:rPr>
          <w:color w:val="000000"/>
          <w:szCs w:val="22"/>
        </w:rPr>
        <w:t> </w:t>
      </w:r>
    </w:p>
    <w:p w:rsidR="00FD737E" w:rsidRDefault="00FD737E" w:rsidP="000D593C">
      <w:pPr>
        <w:ind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FD737E" w:rsidRDefault="00FD737E"/>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D737E" w:rsidRDefault="00FD737E">
      <w:pPr>
        <w:autoSpaceDE w:val="0"/>
        <w:autoSpaceDN w:val="0"/>
        <w:adjustRightInd w:val="0"/>
        <w:rPr>
          <w:szCs w:val="22"/>
        </w:rPr>
      </w:pPr>
    </w:p>
    <w:p w:rsidR="00FD737E" w:rsidRDefault="00FD73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For further infor</w:t>
      </w:r>
      <w:r w:rsidR="00E038B4">
        <w:rPr>
          <w:szCs w:val="22"/>
        </w:rPr>
        <w:t>ma</w:t>
      </w:r>
      <w:r w:rsidR="000D593C">
        <w:rPr>
          <w:szCs w:val="22"/>
        </w:rPr>
        <w:t>tion, please contact Lynne Engledow</w:t>
      </w:r>
      <w:r>
        <w:rPr>
          <w:szCs w:val="22"/>
        </w:rPr>
        <w:t xml:space="preserve">, Wireline Competition Bureau, Pricing Policy Division, at (202) 418-1520 or </w:t>
      </w:r>
      <w:r w:rsidRPr="00DA641D">
        <w:rPr>
          <w:szCs w:val="22"/>
        </w:rPr>
        <w:t>via</w:t>
      </w:r>
      <w:r w:rsidR="000D593C">
        <w:rPr>
          <w:szCs w:val="22"/>
        </w:rPr>
        <w:t xml:space="preserve"> email at Lynne.Engledow</w:t>
      </w:r>
      <w:r>
        <w:rPr>
          <w:szCs w:val="22"/>
        </w:rPr>
        <w:t>@fcc.gov</w:t>
      </w:r>
      <w:hyperlink r:id="rId16" w:history="1">
        <w:r w:rsidR="009243C7" w:rsidRPr="009243C7">
          <w:rPr>
            <w:rStyle w:val="Hyperlink"/>
          </w:rPr>
          <w:t>mailto:</w:t>
        </w:r>
      </w:hyperlink>
      <w:r>
        <w:rPr>
          <w:szCs w:val="22"/>
        </w:rPr>
        <w:t>.</w:t>
      </w:r>
    </w:p>
    <w:p w:rsidR="00FD737E" w:rsidRDefault="00FD737E">
      <w:pPr>
        <w:ind w:firstLine="720"/>
        <w:jc w:val="center"/>
        <w:rPr>
          <w:b/>
          <w:szCs w:val="22"/>
        </w:rPr>
      </w:pPr>
    </w:p>
    <w:p w:rsidR="003A2E3C" w:rsidRDefault="00FD737E">
      <w:pPr>
        <w:ind w:firstLine="720"/>
        <w:jc w:val="center"/>
      </w:pPr>
      <w:r>
        <w:rPr>
          <w:b/>
          <w:szCs w:val="22"/>
        </w:rPr>
        <w:t>- FCC -</w:t>
      </w:r>
    </w:p>
    <w:sectPr w:rsidR="003A2E3C">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59" w:rsidRDefault="00C66159">
      <w:r>
        <w:separator/>
      </w:r>
    </w:p>
  </w:endnote>
  <w:endnote w:type="continuationSeparator" w:id="0">
    <w:p w:rsidR="00C66159" w:rsidRDefault="00C6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C7" w:rsidRDefault="00924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7E" w:rsidRDefault="00FD737E">
    <w:pPr>
      <w:pStyle w:val="Footer"/>
      <w:jc w:val="center"/>
    </w:pPr>
    <w:r>
      <w:fldChar w:fldCharType="begin"/>
    </w:r>
    <w:r>
      <w:instrText xml:space="preserve"> PAGE   \* MERGEFORMAT </w:instrText>
    </w:r>
    <w:r>
      <w:fldChar w:fldCharType="separate"/>
    </w:r>
    <w:r w:rsidR="009327E5">
      <w:rPr>
        <w:noProof/>
      </w:rPr>
      <w:t>2</w:t>
    </w:r>
    <w:r>
      <w:rPr>
        <w:noProof/>
      </w:rPr>
      <w:fldChar w:fldCharType="end"/>
    </w:r>
  </w:p>
  <w:p w:rsidR="00FD737E" w:rsidRDefault="00FD7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C7" w:rsidRDefault="00924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59" w:rsidRDefault="00C66159">
      <w:r>
        <w:separator/>
      </w:r>
    </w:p>
  </w:footnote>
  <w:footnote w:type="continuationSeparator" w:id="0">
    <w:p w:rsidR="00C66159" w:rsidRDefault="00C66159">
      <w:r>
        <w:continuationSeparator/>
      </w:r>
    </w:p>
  </w:footnote>
  <w:footnote w:id="1">
    <w:p w:rsidR="00634AC6" w:rsidRPr="006E68B2" w:rsidRDefault="00634AC6" w:rsidP="00E967C3">
      <w:pPr>
        <w:pStyle w:val="FootnoteText"/>
        <w:spacing w:after="120"/>
        <w:ind w:left="720"/>
        <w:rPr>
          <w:sz w:val="20"/>
        </w:rPr>
      </w:pPr>
      <w:r>
        <w:rPr>
          <w:rStyle w:val="FootnoteReference"/>
        </w:rPr>
        <w:footnoteRef/>
      </w:r>
      <w:r>
        <w:t xml:space="preserve"> </w:t>
      </w:r>
      <w:r>
        <w:rPr>
          <w:sz w:val="20"/>
        </w:rPr>
        <w:t xml:space="preserve">Petition of </w:t>
      </w:r>
      <w:r w:rsidR="00E967C3">
        <w:rPr>
          <w:sz w:val="20"/>
        </w:rPr>
        <w:t>Telap</w:t>
      </w:r>
      <w:r w:rsidR="00E967C3">
        <w:rPr>
          <w:sz w:val="20"/>
          <w:lang w:val="en-US"/>
        </w:rPr>
        <w:t>e</w:t>
      </w:r>
      <w:r w:rsidR="00E967C3">
        <w:rPr>
          <w:sz w:val="20"/>
        </w:rPr>
        <w:t>x</w:t>
      </w:r>
      <w:r w:rsidR="00B42C2D">
        <w:rPr>
          <w:sz w:val="20"/>
        </w:rPr>
        <w:t xml:space="preserve">, Inc. for </w:t>
      </w:r>
      <w:r w:rsidR="006E68B2">
        <w:rPr>
          <w:sz w:val="20"/>
        </w:rPr>
        <w:t xml:space="preserve">Waiver of Sections 51.909(a), 51.917(b)(1) and 51.917(b)(7) of the Commission’s Rules to </w:t>
      </w:r>
      <w:r w:rsidR="00E967C3">
        <w:rPr>
          <w:sz w:val="20"/>
          <w:lang w:val="en-US"/>
        </w:rPr>
        <w:t>m</w:t>
      </w:r>
      <w:r w:rsidR="00E967C3">
        <w:rPr>
          <w:sz w:val="20"/>
        </w:rPr>
        <w:t xml:space="preserve">odify </w:t>
      </w:r>
      <w:r w:rsidR="00E967C3">
        <w:rPr>
          <w:sz w:val="20"/>
          <w:lang w:val="en-US"/>
        </w:rPr>
        <w:t>a</w:t>
      </w:r>
      <w:r w:rsidR="00E967C3">
        <w:rPr>
          <w:sz w:val="20"/>
        </w:rPr>
        <w:t xml:space="preserve">ccess </w:t>
      </w:r>
      <w:r w:rsidR="00E967C3">
        <w:rPr>
          <w:sz w:val="20"/>
          <w:lang w:val="en-US"/>
        </w:rPr>
        <w:t>r</w:t>
      </w:r>
      <w:r w:rsidR="00E967C3">
        <w:rPr>
          <w:sz w:val="20"/>
        </w:rPr>
        <w:t xml:space="preserve">ate </w:t>
      </w:r>
      <w:r w:rsidR="00E967C3">
        <w:rPr>
          <w:sz w:val="20"/>
          <w:lang w:val="en-US"/>
        </w:rPr>
        <w:t>b</w:t>
      </w:r>
      <w:r w:rsidR="00E967C3">
        <w:rPr>
          <w:sz w:val="20"/>
        </w:rPr>
        <w:t xml:space="preserve">ands </w:t>
      </w:r>
      <w:r w:rsidR="006E68B2">
        <w:rPr>
          <w:sz w:val="20"/>
        </w:rPr>
        <w:t xml:space="preserve">and </w:t>
      </w:r>
      <w:r w:rsidR="00E967C3">
        <w:rPr>
          <w:sz w:val="20"/>
          <w:lang w:val="en-US"/>
        </w:rPr>
        <w:t>c</w:t>
      </w:r>
      <w:r w:rsidR="00E967C3">
        <w:rPr>
          <w:sz w:val="20"/>
        </w:rPr>
        <w:t xml:space="preserve">harges </w:t>
      </w:r>
      <w:r w:rsidR="006E68B2">
        <w:rPr>
          <w:sz w:val="20"/>
        </w:rPr>
        <w:t xml:space="preserve">and 2011 Base Period Revenue in </w:t>
      </w:r>
      <w:r w:rsidR="00E967C3">
        <w:rPr>
          <w:sz w:val="20"/>
          <w:lang w:val="en-US"/>
        </w:rPr>
        <w:t>c</w:t>
      </w:r>
      <w:r w:rsidR="00E967C3">
        <w:rPr>
          <w:sz w:val="20"/>
        </w:rPr>
        <w:t xml:space="preserve">onnection </w:t>
      </w:r>
      <w:r w:rsidR="006E68B2">
        <w:rPr>
          <w:sz w:val="20"/>
        </w:rPr>
        <w:t xml:space="preserve">with </w:t>
      </w:r>
      <w:r w:rsidR="00E967C3">
        <w:rPr>
          <w:sz w:val="20"/>
          <w:lang w:val="en-US"/>
        </w:rPr>
        <w:t>m</w:t>
      </w:r>
      <w:r w:rsidR="00E967C3">
        <w:rPr>
          <w:sz w:val="20"/>
        </w:rPr>
        <w:t xml:space="preserve">erger </w:t>
      </w:r>
      <w:r w:rsidR="006E68B2">
        <w:rPr>
          <w:sz w:val="20"/>
        </w:rPr>
        <w:t xml:space="preserve">of </w:t>
      </w:r>
      <w:r w:rsidR="00E967C3">
        <w:rPr>
          <w:sz w:val="20"/>
          <w:lang w:val="en-US"/>
        </w:rPr>
        <w:t>a</w:t>
      </w:r>
      <w:r w:rsidR="00E967C3">
        <w:rPr>
          <w:sz w:val="20"/>
        </w:rPr>
        <w:t xml:space="preserve">ffiliated </w:t>
      </w:r>
      <w:r w:rsidR="00E967C3">
        <w:rPr>
          <w:sz w:val="20"/>
          <w:lang w:val="en-US"/>
        </w:rPr>
        <w:t>s</w:t>
      </w:r>
      <w:r w:rsidR="00E967C3">
        <w:rPr>
          <w:sz w:val="20"/>
        </w:rPr>
        <w:t xml:space="preserve">tudy </w:t>
      </w:r>
      <w:r w:rsidR="00E967C3">
        <w:rPr>
          <w:sz w:val="20"/>
          <w:lang w:val="en-US"/>
        </w:rPr>
        <w:t>a</w:t>
      </w:r>
      <w:r w:rsidR="00E967C3">
        <w:rPr>
          <w:sz w:val="20"/>
        </w:rPr>
        <w:t xml:space="preserve">reas </w:t>
      </w:r>
      <w:r w:rsidR="00F47C94">
        <w:rPr>
          <w:sz w:val="20"/>
        </w:rPr>
        <w:t>in Misssissippi,</w:t>
      </w:r>
      <w:r w:rsidR="00DA641D">
        <w:rPr>
          <w:sz w:val="20"/>
        </w:rPr>
        <w:t xml:space="preserve"> </w:t>
      </w:r>
      <w:r w:rsidR="00E967C3">
        <w:rPr>
          <w:sz w:val="20"/>
          <w:lang w:val="en-US"/>
        </w:rPr>
        <w:t>WC Docket No. 17-252</w:t>
      </w:r>
      <w:r w:rsidR="006E68B2">
        <w:rPr>
          <w:sz w:val="20"/>
        </w:rPr>
        <w:t xml:space="preserve"> (filed Sept</w:t>
      </w:r>
      <w:r w:rsidR="00E967C3">
        <w:rPr>
          <w:sz w:val="20"/>
          <w:lang w:val="en-US"/>
        </w:rPr>
        <w:t>.</w:t>
      </w:r>
      <w:r w:rsidR="006E68B2">
        <w:rPr>
          <w:sz w:val="20"/>
        </w:rPr>
        <w:t xml:space="preserve"> 19, 2017).</w:t>
      </w:r>
    </w:p>
  </w:footnote>
  <w:footnote w:id="2">
    <w:p w:rsidR="00634AC6" w:rsidRPr="00365E5D" w:rsidRDefault="00634AC6" w:rsidP="00E967C3">
      <w:pPr>
        <w:pStyle w:val="FootnoteText"/>
        <w:spacing w:after="120"/>
        <w:ind w:left="720"/>
        <w:rPr>
          <w:sz w:val="20"/>
          <w:lang w:val="en-US"/>
        </w:rPr>
      </w:pPr>
      <w:r>
        <w:rPr>
          <w:rStyle w:val="FootnoteReference"/>
        </w:rPr>
        <w:footnoteRef/>
      </w:r>
      <w:r w:rsidR="00654023">
        <w:rPr>
          <w:lang w:val="en-US"/>
        </w:rPr>
        <w:t xml:space="preserve"> </w:t>
      </w:r>
      <w:r w:rsidR="00BF6E13" w:rsidRPr="00BF6E13">
        <w:rPr>
          <w:i/>
          <w:sz w:val="20"/>
          <w:lang w:val="en-US"/>
        </w:rPr>
        <w:t>Id</w:t>
      </w:r>
      <w:r w:rsidR="00445D51">
        <w:rPr>
          <w:sz w:val="20"/>
          <w:lang w:val="en-US"/>
        </w:rPr>
        <w:t xml:space="preserve">. at </w:t>
      </w:r>
      <w:r w:rsidR="005C64D1">
        <w:rPr>
          <w:sz w:val="20"/>
          <w:lang w:val="en-US"/>
        </w:rPr>
        <w:t>1-</w:t>
      </w:r>
      <w:r w:rsidR="00BF6E13">
        <w:rPr>
          <w:sz w:val="20"/>
          <w:lang w:val="en-US"/>
        </w:rPr>
        <w:t>2.</w:t>
      </w:r>
    </w:p>
  </w:footnote>
  <w:footnote w:id="3">
    <w:p w:rsidR="00FD737E" w:rsidRDefault="00FD737E">
      <w:pPr>
        <w:pStyle w:val="FootnoteText"/>
        <w:spacing w:after="120"/>
        <w:rPr>
          <w:i/>
          <w:iCs/>
        </w:rPr>
      </w:pPr>
      <w:r>
        <w:rPr>
          <w:rStyle w:val="FootnoteReference"/>
        </w:rPr>
        <w:footnoteRef/>
      </w:r>
      <w:r>
        <w:t xml:space="preserve"> </w:t>
      </w:r>
      <w:r>
        <w:rPr>
          <w:sz w:val="20"/>
        </w:rPr>
        <w:t xml:space="preserve">47 C.F.R. §§ 1.1200 </w:t>
      </w:r>
      <w:r>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C7" w:rsidRDefault="00924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C7" w:rsidRDefault="00924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C1" w:rsidRDefault="00981EC1" w:rsidP="00981EC1">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inline distT="0" distB="0" distL="0" distR="0">
          <wp:extent cx="530225" cy="530225"/>
          <wp:effectExtent l="0" t="0" r="3175" b="3175"/>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News Gothic MT" w:hAnsi="News Gothic MT"/>
        <w:b/>
        <w:kern w:val="28"/>
        <w:sz w:val="96"/>
      </w:rPr>
      <w:t xml:space="preserve">  PUBLIC NOTICE</w:t>
    </w:r>
  </w:p>
  <w:p w:rsidR="00981EC1" w:rsidRDefault="00981EC1" w:rsidP="00981E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29FFE051"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JTIwIAADs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C1" w:rsidRDefault="00981EC1" w:rsidP="00981EC1">
                          <w:pPr>
                            <w:rPr>
                              <w:rFonts w:ascii="Arial" w:hAnsi="Arial"/>
                              <w:b/>
                            </w:rPr>
                          </w:pPr>
                          <w:r>
                            <w:rPr>
                              <w:rFonts w:ascii="Arial" w:hAnsi="Arial"/>
                              <w:b/>
                            </w:rPr>
                            <w:t>Federal Communications Commission</w:t>
                          </w:r>
                        </w:p>
                        <w:p w:rsidR="00981EC1" w:rsidRDefault="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RDefault="00981EC1" w:rsidP="00981E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" o:allowincell="f" stroked="f">
              <v:textbox>
                <w:txbxContent>
                  <w:p w:rsidR="00981EC1" w:rsidRDefault="00981EC1" w:rsidP="00981EC1">
                    <w:pPr>
                      <w:rPr>
                        <w:rFonts w:ascii="Arial" w:hAnsi="Arial"/>
                        <w:b/>
                      </w:rPr>
                    </w:pPr>
                    <w:r>
                      <w:rPr>
                        <w:rFonts w:ascii="Arial" w:hAnsi="Arial"/>
                        <w:b/>
                      </w:rPr>
                      <w:t>Federal Communications Commission</w:t>
                    </w:r>
                  </w:p>
                  <w:p w:rsidR="00981EC1" w:rsidRDefault="00981EC1" w:rsidP="00981E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1EC1" w:rsidRDefault="00981EC1" w:rsidP="00981EC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C1" w:rsidRDefault="00981EC1" w:rsidP="00981EC1">
                          <w:pPr>
                            <w:spacing w:before="40"/>
                            <w:jc w:val="right"/>
                            <w:rPr>
                              <w:rFonts w:ascii="Arial" w:hAnsi="Arial"/>
                              <w:b/>
                              <w:sz w:val="16"/>
                            </w:rPr>
                          </w:pPr>
                          <w:r>
                            <w:rPr>
                              <w:rFonts w:ascii="Arial" w:hAnsi="Arial"/>
                              <w:b/>
                              <w:sz w:val="16"/>
                            </w:rPr>
                            <w:t>News Media Information 202 / 418-0500</w:t>
                          </w:r>
                        </w:p>
                        <w:p w:rsidR="00981EC1" w:rsidRDefault="00981EC1" w:rsidP="00981EC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1EC1" w:rsidRDefault="00981EC1" w:rsidP="00981EC1">
                          <w:pPr>
                            <w:jc w:val="right"/>
                            <w:rPr>
                              <w:rFonts w:ascii="Arial" w:hAnsi="Arial"/>
                              <w:b/>
                              <w:sz w:val="16"/>
                            </w:rPr>
                          </w:pPr>
                          <w:r>
                            <w:rPr>
                              <w:rFonts w:ascii="Arial" w:hAnsi="Arial"/>
                              <w:b/>
                              <w:sz w:val="16"/>
                            </w:rPr>
                            <w:t>TTY: 1-888-835-5322</w:t>
                          </w:r>
                        </w:p>
                        <w:p w:rsidR="00981EC1" w:rsidRDefault="00981EC1" w:rsidP="00981E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9"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8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7Sg&#10;RLMOKXoQgyfXMJAi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iOTs+ls&#10;pOiPSabx+12SnfTYkEp2FV0cjVgZiH2jOabNSs+kGufJy/BjlbEGh3+sSpRBYH7UgB/WQ9Rb1EiQ&#10;yBr4I+rCAtKG5ONjgpMW7DdKemzMirqvW2YFJeqdRm0VWY7kEx8XOLGnu+vDLtM1QlTUUzJOb/zY&#10;9Vtj5aZFD6OKNVyhDhsZJfIczV692HQxl/0DEbr6dB2tnp+x5Q8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Wf9I8&#10;gAIAAA4FAAAOAAAAAAAAAAAAAAAAAC4CAABkcnMvZTJvRG9jLnhtbFBLAQItABQABgAIAAAAIQA1&#10;FHZJ4AAAAAsBAAAPAAAAAAAAAAAAAAAAANoEAABkcnMvZG93bnJldi54bWxQSwUGAAAAAAQABADz&#10;AAAA5wUAAAAA&#10;" o:allowincell="f" stroked="f">
              <v:textbox inset=",0,,0">
                <w:txbxContent>
                  <w:p w:rsidR="00981EC1" w:rsidRDefault="00981EC1" w:rsidP="00981EC1">
                    <w:pPr>
                      <w:spacing w:before="40"/>
                      <w:jc w:val="right"/>
                      <w:rPr>
                        <w:rFonts w:ascii="Arial" w:hAnsi="Arial"/>
                        <w:b/>
                        <w:sz w:val="16"/>
                      </w:rPr>
                    </w:pPr>
                    <w:r>
                      <w:rPr>
                        <w:rFonts w:ascii="Arial" w:hAnsi="Arial"/>
                        <w:b/>
                        <w:sz w:val="16"/>
                      </w:rPr>
                      <w:t>News Media Information 202 / 418-0500</w:t>
                    </w:r>
                  </w:p>
                  <w:p w:rsidR="00981EC1" w:rsidRDefault="00981EC1" w:rsidP="00981E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1EC1" w:rsidRDefault="00981EC1" w:rsidP="00981EC1">
                    <w:pPr>
                      <w:jc w:val="right"/>
                      <w:rPr>
                        <w:rFonts w:ascii="Arial" w:hAnsi="Arial"/>
                        <w:b/>
                        <w:sz w:val="16"/>
                      </w:rPr>
                    </w:pPr>
                    <w:r>
                      <w:rPr>
                        <w:rFonts w:ascii="Arial" w:hAnsi="Arial"/>
                        <w:b/>
                        <w:sz w:val="16"/>
                      </w:rPr>
                      <w:t>TTY: 1-888-835-5322</w:t>
                    </w:r>
                  </w:p>
                  <w:p w:rsidR="00981EC1" w:rsidRDefault="00981EC1" w:rsidP="00981EC1">
                    <w:pPr>
                      <w:jc w:val="right"/>
                    </w:pPr>
                  </w:p>
                </w:txbxContent>
              </v:textbox>
            </v:shape>
          </w:pict>
        </mc:Fallback>
      </mc:AlternateContent>
    </w:r>
  </w:p>
  <w:p w:rsidR="00FD737E" w:rsidRPr="00981EC1" w:rsidRDefault="00FD737E" w:rsidP="00981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6434B18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DC6DEB"/>
    <w:multiLevelType w:val="hybridMultilevel"/>
    <w:tmpl w:val="DCC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66F07"/>
    <w:multiLevelType w:val="multilevel"/>
    <w:tmpl w:val="3D148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22F"/>
    <w:multiLevelType w:val="hybridMultilevel"/>
    <w:tmpl w:val="5A7CD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New Roman Ital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New Roman Ital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New Roman Ital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44132BF"/>
    <w:multiLevelType w:val="multilevel"/>
    <w:tmpl w:val="00D43E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B4F25"/>
    <w:multiLevelType w:val="multilevel"/>
    <w:tmpl w:val="2312C4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Times New Roman Italic"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Times New Roman Italic"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Times New Roman Italic"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3B46E6A"/>
    <w:multiLevelType w:val="hybridMultilevel"/>
    <w:tmpl w:val="55AE8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Ital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Ital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Ital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7DC48F7"/>
    <w:multiLevelType w:val="hybridMultilevel"/>
    <w:tmpl w:val="D812C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8D2080D"/>
    <w:multiLevelType w:val="multilevel"/>
    <w:tmpl w:val="3D1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6"/>
  </w:num>
  <w:num w:numId="4">
    <w:abstractNumId w:val="4"/>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6"/>
  </w:num>
  <w:num w:numId="13">
    <w:abstractNumId w:val="11"/>
  </w:num>
  <w:num w:numId="14">
    <w:abstractNumId w:val="17"/>
  </w:num>
  <w:num w:numId="15">
    <w:abstractNumId w:val="9"/>
  </w:num>
  <w:num w:numId="16">
    <w:abstractNumId w:val="0"/>
  </w:num>
  <w:num w:numId="17">
    <w:abstractNumId w:val="6"/>
    <w:lvlOverride w:ilvl="0">
      <w:startOverride w:val="1"/>
    </w:lvlOverride>
  </w:num>
  <w:num w:numId="18">
    <w:abstractNumId w:val="1"/>
  </w:num>
  <w:num w:numId="19">
    <w:abstractNumId w:val="3"/>
  </w:num>
  <w:num w:numId="20">
    <w:abstractNumId w:val="13"/>
  </w:num>
  <w:num w:numId="21">
    <w:abstractNumId w:val="18"/>
  </w:num>
  <w:num w:numId="22">
    <w:abstractNumId w:val="15"/>
  </w:num>
  <w:num w:numId="23">
    <w:abstractNumId w:val="5"/>
  </w:num>
  <w:num w:numId="24">
    <w:abstractNumId w:val="2"/>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1C56"/>
    <w:rsid w:val="00035064"/>
    <w:rsid w:val="0004147E"/>
    <w:rsid w:val="000741E5"/>
    <w:rsid w:val="00082101"/>
    <w:rsid w:val="000A51BE"/>
    <w:rsid w:val="000B7A0C"/>
    <w:rsid w:val="000C23DB"/>
    <w:rsid w:val="000D3912"/>
    <w:rsid w:val="000D593C"/>
    <w:rsid w:val="00154D93"/>
    <w:rsid w:val="00165259"/>
    <w:rsid w:val="00166818"/>
    <w:rsid w:val="001908C9"/>
    <w:rsid w:val="001D7814"/>
    <w:rsid w:val="001F65E1"/>
    <w:rsid w:val="00206C9D"/>
    <w:rsid w:val="00211FFC"/>
    <w:rsid w:val="0022740F"/>
    <w:rsid w:val="00230998"/>
    <w:rsid w:val="00246C7C"/>
    <w:rsid w:val="002632C8"/>
    <w:rsid w:val="0029746D"/>
    <w:rsid w:val="002A73E0"/>
    <w:rsid w:val="002D70D0"/>
    <w:rsid w:val="002D7539"/>
    <w:rsid w:val="002D75E3"/>
    <w:rsid w:val="002F2629"/>
    <w:rsid w:val="002F51E5"/>
    <w:rsid w:val="0034146A"/>
    <w:rsid w:val="00350869"/>
    <w:rsid w:val="00361A05"/>
    <w:rsid w:val="00365E5D"/>
    <w:rsid w:val="003708E2"/>
    <w:rsid w:val="00374665"/>
    <w:rsid w:val="00375AB9"/>
    <w:rsid w:val="003951A8"/>
    <w:rsid w:val="003A15E9"/>
    <w:rsid w:val="003A2E3C"/>
    <w:rsid w:val="003D71E4"/>
    <w:rsid w:val="003E1572"/>
    <w:rsid w:val="003F2E92"/>
    <w:rsid w:val="0040064F"/>
    <w:rsid w:val="00412202"/>
    <w:rsid w:val="00433B83"/>
    <w:rsid w:val="0044091D"/>
    <w:rsid w:val="00445D51"/>
    <w:rsid w:val="00461D4B"/>
    <w:rsid w:val="00463BD0"/>
    <w:rsid w:val="00463C62"/>
    <w:rsid w:val="00475BD4"/>
    <w:rsid w:val="004761B3"/>
    <w:rsid w:val="00477C4F"/>
    <w:rsid w:val="004928F4"/>
    <w:rsid w:val="004A3698"/>
    <w:rsid w:val="004D3CF9"/>
    <w:rsid w:val="004E0F8C"/>
    <w:rsid w:val="004E464A"/>
    <w:rsid w:val="00523A76"/>
    <w:rsid w:val="00523C80"/>
    <w:rsid w:val="005344B8"/>
    <w:rsid w:val="00557457"/>
    <w:rsid w:val="00586D04"/>
    <w:rsid w:val="00592BFD"/>
    <w:rsid w:val="005A1C84"/>
    <w:rsid w:val="005A6D4C"/>
    <w:rsid w:val="005C64D1"/>
    <w:rsid w:val="005C6C69"/>
    <w:rsid w:val="005D795C"/>
    <w:rsid w:val="005E0BF3"/>
    <w:rsid w:val="00604F53"/>
    <w:rsid w:val="00613A16"/>
    <w:rsid w:val="00622F0A"/>
    <w:rsid w:val="00634AC6"/>
    <w:rsid w:val="00654023"/>
    <w:rsid w:val="00655790"/>
    <w:rsid w:val="0066225C"/>
    <w:rsid w:val="00684CF1"/>
    <w:rsid w:val="0069464B"/>
    <w:rsid w:val="006B05A2"/>
    <w:rsid w:val="006B7D15"/>
    <w:rsid w:val="006E3368"/>
    <w:rsid w:val="006E68B2"/>
    <w:rsid w:val="00702D01"/>
    <w:rsid w:val="007162BB"/>
    <w:rsid w:val="00733F60"/>
    <w:rsid w:val="007447F0"/>
    <w:rsid w:val="007C51CB"/>
    <w:rsid w:val="00803460"/>
    <w:rsid w:val="00803708"/>
    <w:rsid w:val="00811941"/>
    <w:rsid w:val="00835A67"/>
    <w:rsid w:val="0085615E"/>
    <w:rsid w:val="00861FCF"/>
    <w:rsid w:val="008668C8"/>
    <w:rsid w:val="00884297"/>
    <w:rsid w:val="00884E38"/>
    <w:rsid w:val="008D287F"/>
    <w:rsid w:val="008D44D0"/>
    <w:rsid w:val="008E69FB"/>
    <w:rsid w:val="0091209E"/>
    <w:rsid w:val="009243C7"/>
    <w:rsid w:val="00931EC7"/>
    <w:rsid w:val="009327E5"/>
    <w:rsid w:val="00936013"/>
    <w:rsid w:val="00936432"/>
    <w:rsid w:val="00943FBD"/>
    <w:rsid w:val="00951427"/>
    <w:rsid w:val="00956C9E"/>
    <w:rsid w:val="00962CBA"/>
    <w:rsid w:val="009762CE"/>
    <w:rsid w:val="0097705F"/>
    <w:rsid w:val="00977D21"/>
    <w:rsid w:val="00981EC1"/>
    <w:rsid w:val="00991A1F"/>
    <w:rsid w:val="009936FC"/>
    <w:rsid w:val="009D4C5D"/>
    <w:rsid w:val="009F6299"/>
    <w:rsid w:val="00A22ECB"/>
    <w:rsid w:val="00A41CA5"/>
    <w:rsid w:val="00A67169"/>
    <w:rsid w:val="00A76EF9"/>
    <w:rsid w:val="00A81409"/>
    <w:rsid w:val="00A93BA7"/>
    <w:rsid w:val="00AA7C24"/>
    <w:rsid w:val="00AB4418"/>
    <w:rsid w:val="00AC7C4B"/>
    <w:rsid w:val="00AD3538"/>
    <w:rsid w:val="00B00B00"/>
    <w:rsid w:val="00B10CCE"/>
    <w:rsid w:val="00B1123D"/>
    <w:rsid w:val="00B167FA"/>
    <w:rsid w:val="00B343C6"/>
    <w:rsid w:val="00B42C2D"/>
    <w:rsid w:val="00B52365"/>
    <w:rsid w:val="00B7062F"/>
    <w:rsid w:val="00B73CC3"/>
    <w:rsid w:val="00B91FA9"/>
    <w:rsid w:val="00BA5329"/>
    <w:rsid w:val="00BB406F"/>
    <w:rsid w:val="00BE119E"/>
    <w:rsid w:val="00BF6E13"/>
    <w:rsid w:val="00C242D3"/>
    <w:rsid w:val="00C52015"/>
    <w:rsid w:val="00C569E3"/>
    <w:rsid w:val="00C66159"/>
    <w:rsid w:val="00CB66CB"/>
    <w:rsid w:val="00D14A5A"/>
    <w:rsid w:val="00D15FE6"/>
    <w:rsid w:val="00D610D7"/>
    <w:rsid w:val="00D843CC"/>
    <w:rsid w:val="00DA0CCA"/>
    <w:rsid w:val="00DA641D"/>
    <w:rsid w:val="00DB1B42"/>
    <w:rsid w:val="00DB7B42"/>
    <w:rsid w:val="00DF5805"/>
    <w:rsid w:val="00E038B4"/>
    <w:rsid w:val="00E426C3"/>
    <w:rsid w:val="00E75C2B"/>
    <w:rsid w:val="00E77D60"/>
    <w:rsid w:val="00E801F9"/>
    <w:rsid w:val="00E967C3"/>
    <w:rsid w:val="00EC1EF3"/>
    <w:rsid w:val="00ED3DF8"/>
    <w:rsid w:val="00EE38F7"/>
    <w:rsid w:val="00F46B68"/>
    <w:rsid w:val="00F47C94"/>
    <w:rsid w:val="00F47FE4"/>
    <w:rsid w:val="00F63C0B"/>
    <w:rsid w:val="00F77CE6"/>
    <w:rsid w:val="00F9249C"/>
    <w:rsid w:val="00FA1F1D"/>
    <w:rsid w:val="00FB0A1C"/>
    <w:rsid w:val="00FB5A17"/>
    <w:rsid w:val="00FC6897"/>
    <w:rsid w:val="00FD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Style 17,Footnote Reference/,Style 6"/>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autoRedefine/>
    <w:pPr>
      <w:tabs>
        <w:tab w:val="left" w:pos="720"/>
      </w:tabs>
      <w:spacing w:after="240"/>
    </w:pPr>
    <w:rPr>
      <w:szCs w:val="22"/>
    </w:rPr>
  </w:style>
  <w:style w:type="paragraph" w:customStyle="1" w:styleId="NormalBlack">
    <w:name w:val="Normal + Black"/>
    <w:aliases w:val="Left:  0.25&quot;,First line:  0.25&quot;,Before:  5 pt,After:  0 pt"/>
    <w:basedOn w:val="Normal"/>
    <w:pPr>
      <w:spacing w:before="100" w:beforeAutospacing="1" w:after="100" w:afterAutospacing="1"/>
      <w:ind w:left="360" w:firstLine="360"/>
    </w:pPr>
    <w:rPr>
      <w:rFonts w:cs="Arial"/>
      <w:snapToGrid w:val="0"/>
      <w:color w:val="000000"/>
      <w:kern w:val="28"/>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ind w:firstLine="720"/>
    </w:pPr>
    <w:rPr>
      <w:snapToGrid w:val="0"/>
      <w:kern w:val="28"/>
      <w:sz w:val="24"/>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Pr>
      <w:sz w:val="22"/>
    </w:rPr>
  </w:style>
  <w:style w:type="character" w:customStyle="1" w:styleId="StyleFootnoteReferenceStyle1311pt">
    <w:name w:val="Style Footnote ReferenceStyle 13 + 11 pt"/>
    <w:rPr>
      <w:rFonts w:ascii="Times New Roman" w:hAnsi="Times New Roman" w:cs="Times New Roman"/>
      <w:sz w:val="20"/>
      <w:szCs w:val="20"/>
      <w:vertAlign w:val="superscript"/>
    </w:rPr>
  </w:style>
  <w:style w:type="paragraph" w:customStyle="1" w:styleId="StyleHeading11">
    <w:name w:val="Style Heading 1 +1"/>
    <w:basedOn w:val="Heading1"/>
    <w:pPr>
      <w:widowControl/>
      <w:numPr>
        <w:numId w:val="22"/>
      </w:numPr>
      <w:tabs>
        <w:tab w:val="left" w:pos="360"/>
      </w:tabs>
      <w:suppressAutoHyphens w:val="0"/>
      <w:spacing w:before="240" w:after="60"/>
      <w:jc w:val="left"/>
    </w:pPr>
    <w:rPr>
      <w:rFonts w:cs="Arial"/>
      <w:b w:val="0"/>
      <w:bCs/>
      <w:caps w:val="0"/>
      <w:szCs w:val="32"/>
    </w:rPr>
  </w:style>
  <w:style w:type="character" w:customStyle="1" w:styleId="ALTSFOOTNOTEChar1">
    <w:name w:val="ALTS FOOTNOTE Char1"/>
    <w:aliases w:val="Footnote Text Char2 Char Char Char Char,f Char"/>
    <w:semiHidden/>
    <w:locked/>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erChar">
    <w:name w:val="Footer Char"/>
    <w:link w:val="Footer"/>
    <w:uiPriority w:val="99"/>
    <w:rPr>
      <w:sz w:val="22"/>
    </w:rPr>
  </w:style>
  <w:style w:type="paragraph" w:styleId="ListParagraph">
    <w:name w:val="List Paragraph"/>
    <w:basedOn w:val="Normal"/>
    <w:uiPriority w:val="34"/>
    <w:qFormat/>
    <w:rsid w:val="000D5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0700">
      <w:bodyDiv w:val="1"/>
      <w:marLeft w:val="0"/>
      <w:marRight w:val="0"/>
      <w:marTop w:val="0"/>
      <w:marBottom w:val="0"/>
      <w:divBdr>
        <w:top w:val="none" w:sz="0" w:space="0" w:color="auto"/>
        <w:left w:val="none" w:sz="0" w:space="0" w:color="auto"/>
        <w:bottom w:val="none" w:sz="0" w:space="0" w:color="auto"/>
        <w:right w:val="none" w:sz="0" w:space="0" w:color="auto"/>
      </w:divBdr>
      <w:divsChild>
        <w:div w:id="76376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660</Words>
  <Characters>3730</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4414</CharactersWithSpaces>
  <SharedDoc>false</SharedDoc>
  <HyperlinkBase> </HyperlinkBase>
  <HLinks>
    <vt:vector size="18" baseType="variant">
      <vt:variant>
        <vt:i4>6422640</vt:i4>
      </vt:variant>
      <vt:variant>
        <vt:i4>6</vt:i4>
      </vt:variant>
      <vt:variant>
        <vt:i4>0</vt:i4>
      </vt:variant>
      <vt:variant>
        <vt:i4>5</vt:i4>
      </vt:variant>
      <vt:variant>
        <vt:lpwstr>mailto:</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2017-10-02T17:21:00Z</cp:lastPrinted>
  <dcterms:created xsi:type="dcterms:W3CDTF">2017-10-03T15:49:00Z</dcterms:created>
  <dcterms:modified xsi:type="dcterms:W3CDTF">2017-10-03T15:49:00Z</dcterms:modified>
  <cp:category> </cp:category>
  <cp:contentStatus> </cp:contentStatus>
</cp:coreProperties>
</file>