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4B0A" w14:textId="77777777" w:rsidR="004C2EE3" w:rsidRPr="0085119F" w:rsidRDefault="004C2EE3" w:rsidP="00B0351B">
      <w:pPr>
        <w:widowControl/>
        <w:jc w:val="center"/>
        <w:rPr>
          <w:b/>
          <w:szCs w:val="22"/>
        </w:rPr>
      </w:pPr>
      <w:bookmarkStart w:id="0" w:name="_GoBack"/>
      <w:bookmarkEnd w:id="0"/>
      <w:r w:rsidRPr="0085119F">
        <w:rPr>
          <w:b/>
          <w:kern w:val="0"/>
          <w:szCs w:val="22"/>
        </w:rPr>
        <w:t>Before</w:t>
      </w:r>
      <w:r w:rsidRPr="0085119F">
        <w:rPr>
          <w:b/>
          <w:szCs w:val="22"/>
        </w:rPr>
        <w:t xml:space="preserve"> the</w:t>
      </w:r>
    </w:p>
    <w:p w14:paraId="5F0B7960" w14:textId="77777777" w:rsidR="00921803" w:rsidRPr="0085119F" w:rsidRDefault="00921803" w:rsidP="00B0351B">
      <w:pPr>
        <w:pStyle w:val="StyleBoldCentered"/>
        <w:widowControl/>
        <w:rPr>
          <w:rFonts w:ascii="Times New Roman" w:hAnsi="Times New Roman"/>
        </w:rPr>
      </w:pPr>
      <w:r w:rsidRPr="0085119F">
        <w:rPr>
          <w:rFonts w:ascii="Times New Roman" w:hAnsi="Times New Roman"/>
        </w:rPr>
        <w:t>F</w:t>
      </w:r>
      <w:r w:rsidRPr="0085119F">
        <w:rPr>
          <w:rFonts w:ascii="Times New Roman" w:hAnsi="Times New Roman"/>
          <w:caps w:val="0"/>
        </w:rPr>
        <w:t>ederal Communications Commission</w:t>
      </w:r>
    </w:p>
    <w:p w14:paraId="563C414C" w14:textId="77777777" w:rsidR="004C2EE3" w:rsidRPr="0085119F" w:rsidRDefault="00810B6F" w:rsidP="00B0351B">
      <w:pPr>
        <w:pStyle w:val="StyleBoldCentered"/>
        <w:widowControl/>
        <w:rPr>
          <w:rFonts w:ascii="Times New Roman" w:hAnsi="Times New Roman"/>
        </w:rPr>
      </w:pPr>
      <w:r w:rsidRPr="0085119F">
        <w:rPr>
          <w:rFonts w:ascii="Times New Roman" w:hAnsi="Times New Roman"/>
          <w:caps w:val="0"/>
        </w:rPr>
        <w:t>Washington, D.C. 20554</w:t>
      </w:r>
    </w:p>
    <w:p w14:paraId="60A1F040" w14:textId="77777777" w:rsidR="004C2EE3" w:rsidRPr="0085119F" w:rsidRDefault="004C2EE3" w:rsidP="00B0351B">
      <w:pPr>
        <w:widowControl/>
        <w:rPr>
          <w:szCs w:val="22"/>
        </w:rPr>
      </w:pPr>
    </w:p>
    <w:p w14:paraId="3F8AB9D1" w14:textId="77777777" w:rsidR="004C2EE3" w:rsidRPr="0085119F" w:rsidRDefault="004C2EE3" w:rsidP="00B0351B">
      <w:pPr>
        <w:widowControl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:rsidRPr="0005336C" w14:paraId="0B45D8E2" w14:textId="77777777">
        <w:tc>
          <w:tcPr>
            <w:tcW w:w="4698" w:type="dxa"/>
          </w:tcPr>
          <w:p w14:paraId="48075659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bookmarkStart w:id="1" w:name="_Hlk494954690"/>
            <w:r w:rsidRPr="0085119F">
              <w:rPr>
                <w:spacing w:val="-2"/>
                <w:szCs w:val="22"/>
              </w:rPr>
              <w:t>In the Matter of</w:t>
            </w:r>
          </w:p>
          <w:bookmarkEnd w:id="1"/>
          <w:p w14:paraId="5C8882DA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14:paraId="7C10BBF5" w14:textId="77777777" w:rsidR="004C2EE3" w:rsidRPr="0085119F" w:rsidRDefault="00BD2456" w:rsidP="00B0351B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bookmarkStart w:id="2" w:name="_Hlk494954700"/>
            <w:r w:rsidRPr="0085119F">
              <w:rPr>
                <w:spacing w:val="-2"/>
                <w:szCs w:val="22"/>
              </w:rPr>
              <w:t>Proposed Tower KY-03061 Lloyd Rd Near 1621 Stamping Ground Road, Georgetown, Scott County, Kentucky/Choctaw Academy</w:t>
            </w:r>
            <w:bookmarkEnd w:id="2"/>
          </w:p>
        </w:tc>
        <w:tc>
          <w:tcPr>
            <w:tcW w:w="630" w:type="dxa"/>
          </w:tcPr>
          <w:p w14:paraId="2907B33F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  <w:p w14:paraId="27743A80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  <w:p w14:paraId="30F50656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  <w:p w14:paraId="4300CFCF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  <w:p w14:paraId="11310561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  <w:p w14:paraId="20A8112A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  <w:p w14:paraId="3DB7E181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85119F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14:paraId="5252D513" w14:textId="77777777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14:paraId="4EC5111E" w14:textId="77777777" w:rsidR="004C2EE3" w:rsidRPr="0085119F" w:rsidRDefault="004C2EE3" w:rsidP="00B0351B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14:paraId="792E9638" w14:textId="4B4F5979" w:rsidR="004C2EE3" w:rsidRPr="0085119F" w:rsidRDefault="004C2EE3" w:rsidP="00B0351B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14:paraId="119E175E" w14:textId="77777777" w:rsidR="004C2EE3" w:rsidRPr="0085119F" w:rsidRDefault="004C2EE3" w:rsidP="00B0351B">
      <w:pPr>
        <w:widowControl/>
        <w:rPr>
          <w:szCs w:val="22"/>
        </w:rPr>
      </w:pPr>
    </w:p>
    <w:p w14:paraId="78F32CA3" w14:textId="77777777" w:rsidR="00841AB1" w:rsidRPr="0085119F" w:rsidRDefault="00BB1825" w:rsidP="00B0351B">
      <w:pPr>
        <w:pStyle w:val="StyleBoldCentered"/>
        <w:widowControl/>
        <w:rPr>
          <w:rFonts w:ascii="Times New Roman" w:hAnsi="Times New Roman"/>
        </w:rPr>
      </w:pPr>
      <w:r w:rsidRPr="0085119F">
        <w:rPr>
          <w:rFonts w:ascii="Times New Roman" w:hAnsi="Times New Roman"/>
        </w:rPr>
        <w:t>ORDER</w:t>
      </w:r>
    </w:p>
    <w:p w14:paraId="240471F6" w14:textId="77777777" w:rsidR="004C2EE3" w:rsidRPr="0085119F" w:rsidRDefault="004C2EE3" w:rsidP="00B0351B">
      <w:pPr>
        <w:widowControl/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14:paraId="5994B0E0" w14:textId="3244A8BE" w:rsidR="004C2EE3" w:rsidRPr="0085119F" w:rsidRDefault="004C2EE3" w:rsidP="00B0351B">
      <w:pPr>
        <w:widowControl/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85119F">
        <w:rPr>
          <w:b/>
          <w:spacing w:val="-2"/>
          <w:szCs w:val="22"/>
        </w:rPr>
        <w:t xml:space="preserve">Adopted:  </w:t>
      </w:r>
      <w:r w:rsidR="00772E1E">
        <w:rPr>
          <w:b/>
          <w:spacing w:val="-2"/>
          <w:szCs w:val="22"/>
        </w:rPr>
        <w:t>October 10, 2017</w:t>
      </w:r>
      <w:r w:rsidRPr="0085119F">
        <w:rPr>
          <w:b/>
          <w:spacing w:val="-2"/>
          <w:szCs w:val="22"/>
        </w:rPr>
        <w:tab/>
      </w:r>
      <w:r w:rsidR="00822CE0" w:rsidRPr="0085119F">
        <w:rPr>
          <w:b/>
          <w:spacing w:val="-2"/>
          <w:szCs w:val="22"/>
        </w:rPr>
        <w:t>Released</w:t>
      </w:r>
      <w:r w:rsidRPr="0085119F">
        <w:rPr>
          <w:b/>
          <w:spacing w:val="-2"/>
          <w:szCs w:val="22"/>
        </w:rPr>
        <w:t>:</w:t>
      </w:r>
      <w:r w:rsidR="00822CE0" w:rsidRPr="0085119F">
        <w:rPr>
          <w:b/>
          <w:spacing w:val="-2"/>
          <w:szCs w:val="22"/>
        </w:rPr>
        <w:t xml:space="preserve"> </w:t>
      </w:r>
      <w:r w:rsidRPr="0085119F">
        <w:rPr>
          <w:b/>
          <w:spacing w:val="-2"/>
          <w:szCs w:val="22"/>
        </w:rPr>
        <w:t xml:space="preserve"> </w:t>
      </w:r>
      <w:r w:rsidR="00976042">
        <w:rPr>
          <w:b/>
          <w:spacing w:val="-2"/>
          <w:szCs w:val="22"/>
        </w:rPr>
        <w:t>October 10, 2017</w:t>
      </w:r>
    </w:p>
    <w:p w14:paraId="3852584B" w14:textId="77777777" w:rsidR="00822CE0" w:rsidRPr="0085119F" w:rsidRDefault="00822CE0" w:rsidP="00B0351B">
      <w:pPr>
        <w:widowControl/>
        <w:rPr>
          <w:szCs w:val="22"/>
        </w:rPr>
      </w:pPr>
    </w:p>
    <w:p w14:paraId="4A1203B2" w14:textId="676C6DDA" w:rsidR="004C2EE3" w:rsidRPr="0085119F" w:rsidRDefault="004C2EE3" w:rsidP="00B0351B">
      <w:pPr>
        <w:widowControl/>
        <w:rPr>
          <w:spacing w:val="-2"/>
          <w:szCs w:val="22"/>
        </w:rPr>
      </w:pPr>
      <w:r w:rsidRPr="0085119F">
        <w:rPr>
          <w:szCs w:val="22"/>
        </w:rPr>
        <w:t xml:space="preserve">By </w:t>
      </w:r>
      <w:r w:rsidR="004E4A22" w:rsidRPr="0085119F">
        <w:rPr>
          <w:szCs w:val="22"/>
        </w:rPr>
        <w:t>the</w:t>
      </w:r>
      <w:r w:rsidR="00860E87">
        <w:rPr>
          <w:szCs w:val="22"/>
        </w:rPr>
        <w:t xml:space="preserve"> Associate Chief, Competition and Infrastructure Policy Division,</w:t>
      </w:r>
      <w:r w:rsidR="002A2D2E" w:rsidRPr="0085119F">
        <w:rPr>
          <w:szCs w:val="22"/>
        </w:rPr>
        <w:t xml:space="preserve"> </w:t>
      </w:r>
      <w:r w:rsidR="00BD2456" w:rsidRPr="0085119F">
        <w:rPr>
          <w:spacing w:val="-2"/>
          <w:szCs w:val="22"/>
        </w:rPr>
        <w:t>Wireless Telecommunications Bureau</w:t>
      </w:r>
      <w:r w:rsidR="00245C13" w:rsidRPr="0085119F">
        <w:rPr>
          <w:spacing w:val="-2"/>
          <w:szCs w:val="22"/>
        </w:rPr>
        <w:t>:</w:t>
      </w:r>
    </w:p>
    <w:p w14:paraId="3024A453" w14:textId="77777777" w:rsidR="00822CE0" w:rsidRPr="0085119F" w:rsidRDefault="00822CE0" w:rsidP="00B0351B">
      <w:pPr>
        <w:widowControl/>
        <w:rPr>
          <w:spacing w:val="-2"/>
          <w:szCs w:val="22"/>
        </w:rPr>
      </w:pPr>
    </w:p>
    <w:p w14:paraId="08C0C3C5" w14:textId="77777777" w:rsidR="00412FC5" w:rsidRPr="0085119F" w:rsidRDefault="00412FC5" w:rsidP="00B0351B">
      <w:pPr>
        <w:widowControl/>
        <w:rPr>
          <w:szCs w:val="22"/>
        </w:rPr>
      </w:pPr>
    </w:p>
    <w:p w14:paraId="66231835" w14:textId="77777777" w:rsidR="00BD2456" w:rsidRPr="0085119F" w:rsidRDefault="00BD2456" w:rsidP="00B0351B">
      <w:pPr>
        <w:pStyle w:val="Heading1"/>
        <w:widowControl/>
        <w:rPr>
          <w:rFonts w:ascii="Times New Roman" w:hAnsi="Times New Roman"/>
          <w:szCs w:val="22"/>
        </w:rPr>
      </w:pPr>
      <w:r w:rsidRPr="0085119F">
        <w:rPr>
          <w:rFonts w:ascii="Times New Roman" w:hAnsi="Times New Roman"/>
          <w:szCs w:val="22"/>
        </w:rPr>
        <w:t xml:space="preserve">Introduction </w:t>
      </w:r>
    </w:p>
    <w:p w14:paraId="5DF44A11" w14:textId="2BBBCABB" w:rsidR="000016BF" w:rsidRPr="00BB00E9" w:rsidRDefault="00271B29" w:rsidP="00B0351B">
      <w:pPr>
        <w:pStyle w:val="ParaNum"/>
        <w:widowControl/>
        <w:ind w:firstLine="720"/>
        <w:rPr>
          <w:szCs w:val="22"/>
        </w:rPr>
      </w:pPr>
      <w:r w:rsidRPr="0085119F">
        <w:rPr>
          <w:szCs w:val="22"/>
        </w:rPr>
        <w:t xml:space="preserve">On March 8, 2017, </w:t>
      </w:r>
      <w:r w:rsidR="00860E87">
        <w:rPr>
          <w:szCs w:val="22"/>
        </w:rPr>
        <w:t>the Competition and Infrastructure Policy Division of the</w:t>
      </w:r>
      <w:r w:rsidR="00CE0DBC" w:rsidRPr="0085119F">
        <w:rPr>
          <w:szCs w:val="22"/>
        </w:rPr>
        <w:t xml:space="preserve"> Wireless Telecommunications Bureau (WTB) </w:t>
      </w:r>
      <w:r w:rsidR="00F12BA3" w:rsidRPr="0085119F">
        <w:rPr>
          <w:szCs w:val="22"/>
        </w:rPr>
        <w:t>i</w:t>
      </w:r>
      <w:r w:rsidR="00CE0DBC" w:rsidRPr="0085119F">
        <w:rPr>
          <w:szCs w:val="22"/>
        </w:rPr>
        <w:t xml:space="preserve">ssued a </w:t>
      </w:r>
      <w:r w:rsidR="000F42DE">
        <w:rPr>
          <w:szCs w:val="22"/>
        </w:rPr>
        <w:t xml:space="preserve">Letter Decision (Decision) </w:t>
      </w:r>
      <w:r w:rsidR="0002769D" w:rsidRPr="0085119F">
        <w:rPr>
          <w:szCs w:val="22"/>
        </w:rPr>
        <w:t>f</w:t>
      </w:r>
      <w:r w:rsidR="00F12BA3" w:rsidRPr="0085119F">
        <w:rPr>
          <w:szCs w:val="22"/>
        </w:rPr>
        <w:t>inding that</w:t>
      </w:r>
      <w:r w:rsidR="00CE0DBC" w:rsidRPr="0085119F">
        <w:rPr>
          <w:szCs w:val="22"/>
        </w:rPr>
        <w:t xml:space="preserve"> Skyway Towers</w:t>
      </w:r>
      <w:r w:rsidR="00E81327" w:rsidRPr="0085119F">
        <w:rPr>
          <w:szCs w:val="22"/>
        </w:rPr>
        <w:t xml:space="preserve"> LLC’s</w:t>
      </w:r>
      <w:r w:rsidR="00CE0DBC" w:rsidRPr="0085119F">
        <w:rPr>
          <w:szCs w:val="22"/>
        </w:rPr>
        <w:t xml:space="preserve"> (Skyway) proposed tower</w:t>
      </w:r>
      <w:r w:rsidR="00222E26">
        <w:rPr>
          <w:szCs w:val="22"/>
        </w:rPr>
        <w:t xml:space="preserve"> in Scott County, Kentucky</w:t>
      </w:r>
      <w:r w:rsidR="00CE0DBC" w:rsidRPr="0085119F">
        <w:rPr>
          <w:szCs w:val="22"/>
        </w:rPr>
        <w:t xml:space="preserve"> </w:t>
      </w:r>
      <w:r w:rsidR="00860E87">
        <w:rPr>
          <w:szCs w:val="22"/>
        </w:rPr>
        <w:t>will have</w:t>
      </w:r>
      <w:r w:rsidR="00CE0DBC" w:rsidRPr="0085119F">
        <w:rPr>
          <w:szCs w:val="22"/>
        </w:rPr>
        <w:t xml:space="preserve"> no effect on any historic property.</w:t>
      </w:r>
      <w:r w:rsidR="00CE0DBC" w:rsidRPr="00F90781">
        <w:rPr>
          <w:rStyle w:val="FootnoteReference"/>
          <w:sz w:val="22"/>
          <w:szCs w:val="22"/>
        </w:rPr>
        <w:footnoteReference w:id="2"/>
      </w:r>
      <w:r w:rsidR="00CE0DBC" w:rsidRPr="00F90781">
        <w:rPr>
          <w:szCs w:val="22"/>
        </w:rPr>
        <w:t xml:space="preserve">  </w:t>
      </w:r>
      <w:r w:rsidR="00A87915" w:rsidRPr="00F90781">
        <w:rPr>
          <w:szCs w:val="22"/>
        </w:rPr>
        <w:t xml:space="preserve">On April 7, 2017, </w:t>
      </w:r>
      <w:r w:rsidR="00CE0DBC" w:rsidRPr="00F90781">
        <w:rPr>
          <w:szCs w:val="22"/>
        </w:rPr>
        <w:t xml:space="preserve">William </w:t>
      </w:r>
      <w:r w:rsidR="00A87915" w:rsidRPr="00F90781">
        <w:rPr>
          <w:szCs w:val="22"/>
        </w:rPr>
        <w:t xml:space="preserve">Richardson </w:t>
      </w:r>
      <w:r w:rsidR="00CE0DBC" w:rsidRPr="00F90781">
        <w:rPr>
          <w:szCs w:val="22"/>
        </w:rPr>
        <w:t xml:space="preserve">(Richardson) </w:t>
      </w:r>
      <w:r w:rsidR="00A87915" w:rsidRPr="00F90781">
        <w:rPr>
          <w:szCs w:val="22"/>
        </w:rPr>
        <w:t xml:space="preserve">filed a timely </w:t>
      </w:r>
      <w:r w:rsidR="00DE59C4" w:rsidRPr="00F90781">
        <w:rPr>
          <w:szCs w:val="22"/>
        </w:rPr>
        <w:t xml:space="preserve">Petition for Reconsideration </w:t>
      </w:r>
      <w:r w:rsidR="003A099F" w:rsidRPr="00F90781">
        <w:rPr>
          <w:szCs w:val="22"/>
        </w:rPr>
        <w:t>(Petition</w:t>
      </w:r>
      <w:r w:rsidR="00DE59C4" w:rsidRPr="00BB00E9">
        <w:rPr>
          <w:szCs w:val="22"/>
        </w:rPr>
        <w:t>)</w:t>
      </w:r>
      <w:r w:rsidR="00A87915" w:rsidRPr="00BB00E9">
        <w:rPr>
          <w:szCs w:val="22"/>
        </w:rPr>
        <w:t xml:space="preserve"> </w:t>
      </w:r>
      <w:r w:rsidR="002B30D4" w:rsidRPr="00BB00E9">
        <w:rPr>
          <w:szCs w:val="22"/>
        </w:rPr>
        <w:t>request</w:t>
      </w:r>
      <w:r w:rsidR="00A87915" w:rsidRPr="00BB00E9">
        <w:rPr>
          <w:szCs w:val="22"/>
        </w:rPr>
        <w:t xml:space="preserve">ing </w:t>
      </w:r>
      <w:r w:rsidR="00AE3DAF" w:rsidRPr="00BB00E9">
        <w:rPr>
          <w:szCs w:val="22"/>
        </w:rPr>
        <w:t>WTB</w:t>
      </w:r>
      <w:r w:rsidR="00A87915" w:rsidRPr="00BB00E9">
        <w:rPr>
          <w:szCs w:val="22"/>
        </w:rPr>
        <w:t xml:space="preserve"> reconsider its </w:t>
      </w:r>
      <w:r w:rsidR="000F42DE">
        <w:rPr>
          <w:szCs w:val="22"/>
        </w:rPr>
        <w:t>Decision</w:t>
      </w:r>
      <w:r w:rsidR="00A87915" w:rsidRPr="00BB00E9">
        <w:rPr>
          <w:szCs w:val="22"/>
        </w:rPr>
        <w:t>.</w:t>
      </w:r>
      <w:r w:rsidR="00F820F9" w:rsidRPr="00BB00E9">
        <w:rPr>
          <w:rStyle w:val="FootnoteReference"/>
          <w:sz w:val="22"/>
          <w:szCs w:val="22"/>
        </w:rPr>
        <w:footnoteReference w:id="3"/>
      </w:r>
      <w:r w:rsidR="00A87915" w:rsidRPr="00BB00E9">
        <w:rPr>
          <w:szCs w:val="22"/>
        </w:rPr>
        <w:t xml:space="preserve">  </w:t>
      </w:r>
      <w:r w:rsidR="005F1632" w:rsidRPr="00BB00E9">
        <w:rPr>
          <w:szCs w:val="22"/>
        </w:rPr>
        <w:t xml:space="preserve">On April 11, 2017, Richardson filed </w:t>
      </w:r>
      <w:r w:rsidR="006B41DB" w:rsidRPr="00BB00E9">
        <w:rPr>
          <w:szCs w:val="22"/>
        </w:rPr>
        <w:t>a</w:t>
      </w:r>
      <w:r w:rsidR="005F1632" w:rsidRPr="00BB00E9">
        <w:rPr>
          <w:szCs w:val="22"/>
        </w:rPr>
        <w:t xml:space="preserve"> Motion</w:t>
      </w:r>
      <w:r w:rsidR="00CE0DBC" w:rsidRPr="00BB00E9">
        <w:rPr>
          <w:szCs w:val="22"/>
        </w:rPr>
        <w:t xml:space="preserve"> for Leave to </w:t>
      </w:r>
      <w:r w:rsidR="002B021B">
        <w:rPr>
          <w:szCs w:val="22"/>
        </w:rPr>
        <w:t>F</w:t>
      </w:r>
      <w:r w:rsidR="0064574F" w:rsidRPr="00BB00E9">
        <w:rPr>
          <w:szCs w:val="22"/>
        </w:rPr>
        <w:t xml:space="preserve">ile </w:t>
      </w:r>
      <w:r w:rsidR="00013505" w:rsidRPr="00BB00E9">
        <w:rPr>
          <w:szCs w:val="22"/>
        </w:rPr>
        <w:t xml:space="preserve">a </w:t>
      </w:r>
      <w:r w:rsidR="00CE0DBC" w:rsidRPr="00BB00E9">
        <w:rPr>
          <w:szCs w:val="22"/>
        </w:rPr>
        <w:t xml:space="preserve">Supplement </w:t>
      </w:r>
      <w:r w:rsidR="0064574F" w:rsidRPr="00BB00E9">
        <w:rPr>
          <w:szCs w:val="22"/>
        </w:rPr>
        <w:t xml:space="preserve">to </w:t>
      </w:r>
      <w:r w:rsidR="002841FA">
        <w:rPr>
          <w:szCs w:val="22"/>
        </w:rPr>
        <w:t>the</w:t>
      </w:r>
      <w:r w:rsidR="0064574F" w:rsidRPr="00BB00E9">
        <w:rPr>
          <w:szCs w:val="22"/>
        </w:rPr>
        <w:t xml:space="preserve"> </w:t>
      </w:r>
      <w:r w:rsidR="00CE0DBC" w:rsidRPr="00BB00E9">
        <w:rPr>
          <w:szCs w:val="22"/>
        </w:rPr>
        <w:t xml:space="preserve">Petition </w:t>
      </w:r>
      <w:r w:rsidR="00A97370" w:rsidRPr="00BB00E9">
        <w:rPr>
          <w:szCs w:val="22"/>
        </w:rPr>
        <w:t>(Motion)</w:t>
      </w:r>
      <w:r w:rsidR="005F1632" w:rsidRPr="00BB00E9">
        <w:rPr>
          <w:szCs w:val="22"/>
        </w:rPr>
        <w:t xml:space="preserve"> </w:t>
      </w:r>
      <w:r w:rsidR="002B021B">
        <w:rPr>
          <w:szCs w:val="22"/>
        </w:rPr>
        <w:t>and a</w:t>
      </w:r>
      <w:r w:rsidR="005F1632" w:rsidRPr="00BB00E9">
        <w:rPr>
          <w:szCs w:val="22"/>
        </w:rPr>
        <w:t xml:space="preserve"> Supplement</w:t>
      </w:r>
      <w:r w:rsidR="00E87533">
        <w:rPr>
          <w:szCs w:val="22"/>
        </w:rPr>
        <w:t xml:space="preserve"> to Petition for Reconsideration (Supplement)</w:t>
      </w:r>
      <w:r w:rsidR="005F1632" w:rsidRPr="00BB00E9">
        <w:rPr>
          <w:szCs w:val="22"/>
        </w:rPr>
        <w:t>,</w:t>
      </w:r>
      <w:r w:rsidR="005F1632" w:rsidRPr="00BB00E9">
        <w:rPr>
          <w:rStyle w:val="FootnoteReference"/>
          <w:sz w:val="22"/>
          <w:szCs w:val="22"/>
        </w:rPr>
        <w:footnoteReference w:id="4"/>
      </w:r>
      <w:r w:rsidR="005F1632" w:rsidRPr="00BB00E9">
        <w:rPr>
          <w:szCs w:val="22"/>
        </w:rPr>
        <w:t xml:space="preserve"> </w:t>
      </w:r>
      <w:r w:rsidR="00605B76" w:rsidRPr="00BB00E9">
        <w:rPr>
          <w:szCs w:val="22"/>
        </w:rPr>
        <w:t>maintain</w:t>
      </w:r>
      <w:r w:rsidR="005F1632" w:rsidRPr="00BB00E9">
        <w:rPr>
          <w:szCs w:val="22"/>
        </w:rPr>
        <w:t>ing</w:t>
      </w:r>
      <w:r w:rsidR="00D64DFB" w:rsidRPr="00BB00E9">
        <w:rPr>
          <w:szCs w:val="22"/>
        </w:rPr>
        <w:t xml:space="preserve"> he was not afforded a “mea</w:t>
      </w:r>
      <w:r w:rsidR="005F1632" w:rsidRPr="00BB00E9">
        <w:rPr>
          <w:szCs w:val="22"/>
        </w:rPr>
        <w:t>ningful opportunity to be heard</w:t>
      </w:r>
      <w:r w:rsidR="004B1419" w:rsidRPr="00BB00E9">
        <w:rPr>
          <w:szCs w:val="22"/>
        </w:rPr>
        <w:t>.”</w:t>
      </w:r>
      <w:r w:rsidR="00D64DFB" w:rsidRPr="00BB00E9">
        <w:rPr>
          <w:rStyle w:val="FootnoteReference"/>
          <w:sz w:val="22"/>
          <w:szCs w:val="22"/>
        </w:rPr>
        <w:footnoteReference w:id="5"/>
      </w:r>
      <w:r w:rsidR="005F1632" w:rsidRPr="00BB00E9">
        <w:rPr>
          <w:szCs w:val="22"/>
        </w:rPr>
        <w:t xml:space="preserve"> </w:t>
      </w:r>
      <w:r w:rsidR="00D64DFB" w:rsidRPr="00BB00E9">
        <w:rPr>
          <w:szCs w:val="22"/>
        </w:rPr>
        <w:t xml:space="preserve"> </w:t>
      </w:r>
      <w:r w:rsidRPr="00BB00E9">
        <w:rPr>
          <w:szCs w:val="22"/>
        </w:rPr>
        <w:t xml:space="preserve">For </w:t>
      </w:r>
      <w:r w:rsidR="00CE0DBC" w:rsidRPr="00BB00E9">
        <w:rPr>
          <w:szCs w:val="22"/>
        </w:rPr>
        <w:t>the reasons discussed below,</w:t>
      </w:r>
      <w:r w:rsidRPr="00BB00E9">
        <w:rPr>
          <w:szCs w:val="22"/>
        </w:rPr>
        <w:t xml:space="preserve"> </w:t>
      </w:r>
      <w:r w:rsidR="00CE0DBC" w:rsidRPr="00BB00E9">
        <w:rPr>
          <w:szCs w:val="22"/>
        </w:rPr>
        <w:t>WTB</w:t>
      </w:r>
      <w:r w:rsidRPr="00BB00E9">
        <w:rPr>
          <w:szCs w:val="22"/>
        </w:rPr>
        <w:t xml:space="preserve"> denies </w:t>
      </w:r>
      <w:r w:rsidR="00B57413">
        <w:rPr>
          <w:szCs w:val="22"/>
        </w:rPr>
        <w:t>the</w:t>
      </w:r>
      <w:r w:rsidRPr="00BB00E9">
        <w:rPr>
          <w:szCs w:val="22"/>
        </w:rPr>
        <w:t xml:space="preserve"> Motion</w:t>
      </w:r>
      <w:r w:rsidR="002841FA">
        <w:rPr>
          <w:szCs w:val="22"/>
        </w:rPr>
        <w:t xml:space="preserve">, </w:t>
      </w:r>
      <w:r w:rsidR="00843F93">
        <w:rPr>
          <w:szCs w:val="22"/>
        </w:rPr>
        <w:t xml:space="preserve">dismisses the Supplement, </w:t>
      </w:r>
      <w:r w:rsidR="002841FA">
        <w:rPr>
          <w:szCs w:val="22"/>
        </w:rPr>
        <w:t>and resets the pleading cycle on the Petition</w:t>
      </w:r>
      <w:r w:rsidRPr="00BB00E9">
        <w:rPr>
          <w:szCs w:val="22"/>
        </w:rPr>
        <w:t>.</w:t>
      </w:r>
      <w:r w:rsidR="000243A2">
        <w:rPr>
          <w:szCs w:val="22"/>
        </w:rPr>
        <w:t xml:space="preserve"> </w:t>
      </w:r>
    </w:p>
    <w:p w14:paraId="7FCA47A3" w14:textId="77777777" w:rsidR="00BD2456" w:rsidRPr="00BB00E9" w:rsidRDefault="00BD2456" w:rsidP="00B0351B">
      <w:pPr>
        <w:pStyle w:val="Heading1"/>
        <w:widowControl/>
        <w:rPr>
          <w:rFonts w:ascii="Times New Roman" w:hAnsi="Times New Roman"/>
          <w:szCs w:val="22"/>
        </w:rPr>
      </w:pPr>
      <w:r w:rsidRPr="00BB00E9">
        <w:rPr>
          <w:rFonts w:ascii="Times New Roman" w:hAnsi="Times New Roman"/>
          <w:szCs w:val="22"/>
        </w:rPr>
        <w:t xml:space="preserve">Background </w:t>
      </w:r>
    </w:p>
    <w:p w14:paraId="6EF19F7E" w14:textId="17DA393E" w:rsidR="003B1695" w:rsidRPr="00BB00E9" w:rsidRDefault="002B021B" w:rsidP="00B0351B">
      <w:pPr>
        <w:pStyle w:val="ParaNum"/>
        <w:widowControl/>
        <w:ind w:firstLine="720"/>
        <w:rPr>
          <w:szCs w:val="22"/>
        </w:rPr>
      </w:pPr>
      <w:r>
        <w:rPr>
          <w:szCs w:val="22"/>
        </w:rPr>
        <w:t>On April 27, 2016</w:t>
      </w:r>
      <w:r w:rsidR="00F61F8E">
        <w:rPr>
          <w:szCs w:val="22"/>
        </w:rPr>
        <w:t>,</w:t>
      </w:r>
      <w:r>
        <w:rPr>
          <w:szCs w:val="22"/>
        </w:rPr>
        <w:t xml:space="preserve"> </w:t>
      </w:r>
      <w:r w:rsidR="00355A55" w:rsidRPr="00BB00E9">
        <w:rPr>
          <w:szCs w:val="22"/>
        </w:rPr>
        <w:t>S</w:t>
      </w:r>
      <w:r w:rsidR="00605B76" w:rsidRPr="00BB00E9">
        <w:rPr>
          <w:szCs w:val="22"/>
        </w:rPr>
        <w:t xml:space="preserve">kyway </w:t>
      </w:r>
      <w:r>
        <w:rPr>
          <w:szCs w:val="22"/>
        </w:rPr>
        <w:t>submitted a</w:t>
      </w:r>
      <w:r w:rsidR="00222E26">
        <w:rPr>
          <w:szCs w:val="22"/>
        </w:rPr>
        <w:t>n</w:t>
      </w:r>
      <w:r>
        <w:rPr>
          <w:szCs w:val="22"/>
        </w:rPr>
        <w:t xml:space="preserve"> FCC Form 620 to </w:t>
      </w:r>
      <w:r w:rsidR="00A12040">
        <w:rPr>
          <w:szCs w:val="22"/>
        </w:rPr>
        <w:t>the Kentucky Heritage Council (KY</w:t>
      </w:r>
      <w:r>
        <w:rPr>
          <w:szCs w:val="22"/>
        </w:rPr>
        <w:t xml:space="preserve"> SHPO)</w:t>
      </w:r>
      <w:r w:rsidR="00860E87">
        <w:rPr>
          <w:rStyle w:val="FootnoteReference"/>
          <w:szCs w:val="22"/>
        </w:rPr>
        <w:footnoteReference w:id="6"/>
      </w:r>
      <w:r>
        <w:rPr>
          <w:szCs w:val="22"/>
        </w:rPr>
        <w:t xml:space="preserve"> </w:t>
      </w:r>
      <w:r w:rsidR="00860E87">
        <w:rPr>
          <w:szCs w:val="22"/>
        </w:rPr>
        <w:t>regarding a</w:t>
      </w:r>
      <w:r>
        <w:rPr>
          <w:szCs w:val="22"/>
        </w:rPr>
        <w:t xml:space="preserve"> </w:t>
      </w:r>
      <w:r w:rsidR="000016BF" w:rsidRPr="00BB00E9">
        <w:rPr>
          <w:szCs w:val="22"/>
        </w:rPr>
        <w:t>proposed</w:t>
      </w:r>
      <w:r w:rsidR="00355A55" w:rsidRPr="00BB00E9">
        <w:rPr>
          <w:szCs w:val="22"/>
        </w:rPr>
        <w:t xml:space="preserve"> 199</w:t>
      </w:r>
      <w:r w:rsidR="000016BF" w:rsidRPr="00BB00E9">
        <w:rPr>
          <w:szCs w:val="22"/>
        </w:rPr>
        <w:t>-</w:t>
      </w:r>
      <w:r w:rsidR="00605B76" w:rsidRPr="00BB00E9">
        <w:rPr>
          <w:szCs w:val="22"/>
        </w:rPr>
        <w:t>foot tower</w:t>
      </w:r>
      <w:r w:rsidR="00355A55" w:rsidRPr="00BB00E9">
        <w:rPr>
          <w:szCs w:val="22"/>
        </w:rPr>
        <w:t xml:space="preserve"> </w:t>
      </w:r>
      <w:r w:rsidR="00605B76" w:rsidRPr="00BB00E9">
        <w:rPr>
          <w:spacing w:val="-2"/>
          <w:szCs w:val="22"/>
        </w:rPr>
        <w:t>near 1621 Stamping Ground Road, Georgetown, Scott County, Kentucky</w:t>
      </w:r>
      <w:r w:rsidR="000016BF" w:rsidRPr="00BB00E9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0016BF" w:rsidRPr="00BB00E9">
        <w:rPr>
          <w:szCs w:val="22"/>
        </w:rPr>
        <w:t xml:space="preserve"> </w:t>
      </w:r>
      <w:r w:rsidR="002B30D4" w:rsidRPr="00BB00E9">
        <w:rPr>
          <w:szCs w:val="22"/>
        </w:rPr>
        <w:t xml:space="preserve"> </w:t>
      </w:r>
      <w:r w:rsidR="009372A1">
        <w:rPr>
          <w:szCs w:val="22"/>
        </w:rPr>
        <w:t xml:space="preserve">On June 3, 2016, the KY SHPO </w:t>
      </w:r>
      <w:r w:rsidR="00860E87">
        <w:rPr>
          <w:szCs w:val="22"/>
        </w:rPr>
        <w:t>issued</w:t>
      </w:r>
      <w:r w:rsidR="009372A1">
        <w:rPr>
          <w:szCs w:val="22"/>
        </w:rPr>
        <w:t xml:space="preserve"> a letter recommending that the pr</w:t>
      </w:r>
      <w:r w:rsidR="00655025">
        <w:rPr>
          <w:szCs w:val="22"/>
        </w:rPr>
        <w:t>o</w:t>
      </w:r>
      <w:r w:rsidR="009372A1">
        <w:rPr>
          <w:szCs w:val="22"/>
        </w:rPr>
        <w:t xml:space="preserve">posed tower </w:t>
      </w:r>
      <w:r w:rsidR="00860E87">
        <w:rPr>
          <w:szCs w:val="22"/>
        </w:rPr>
        <w:t>would</w:t>
      </w:r>
      <w:r w:rsidR="009372A1">
        <w:rPr>
          <w:szCs w:val="22"/>
        </w:rPr>
        <w:t xml:space="preserve"> have an adverse effect on the nearby Choctaw Academy.</w:t>
      </w:r>
      <w:r w:rsidR="009372A1">
        <w:rPr>
          <w:rStyle w:val="FootnoteReference"/>
          <w:szCs w:val="22"/>
        </w:rPr>
        <w:footnoteReference w:id="8"/>
      </w:r>
      <w:r w:rsidR="009372A1">
        <w:rPr>
          <w:szCs w:val="22"/>
        </w:rPr>
        <w:t xml:space="preserve">  </w:t>
      </w:r>
      <w:r>
        <w:rPr>
          <w:szCs w:val="22"/>
        </w:rPr>
        <w:t xml:space="preserve">On October 31, </w:t>
      </w:r>
      <w:r>
        <w:rPr>
          <w:szCs w:val="22"/>
        </w:rPr>
        <w:lastRenderedPageBreak/>
        <w:t>2016, the KY SHPO requested that the Area of Potential Effects (APE) for visual effects be expanded to include</w:t>
      </w:r>
      <w:r w:rsidR="00860E87">
        <w:rPr>
          <w:szCs w:val="22"/>
        </w:rPr>
        <w:t xml:space="preserve"> the</w:t>
      </w:r>
      <w:r>
        <w:rPr>
          <w:szCs w:val="22"/>
        </w:rPr>
        <w:t xml:space="preserve"> Choctaw Academy, which is located outside the presumed ½-mile APE</w:t>
      </w:r>
      <w:r w:rsidR="00F56ED8">
        <w:rPr>
          <w:szCs w:val="22"/>
        </w:rPr>
        <w:t xml:space="preserve"> established by the Nationwide Programmatic Agreement (NPA)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9"/>
      </w:r>
      <w:r>
        <w:rPr>
          <w:szCs w:val="22"/>
        </w:rPr>
        <w:t xml:space="preserve">  </w:t>
      </w:r>
      <w:r w:rsidR="008B6B3D" w:rsidRPr="00BB00E9">
        <w:rPr>
          <w:szCs w:val="22"/>
        </w:rPr>
        <w:t xml:space="preserve">On March 8, 2017, </w:t>
      </w:r>
      <w:r w:rsidR="00605B76" w:rsidRPr="00BB00E9">
        <w:rPr>
          <w:szCs w:val="22"/>
        </w:rPr>
        <w:t>WTB</w:t>
      </w:r>
      <w:r w:rsidR="008B6B3D" w:rsidRPr="00BB00E9">
        <w:rPr>
          <w:szCs w:val="22"/>
        </w:rPr>
        <w:t xml:space="preserve"> issued a</w:t>
      </w:r>
      <w:r w:rsidR="000F42DE">
        <w:rPr>
          <w:szCs w:val="22"/>
        </w:rPr>
        <w:t xml:space="preserve"> Decision </w:t>
      </w:r>
      <w:r w:rsidR="008B6B3D" w:rsidRPr="00BB00E9">
        <w:rPr>
          <w:szCs w:val="22"/>
        </w:rPr>
        <w:t xml:space="preserve">finding </w:t>
      </w:r>
      <w:r w:rsidR="00605B76" w:rsidRPr="00BB00E9">
        <w:rPr>
          <w:szCs w:val="22"/>
        </w:rPr>
        <w:t>the proposed</w:t>
      </w:r>
      <w:r w:rsidR="008B6B3D" w:rsidRPr="00BB00E9">
        <w:rPr>
          <w:szCs w:val="22"/>
        </w:rPr>
        <w:t xml:space="preserve"> tower would have no effect on the Choctaw Academy or any other historic property, and the sit</w:t>
      </w:r>
      <w:r w:rsidR="00BE2DB3">
        <w:rPr>
          <w:szCs w:val="22"/>
        </w:rPr>
        <w:t>ing</w:t>
      </w:r>
      <w:r w:rsidR="008B6B3D" w:rsidRPr="00BB00E9">
        <w:rPr>
          <w:szCs w:val="22"/>
        </w:rPr>
        <w:t xml:space="preserve"> of the tow</w:t>
      </w:r>
      <w:r w:rsidR="00940E81" w:rsidRPr="00BB00E9">
        <w:rPr>
          <w:szCs w:val="22"/>
        </w:rPr>
        <w:t>er did</w:t>
      </w:r>
      <w:r w:rsidR="008B6B3D" w:rsidRPr="00BB00E9">
        <w:rPr>
          <w:szCs w:val="22"/>
        </w:rPr>
        <w:t xml:space="preserve"> not warrant an incre</w:t>
      </w:r>
      <w:r w:rsidR="00013505" w:rsidRPr="00BB00E9">
        <w:rPr>
          <w:szCs w:val="22"/>
        </w:rPr>
        <w:t xml:space="preserve">ased </w:t>
      </w:r>
      <w:r w:rsidR="008B6B3D" w:rsidRPr="00BB00E9">
        <w:rPr>
          <w:szCs w:val="22"/>
        </w:rPr>
        <w:t>APE</w:t>
      </w:r>
      <w:r w:rsidR="005873BC" w:rsidRPr="00BB00E9">
        <w:rPr>
          <w:szCs w:val="22"/>
        </w:rPr>
        <w:t xml:space="preserve"> </w:t>
      </w:r>
      <w:r w:rsidR="002B30D4" w:rsidRPr="00BB00E9">
        <w:rPr>
          <w:szCs w:val="22"/>
        </w:rPr>
        <w:t>for visual effects</w:t>
      </w:r>
      <w:r w:rsidR="00D93C99" w:rsidRPr="00BB00E9">
        <w:rPr>
          <w:szCs w:val="22"/>
        </w:rPr>
        <w:t>.</w:t>
      </w:r>
      <w:r w:rsidR="008B6B3D" w:rsidRPr="00BB00E9">
        <w:rPr>
          <w:rStyle w:val="FootnoteReference"/>
          <w:sz w:val="22"/>
          <w:szCs w:val="22"/>
        </w:rPr>
        <w:footnoteReference w:id="10"/>
      </w:r>
      <w:r w:rsidR="00605B76" w:rsidRPr="00BB00E9">
        <w:rPr>
          <w:szCs w:val="22"/>
        </w:rPr>
        <w:t xml:space="preserve"> </w:t>
      </w:r>
      <w:r w:rsidR="001301F4" w:rsidRPr="00BB00E9">
        <w:rPr>
          <w:szCs w:val="22"/>
        </w:rPr>
        <w:t xml:space="preserve"> </w:t>
      </w:r>
      <w:r w:rsidR="00222E26">
        <w:rPr>
          <w:szCs w:val="22"/>
        </w:rPr>
        <w:t>T</w:t>
      </w:r>
      <w:r w:rsidR="00D93C99" w:rsidRPr="00BB00E9">
        <w:rPr>
          <w:szCs w:val="22"/>
        </w:rPr>
        <w:t xml:space="preserve">he </w:t>
      </w:r>
      <w:r w:rsidR="000F42DE">
        <w:rPr>
          <w:szCs w:val="22"/>
        </w:rPr>
        <w:t>Decision</w:t>
      </w:r>
      <w:r w:rsidR="00D93C99" w:rsidRPr="00BB00E9">
        <w:rPr>
          <w:szCs w:val="22"/>
        </w:rPr>
        <w:t xml:space="preserve"> </w:t>
      </w:r>
      <w:r w:rsidR="00222E26">
        <w:rPr>
          <w:szCs w:val="22"/>
        </w:rPr>
        <w:t xml:space="preserve">also </w:t>
      </w:r>
      <w:r w:rsidR="00605B76" w:rsidRPr="00BB00E9">
        <w:rPr>
          <w:szCs w:val="22"/>
        </w:rPr>
        <w:t xml:space="preserve">rejected </w:t>
      </w:r>
      <w:r w:rsidR="00D93C99" w:rsidRPr="00BB00E9">
        <w:rPr>
          <w:szCs w:val="22"/>
        </w:rPr>
        <w:t>the</w:t>
      </w:r>
      <w:r w:rsidR="00605B76" w:rsidRPr="00BB00E9">
        <w:rPr>
          <w:szCs w:val="22"/>
        </w:rPr>
        <w:t xml:space="preserve"> </w:t>
      </w:r>
      <w:r w:rsidR="00981CEE" w:rsidRPr="00BB00E9">
        <w:rPr>
          <w:szCs w:val="22"/>
        </w:rPr>
        <w:t xml:space="preserve">KY </w:t>
      </w:r>
      <w:r w:rsidR="00E81327" w:rsidRPr="00BB00E9">
        <w:rPr>
          <w:szCs w:val="22"/>
        </w:rPr>
        <w:t>SHPO</w:t>
      </w:r>
      <w:r w:rsidR="0002769D" w:rsidRPr="00BB00E9">
        <w:rPr>
          <w:szCs w:val="22"/>
        </w:rPr>
        <w:t>’</w:t>
      </w:r>
      <w:r w:rsidR="00013505" w:rsidRPr="00BB00E9">
        <w:rPr>
          <w:szCs w:val="22"/>
        </w:rPr>
        <w:t>s</w:t>
      </w:r>
      <w:r w:rsidR="0002769D" w:rsidRPr="00BB00E9">
        <w:rPr>
          <w:szCs w:val="22"/>
        </w:rPr>
        <w:t xml:space="preserve"> recommendation of </w:t>
      </w:r>
      <w:r w:rsidR="00605B76" w:rsidRPr="00BB00E9">
        <w:rPr>
          <w:szCs w:val="22"/>
        </w:rPr>
        <w:t>“adverse effect</w:t>
      </w:r>
      <w:r w:rsidR="0002769D" w:rsidRPr="00BB00E9">
        <w:rPr>
          <w:szCs w:val="22"/>
        </w:rPr>
        <w:t>,</w:t>
      </w:r>
      <w:r w:rsidR="00605B76" w:rsidRPr="00BB00E9">
        <w:rPr>
          <w:szCs w:val="22"/>
        </w:rPr>
        <w:t>”</w:t>
      </w:r>
      <w:r w:rsidR="007E0481" w:rsidRPr="00BB00E9">
        <w:rPr>
          <w:szCs w:val="22"/>
        </w:rPr>
        <w:t xml:space="preserve"> and concurred</w:t>
      </w:r>
      <w:r w:rsidR="00D93C99" w:rsidRPr="00BB00E9">
        <w:rPr>
          <w:szCs w:val="22"/>
        </w:rPr>
        <w:t xml:space="preserve"> with Skyway’s finding of “No Historic Properties Affected.”</w:t>
      </w:r>
      <w:r w:rsidR="00D93C99" w:rsidRPr="00BB00E9">
        <w:rPr>
          <w:rStyle w:val="FootnoteReference"/>
          <w:sz w:val="22"/>
          <w:szCs w:val="22"/>
        </w:rPr>
        <w:footnoteReference w:id="11"/>
      </w:r>
      <w:r w:rsidR="008B6B3D" w:rsidRPr="00BB00E9">
        <w:rPr>
          <w:szCs w:val="22"/>
        </w:rPr>
        <w:t xml:space="preserve"> </w:t>
      </w:r>
      <w:r w:rsidR="00BE0C4A">
        <w:rPr>
          <w:szCs w:val="22"/>
        </w:rPr>
        <w:t xml:space="preserve"> </w:t>
      </w:r>
    </w:p>
    <w:p w14:paraId="106BE832" w14:textId="353287C2" w:rsidR="003B1695" w:rsidRPr="00BB00E9" w:rsidRDefault="00AC645F" w:rsidP="00B0351B">
      <w:pPr>
        <w:pStyle w:val="ParaNum"/>
        <w:widowControl/>
        <w:ind w:firstLine="720"/>
        <w:rPr>
          <w:szCs w:val="22"/>
        </w:rPr>
      </w:pPr>
      <w:r w:rsidRPr="00BB00E9">
        <w:rPr>
          <w:i/>
          <w:szCs w:val="22"/>
        </w:rPr>
        <w:t xml:space="preserve">Petition for Reconsideration. </w:t>
      </w:r>
      <w:r w:rsidR="002B30D4" w:rsidRPr="00BB00E9">
        <w:rPr>
          <w:i/>
          <w:szCs w:val="22"/>
        </w:rPr>
        <w:t xml:space="preserve"> </w:t>
      </w:r>
      <w:r w:rsidR="008B6B3D" w:rsidRPr="00BB00E9">
        <w:rPr>
          <w:szCs w:val="22"/>
        </w:rPr>
        <w:t>On March 20, 2017, Richard</w:t>
      </w:r>
      <w:r w:rsidR="00D93C99" w:rsidRPr="00BB00E9">
        <w:rPr>
          <w:szCs w:val="22"/>
        </w:rPr>
        <w:t>son</w:t>
      </w:r>
      <w:r w:rsidR="002841FA">
        <w:rPr>
          <w:szCs w:val="22"/>
        </w:rPr>
        <w:t xml:space="preserve">, the owner of the Choctaw Academy and a consulting party </w:t>
      </w:r>
      <w:r w:rsidR="000505C9">
        <w:rPr>
          <w:szCs w:val="22"/>
        </w:rPr>
        <w:t>to the S</w:t>
      </w:r>
      <w:r w:rsidR="002841FA">
        <w:rPr>
          <w:szCs w:val="22"/>
        </w:rPr>
        <w:t>ection 106 process for the tower,</w:t>
      </w:r>
      <w:r w:rsidR="00D93C99" w:rsidRPr="00BB00E9">
        <w:rPr>
          <w:szCs w:val="22"/>
        </w:rPr>
        <w:t xml:space="preserve"> emailed Stephen Del</w:t>
      </w:r>
      <w:r w:rsidR="00BE2DB3">
        <w:rPr>
          <w:szCs w:val="22"/>
        </w:rPr>
        <w:t>S</w:t>
      </w:r>
      <w:r w:rsidR="00D93C99" w:rsidRPr="00BB00E9">
        <w:rPr>
          <w:szCs w:val="22"/>
        </w:rPr>
        <w:t>ordo</w:t>
      </w:r>
      <w:r w:rsidR="001F26D1" w:rsidRPr="00BB00E9">
        <w:rPr>
          <w:szCs w:val="22"/>
        </w:rPr>
        <w:t xml:space="preserve">, </w:t>
      </w:r>
      <w:r w:rsidR="00F820F9" w:rsidRPr="00BB00E9">
        <w:rPr>
          <w:szCs w:val="22"/>
        </w:rPr>
        <w:t>the Federal Communication</w:t>
      </w:r>
      <w:r w:rsidR="00BE2DB3">
        <w:rPr>
          <w:szCs w:val="22"/>
        </w:rPr>
        <w:t>s</w:t>
      </w:r>
      <w:r w:rsidR="00F820F9" w:rsidRPr="00BB00E9">
        <w:rPr>
          <w:szCs w:val="22"/>
        </w:rPr>
        <w:t xml:space="preserve"> Commission’s </w:t>
      </w:r>
      <w:r w:rsidR="001F26D1" w:rsidRPr="00BB00E9">
        <w:rPr>
          <w:szCs w:val="22"/>
        </w:rPr>
        <w:t>Federal Preservation Officer</w:t>
      </w:r>
      <w:r w:rsidR="00F820F9" w:rsidRPr="00BB00E9">
        <w:rPr>
          <w:szCs w:val="22"/>
        </w:rPr>
        <w:t>,</w:t>
      </w:r>
      <w:r w:rsidR="00615BCF" w:rsidRPr="00BB00E9">
        <w:rPr>
          <w:szCs w:val="22"/>
        </w:rPr>
        <w:t xml:space="preserve"> </w:t>
      </w:r>
      <w:r w:rsidR="00D31F74" w:rsidRPr="00BB00E9">
        <w:rPr>
          <w:szCs w:val="22"/>
        </w:rPr>
        <w:t>request</w:t>
      </w:r>
      <w:r w:rsidR="00F820F9" w:rsidRPr="00BB00E9">
        <w:rPr>
          <w:szCs w:val="22"/>
        </w:rPr>
        <w:t>ing that</w:t>
      </w:r>
      <w:r w:rsidR="00D31F74" w:rsidRPr="00BB00E9">
        <w:rPr>
          <w:szCs w:val="22"/>
        </w:rPr>
        <w:t xml:space="preserve"> WTB </w:t>
      </w:r>
      <w:r w:rsidR="00013505" w:rsidRPr="00BB00E9">
        <w:rPr>
          <w:szCs w:val="22"/>
        </w:rPr>
        <w:t>re</w:t>
      </w:r>
      <w:r w:rsidR="009372A1">
        <w:rPr>
          <w:szCs w:val="22"/>
        </w:rPr>
        <w:t>-evaluate</w:t>
      </w:r>
      <w:r w:rsidR="00D31F74" w:rsidRPr="00BB00E9">
        <w:rPr>
          <w:szCs w:val="22"/>
        </w:rPr>
        <w:t xml:space="preserve"> </w:t>
      </w:r>
      <w:r w:rsidR="00F820F9" w:rsidRPr="00BB00E9">
        <w:rPr>
          <w:szCs w:val="22"/>
        </w:rPr>
        <w:t>its</w:t>
      </w:r>
      <w:r w:rsidR="00D31F74" w:rsidRPr="00BB00E9">
        <w:rPr>
          <w:szCs w:val="22"/>
        </w:rPr>
        <w:t xml:space="preserve"> </w:t>
      </w:r>
      <w:r w:rsidR="000F42DE">
        <w:rPr>
          <w:szCs w:val="22"/>
        </w:rPr>
        <w:t>Decision</w:t>
      </w:r>
      <w:r w:rsidR="00D31F74" w:rsidRPr="00BB00E9">
        <w:rPr>
          <w:szCs w:val="22"/>
        </w:rPr>
        <w:t xml:space="preserve"> </w:t>
      </w:r>
      <w:r w:rsidR="00771AE9" w:rsidRPr="00BB00E9">
        <w:rPr>
          <w:szCs w:val="22"/>
        </w:rPr>
        <w:t>denying</w:t>
      </w:r>
      <w:r w:rsidR="00D31F74" w:rsidRPr="00BB00E9">
        <w:rPr>
          <w:szCs w:val="22"/>
        </w:rPr>
        <w:t xml:space="preserve"> the </w:t>
      </w:r>
      <w:r w:rsidR="00771AE9" w:rsidRPr="00BB00E9">
        <w:rPr>
          <w:szCs w:val="22"/>
        </w:rPr>
        <w:t xml:space="preserve">KY </w:t>
      </w:r>
      <w:r w:rsidR="00D31F74" w:rsidRPr="00BB00E9">
        <w:rPr>
          <w:szCs w:val="22"/>
        </w:rPr>
        <w:t xml:space="preserve">SHPO’s </w:t>
      </w:r>
      <w:r w:rsidR="0002769D" w:rsidRPr="00BB00E9">
        <w:rPr>
          <w:szCs w:val="22"/>
        </w:rPr>
        <w:t xml:space="preserve">recommendation of </w:t>
      </w:r>
      <w:r w:rsidR="007E0481" w:rsidRPr="00BB00E9">
        <w:rPr>
          <w:szCs w:val="22"/>
        </w:rPr>
        <w:t xml:space="preserve">“adverse effect” </w:t>
      </w:r>
      <w:r w:rsidR="00F820F9" w:rsidRPr="00BB00E9">
        <w:rPr>
          <w:szCs w:val="22"/>
        </w:rPr>
        <w:t>(March 20</w:t>
      </w:r>
      <w:r w:rsidR="00F820F9" w:rsidRPr="00BB00E9">
        <w:rPr>
          <w:szCs w:val="22"/>
          <w:vertAlign w:val="superscript"/>
        </w:rPr>
        <w:t>th</w:t>
      </w:r>
      <w:r w:rsidR="00F820F9" w:rsidRPr="00BB00E9">
        <w:rPr>
          <w:szCs w:val="22"/>
        </w:rPr>
        <w:t xml:space="preserve"> </w:t>
      </w:r>
      <w:r w:rsidR="009372A1">
        <w:rPr>
          <w:szCs w:val="22"/>
        </w:rPr>
        <w:t>E</w:t>
      </w:r>
      <w:r w:rsidR="00F820F9" w:rsidRPr="00BB00E9">
        <w:rPr>
          <w:szCs w:val="22"/>
        </w:rPr>
        <w:t>mail)</w:t>
      </w:r>
      <w:r w:rsidR="00D31F74" w:rsidRPr="00BB00E9">
        <w:rPr>
          <w:szCs w:val="22"/>
        </w:rPr>
        <w:t>.</w:t>
      </w:r>
      <w:r w:rsidR="00F820F9" w:rsidRPr="00BB00E9">
        <w:rPr>
          <w:rStyle w:val="FootnoteReference"/>
          <w:sz w:val="22"/>
          <w:szCs w:val="22"/>
        </w:rPr>
        <w:footnoteReference w:id="12"/>
      </w:r>
      <w:r w:rsidR="00D31F74" w:rsidRPr="00BB00E9">
        <w:rPr>
          <w:szCs w:val="22"/>
        </w:rPr>
        <w:t xml:space="preserve"> </w:t>
      </w:r>
      <w:r w:rsidR="00D70CE7" w:rsidRPr="00BB00E9">
        <w:rPr>
          <w:szCs w:val="22"/>
        </w:rPr>
        <w:t xml:space="preserve"> In </w:t>
      </w:r>
      <w:r w:rsidR="009372A1">
        <w:rPr>
          <w:szCs w:val="22"/>
        </w:rPr>
        <w:t xml:space="preserve">support </w:t>
      </w:r>
      <w:r w:rsidR="00BE2DB3">
        <w:rPr>
          <w:szCs w:val="22"/>
        </w:rPr>
        <w:t>of</w:t>
      </w:r>
      <w:r w:rsidR="009372A1">
        <w:rPr>
          <w:szCs w:val="22"/>
        </w:rPr>
        <w:t xml:space="preserve"> his request</w:t>
      </w:r>
      <w:r w:rsidR="00D70CE7" w:rsidRPr="00BB00E9">
        <w:rPr>
          <w:szCs w:val="22"/>
        </w:rPr>
        <w:t xml:space="preserve">, </w:t>
      </w:r>
      <w:r w:rsidR="00D31F74" w:rsidRPr="00BB00E9">
        <w:rPr>
          <w:szCs w:val="22"/>
        </w:rPr>
        <w:t>Richardson argue</w:t>
      </w:r>
      <w:r w:rsidR="00D70CE7" w:rsidRPr="00BB00E9">
        <w:rPr>
          <w:szCs w:val="22"/>
        </w:rPr>
        <w:t>d</w:t>
      </w:r>
      <w:r w:rsidR="00D31F74" w:rsidRPr="00BB00E9">
        <w:rPr>
          <w:szCs w:val="22"/>
        </w:rPr>
        <w:t xml:space="preserve"> that </w:t>
      </w:r>
      <w:r w:rsidR="00413343" w:rsidRPr="00BB00E9">
        <w:rPr>
          <w:szCs w:val="22"/>
        </w:rPr>
        <w:t xml:space="preserve">the Section 106 </w:t>
      </w:r>
      <w:r w:rsidR="007E0481" w:rsidRPr="00BB00E9">
        <w:rPr>
          <w:szCs w:val="22"/>
        </w:rPr>
        <w:t xml:space="preserve">Review </w:t>
      </w:r>
      <w:r w:rsidR="00413343" w:rsidRPr="00BB00E9">
        <w:rPr>
          <w:szCs w:val="22"/>
        </w:rPr>
        <w:t xml:space="preserve">process was not properly </w:t>
      </w:r>
      <w:r w:rsidR="002841FA">
        <w:rPr>
          <w:szCs w:val="22"/>
        </w:rPr>
        <w:t>conducted</w:t>
      </w:r>
      <w:r w:rsidR="00E45648" w:rsidRPr="00BB00E9">
        <w:rPr>
          <w:szCs w:val="22"/>
        </w:rPr>
        <w:t>,</w:t>
      </w:r>
      <w:r w:rsidR="00413343" w:rsidRPr="00BB00E9">
        <w:rPr>
          <w:szCs w:val="22"/>
        </w:rPr>
        <w:t xml:space="preserve"> the Consulting Parties operated under false information</w:t>
      </w:r>
      <w:r w:rsidR="00E45648" w:rsidRPr="00BB00E9">
        <w:rPr>
          <w:szCs w:val="22"/>
        </w:rPr>
        <w:t>,</w:t>
      </w:r>
      <w:r w:rsidR="00413343" w:rsidRPr="00BB00E9">
        <w:rPr>
          <w:szCs w:val="22"/>
        </w:rPr>
        <w:t xml:space="preserve"> public engagement was non-existent</w:t>
      </w:r>
      <w:r w:rsidR="00E45648" w:rsidRPr="00BB00E9">
        <w:rPr>
          <w:szCs w:val="22"/>
        </w:rPr>
        <w:t>,</w:t>
      </w:r>
      <w:r w:rsidR="00413343" w:rsidRPr="00BB00E9">
        <w:rPr>
          <w:szCs w:val="22"/>
        </w:rPr>
        <w:t xml:space="preserve"> and the survey of assets</w:t>
      </w:r>
      <w:r w:rsidR="00435016" w:rsidRPr="00BB00E9">
        <w:rPr>
          <w:szCs w:val="22"/>
        </w:rPr>
        <w:t xml:space="preserve"> was incomplete.</w:t>
      </w:r>
      <w:r w:rsidR="00D31F74" w:rsidRPr="00BB00E9">
        <w:rPr>
          <w:rStyle w:val="FootnoteReference"/>
          <w:sz w:val="22"/>
          <w:szCs w:val="22"/>
        </w:rPr>
        <w:footnoteReference w:id="13"/>
      </w:r>
      <w:r w:rsidR="00DE4AE1" w:rsidRPr="00BB00E9">
        <w:rPr>
          <w:szCs w:val="22"/>
        </w:rPr>
        <w:t xml:space="preserve"> </w:t>
      </w:r>
      <w:r w:rsidR="001301F4" w:rsidRPr="00BB00E9">
        <w:rPr>
          <w:szCs w:val="22"/>
        </w:rPr>
        <w:t xml:space="preserve"> </w:t>
      </w:r>
    </w:p>
    <w:p w14:paraId="74302F3C" w14:textId="4AF02D9F" w:rsidR="00D20EA0" w:rsidRDefault="001F26D1" w:rsidP="00B0351B">
      <w:pPr>
        <w:pStyle w:val="ParaNum"/>
        <w:widowControl/>
        <w:ind w:firstLine="720"/>
        <w:rPr>
          <w:szCs w:val="22"/>
        </w:rPr>
      </w:pPr>
      <w:r w:rsidRPr="00D20EA0">
        <w:rPr>
          <w:szCs w:val="22"/>
        </w:rPr>
        <w:t>WTB</w:t>
      </w:r>
      <w:r w:rsidR="000F42DE" w:rsidRPr="00D20EA0">
        <w:rPr>
          <w:szCs w:val="22"/>
        </w:rPr>
        <w:t xml:space="preserve"> staff</w:t>
      </w:r>
      <w:r w:rsidR="00C201D5" w:rsidRPr="00D20EA0">
        <w:rPr>
          <w:szCs w:val="22"/>
        </w:rPr>
        <w:t xml:space="preserve"> </w:t>
      </w:r>
      <w:r w:rsidR="00691BDB" w:rsidRPr="00D20EA0">
        <w:rPr>
          <w:szCs w:val="22"/>
        </w:rPr>
        <w:t xml:space="preserve">contacted </w:t>
      </w:r>
      <w:r w:rsidR="008B6B3D" w:rsidRPr="00D20EA0">
        <w:rPr>
          <w:szCs w:val="22"/>
        </w:rPr>
        <w:t xml:space="preserve">Richardson on March </w:t>
      </w:r>
      <w:r w:rsidR="00940E81" w:rsidRPr="00D20EA0">
        <w:rPr>
          <w:szCs w:val="22"/>
        </w:rPr>
        <w:t>31, 2017</w:t>
      </w:r>
      <w:r w:rsidR="00AE3DAF" w:rsidRPr="00D20EA0">
        <w:rPr>
          <w:szCs w:val="22"/>
        </w:rPr>
        <w:t>,</w:t>
      </w:r>
      <w:r w:rsidR="00940E81" w:rsidRPr="00D20EA0">
        <w:rPr>
          <w:szCs w:val="22"/>
        </w:rPr>
        <w:t xml:space="preserve"> </w:t>
      </w:r>
      <w:r w:rsidR="0002769D" w:rsidRPr="00D20EA0">
        <w:rPr>
          <w:szCs w:val="22"/>
        </w:rPr>
        <w:t>to inform</w:t>
      </w:r>
      <w:r w:rsidR="00AC645F" w:rsidRPr="00D20EA0">
        <w:rPr>
          <w:szCs w:val="22"/>
        </w:rPr>
        <w:t xml:space="preserve"> him</w:t>
      </w:r>
      <w:r w:rsidR="00940E81" w:rsidRPr="00D20EA0">
        <w:rPr>
          <w:szCs w:val="22"/>
        </w:rPr>
        <w:t xml:space="preserve"> of the Commission’s procedural requirements for filing a </w:t>
      </w:r>
      <w:r w:rsidR="001301F4" w:rsidRPr="00D20EA0">
        <w:rPr>
          <w:szCs w:val="22"/>
        </w:rPr>
        <w:t>Petition</w:t>
      </w:r>
      <w:r w:rsidR="00D20EA0" w:rsidRPr="00D20EA0">
        <w:rPr>
          <w:szCs w:val="22"/>
        </w:rPr>
        <w:t xml:space="preserve"> and </w:t>
      </w:r>
      <w:r w:rsidR="00940E81" w:rsidRPr="00D20EA0">
        <w:rPr>
          <w:szCs w:val="22"/>
        </w:rPr>
        <w:t xml:space="preserve">explain that </w:t>
      </w:r>
      <w:r w:rsidR="009372A1" w:rsidRPr="00D20EA0">
        <w:rPr>
          <w:szCs w:val="22"/>
        </w:rPr>
        <w:t>the</w:t>
      </w:r>
      <w:r w:rsidR="00940E81" w:rsidRPr="00D20EA0">
        <w:rPr>
          <w:szCs w:val="22"/>
        </w:rPr>
        <w:t xml:space="preserve"> </w:t>
      </w:r>
      <w:r w:rsidR="00771AE9" w:rsidRPr="00D20EA0">
        <w:rPr>
          <w:szCs w:val="22"/>
        </w:rPr>
        <w:t>March 20</w:t>
      </w:r>
      <w:r w:rsidR="00771AE9" w:rsidRPr="00D20EA0">
        <w:rPr>
          <w:szCs w:val="22"/>
          <w:vertAlign w:val="superscript"/>
        </w:rPr>
        <w:t>th</w:t>
      </w:r>
      <w:r w:rsidR="00771AE9" w:rsidRPr="00D20EA0">
        <w:rPr>
          <w:szCs w:val="22"/>
        </w:rPr>
        <w:t xml:space="preserve"> </w:t>
      </w:r>
      <w:r w:rsidR="009372A1" w:rsidRPr="00D20EA0">
        <w:rPr>
          <w:szCs w:val="22"/>
        </w:rPr>
        <w:t>E</w:t>
      </w:r>
      <w:r w:rsidR="00940E81" w:rsidRPr="00D20EA0">
        <w:rPr>
          <w:szCs w:val="22"/>
        </w:rPr>
        <w:t xml:space="preserve">mail did not amount to a formal </w:t>
      </w:r>
      <w:r w:rsidR="001301F4" w:rsidRPr="00D20EA0">
        <w:rPr>
          <w:szCs w:val="22"/>
        </w:rPr>
        <w:t>Petition</w:t>
      </w:r>
      <w:r w:rsidR="00691BDB" w:rsidRPr="00D20EA0">
        <w:rPr>
          <w:szCs w:val="22"/>
        </w:rPr>
        <w:t xml:space="preserve"> i</w:t>
      </w:r>
      <w:r w:rsidR="00AC645F" w:rsidRPr="00D20EA0">
        <w:rPr>
          <w:szCs w:val="22"/>
        </w:rPr>
        <w:t>n accordance with</w:t>
      </w:r>
      <w:r w:rsidR="00BE2DB3">
        <w:rPr>
          <w:szCs w:val="22"/>
        </w:rPr>
        <w:t xml:space="preserve"> the</w:t>
      </w:r>
      <w:r w:rsidR="00AC645F" w:rsidRPr="00D20EA0">
        <w:rPr>
          <w:szCs w:val="22"/>
        </w:rPr>
        <w:t xml:space="preserve"> Commission</w:t>
      </w:r>
      <w:r w:rsidR="006F3066" w:rsidRPr="00D20EA0">
        <w:rPr>
          <w:szCs w:val="22"/>
        </w:rPr>
        <w:t>’s rules</w:t>
      </w:r>
      <w:r w:rsidR="00AC645F" w:rsidRPr="00D20EA0">
        <w:rPr>
          <w:szCs w:val="22"/>
        </w:rPr>
        <w:t>.</w:t>
      </w:r>
      <w:r w:rsidR="00D20EA0" w:rsidRPr="00952AB3">
        <w:rPr>
          <w:rStyle w:val="FootnoteReference"/>
          <w:sz w:val="22"/>
          <w:szCs w:val="22"/>
        </w:rPr>
        <w:footnoteReference w:id="14"/>
      </w:r>
      <w:r w:rsidR="00AC645F" w:rsidRPr="00D20EA0">
        <w:rPr>
          <w:szCs w:val="22"/>
        </w:rPr>
        <w:t xml:space="preserve">  </w:t>
      </w:r>
      <w:r w:rsidR="00AA4301" w:rsidRPr="00D20EA0">
        <w:rPr>
          <w:szCs w:val="22"/>
        </w:rPr>
        <w:t>At the request of</w:t>
      </w:r>
      <w:r w:rsidR="00EB4611" w:rsidRPr="00D20EA0">
        <w:rPr>
          <w:szCs w:val="22"/>
        </w:rPr>
        <w:t xml:space="preserve"> the parties, </w:t>
      </w:r>
      <w:r w:rsidR="00E71196" w:rsidRPr="00D20EA0">
        <w:rPr>
          <w:szCs w:val="22"/>
        </w:rPr>
        <w:t xml:space="preserve">a teleconference </w:t>
      </w:r>
      <w:r w:rsidR="00AA4301" w:rsidRPr="00D20EA0">
        <w:rPr>
          <w:szCs w:val="22"/>
        </w:rPr>
        <w:t xml:space="preserve">was arranged </w:t>
      </w:r>
      <w:r w:rsidR="00D70CE7" w:rsidRPr="00D20EA0">
        <w:rPr>
          <w:szCs w:val="22"/>
        </w:rPr>
        <w:t xml:space="preserve">for April 6, 2017 </w:t>
      </w:r>
      <w:r w:rsidR="00E71196" w:rsidRPr="00D20EA0">
        <w:rPr>
          <w:szCs w:val="22"/>
        </w:rPr>
        <w:t>with</w:t>
      </w:r>
      <w:r w:rsidR="00F653E4" w:rsidRPr="00D20EA0">
        <w:rPr>
          <w:szCs w:val="22"/>
        </w:rPr>
        <w:t xml:space="preserve"> </w:t>
      </w:r>
      <w:r w:rsidR="00E45648" w:rsidRPr="00D20EA0">
        <w:rPr>
          <w:szCs w:val="22"/>
        </w:rPr>
        <w:t xml:space="preserve">Christopher </w:t>
      </w:r>
      <w:r w:rsidR="00F653E4" w:rsidRPr="00D20EA0">
        <w:rPr>
          <w:szCs w:val="22"/>
        </w:rPr>
        <w:t xml:space="preserve">Clendenen </w:t>
      </w:r>
      <w:r w:rsidR="00E45648" w:rsidRPr="00D20EA0">
        <w:rPr>
          <w:szCs w:val="22"/>
        </w:rPr>
        <w:t>(Richardson’s counsel)</w:t>
      </w:r>
      <w:r w:rsidR="004D69BF" w:rsidRPr="00D20EA0">
        <w:rPr>
          <w:szCs w:val="22"/>
        </w:rPr>
        <w:t>,</w:t>
      </w:r>
      <w:r w:rsidR="00E45648" w:rsidRPr="00D20EA0">
        <w:rPr>
          <w:szCs w:val="22"/>
        </w:rPr>
        <w:t xml:space="preserve"> </w:t>
      </w:r>
      <w:r w:rsidR="00AA4301" w:rsidRPr="00D20EA0">
        <w:rPr>
          <w:szCs w:val="22"/>
        </w:rPr>
        <w:t>Michele Farquhar</w:t>
      </w:r>
      <w:r w:rsidR="004D69BF" w:rsidRPr="00D20EA0">
        <w:rPr>
          <w:szCs w:val="22"/>
        </w:rPr>
        <w:t xml:space="preserve"> and</w:t>
      </w:r>
      <w:r w:rsidR="00E71196" w:rsidRPr="00D20EA0">
        <w:rPr>
          <w:szCs w:val="22"/>
        </w:rPr>
        <w:t xml:space="preserve"> Arpan Sura (</w:t>
      </w:r>
      <w:r w:rsidR="00F653E4" w:rsidRPr="00D20EA0">
        <w:rPr>
          <w:szCs w:val="22"/>
        </w:rPr>
        <w:t>Skyway</w:t>
      </w:r>
      <w:r w:rsidR="00E45648" w:rsidRPr="00D20EA0">
        <w:rPr>
          <w:szCs w:val="22"/>
        </w:rPr>
        <w:t>’s counsel</w:t>
      </w:r>
      <w:r w:rsidR="00E71196" w:rsidRPr="00D20EA0">
        <w:rPr>
          <w:szCs w:val="22"/>
        </w:rPr>
        <w:t>)</w:t>
      </w:r>
      <w:r w:rsidR="009372A1" w:rsidRPr="00D20EA0">
        <w:rPr>
          <w:szCs w:val="22"/>
        </w:rPr>
        <w:t>,</w:t>
      </w:r>
      <w:r w:rsidR="00AA4301" w:rsidRPr="00D20EA0">
        <w:rPr>
          <w:szCs w:val="22"/>
        </w:rPr>
        <w:t xml:space="preserve"> and WTB staff</w:t>
      </w:r>
      <w:r w:rsidR="005700DB" w:rsidRPr="00D20EA0">
        <w:rPr>
          <w:szCs w:val="22"/>
        </w:rPr>
        <w:t xml:space="preserve"> to ensure </w:t>
      </w:r>
      <w:r w:rsidR="00F653E4" w:rsidRPr="00D20EA0">
        <w:rPr>
          <w:szCs w:val="22"/>
        </w:rPr>
        <w:t>that</w:t>
      </w:r>
      <w:r w:rsidR="005700DB" w:rsidRPr="00D20EA0">
        <w:rPr>
          <w:szCs w:val="22"/>
        </w:rPr>
        <w:t xml:space="preserve"> all</w:t>
      </w:r>
      <w:r w:rsidR="00D57B52" w:rsidRPr="00D20EA0">
        <w:rPr>
          <w:szCs w:val="22"/>
        </w:rPr>
        <w:t xml:space="preserve"> </w:t>
      </w:r>
      <w:r w:rsidR="00E71196" w:rsidRPr="00D20EA0">
        <w:rPr>
          <w:szCs w:val="22"/>
        </w:rPr>
        <w:t xml:space="preserve">parties had </w:t>
      </w:r>
      <w:r w:rsidR="00C201D5" w:rsidRPr="00D20EA0">
        <w:rPr>
          <w:szCs w:val="22"/>
        </w:rPr>
        <w:t>relevant</w:t>
      </w:r>
      <w:r w:rsidR="00D57B52" w:rsidRPr="00D20EA0">
        <w:rPr>
          <w:szCs w:val="22"/>
        </w:rPr>
        <w:t xml:space="preserve"> information </w:t>
      </w:r>
      <w:r w:rsidR="00C201D5" w:rsidRPr="00D20EA0">
        <w:rPr>
          <w:szCs w:val="22"/>
        </w:rPr>
        <w:t>and document</w:t>
      </w:r>
      <w:r w:rsidR="00076DD3">
        <w:rPr>
          <w:szCs w:val="22"/>
        </w:rPr>
        <w:t>s</w:t>
      </w:r>
      <w:r w:rsidR="00C201D5" w:rsidRPr="00D20EA0">
        <w:rPr>
          <w:szCs w:val="22"/>
        </w:rPr>
        <w:t>.</w:t>
      </w:r>
      <w:r w:rsidR="0002769D" w:rsidRPr="00D20EA0">
        <w:rPr>
          <w:szCs w:val="22"/>
        </w:rPr>
        <w:t xml:space="preserve">  </w:t>
      </w:r>
      <w:r w:rsidR="00D57B52" w:rsidRPr="00D20EA0">
        <w:rPr>
          <w:szCs w:val="22"/>
        </w:rPr>
        <w:t xml:space="preserve">During this </w:t>
      </w:r>
      <w:r w:rsidR="005B1AD3" w:rsidRPr="00D20EA0">
        <w:rPr>
          <w:szCs w:val="22"/>
        </w:rPr>
        <w:t>conference call</w:t>
      </w:r>
      <w:r w:rsidR="00771AE9" w:rsidRPr="00D20EA0">
        <w:rPr>
          <w:szCs w:val="22"/>
        </w:rPr>
        <w:t>,</w:t>
      </w:r>
      <w:r w:rsidR="00D57B52" w:rsidRPr="00D20EA0">
        <w:rPr>
          <w:szCs w:val="22"/>
        </w:rPr>
        <w:t xml:space="preserve"> </w:t>
      </w:r>
      <w:r w:rsidR="00691BDB" w:rsidRPr="00D20EA0">
        <w:rPr>
          <w:szCs w:val="22"/>
        </w:rPr>
        <w:t>the parties</w:t>
      </w:r>
      <w:r w:rsidR="00D57B52" w:rsidRPr="00D20EA0">
        <w:rPr>
          <w:szCs w:val="22"/>
        </w:rPr>
        <w:t xml:space="preserve"> </w:t>
      </w:r>
      <w:r w:rsidR="000F42DE" w:rsidRPr="00D20EA0">
        <w:rPr>
          <w:szCs w:val="22"/>
        </w:rPr>
        <w:t>discussed allowing</w:t>
      </w:r>
      <w:r w:rsidR="00D57B52" w:rsidRPr="00D20EA0">
        <w:rPr>
          <w:szCs w:val="22"/>
        </w:rPr>
        <w:t xml:space="preserve"> Richardson </w:t>
      </w:r>
      <w:r w:rsidR="004B799A" w:rsidRPr="00D20EA0">
        <w:rPr>
          <w:szCs w:val="22"/>
        </w:rPr>
        <w:t>an extension beyon</w:t>
      </w:r>
      <w:r w:rsidR="000F42DE" w:rsidRPr="00D20EA0">
        <w:rPr>
          <w:szCs w:val="22"/>
        </w:rPr>
        <w:t>d the statutory 30-day period to</w:t>
      </w:r>
      <w:r w:rsidR="00D57B52" w:rsidRPr="00D20EA0">
        <w:rPr>
          <w:szCs w:val="22"/>
        </w:rPr>
        <w:t xml:space="preserve"> </w:t>
      </w:r>
      <w:r w:rsidR="00BE2DB3">
        <w:rPr>
          <w:szCs w:val="22"/>
        </w:rPr>
        <w:t>s</w:t>
      </w:r>
      <w:r w:rsidR="00BB1825" w:rsidRPr="00D20EA0">
        <w:rPr>
          <w:szCs w:val="22"/>
        </w:rPr>
        <w:t xml:space="preserve">upplement </w:t>
      </w:r>
      <w:r w:rsidR="00C201D5" w:rsidRPr="00D20EA0">
        <w:rPr>
          <w:szCs w:val="22"/>
        </w:rPr>
        <w:t xml:space="preserve">his </w:t>
      </w:r>
      <w:r w:rsidR="00762287" w:rsidRPr="00D20EA0">
        <w:rPr>
          <w:szCs w:val="22"/>
        </w:rPr>
        <w:t>Petition</w:t>
      </w:r>
      <w:r w:rsidR="00D70CE7" w:rsidRPr="00D20EA0">
        <w:rPr>
          <w:szCs w:val="22"/>
        </w:rPr>
        <w:t>,</w:t>
      </w:r>
      <w:r w:rsidR="00BE2DB3">
        <w:rPr>
          <w:rStyle w:val="FootnoteReference"/>
          <w:szCs w:val="22"/>
        </w:rPr>
        <w:footnoteReference w:id="15"/>
      </w:r>
      <w:r w:rsidR="00D70CE7" w:rsidRPr="00D20EA0">
        <w:rPr>
          <w:szCs w:val="22"/>
        </w:rPr>
        <w:t xml:space="preserve"> but</w:t>
      </w:r>
      <w:r w:rsidR="004B799A" w:rsidRPr="00D20EA0">
        <w:rPr>
          <w:szCs w:val="22"/>
        </w:rPr>
        <w:t xml:space="preserve"> </w:t>
      </w:r>
      <w:r w:rsidR="0054355A" w:rsidRPr="00D20EA0">
        <w:rPr>
          <w:szCs w:val="22"/>
        </w:rPr>
        <w:t xml:space="preserve">the parties </w:t>
      </w:r>
      <w:r w:rsidR="000F42DE" w:rsidRPr="00D20EA0">
        <w:rPr>
          <w:szCs w:val="22"/>
        </w:rPr>
        <w:t>di</w:t>
      </w:r>
      <w:r w:rsidR="0054355A" w:rsidRPr="00D20EA0">
        <w:rPr>
          <w:szCs w:val="22"/>
        </w:rPr>
        <w:t>d</w:t>
      </w:r>
      <w:r w:rsidR="00A1460F" w:rsidRPr="00D20EA0">
        <w:rPr>
          <w:szCs w:val="22"/>
        </w:rPr>
        <w:t xml:space="preserve"> not </w:t>
      </w:r>
      <w:r w:rsidR="00BB1825" w:rsidRPr="00D20EA0">
        <w:rPr>
          <w:szCs w:val="22"/>
        </w:rPr>
        <w:t>agree</w:t>
      </w:r>
      <w:r w:rsidR="00D70CE7" w:rsidRPr="00D20EA0">
        <w:rPr>
          <w:szCs w:val="22"/>
        </w:rPr>
        <w:t xml:space="preserve"> </w:t>
      </w:r>
      <w:r w:rsidR="0054355A" w:rsidRPr="00D20EA0">
        <w:rPr>
          <w:szCs w:val="22"/>
        </w:rPr>
        <w:t>on</w:t>
      </w:r>
      <w:r w:rsidR="00D70CE7" w:rsidRPr="00D20EA0">
        <w:rPr>
          <w:szCs w:val="22"/>
        </w:rPr>
        <w:t xml:space="preserve"> an extension</w:t>
      </w:r>
      <w:r w:rsidR="00BB1825" w:rsidRPr="00D20EA0">
        <w:rPr>
          <w:szCs w:val="22"/>
        </w:rPr>
        <w:t>.</w:t>
      </w:r>
      <w:r w:rsidR="000F42DE" w:rsidRPr="00D20EA0">
        <w:rPr>
          <w:szCs w:val="22"/>
        </w:rPr>
        <w:t xml:space="preserve"> </w:t>
      </w:r>
      <w:r w:rsidR="00BB1825" w:rsidRPr="00D20EA0">
        <w:rPr>
          <w:szCs w:val="22"/>
        </w:rPr>
        <w:t xml:space="preserve"> </w:t>
      </w:r>
    </w:p>
    <w:p w14:paraId="0C0B943C" w14:textId="1E9C576E" w:rsidR="003B1695" w:rsidRPr="00D20EA0" w:rsidRDefault="00F3045D" w:rsidP="00B0351B">
      <w:pPr>
        <w:pStyle w:val="ParaNum"/>
        <w:widowControl/>
        <w:ind w:firstLine="720"/>
        <w:rPr>
          <w:szCs w:val="22"/>
        </w:rPr>
      </w:pPr>
      <w:r w:rsidRPr="00D20EA0">
        <w:rPr>
          <w:szCs w:val="22"/>
        </w:rPr>
        <w:t xml:space="preserve">On April 7, 2017, Richardson </w:t>
      </w:r>
      <w:r w:rsidR="00F12BA3" w:rsidRPr="00D20EA0">
        <w:rPr>
          <w:szCs w:val="22"/>
        </w:rPr>
        <w:t xml:space="preserve">timely </w:t>
      </w:r>
      <w:r w:rsidRPr="00D20EA0">
        <w:rPr>
          <w:szCs w:val="22"/>
        </w:rPr>
        <w:t xml:space="preserve">filed </w:t>
      </w:r>
      <w:r w:rsidR="00F12BA3" w:rsidRPr="00D20EA0">
        <w:rPr>
          <w:szCs w:val="22"/>
        </w:rPr>
        <w:t>the</w:t>
      </w:r>
      <w:r w:rsidRPr="00D20EA0">
        <w:rPr>
          <w:szCs w:val="22"/>
        </w:rPr>
        <w:t xml:space="preserve"> </w:t>
      </w:r>
      <w:r w:rsidR="004A2DF7" w:rsidRPr="00D20EA0">
        <w:rPr>
          <w:szCs w:val="22"/>
        </w:rPr>
        <w:t>Petition</w:t>
      </w:r>
      <w:r w:rsidR="00D70CE7" w:rsidRPr="00D20EA0">
        <w:rPr>
          <w:szCs w:val="22"/>
        </w:rPr>
        <w:t xml:space="preserve">, arguing that </w:t>
      </w:r>
      <w:r w:rsidR="00F12BA3" w:rsidRPr="00D20EA0">
        <w:rPr>
          <w:szCs w:val="22"/>
        </w:rPr>
        <w:t xml:space="preserve">the proposed tower site is </w:t>
      </w:r>
      <w:r w:rsidR="009372A1" w:rsidRPr="00D20EA0">
        <w:rPr>
          <w:szCs w:val="22"/>
        </w:rPr>
        <w:t>0</w:t>
      </w:r>
      <w:r w:rsidR="00F12BA3" w:rsidRPr="00D20EA0">
        <w:rPr>
          <w:szCs w:val="22"/>
        </w:rPr>
        <w:t xml:space="preserve">.69 mile from the Choctaw Academy, not 1.6 miles as stated in the </w:t>
      </w:r>
      <w:r w:rsidR="00691BDB" w:rsidRPr="00D20EA0">
        <w:rPr>
          <w:szCs w:val="22"/>
        </w:rPr>
        <w:t>Decision</w:t>
      </w:r>
      <w:r w:rsidR="00BE2DB3">
        <w:rPr>
          <w:szCs w:val="22"/>
        </w:rPr>
        <w:t>,</w:t>
      </w:r>
      <w:r w:rsidR="00F12BA3" w:rsidRPr="00D20EA0">
        <w:rPr>
          <w:szCs w:val="22"/>
        </w:rPr>
        <w:t xml:space="preserve"> and that </w:t>
      </w:r>
      <w:r w:rsidR="00D70CE7" w:rsidRPr="00D20EA0">
        <w:rPr>
          <w:szCs w:val="22"/>
        </w:rPr>
        <w:t xml:space="preserve">the APE should be expanded </w:t>
      </w:r>
      <w:r w:rsidR="00981CEE" w:rsidRPr="00D20EA0">
        <w:rPr>
          <w:szCs w:val="22"/>
        </w:rPr>
        <w:t>to</w:t>
      </w:r>
      <w:r w:rsidR="00BE2DB3">
        <w:rPr>
          <w:szCs w:val="22"/>
        </w:rPr>
        <w:t xml:space="preserve"> a</w:t>
      </w:r>
      <w:r w:rsidR="00981CEE" w:rsidRPr="00D20EA0">
        <w:rPr>
          <w:szCs w:val="22"/>
        </w:rPr>
        <w:t xml:space="preserve"> </w:t>
      </w:r>
      <w:r w:rsidR="000602D8" w:rsidRPr="00D20EA0">
        <w:rPr>
          <w:szCs w:val="22"/>
        </w:rPr>
        <w:t>three-quarter</w:t>
      </w:r>
      <w:r w:rsidR="00981CEE" w:rsidRPr="00D20EA0">
        <w:rPr>
          <w:szCs w:val="22"/>
        </w:rPr>
        <w:t xml:space="preserve"> mile</w:t>
      </w:r>
      <w:r w:rsidR="00BE2DB3">
        <w:rPr>
          <w:szCs w:val="22"/>
        </w:rPr>
        <w:t xml:space="preserve"> radius</w:t>
      </w:r>
      <w:r w:rsidR="00981CEE" w:rsidRPr="00D20EA0">
        <w:rPr>
          <w:szCs w:val="22"/>
        </w:rPr>
        <w:t xml:space="preserve"> under the NPA.</w:t>
      </w:r>
      <w:r w:rsidR="00981CEE" w:rsidRPr="00952AB3">
        <w:rPr>
          <w:rStyle w:val="FootnoteReference"/>
          <w:sz w:val="22"/>
          <w:szCs w:val="22"/>
        </w:rPr>
        <w:footnoteReference w:id="16"/>
      </w:r>
      <w:r w:rsidR="004B19C6" w:rsidRPr="00D20EA0">
        <w:rPr>
          <w:szCs w:val="22"/>
        </w:rPr>
        <w:t xml:space="preserve">  </w:t>
      </w:r>
    </w:p>
    <w:p w14:paraId="38D93407" w14:textId="4BFDA03A" w:rsidR="00355A55" w:rsidRPr="0079547C" w:rsidRDefault="00AC645F" w:rsidP="00B0351B">
      <w:pPr>
        <w:pStyle w:val="ParaNum"/>
        <w:widowControl/>
        <w:ind w:firstLine="720"/>
        <w:rPr>
          <w:szCs w:val="22"/>
        </w:rPr>
      </w:pPr>
      <w:r w:rsidRPr="00481802">
        <w:rPr>
          <w:i/>
          <w:szCs w:val="22"/>
        </w:rPr>
        <w:t xml:space="preserve">Motion for Leave to file a Supplement to Petition for Reconsideration. </w:t>
      </w:r>
      <w:r w:rsidR="0002769D" w:rsidRPr="00481802">
        <w:rPr>
          <w:i/>
          <w:szCs w:val="22"/>
        </w:rPr>
        <w:t xml:space="preserve"> </w:t>
      </w:r>
      <w:r w:rsidR="0005336C" w:rsidRPr="00481802">
        <w:rPr>
          <w:szCs w:val="22"/>
        </w:rPr>
        <w:t>Richardson</w:t>
      </w:r>
      <w:r w:rsidR="00C74CE9">
        <w:rPr>
          <w:szCs w:val="22"/>
        </w:rPr>
        <w:t xml:space="preserve"> email</w:t>
      </w:r>
      <w:r w:rsidR="0005336C" w:rsidRPr="00481802">
        <w:rPr>
          <w:szCs w:val="22"/>
        </w:rPr>
        <w:t>ed his Motion and Supplement</w:t>
      </w:r>
      <w:r w:rsidR="00C74CE9">
        <w:rPr>
          <w:szCs w:val="22"/>
        </w:rPr>
        <w:t xml:space="preserve"> to Skyway and WTB staff on April 11, 2017</w:t>
      </w:r>
      <w:r w:rsidR="00BE49FB">
        <w:rPr>
          <w:szCs w:val="22"/>
        </w:rPr>
        <w:t>,</w:t>
      </w:r>
      <w:r w:rsidR="0005336C" w:rsidRPr="00481802">
        <w:rPr>
          <w:szCs w:val="22"/>
        </w:rPr>
        <w:t xml:space="preserve"> </w:t>
      </w:r>
      <w:r w:rsidR="00BE49FB">
        <w:rPr>
          <w:szCs w:val="22"/>
        </w:rPr>
        <w:t>f</w:t>
      </w:r>
      <w:r w:rsidR="0005336C" w:rsidRPr="00481802">
        <w:rPr>
          <w:szCs w:val="22"/>
        </w:rPr>
        <w:t xml:space="preserve">our days after conclusion of the </w:t>
      </w:r>
      <w:r w:rsidR="00691BDB">
        <w:rPr>
          <w:szCs w:val="22"/>
        </w:rPr>
        <w:t xml:space="preserve">statutory </w:t>
      </w:r>
      <w:r w:rsidR="0005336C" w:rsidRPr="00481802">
        <w:rPr>
          <w:szCs w:val="22"/>
        </w:rPr>
        <w:t>30-day</w:t>
      </w:r>
      <w:r w:rsidR="00BE2DB3">
        <w:rPr>
          <w:szCs w:val="22"/>
        </w:rPr>
        <w:t xml:space="preserve"> reconsideration</w:t>
      </w:r>
      <w:r w:rsidR="0005336C" w:rsidRPr="00481802">
        <w:rPr>
          <w:szCs w:val="22"/>
        </w:rPr>
        <w:t xml:space="preserve"> period</w:t>
      </w:r>
      <w:r w:rsidR="00C74CE9">
        <w:rPr>
          <w:szCs w:val="22"/>
        </w:rPr>
        <w:t>, and filed the Motion and Supplement the next day</w:t>
      </w:r>
      <w:r w:rsidR="0005336C" w:rsidRPr="00481802">
        <w:rPr>
          <w:szCs w:val="22"/>
        </w:rPr>
        <w:t>.</w:t>
      </w:r>
      <w:r w:rsidR="00C74CE9" w:rsidRPr="00481802">
        <w:rPr>
          <w:rStyle w:val="FootnoteReference"/>
          <w:sz w:val="22"/>
          <w:szCs w:val="22"/>
        </w:rPr>
        <w:footnoteReference w:id="17"/>
      </w:r>
      <w:r w:rsidR="0005336C" w:rsidRPr="00481802">
        <w:rPr>
          <w:szCs w:val="22"/>
        </w:rPr>
        <w:t xml:space="preserve">  </w:t>
      </w:r>
      <w:r w:rsidR="004B1419" w:rsidRPr="00481802">
        <w:rPr>
          <w:szCs w:val="22"/>
        </w:rPr>
        <w:t xml:space="preserve">Richardson argues </w:t>
      </w:r>
      <w:r w:rsidR="00CC3B9E" w:rsidRPr="00481802">
        <w:rPr>
          <w:szCs w:val="22"/>
        </w:rPr>
        <w:t xml:space="preserve">in the Motion </w:t>
      </w:r>
      <w:r w:rsidR="004B799A" w:rsidRPr="00481802">
        <w:rPr>
          <w:szCs w:val="22"/>
        </w:rPr>
        <w:t>that</w:t>
      </w:r>
      <w:r w:rsidR="004B1419" w:rsidRPr="00481802">
        <w:rPr>
          <w:szCs w:val="22"/>
        </w:rPr>
        <w:t xml:space="preserve"> </w:t>
      </w:r>
      <w:r w:rsidR="00C74CE9">
        <w:rPr>
          <w:szCs w:val="22"/>
        </w:rPr>
        <w:t xml:space="preserve">because </w:t>
      </w:r>
      <w:r w:rsidR="004B1419" w:rsidRPr="00481802">
        <w:rPr>
          <w:szCs w:val="22"/>
        </w:rPr>
        <w:t>he w</w:t>
      </w:r>
      <w:r w:rsidR="00615BCF" w:rsidRPr="00481802">
        <w:rPr>
          <w:szCs w:val="22"/>
        </w:rPr>
        <w:t xml:space="preserve">as unaware of the </w:t>
      </w:r>
      <w:r w:rsidR="00222E26">
        <w:rPr>
          <w:szCs w:val="22"/>
        </w:rPr>
        <w:t xml:space="preserve">inadequacy </w:t>
      </w:r>
      <w:r w:rsidR="00615BCF" w:rsidRPr="00481802">
        <w:rPr>
          <w:szCs w:val="22"/>
        </w:rPr>
        <w:t>of his</w:t>
      </w:r>
      <w:r w:rsidR="00ED736B" w:rsidRPr="00481802">
        <w:rPr>
          <w:szCs w:val="22"/>
        </w:rPr>
        <w:t xml:space="preserve"> March 20</w:t>
      </w:r>
      <w:r w:rsidR="00ED736B" w:rsidRPr="00481802">
        <w:rPr>
          <w:szCs w:val="22"/>
          <w:vertAlign w:val="superscript"/>
        </w:rPr>
        <w:t>th</w:t>
      </w:r>
      <w:r w:rsidR="00615BCF" w:rsidRPr="00481802">
        <w:rPr>
          <w:szCs w:val="22"/>
        </w:rPr>
        <w:t xml:space="preserve"> email</w:t>
      </w:r>
      <w:r w:rsidR="00BE2DB3">
        <w:rPr>
          <w:szCs w:val="22"/>
        </w:rPr>
        <w:t xml:space="preserve"> </w:t>
      </w:r>
      <w:r w:rsidR="00222E26">
        <w:rPr>
          <w:szCs w:val="22"/>
        </w:rPr>
        <w:t xml:space="preserve">as a petition for reconsideration </w:t>
      </w:r>
      <w:r w:rsidR="00BE2DB3">
        <w:rPr>
          <w:szCs w:val="22"/>
        </w:rPr>
        <w:t>until shortly before the 30-day period expired</w:t>
      </w:r>
      <w:r w:rsidR="000602D8" w:rsidRPr="00481802">
        <w:rPr>
          <w:szCs w:val="22"/>
        </w:rPr>
        <w:t>,</w:t>
      </w:r>
      <w:r w:rsidR="00BE2DB3">
        <w:rPr>
          <w:szCs w:val="22"/>
        </w:rPr>
        <w:t xml:space="preserve"> he was not given a meaningful opportunity to be heard and</w:t>
      </w:r>
      <w:r w:rsidR="000602D8" w:rsidRPr="00481802">
        <w:rPr>
          <w:szCs w:val="22"/>
        </w:rPr>
        <w:t xml:space="preserve"> </w:t>
      </w:r>
      <w:r w:rsidR="00ED736B" w:rsidRPr="00481802">
        <w:rPr>
          <w:szCs w:val="22"/>
        </w:rPr>
        <w:t>he is</w:t>
      </w:r>
      <w:r w:rsidR="00BE2DB3">
        <w:rPr>
          <w:szCs w:val="22"/>
        </w:rPr>
        <w:t xml:space="preserve"> therefore</w:t>
      </w:r>
      <w:r w:rsidR="00615BCF" w:rsidRPr="00481802">
        <w:rPr>
          <w:szCs w:val="22"/>
        </w:rPr>
        <w:t xml:space="preserve"> </w:t>
      </w:r>
      <w:r w:rsidR="004B1419" w:rsidRPr="00481802">
        <w:rPr>
          <w:szCs w:val="22"/>
        </w:rPr>
        <w:t>entitle</w:t>
      </w:r>
      <w:r w:rsidR="004A2DF7" w:rsidRPr="00481802">
        <w:rPr>
          <w:szCs w:val="22"/>
        </w:rPr>
        <w:t>d to file a Supplement to his Petition</w:t>
      </w:r>
      <w:r w:rsidR="004B1419" w:rsidRPr="00481802">
        <w:rPr>
          <w:szCs w:val="22"/>
        </w:rPr>
        <w:t>.</w:t>
      </w:r>
      <w:r w:rsidR="00ED736B" w:rsidRPr="00481802">
        <w:rPr>
          <w:rStyle w:val="FootnoteReference"/>
          <w:sz w:val="22"/>
          <w:szCs w:val="22"/>
        </w:rPr>
        <w:footnoteReference w:id="18"/>
      </w:r>
      <w:r w:rsidR="00615BCF" w:rsidRPr="00481802">
        <w:rPr>
          <w:szCs w:val="22"/>
        </w:rPr>
        <w:t xml:space="preserve"> </w:t>
      </w:r>
      <w:r w:rsidR="004A2DF7" w:rsidRPr="00481802">
        <w:rPr>
          <w:szCs w:val="22"/>
        </w:rPr>
        <w:t xml:space="preserve"> </w:t>
      </w:r>
      <w:r w:rsidR="00CC3B9E" w:rsidRPr="00481802">
        <w:rPr>
          <w:szCs w:val="22"/>
        </w:rPr>
        <w:t>Pending a ruling on the Motion</w:t>
      </w:r>
      <w:r w:rsidR="00887828" w:rsidRPr="00481802">
        <w:rPr>
          <w:szCs w:val="22"/>
        </w:rPr>
        <w:t>, Division staff tolled the pleading cycle for the underlying P</w:t>
      </w:r>
      <w:r w:rsidR="0002769D" w:rsidRPr="00481802">
        <w:rPr>
          <w:szCs w:val="22"/>
        </w:rPr>
        <w:t>etition</w:t>
      </w:r>
      <w:r w:rsidR="00887828" w:rsidRPr="00481802">
        <w:rPr>
          <w:szCs w:val="22"/>
        </w:rPr>
        <w:t>, and established a pleading cycle for parties to respond to the Motion.</w:t>
      </w:r>
      <w:r w:rsidR="00887828" w:rsidRPr="0079547C">
        <w:rPr>
          <w:rStyle w:val="FootnoteReference"/>
          <w:sz w:val="22"/>
          <w:szCs w:val="22"/>
        </w:rPr>
        <w:footnoteReference w:id="19"/>
      </w:r>
      <w:r w:rsidR="00887828" w:rsidRPr="0079547C">
        <w:rPr>
          <w:szCs w:val="22"/>
        </w:rPr>
        <w:t xml:space="preserve"> </w:t>
      </w:r>
      <w:r w:rsidR="001D31FC" w:rsidRPr="0079547C">
        <w:rPr>
          <w:szCs w:val="22"/>
        </w:rPr>
        <w:t xml:space="preserve"> </w:t>
      </w:r>
      <w:r w:rsidR="005B1AD3" w:rsidRPr="0079547C">
        <w:rPr>
          <w:szCs w:val="22"/>
        </w:rPr>
        <w:t>On April 20, 2017, Skyway submitted an Opposition to Richardson’s Motion</w:t>
      </w:r>
      <w:r w:rsidR="00B57413">
        <w:rPr>
          <w:szCs w:val="22"/>
        </w:rPr>
        <w:t xml:space="preserve"> (Opposition)</w:t>
      </w:r>
      <w:r w:rsidR="009C600D" w:rsidRPr="0079547C">
        <w:rPr>
          <w:szCs w:val="22"/>
        </w:rPr>
        <w:t>,</w:t>
      </w:r>
      <w:r w:rsidR="00AE3DAF" w:rsidRPr="0079547C">
        <w:rPr>
          <w:szCs w:val="22"/>
        </w:rPr>
        <w:t xml:space="preserve"> </w:t>
      </w:r>
      <w:r w:rsidR="00C201D5" w:rsidRPr="0079547C">
        <w:rPr>
          <w:szCs w:val="22"/>
        </w:rPr>
        <w:t>argu</w:t>
      </w:r>
      <w:r w:rsidR="005B1AD3" w:rsidRPr="0079547C">
        <w:rPr>
          <w:szCs w:val="22"/>
        </w:rPr>
        <w:t xml:space="preserve">ing </w:t>
      </w:r>
      <w:r w:rsidR="00CE43E0" w:rsidRPr="0079547C">
        <w:rPr>
          <w:szCs w:val="22"/>
        </w:rPr>
        <w:t>the</w:t>
      </w:r>
      <w:r w:rsidR="005B1AD3" w:rsidRPr="0079547C">
        <w:rPr>
          <w:szCs w:val="22"/>
        </w:rPr>
        <w:t xml:space="preserve"> Motion should be denied because</w:t>
      </w:r>
      <w:r w:rsidR="002841FA">
        <w:rPr>
          <w:szCs w:val="22"/>
        </w:rPr>
        <w:t xml:space="preserve"> no extraordinary circumstances justify the late submission</w:t>
      </w:r>
      <w:r w:rsidR="00333C89">
        <w:rPr>
          <w:szCs w:val="22"/>
        </w:rPr>
        <w:t xml:space="preserve"> </w:t>
      </w:r>
      <w:r w:rsidR="00A00A06">
        <w:rPr>
          <w:szCs w:val="22"/>
        </w:rPr>
        <w:t>of the Supplement</w:t>
      </w:r>
      <w:r w:rsidR="005B1AD3" w:rsidRPr="0079547C">
        <w:rPr>
          <w:szCs w:val="22"/>
        </w:rPr>
        <w:t>.</w:t>
      </w:r>
      <w:r w:rsidR="000D5F1D" w:rsidRPr="0079547C">
        <w:rPr>
          <w:szCs w:val="22"/>
          <w:vertAlign w:val="superscript"/>
        </w:rPr>
        <w:footnoteReference w:id="20"/>
      </w:r>
      <w:r w:rsidR="00887828" w:rsidRPr="0079547C">
        <w:rPr>
          <w:szCs w:val="22"/>
        </w:rPr>
        <w:t xml:space="preserve">  </w:t>
      </w:r>
      <w:r w:rsidR="001D31FC" w:rsidRPr="0079547C">
        <w:rPr>
          <w:szCs w:val="22"/>
        </w:rPr>
        <w:t xml:space="preserve">On April 28, 2017, Richardson filed a Reply to Skyway’s Opposition to </w:t>
      </w:r>
      <w:r w:rsidR="006B41DB" w:rsidRPr="0079547C">
        <w:rPr>
          <w:szCs w:val="22"/>
        </w:rPr>
        <w:t xml:space="preserve">the </w:t>
      </w:r>
      <w:r w:rsidR="001D31FC" w:rsidRPr="0079547C">
        <w:rPr>
          <w:szCs w:val="22"/>
        </w:rPr>
        <w:t>Motion</w:t>
      </w:r>
      <w:r w:rsidR="00B57413">
        <w:rPr>
          <w:szCs w:val="22"/>
        </w:rPr>
        <w:t xml:space="preserve"> (Reply)</w:t>
      </w:r>
      <w:r w:rsidR="001D31FC" w:rsidRPr="0079547C">
        <w:rPr>
          <w:szCs w:val="22"/>
        </w:rPr>
        <w:t>.</w:t>
      </w:r>
      <w:r w:rsidR="001D31FC" w:rsidRPr="0079547C">
        <w:rPr>
          <w:rStyle w:val="FootnoteReference"/>
          <w:sz w:val="22"/>
          <w:szCs w:val="22"/>
        </w:rPr>
        <w:footnoteReference w:id="21"/>
      </w:r>
      <w:r w:rsidR="001D31FC" w:rsidRPr="0079547C">
        <w:rPr>
          <w:szCs w:val="22"/>
        </w:rPr>
        <w:t xml:space="preserve">  </w:t>
      </w:r>
    </w:p>
    <w:p w14:paraId="7FADB21A" w14:textId="77777777" w:rsidR="00BD2456" w:rsidRPr="0079547C" w:rsidRDefault="00BD2456" w:rsidP="00B0351B">
      <w:pPr>
        <w:pStyle w:val="Heading1"/>
        <w:widowControl/>
        <w:rPr>
          <w:rFonts w:ascii="Times New Roman" w:hAnsi="Times New Roman"/>
          <w:szCs w:val="22"/>
        </w:rPr>
      </w:pPr>
      <w:r w:rsidRPr="0079547C">
        <w:rPr>
          <w:rFonts w:ascii="Times New Roman" w:hAnsi="Times New Roman"/>
          <w:szCs w:val="22"/>
        </w:rPr>
        <w:t xml:space="preserve">Discussion </w:t>
      </w:r>
    </w:p>
    <w:p w14:paraId="1C23EC08" w14:textId="283C65D2" w:rsidR="003B1695" w:rsidRPr="00BB00E9" w:rsidRDefault="00266600" w:rsidP="00B0351B">
      <w:pPr>
        <w:pStyle w:val="ParaNum"/>
        <w:widowControl/>
        <w:ind w:firstLine="720"/>
        <w:rPr>
          <w:szCs w:val="22"/>
        </w:rPr>
      </w:pPr>
      <w:r w:rsidRPr="006C0176">
        <w:rPr>
          <w:szCs w:val="22"/>
        </w:rPr>
        <w:t xml:space="preserve">Absent extraordinary circumstances, the Commission’s power to consider </w:t>
      </w:r>
      <w:r w:rsidR="00200309">
        <w:rPr>
          <w:szCs w:val="22"/>
        </w:rPr>
        <w:t>p</w:t>
      </w:r>
      <w:r w:rsidRPr="006C0176">
        <w:rPr>
          <w:szCs w:val="22"/>
        </w:rPr>
        <w:t>etitions</w:t>
      </w:r>
      <w:r w:rsidR="00BE2DB3">
        <w:rPr>
          <w:szCs w:val="22"/>
        </w:rPr>
        <w:t xml:space="preserve"> for reconsideration</w:t>
      </w:r>
      <w:r w:rsidRPr="006C0176">
        <w:rPr>
          <w:szCs w:val="22"/>
        </w:rPr>
        <w:t xml:space="preserve"> is limited to those filed within 30 days of the Commission’s final action.</w:t>
      </w:r>
      <w:r w:rsidRPr="006C0176">
        <w:rPr>
          <w:rStyle w:val="FootnoteReference"/>
          <w:sz w:val="22"/>
          <w:szCs w:val="22"/>
        </w:rPr>
        <w:footnoteReference w:id="22"/>
      </w:r>
      <w:r w:rsidRPr="006C0176">
        <w:rPr>
          <w:szCs w:val="22"/>
        </w:rPr>
        <w:t xml:space="preserve">  </w:t>
      </w:r>
      <w:r w:rsidR="00BA06E9" w:rsidRPr="00B86FD3">
        <w:rPr>
          <w:szCs w:val="22"/>
        </w:rPr>
        <w:t>Section 1.106</w:t>
      </w:r>
      <w:r w:rsidR="00CA12C6" w:rsidRPr="00F90781">
        <w:rPr>
          <w:szCs w:val="22"/>
        </w:rPr>
        <w:t>(f)</w:t>
      </w:r>
      <w:r w:rsidR="00BA06E9" w:rsidRPr="00F90781">
        <w:rPr>
          <w:szCs w:val="22"/>
        </w:rPr>
        <w:t xml:space="preserve"> </w:t>
      </w:r>
      <w:r w:rsidR="00AC014D" w:rsidRPr="00F90781">
        <w:rPr>
          <w:szCs w:val="22"/>
        </w:rPr>
        <w:t xml:space="preserve">of the Commission’s rules </w:t>
      </w:r>
      <w:r w:rsidR="00BA06E9" w:rsidRPr="00BB00E9">
        <w:rPr>
          <w:szCs w:val="22"/>
        </w:rPr>
        <w:t>s</w:t>
      </w:r>
      <w:r w:rsidR="00CE43E0" w:rsidRPr="00BB00E9">
        <w:rPr>
          <w:szCs w:val="22"/>
        </w:rPr>
        <w:t>t</w:t>
      </w:r>
      <w:r w:rsidR="00BA06E9" w:rsidRPr="00BB00E9">
        <w:rPr>
          <w:szCs w:val="22"/>
        </w:rPr>
        <w:t>a</w:t>
      </w:r>
      <w:r w:rsidR="00CE43E0" w:rsidRPr="00BB00E9">
        <w:rPr>
          <w:szCs w:val="22"/>
        </w:rPr>
        <w:t>te</w:t>
      </w:r>
      <w:r w:rsidR="00BA06E9" w:rsidRPr="00BB00E9">
        <w:rPr>
          <w:szCs w:val="22"/>
        </w:rPr>
        <w:t xml:space="preserve">s that a </w:t>
      </w:r>
      <w:r w:rsidR="00CE43E0" w:rsidRPr="00BB00E9">
        <w:rPr>
          <w:szCs w:val="22"/>
        </w:rPr>
        <w:t>P</w:t>
      </w:r>
      <w:r w:rsidR="002216AD" w:rsidRPr="00BB00E9">
        <w:rPr>
          <w:szCs w:val="22"/>
        </w:rPr>
        <w:t>etition</w:t>
      </w:r>
      <w:r w:rsidR="000D5F1D" w:rsidRPr="00BB00E9">
        <w:rPr>
          <w:szCs w:val="22"/>
        </w:rPr>
        <w:t>,</w:t>
      </w:r>
      <w:r w:rsidR="002D1569" w:rsidRPr="00BB00E9">
        <w:rPr>
          <w:szCs w:val="22"/>
        </w:rPr>
        <w:t xml:space="preserve"> </w:t>
      </w:r>
      <w:r w:rsidR="002D1569" w:rsidRPr="00BB00E9">
        <w:rPr>
          <w:i/>
          <w:szCs w:val="22"/>
        </w:rPr>
        <w:t>and an</w:t>
      </w:r>
      <w:r w:rsidR="00A10FD0" w:rsidRPr="00BB00E9">
        <w:rPr>
          <w:i/>
          <w:szCs w:val="22"/>
        </w:rPr>
        <w:t>y supplement thereto</w:t>
      </w:r>
      <w:r w:rsidR="000D5F1D" w:rsidRPr="00BB00E9">
        <w:rPr>
          <w:szCs w:val="22"/>
        </w:rPr>
        <w:t>,</w:t>
      </w:r>
      <w:r w:rsidR="00A10FD0" w:rsidRPr="00BB00E9">
        <w:rPr>
          <w:szCs w:val="22"/>
        </w:rPr>
        <w:t xml:space="preserve"> shall be filed within 30 days from the date of public notice of the final Commission action, and shall be served upon parties to the proceeding.</w:t>
      </w:r>
      <w:r w:rsidR="00A10FD0" w:rsidRPr="0079547C">
        <w:rPr>
          <w:rStyle w:val="FootnoteReference"/>
          <w:sz w:val="22"/>
          <w:szCs w:val="22"/>
        </w:rPr>
        <w:footnoteReference w:id="23"/>
      </w:r>
      <w:r w:rsidR="00EE5A5E" w:rsidRPr="00B86FD3">
        <w:rPr>
          <w:szCs w:val="22"/>
        </w:rPr>
        <w:t xml:space="preserve">  </w:t>
      </w:r>
      <w:r w:rsidR="00A00A06">
        <w:rPr>
          <w:szCs w:val="22"/>
        </w:rPr>
        <w:t xml:space="preserve">Although </w:t>
      </w:r>
      <w:r w:rsidR="000505C9">
        <w:rPr>
          <w:szCs w:val="22"/>
        </w:rPr>
        <w:t>S</w:t>
      </w:r>
      <w:r w:rsidR="00A00A06">
        <w:rPr>
          <w:szCs w:val="22"/>
        </w:rPr>
        <w:t>ection 1.106(f) gives the Commission discretion to consider late-filed supplements to timely filed petitions if a petitioner presents sufficient justification</w:t>
      </w:r>
      <w:r w:rsidR="00B24AA6">
        <w:rPr>
          <w:szCs w:val="22"/>
        </w:rPr>
        <w:t>,</w:t>
      </w:r>
      <w:r w:rsidR="008F76CB">
        <w:rPr>
          <w:rStyle w:val="FootnoteReference"/>
          <w:szCs w:val="22"/>
        </w:rPr>
        <w:footnoteReference w:id="24"/>
      </w:r>
      <w:r w:rsidR="00A00A06" w:rsidRPr="00333C89">
        <w:rPr>
          <w:szCs w:val="22"/>
        </w:rPr>
        <w:t xml:space="preserve"> </w:t>
      </w:r>
      <w:r w:rsidR="00A00A06">
        <w:rPr>
          <w:szCs w:val="22"/>
        </w:rPr>
        <w:t>the</w:t>
      </w:r>
      <w:r w:rsidR="00EE5A5E" w:rsidRPr="00B86FD3">
        <w:rPr>
          <w:szCs w:val="22"/>
        </w:rPr>
        <w:t xml:space="preserve"> Commission does not generally or readily accept late-filed supplements</w:t>
      </w:r>
      <w:r w:rsidR="00CA12C6" w:rsidRPr="00B86FD3">
        <w:rPr>
          <w:szCs w:val="22"/>
        </w:rPr>
        <w:t xml:space="preserve">, </w:t>
      </w:r>
      <w:r w:rsidR="00544F6F">
        <w:rPr>
          <w:szCs w:val="22"/>
        </w:rPr>
        <w:t>and</w:t>
      </w:r>
      <w:r w:rsidR="00AE1311">
        <w:rPr>
          <w:szCs w:val="22"/>
        </w:rPr>
        <w:t xml:space="preserve"> </w:t>
      </w:r>
      <w:r w:rsidR="00CA12C6" w:rsidRPr="00B86FD3">
        <w:rPr>
          <w:szCs w:val="22"/>
        </w:rPr>
        <w:t xml:space="preserve">the Commission will not accept </w:t>
      </w:r>
      <w:r w:rsidR="006B7D29" w:rsidRPr="00B86FD3">
        <w:rPr>
          <w:szCs w:val="22"/>
        </w:rPr>
        <w:t xml:space="preserve">new </w:t>
      </w:r>
      <w:r w:rsidR="00013505" w:rsidRPr="00F90781">
        <w:rPr>
          <w:szCs w:val="22"/>
        </w:rPr>
        <w:t xml:space="preserve">information </w:t>
      </w:r>
      <w:r w:rsidR="00E828BB" w:rsidRPr="00F90781">
        <w:rPr>
          <w:szCs w:val="22"/>
        </w:rPr>
        <w:t>rais</w:t>
      </w:r>
      <w:r w:rsidR="00CA12C6" w:rsidRPr="00F90781">
        <w:rPr>
          <w:szCs w:val="22"/>
        </w:rPr>
        <w:t xml:space="preserve">ed in a late-filed supplement </w:t>
      </w:r>
      <w:r w:rsidR="00E828BB" w:rsidRPr="00F90781">
        <w:rPr>
          <w:szCs w:val="22"/>
        </w:rPr>
        <w:t>without an</w:t>
      </w:r>
      <w:r w:rsidR="00CA12C6" w:rsidRPr="00BB00E9">
        <w:rPr>
          <w:szCs w:val="22"/>
        </w:rPr>
        <w:t xml:space="preserve"> explanation for the omission</w:t>
      </w:r>
      <w:r w:rsidR="00013505" w:rsidRPr="00BB00E9">
        <w:rPr>
          <w:szCs w:val="22"/>
        </w:rPr>
        <w:t xml:space="preserve"> of the new information</w:t>
      </w:r>
      <w:r w:rsidR="00CA12C6" w:rsidRPr="00BB00E9">
        <w:rPr>
          <w:szCs w:val="22"/>
        </w:rPr>
        <w:t xml:space="preserve"> in the original Petition.</w:t>
      </w:r>
      <w:r w:rsidR="00CA12C6" w:rsidRPr="0079547C">
        <w:rPr>
          <w:rStyle w:val="FootnoteReference"/>
          <w:sz w:val="22"/>
          <w:szCs w:val="22"/>
        </w:rPr>
        <w:footnoteReference w:id="25"/>
      </w:r>
      <w:r w:rsidR="00CA12C6" w:rsidRPr="00B86FD3">
        <w:rPr>
          <w:szCs w:val="22"/>
        </w:rPr>
        <w:t xml:space="preserve">  </w:t>
      </w:r>
      <w:r w:rsidR="00772D3A" w:rsidRPr="00B86FD3">
        <w:rPr>
          <w:szCs w:val="22"/>
        </w:rPr>
        <w:t xml:space="preserve">The Commission has stated that </w:t>
      </w:r>
      <w:r w:rsidR="00772D3A" w:rsidRPr="00F90781">
        <w:rPr>
          <w:szCs w:val="22"/>
        </w:rPr>
        <w:t>a</w:t>
      </w:r>
      <w:r w:rsidR="00EE5A5E" w:rsidRPr="00F90781">
        <w:rPr>
          <w:szCs w:val="22"/>
        </w:rPr>
        <w:t xml:space="preserve"> strict enforcement of Section </w:t>
      </w:r>
      <w:r w:rsidR="00E87533">
        <w:rPr>
          <w:szCs w:val="22"/>
        </w:rPr>
        <w:t>1.</w:t>
      </w:r>
      <w:r w:rsidR="00EE5A5E" w:rsidRPr="00F90781">
        <w:rPr>
          <w:szCs w:val="22"/>
        </w:rPr>
        <w:t>106(f)’s filing period is “both necessary and desirable” to</w:t>
      </w:r>
      <w:r w:rsidR="0005336C" w:rsidRPr="00F90781">
        <w:rPr>
          <w:szCs w:val="22"/>
        </w:rPr>
        <w:t xml:space="preserve"> prevent Commission staff</w:t>
      </w:r>
      <w:r w:rsidR="0005336C" w:rsidRPr="00BB00E9">
        <w:rPr>
          <w:szCs w:val="22"/>
        </w:rPr>
        <w:t xml:space="preserve"> from being overwhelmed by </w:t>
      </w:r>
      <w:r w:rsidR="00EE5A5E" w:rsidRPr="00BB00E9">
        <w:rPr>
          <w:szCs w:val="22"/>
        </w:rPr>
        <w:t>pleadings.</w:t>
      </w:r>
      <w:r w:rsidR="00EE5A5E" w:rsidRPr="0079547C">
        <w:rPr>
          <w:rStyle w:val="FootnoteReference"/>
          <w:sz w:val="22"/>
          <w:szCs w:val="22"/>
        </w:rPr>
        <w:footnoteReference w:id="26"/>
      </w:r>
      <w:r w:rsidR="00CA12C6" w:rsidRPr="00B86FD3">
        <w:rPr>
          <w:szCs w:val="22"/>
        </w:rPr>
        <w:t xml:space="preserve"> </w:t>
      </w:r>
    </w:p>
    <w:p w14:paraId="704196CD" w14:textId="1B700FE2" w:rsidR="00F86A68" w:rsidRDefault="000016BF" w:rsidP="00B0351B">
      <w:pPr>
        <w:pStyle w:val="ParaNum"/>
        <w:widowControl/>
        <w:ind w:firstLine="720"/>
        <w:rPr>
          <w:szCs w:val="22"/>
        </w:rPr>
      </w:pPr>
      <w:r w:rsidRPr="0079547C">
        <w:rPr>
          <w:szCs w:val="22"/>
        </w:rPr>
        <w:t>In his Motion, Richardson argues he was not afforded a “meaningful opportunity to be heard”</w:t>
      </w:r>
      <w:r w:rsidR="001A772A" w:rsidRPr="0079547C">
        <w:rPr>
          <w:szCs w:val="22"/>
        </w:rPr>
        <w:t xml:space="preserve"> regarding his timely-filed Petition.</w:t>
      </w:r>
      <w:r w:rsidRPr="0079547C">
        <w:rPr>
          <w:rStyle w:val="FootnoteReference"/>
          <w:sz w:val="22"/>
          <w:szCs w:val="22"/>
        </w:rPr>
        <w:footnoteReference w:id="27"/>
      </w:r>
      <w:r w:rsidR="00E828BB" w:rsidRPr="0079547C">
        <w:rPr>
          <w:szCs w:val="22"/>
        </w:rPr>
        <w:t xml:space="preserve">  </w:t>
      </w:r>
      <w:r w:rsidRPr="0079547C">
        <w:rPr>
          <w:szCs w:val="22"/>
        </w:rPr>
        <w:t xml:space="preserve">He </w:t>
      </w:r>
      <w:r w:rsidR="00E828BB" w:rsidRPr="0079547C">
        <w:rPr>
          <w:szCs w:val="22"/>
        </w:rPr>
        <w:t>argu</w:t>
      </w:r>
      <w:r w:rsidRPr="0079547C">
        <w:rPr>
          <w:szCs w:val="22"/>
        </w:rPr>
        <w:t xml:space="preserve">es that after following the suggestion of </w:t>
      </w:r>
      <w:r w:rsidR="00CE43E0" w:rsidRPr="0079547C">
        <w:rPr>
          <w:szCs w:val="22"/>
        </w:rPr>
        <w:t>WTB</w:t>
      </w:r>
      <w:r w:rsidRPr="0079547C">
        <w:rPr>
          <w:szCs w:val="22"/>
        </w:rPr>
        <w:t xml:space="preserve"> staff </w:t>
      </w:r>
      <w:r w:rsidR="00936539">
        <w:rPr>
          <w:szCs w:val="22"/>
        </w:rPr>
        <w:t xml:space="preserve">to </w:t>
      </w:r>
      <w:r w:rsidRPr="0079547C">
        <w:rPr>
          <w:szCs w:val="22"/>
        </w:rPr>
        <w:t xml:space="preserve">obtain counsel and all necessary documentation, his “meaningful opportunity to be heard” amounted to ninety minutes to </w:t>
      </w:r>
      <w:r w:rsidR="00CE43E0" w:rsidRPr="0079547C">
        <w:rPr>
          <w:szCs w:val="22"/>
        </w:rPr>
        <w:t>draft and submit</w:t>
      </w:r>
      <w:r w:rsidRPr="0079547C">
        <w:rPr>
          <w:szCs w:val="22"/>
        </w:rPr>
        <w:t xml:space="preserve"> a P</w:t>
      </w:r>
      <w:r w:rsidR="00E828BB" w:rsidRPr="0079547C">
        <w:rPr>
          <w:szCs w:val="22"/>
        </w:rPr>
        <w:t>etition</w:t>
      </w:r>
      <w:r w:rsidRPr="0079547C">
        <w:rPr>
          <w:szCs w:val="22"/>
        </w:rPr>
        <w:t>.</w:t>
      </w:r>
      <w:r w:rsidRPr="0079547C">
        <w:rPr>
          <w:rStyle w:val="FootnoteReference"/>
          <w:sz w:val="22"/>
          <w:szCs w:val="22"/>
        </w:rPr>
        <w:footnoteReference w:id="28"/>
      </w:r>
      <w:r w:rsidR="00E828BB" w:rsidRPr="0079547C">
        <w:rPr>
          <w:szCs w:val="22"/>
        </w:rPr>
        <w:t xml:space="preserve">  </w:t>
      </w:r>
      <w:r w:rsidR="00C74CE9">
        <w:rPr>
          <w:szCs w:val="22"/>
        </w:rPr>
        <w:t>We reject this argument, as t</w:t>
      </w:r>
      <w:r w:rsidR="00FF18B9">
        <w:rPr>
          <w:szCs w:val="22"/>
        </w:rPr>
        <w:t xml:space="preserve">he Commission has long held that ignorance of </w:t>
      </w:r>
      <w:r w:rsidR="00C74CE9">
        <w:rPr>
          <w:szCs w:val="22"/>
        </w:rPr>
        <w:t>it</w:t>
      </w:r>
      <w:r w:rsidR="00FF18B9">
        <w:rPr>
          <w:szCs w:val="22"/>
        </w:rPr>
        <w:t>s rules does not constitute good cause for failure to comply</w:t>
      </w:r>
      <w:r w:rsidR="00931EA8">
        <w:rPr>
          <w:szCs w:val="22"/>
        </w:rPr>
        <w:t xml:space="preserve"> with the</w:t>
      </w:r>
      <w:r w:rsidR="00610EBD">
        <w:rPr>
          <w:szCs w:val="22"/>
        </w:rPr>
        <w:t>m</w:t>
      </w:r>
      <w:r w:rsidR="00FF18B9">
        <w:rPr>
          <w:szCs w:val="22"/>
        </w:rPr>
        <w:t>.</w:t>
      </w:r>
      <w:r w:rsidR="000D6B71">
        <w:rPr>
          <w:rStyle w:val="FootnoteReference"/>
          <w:szCs w:val="22"/>
        </w:rPr>
        <w:footnoteReference w:id="29"/>
      </w:r>
      <w:r w:rsidR="000D6B71">
        <w:rPr>
          <w:szCs w:val="22"/>
        </w:rPr>
        <w:t xml:space="preserve"> </w:t>
      </w:r>
      <w:r w:rsidR="00FF18B9">
        <w:rPr>
          <w:szCs w:val="22"/>
        </w:rPr>
        <w:t xml:space="preserve"> </w:t>
      </w:r>
      <w:r w:rsidR="00BF6E5D">
        <w:rPr>
          <w:szCs w:val="22"/>
        </w:rPr>
        <w:t>Section 1.106 of the Commission’s rules set</w:t>
      </w:r>
      <w:r w:rsidR="001D34D9">
        <w:rPr>
          <w:szCs w:val="22"/>
        </w:rPr>
        <w:t>s forth the requirements for a P</w:t>
      </w:r>
      <w:r w:rsidR="00BF6E5D">
        <w:rPr>
          <w:szCs w:val="22"/>
        </w:rPr>
        <w:t xml:space="preserve">etition for </w:t>
      </w:r>
      <w:r w:rsidR="001D34D9">
        <w:rPr>
          <w:szCs w:val="22"/>
        </w:rPr>
        <w:t>R</w:t>
      </w:r>
      <w:r w:rsidR="00BF6E5D">
        <w:rPr>
          <w:szCs w:val="22"/>
        </w:rPr>
        <w:t>econsideration.  Without intervention</w:t>
      </w:r>
      <w:r w:rsidR="00B37FFA">
        <w:rPr>
          <w:szCs w:val="22"/>
        </w:rPr>
        <w:t>, which WTB staff</w:t>
      </w:r>
      <w:r w:rsidR="00BF6E5D">
        <w:rPr>
          <w:szCs w:val="22"/>
        </w:rPr>
        <w:t xml:space="preserve"> was not required to undertake, the March 20</w:t>
      </w:r>
      <w:r w:rsidR="00C95C7D" w:rsidRPr="00C95C7D">
        <w:rPr>
          <w:szCs w:val="22"/>
          <w:vertAlign w:val="superscript"/>
        </w:rPr>
        <w:t>th</w:t>
      </w:r>
      <w:r w:rsidR="00C95C7D">
        <w:rPr>
          <w:szCs w:val="22"/>
        </w:rPr>
        <w:t xml:space="preserve"> </w:t>
      </w:r>
      <w:r w:rsidR="00BF6E5D">
        <w:rPr>
          <w:szCs w:val="22"/>
        </w:rPr>
        <w:t>Email would have been subject to dismissal for failure to meet multiple requirements, including the obligation to serve other parties</w:t>
      </w:r>
      <w:r w:rsidR="00BF6E5D">
        <w:rPr>
          <w:rStyle w:val="FootnoteReference"/>
          <w:szCs w:val="22"/>
        </w:rPr>
        <w:footnoteReference w:id="30"/>
      </w:r>
      <w:r w:rsidR="00BF6E5D">
        <w:rPr>
          <w:szCs w:val="22"/>
        </w:rPr>
        <w:t xml:space="preserve"> and the requirement to file with the Secretary wherein there is an explicit statement that email to staff is inadequate.</w:t>
      </w:r>
      <w:r w:rsidR="00BF6E5D">
        <w:rPr>
          <w:rStyle w:val="FootnoteReference"/>
          <w:szCs w:val="22"/>
        </w:rPr>
        <w:footnoteReference w:id="31"/>
      </w:r>
      <w:r w:rsidR="00F86A68">
        <w:rPr>
          <w:szCs w:val="22"/>
        </w:rPr>
        <w:t xml:space="preserve">  Thus, rather than prevent Rich</w:t>
      </w:r>
      <w:r w:rsidR="00F61F8E">
        <w:rPr>
          <w:szCs w:val="22"/>
        </w:rPr>
        <w:t>ardson from submitting a valid Petition</w:t>
      </w:r>
      <w:r w:rsidR="00F86A68">
        <w:rPr>
          <w:szCs w:val="22"/>
        </w:rPr>
        <w:t>, as Richardson contends, WTB Staff preserved his ability to have his concerns considered at all.</w:t>
      </w:r>
    </w:p>
    <w:p w14:paraId="04243E75" w14:textId="5544433F" w:rsidR="000D6B71" w:rsidRDefault="00F86A68" w:rsidP="00B0351B">
      <w:pPr>
        <w:pStyle w:val="ParaNum"/>
        <w:widowControl/>
        <w:ind w:firstLine="720"/>
        <w:rPr>
          <w:szCs w:val="22"/>
        </w:rPr>
      </w:pPr>
      <w:r>
        <w:rPr>
          <w:szCs w:val="22"/>
        </w:rPr>
        <w:t xml:space="preserve">In addition, </w:t>
      </w:r>
      <w:r w:rsidR="004E1645">
        <w:rPr>
          <w:szCs w:val="22"/>
        </w:rPr>
        <w:t>Richardson</w:t>
      </w:r>
      <w:r w:rsidR="00694F2D">
        <w:rPr>
          <w:szCs w:val="22"/>
        </w:rPr>
        <w:t xml:space="preserve">’s reliance on </w:t>
      </w:r>
      <w:r w:rsidR="000D6B71">
        <w:rPr>
          <w:i/>
          <w:szCs w:val="22"/>
        </w:rPr>
        <w:t>Gardner</w:t>
      </w:r>
      <w:r w:rsidR="00694F2D">
        <w:rPr>
          <w:i/>
          <w:szCs w:val="22"/>
        </w:rPr>
        <w:t xml:space="preserve"> v. FCC</w:t>
      </w:r>
      <w:r w:rsidR="00694F2D">
        <w:rPr>
          <w:szCs w:val="22"/>
        </w:rPr>
        <w:t xml:space="preserve"> is misplaced, as the court in that case found that the Commission had failed to provide notice of its decision to an interested party.</w:t>
      </w:r>
      <w:r w:rsidR="00134F15" w:rsidRPr="00C95C7D">
        <w:rPr>
          <w:rStyle w:val="FootnoteReference"/>
          <w:szCs w:val="22"/>
        </w:rPr>
        <w:footnoteReference w:id="32"/>
      </w:r>
      <w:r w:rsidR="00694F2D">
        <w:rPr>
          <w:szCs w:val="22"/>
        </w:rPr>
        <w:t xml:space="preserve"> </w:t>
      </w:r>
      <w:r w:rsidR="004E1645">
        <w:rPr>
          <w:szCs w:val="22"/>
        </w:rPr>
        <w:t xml:space="preserve"> </w:t>
      </w:r>
      <w:r w:rsidR="00694F2D">
        <w:rPr>
          <w:szCs w:val="22"/>
        </w:rPr>
        <w:t>I</w:t>
      </w:r>
      <w:r w:rsidR="004E1645">
        <w:rPr>
          <w:szCs w:val="22"/>
        </w:rPr>
        <w:t xml:space="preserve">n this case, Richardson </w:t>
      </w:r>
      <w:r w:rsidR="000D7890">
        <w:rPr>
          <w:szCs w:val="22"/>
        </w:rPr>
        <w:t xml:space="preserve">acknowledges that he </w:t>
      </w:r>
      <w:r w:rsidR="004E1645">
        <w:rPr>
          <w:szCs w:val="22"/>
        </w:rPr>
        <w:t xml:space="preserve">was provided </w:t>
      </w:r>
      <w:r w:rsidR="00694F2D">
        <w:rPr>
          <w:szCs w:val="22"/>
        </w:rPr>
        <w:t>notice</w:t>
      </w:r>
      <w:r w:rsidR="004E1645">
        <w:rPr>
          <w:szCs w:val="22"/>
        </w:rPr>
        <w:t xml:space="preserve"> of the </w:t>
      </w:r>
      <w:r w:rsidR="006F3066">
        <w:rPr>
          <w:szCs w:val="22"/>
        </w:rPr>
        <w:t>Decision</w:t>
      </w:r>
      <w:r w:rsidR="000D6B71">
        <w:rPr>
          <w:szCs w:val="22"/>
        </w:rPr>
        <w:t>.</w:t>
      </w:r>
      <w:r w:rsidR="004E1645">
        <w:rPr>
          <w:rStyle w:val="FootnoteReference"/>
          <w:szCs w:val="22"/>
        </w:rPr>
        <w:footnoteReference w:id="33"/>
      </w:r>
      <w:r w:rsidR="000D6B71">
        <w:rPr>
          <w:szCs w:val="22"/>
        </w:rPr>
        <w:t xml:space="preserve"> </w:t>
      </w:r>
    </w:p>
    <w:p w14:paraId="07A83C74" w14:textId="15F4EFED" w:rsidR="009C4339" w:rsidRPr="0079547C" w:rsidRDefault="000D6B71" w:rsidP="00B0351B">
      <w:pPr>
        <w:pStyle w:val="ParaNum"/>
        <w:widowControl/>
        <w:ind w:firstLine="720"/>
        <w:rPr>
          <w:szCs w:val="22"/>
        </w:rPr>
      </w:pPr>
      <w:r>
        <w:rPr>
          <w:szCs w:val="22"/>
        </w:rPr>
        <w:t>I</w:t>
      </w:r>
      <w:r w:rsidR="000016BF" w:rsidRPr="0079547C">
        <w:rPr>
          <w:szCs w:val="22"/>
        </w:rPr>
        <w:t xml:space="preserve">n </w:t>
      </w:r>
      <w:r w:rsidR="005719C8" w:rsidRPr="0079547C">
        <w:rPr>
          <w:szCs w:val="22"/>
        </w:rPr>
        <w:t>his</w:t>
      </w:r>
      <w:r w:rsidR="000016BF" w:rsidRPr="0079547C">
        <w:rPr>
          <w:szCs w:val="22"/>
        </w:rPr>
        <w:t xml:space="preserve"> </w:t>
      </w:r>
      <w:r w:rsidR="00891C71">
        <w:rPr>
          <w:szCs w:val="22"/>
        </w:rPr>
        <w:t>Reply</w:t>
      </w:r>
      <w:r w:rsidR="00C65B94" w:rsidRPr="0079547C">
        <w:rPr>
          <w:szCs w:val="22"/>
        </w:rPr>
        <w:t>,</w:t>
      </w:r>
      <w:r w:rsidR="00E80F00">
        <w:rPr>
          <w:szCs w:val="22"/>
        </w:rPr>
        <w:t xml:space="preserve"> Richardson argues</w:t>
      </w:r>
      <w:r w:rsidR="001E0E23">
        <w:rPr>
          <w:szCs w:val="22"/>
        </w:rPr>
        <w:t xml:space="preserve"> </w:t>
      </w:r>
      <w:r w:rsidR="004B4E5F">
        <w:rPr>
          <w:szCs w:val="22"/>
        </w:rPr>
        <w:t>that Skyway failed to consider</w:t>
      </w:r>
      <w:r w:rsidR="00BE2DB3">
        <w:rPr>
          <w:szCs w:val="22"/>
        </w:rPr>
        <w:t xml:space="preserve"> in its Section 106 review an additional property, known as</w:t>
      </w:r>
      <w:r w:rsidR="004B4E5F">
        <w:rPr>
          <w:szCs w:val="22"/>
        </w:rPr>
        <w:t xml:space="preserve"> Groverland,</w:t>
      </w:r>
      <w:r w:rsidR="00BE2DB3">
        <w:rPr>
          <w:szCs w:val="22"/>
        </w:rPr>
        <w:t xml:space="preserve"> that he states is historic, and that this failure</w:t>
      </w:r>
      <w:r w:rsidR="004B4E5F">
        <w:rPr>
          <w:szCs w:val="22"/>
        </w:rPr>
        <w:t xml:space="preserve"> constitut</w:t>
      </w:r>
      <w:r w:rsidR="00BE2DB3">
        <w:rPr>
          <w:szCs w:val="22"/>
        </w:rPr>
        <w:t>ed</w:t>
      </w:r>
      <w:r w:rsidR="004B4E5F">
        <w:rPr>
          <w:szCs w:val="22"/>
        </w:rPr>
        <w:t xml:space="preserve"> a “material error, misinformation, or omission submitted by the applicant” which </w:t>
      </w:r>
      <w:r w:rsidR="00BE2DB3">
        <w:rPr>
          <w:szCs w:val="22"/>
        </w:rPr>
        <w:t>should cause</w:t>
      </w:r>
      <w:r w:rsidR="004B4E5F">
        <w:rPr>
          <w:szCs w:val="22"/>
        </w:rPr>
        <w:t xml:space="preserve"> the Commission to re-open the Section </w:t>
      </w:r>
      <w:r w:rsidR="00B37FFA">
        <w:rPr>
          <w:szCs w:val="22"/>
        </w:rPr>
        <w:t xml:space="preserve">106 </w:t>
      </w:r>
      <w:r w:rsidR="004B4E5F">
        <w:rPr>
          <w:szCs w:val="22"/>
        </w:rPr>
        <w:t>process</w:t>
      </w:r>
      <w:r w:rsidR="004B4E5F">
        <w:rPr>
          <w:i/>
          <w:szCs w:val="22"/>
        </w:rPr>
        <w:t>.</w:t>
      </w:r>
      <w:r w:rsidR="004B4E5F" w:rsidRPr="004B4E5F">
        <w:rPr>
          <w:rStyle w:val="FootnoteReference"/>
          <w:szCs w:val="22"/>
        </w:rPr>
        <w:footnoteReference w:id="34"/>
      </w:r>
      <w:r w:rsidR="00464039">
        <w:rPr>
          <w:szCs w:val="22"/>
        </w:rPr>
        <w:t xml:space="preserve">  </w:t>
      </w:r>
      <w:r w:rsidR="00BE2DB3">
        <w:rPr>
          <w:szCs w:val="22"/>
        </w:rPr>
        <w:t>W</w:t>
      </w:r>
      <w:r w:rsidR="000D7890">
        <w:rPr>
          <w:szCs w:val="22"/>
        </w:rPr>
        <w:t>e note that the</w:t>
      </w:r>
      <w:r w:rsidR="004B4E5F" w:rsidRPr="0079547C">
        <w:rPr>
          <w:szCs w:val="22"/>
        </w:rPr>
        <w:t xml:space="preserve"> March 20</w:t>
      </w:r>
      <w:r w:rsidR="004B4E5F" w:rsidRPr="0079547C">
        <w:rPr>
          <w:szCs w:val="22"/>
          <w:vertAlign w:val="superscript"/>
        </w:rPr>
        <w:t>th</w:t>
      </w:r>
      <w:r w:rsidR="004B4E5F" w:rsidRPr="0079547C">
        <w:rPr>
          <w:szCs w:val="22"/>
        </w:rPr>
        <w:t xml:space="preserve"> </w:t>
      </w:r>
      <w:r w:rsidR="000D7890">
        <w:rPr>
          <w:szCs w:val="22"/>
        </w:rPr>
        <w:t>E</w:t>
      </w:r>
      <w:r w:rsidR="004B4E5F" w:rsidRPr="0079547C">
        <w:rPr>
          <w:szCs w:val="22"/>
        </w:rPr>
        <w:t xml:space="preserve">mail </w:t>
      </w:r>
      <w:r w:rsidR="000D7890">
        <w:rPr>
          <w:szCs w:val="22"/>
        </w:rPr>
        <w:t>alleg</w:t>
      </w:r>
      <w:r w:rsidR="004B4E5F">
        <w:rPr>
          <w:szCs w:val="22"/>
        </w:rPr>
        <w:t>e</w:t>
      </w:r>
      <w:r w:rsidR="004B4E5F" w:rsidRPr="0079547C">
        <w:rPr>
          <w:szCs w:val="22"/>
        </w:rPr>
        <w:t xml:space="preserve">s </w:t>
      </w:r>
      <w:r w:rsidR="004B4E5F">
        <w:rPr>
          <w:szCs w:val="22"/>
        </w:rPr>
        <w:t xml:space="preserve">that there </w:t>
      </w:r>
      <w:r w:rsidR="000D7890">
        <w:rPr>
          <w:szCs w:val="22"/>
        </w:rPr>
        <w:t>a</w:t>
      </w:r>
      <w:r w:rsidR="004B4E5F">
        <w:rPr>
          <w:szCs w:val="22"/>
        </w:rPr>
        <w:t>re three</w:t>
      </w:r>
      <w:r w:rsidR="004B4E5F" w:rsidRPr="0079547C">
        <w:rPr>
          <w:szCs w:val="22"/>
        </w:rPr>
        <w:t xml:space="preserve"> properties within the proposed tower’s APE</w:t>
      </w:r>
      <w:r w:rsidR="004B4E5F">
        <w:rPr>
          <w:szCs w:val="22"/>
        </w:rPr>
        <w:t xml:space="preserve"> that</w:t>
      </w:r>
      <w:r w:rsidR="004B4E5F" w:rsidRPr="0079547C">
        <w:rPr>
          <w:szCs w:val="22"/>
        </w:rPr>
        <w:t xml:space="preserve"> Skyway did not address</w:t>
      </w:r>
      <w:r w:rsidR="004B4E5F">
        <w:rPr>
          <w:szCs w:val="22"/>
        </w:rPr>
        <w:t xml:space="preserve">, presumably including </w:t>
      </w:r>
      <w:r w:rsidR="000D7890">
        <w:rPr>
          <w:szCs w:val="22"/>
        </w:rPr>
        <w:t>Groverland</w:t>
      </w:r>
      <w:r w:rsidR="004B4E5F" w:rsidRPr="0079547C">
        <w:rPr>
          <w:szCs w:val="22"/>
        </w:rPr>
        <w:t>.</w:t>
      </w:r>
      <w:r w:rsidR="004B4E5F">
        <w:rPr>
          <w:rStyle w:val="FootnoteReference"/>
          <w:szCs w:val="22"/>
        </w:rPr>
        <w:footnoteReference w:id="35"/>
      </w:r>
      <w:r w:rsidR="004B4E5F" w:rsidRPr="0079547C">
        <w:rPr>
          <w:szCs w:val="22"/>
        </w:rPr>
        <w:t xml:space="preserve"> </w:t>
      </w:r>
      <w:r w:rsidR="000D7890">
        <w:rPr>
          <w:szCs w:val="22"/>
        </w:rPr>
        <w:t xml:space="preserve"> </w:t>
      </w:r>
      <w:r w:rsidR="00A53234">
        <w:rPr>
          <w:szCs w:val="22"/>
        </w:rPr>
        <w:t xml:space="preserve">Indeed, </w:t>
      </w:r>
      <w:r w:rsidR="00F05A86">
        <w:rPr>
          <w:szCs w:val="22"/>
        </w:rPr>
        <w:t xml:space="preserve">Richardson </w:t>
      </w:r>
      <w:r w:rsidR="00A53234">
        <w:rPr>
          <w:szCs w:val="22"/>
        </w:rPr>
        <w:t>acknowledges that he knew about Groverland no later than March 20, 2017</w:t>
      </w:r>
      <w:r w:rsidR="00C2697B">
        <w:rPr>
          <w:szCs w:val="22"/>
        </w:rPr>
        <w:t>.</w:t>
      </w:r>
      <w:r w:rsidR="00C2697B">
        <w:rPr>
          <w:rStyle w:val="FootnoteReference"/>
          <w:szCs w:val="22"/>
        </w:rPr>
        <w:footnoteReference w:id="36"/>
      </w:r>
      <w:r w:rsidR="00C2697B">
        <w:rPr>
          <w:szCs w:val="22"/>
        </w:rPr>
        <w:t xml:space="preserve">  </w:t>
      </w:r>
      <w:r w:rsidR="000D7890">
        <w:rPr>
          <w:szCs w:val="22"/>
        </w:rPr>
        <w:t xml:space="preserve">Thus, </w:t>
      </w:r>
      <w:r w:rsidR="00C2697B">
        <w:rPr>
          <w:szCs w:val="22"/>
        </w:rPr>
        <w:t>Groverland was known to Richardson well before the April 7</w:t>
      </w:r>
      <w:r w:rsidR="00C2697B" w:rsidRPr="00C95C7D">
        <w:rPr>
          <w:szCs w:val="22"/>
          <w:vertAlign w:val="superscript"/>
        </w:rPr>
        <w:t>th</w:t>
      </w:r>
      <w:r w:rsidR="00C2697B">
        <w:rPr>
          <w:szCs w:val="22"/>
        </w:rPr>
        <w:t xml:space="preserve"> filing deadline, and Richardson offers no extraordinary circumstances that prevented him from raising </w:t>
      </w:r>
      <w:r w:rsidR="00B37FFA">
        <w:rPr>
          <w:szCs w:val="22"/>
        </w:rPr>
        <w:t xml:space="preserve">in the Petition </w:t>
      </w:r>
      <w:r w:rsidR="00C2697B">
        <w:rPr>
          <w:szCs w:val="22"/>
        </w:rPr>
        <w:t>Skyway’s alleged failure to identify Groverland</w:t>
      </w:r>
      <w:r w:rsidR="00936539">
        <w:rPr>
          <w:szCs w:val="22"/>
        </w:rPr>
        <w:t>.</w:t>
      </w:r>
      <w:r w:rsidR="00285521">
        <w:rPr>
          <w:rStyle w:val="FootnoteReference"/>
          <w:szCs w:val="22"/>
        </w:rPr>
        <w:footnoteReference w:id="37"/>
      </w:r>
      <w:r w:rsidR="000016BF" w:rsidRPr="0079547C">
        <w:rPr>
          <w:szCs w:val="22"/>
        </w:rPr>
        <w:t xml:space="preserve"> </w:t>
      </w:r>
      <w:r w:rsidR="00936539">
        <w:rPr>
          <w:szCs w:val="22"/>
        </w:rPr>
        <w:t xml:space="preserve"> </w:t>
      </w:r>
    </w:p>
    <w:p w14:paraId="71986CDA" w14:textId="77777777" w:rsidR="006F3066" w:rsidRDefault="00DF493E" w:rsidP="00B0351B">
      <w:pPr>
        <w:pStyle w:val="Heading1"/>
        <w:widowControl/>
        <w:rPr>
          <w:rFonts w:ascii="Times New Roman" w:hAnsi="Times New Roman"/>
          <w:szCs w:val="22"/>
        </w:rPr>
      </w:pPr>
      <w:r w:rsidRPr="0079547C">
        <w:rPr>
          <w:rFonts w:ascii="Times New Roman" w:hAnsi="Times New Roman"/>
          <w:szCs w:val="22"/>
        </w:rPr>
        <w:t>Conclusion</w:t>
      </w:r>
    </w:p>
    <w:p w14:paraId="2EB4FE0E" w14:textId="4C188913" w:rsidR="00AA4301" w:rsidRPr="00F55FE7" w:rsidRDefault="006F3066" w:rsidP="00B0351B">
      <w:pPr>
        <w:pStyle w:val="ParaNum"/>
        <w:widowControl/>
        <w:ind w:firstLine="720"/>
        <w:rPr>
          <w:szCs w:val="22"/>
        </w:rPr>
      </w:pPr>
      <w:r>
        <w:t xml:space="preserve">With this Order, we deny the Motion, dismiss the Supplement, and reset the pleading cycle for the underlying Petition.  Any </w:t>
      </w:r>
      <w:r w:rsidR="00AA4301">
        <w:t xml:space="preserve">substantive allegations </w:t>
      </w:r>
      <w:r w:rsidR="00AB42A4">
        <w:t xml:space="preserve">raised </w:t>
      </w:r>
      <w:r w:rsidR="00EA4A1A">
        <w:t xml:space="preserve">in the </w:t>
      </w:r>
      <w:r w:rsidR="007678F0">
        <w:t xml:space="preserve">Motion or </w:t>
      </w:r>
      <w:r>
        <w:t>S</w:t>
      </w:r>
      <w:r w:rsidR="00EA4A1A">
        <w:t>upplement are not part of the record.</w:t>
      </w:r>
      <w:r w:rsidR="007678F0">
        <w:t xml:space="preserve">  </w:t>
      </w:r>
    </w:p>
    <w:p w14:paraId="2223E6D9" w14:textId="2C26DA9A" w:rsidR="00F55FE7" w:rsidRPr="006F3066" w:rsidRDefault="00F55FE7" w:rsidP="00B0351B">
      <w:pPr>
        <w:pStyle w:val="Heading1"/>
        <w:widowControl/>
      </w:pPr>
      <w:r>
        <w:t>ORDERING CLAUSES</w:t>
      </w:r>
    </w:p>
    <w:p w14:paraId="4C13C256" w14:textId="0F61F746" w:rsidR="000243A2" w:rsidRDefault="00DF493E" w:rsidP="00B0351B">
      <w:pPr>
        <w:pStyle w:val="ParaNum"/>
        <w:widowControl/>
        <w:ind w:firstLine="720"/>
      </w:pPr>
      <w:r w:rsidRPr="000243A2">
        <w:t xml:space="preserve">Based on the foregoing, </w:t>
      </w:r>
      <w:r w:rsidR="00E8384C">
        <w:t>IT IS ORDERED</w:t>
      </w:r>
      <w:r w:rsidR="00E8384C" w:rsidRPr="000243A2">
        <w:t xml:space="preserve">, pursuant to </w:t>
      </w:r>
      <w:r w:rsidR="00E8384C">
        <w:t xml:space="preserve">Section 405(a) of the Communications Act of 1934, </w:t>
      </w:r>
      <w:r w:rsidR="00E8384C" w:rsidRPr="000243A2">
        <w:t>47 U.S.C. § 405(a)</w:t>
      </w:r>
      <w:r w:rsidR="00E8384C">
        <w:t>, and Section 1.106(f) of the Commission’s rules, 47 CFR 1.106(f), that</w:t>
      </w:r>
      <w:r w:rsidRPr="000243A2">
        <w:t xml:space="preserve"> Richardson’s Motion for Leave to File a Supplement to the Petition for Reconsideration</w:t>
      </w:r>
      <w:r w:rsidR="00E8384C">
        <w:t xml:space="preserve"> is DENIED</w:t>
      </w:r>
      <w:r w:rsidR="000243A2">
        <w:t xml:space="preserve">. </w:t>
      </w:r>
    </w:p>
    <w:p w14:paraId="67F5B224" w14:textId="0B31EC1A" w:rsidR="006F3066" w:rsidRDefault="000243A2" w:rsidP="00B0351B">
      <w:pPr>
        <w:pStyle w:val="ParaNum"/>
        <w:widowControl/>
        <w:ind w:firstLine="720"/>
      </w:pPr>
      <w:r>
        <w:t>IT IS FURTHER ORDERED</w:t>
      </w:r>
      <w:r w:rsidR="00E8384C">
        <w:t xml:space="preserve"> that</w:t>
      </w:r>
      <w:r>
        <w:t xml:space="preserve"> Richardson’s </w:t>
      </w:r>
      <w:r w:rsidR="00A161E3">
        <w:t>Supplement to his</w:t>
      </w:r>
      <w:r w:rsidRPr="000243A2">
        <w:t xml:space="preserve"> Petition for Reconsideration </w:t>
      </w:r>
      <w:r w:rsidR="00E8384C">
        <w:t>is DISMISSED</w:t>
      </w:r>
      <w:r w:rsidRPr="000243A2">
        <w:t>.</w:t>
      </w:r>
    </w:p>
    <w:p w14:paraId="587FC6E9" w14:textId="71126C64" w:rsidR="003B1695" w:rsidRPr="006F3066" w:rsidRDefault="000243A2" w:rsidP="00B0351B">
      <w:pPr>
        <w:pStyle w:val="ParaNum"/>
        <w:widowControl/>
        <w:ind w:firstLine="720"/>
      </w:pPr>
      <w:r w:rsidRPr="006F3066">
        <w:t>IT IS FURTHER ORDERED that</w:t>
      </w:r>
      <w:r w:rsidR="00DF493E" w:rsidRPr="006F3066">
        <w:t xml:space="preserve"> the Pleading cycle for the Petition for Reconsideration</w:t>
      </w:r>
      <w:r w:rsidR="00722906">
        <w:t xml:space="preserve"> </w:t>
      </w:r>
      <w:r w:rsidR="00722906" w:rsidRPr="006F3066">
        <w:t>is reset</w:t>
      </w:r>
      <w:r w:rsidR="00DF493E" w:rsidRPr="006F3066">
        <w:t>.</w:t>
      </w:r>
      <w:r w:rsidR="00F444CA" w:rsidRPr="006F3066">
        <w:t xml:space="preserve"> </w:t>
      </w:r>
      <w:r w:rsidR="00086935">
        <w:t xml:space="preserve"> </w:t>
      </w:r>
      <w:r w:rsidR="00F444CA" w:rsidRPr="006F3066">
        <w:t>Opposition and Reply to Opposition pleading</w:t>
      </w:r>
      <w:r w:rsidR="00722906">
        <w:t>s</w:t>
      </w:r>
      <w:r w:rsidRPr="006F3066">
        <w:t xml:space="preserve"> </w:t>
      </w:r>
      <w:r w:rsidR="00F444CA" w:rsidRPr="006F3066">
        <w:t xml:space="preserve">are due on </w:t>
      </w:r>
      <w:r w:rsidR="0037788E">
        <w:t>October 2</w:t>
      </w:r>
      <w:r w:rsidR="007C468B">
        <w:t>5</w:t>
      </w:r>
      <w:r w:rsidR="0037788E">
        <w:t>, 2017,</w:t>
      </w:r>
      <w:r w:rsidR="00F444CA" w:rsidRPr="0037788E">
        <w:t xml:space="preserve"> and </w:t>
      </w:r>
      <w:r w:rsidR="007C468B">
        <w:t>November 6</w:t>
      </w:r>
      <w:r w:rsidR="0037788E">
        <w:t>, 2017</w:t>
      </w:r>
      <w:r w:rsidR="00F444CA" w:rsidRPr="0037788E">
        <w:t>,</w:t>
      </w:r>
      <w:r w:rsidR="00F444CA" w:rsidRPr="006F3066">
        <w:t xml:space="preserve"> respectively.   </w:t>
      </w:r>
    </w:p>
    <w:p w14:paraId="007F3191" w14:textId="37B20903" w:rsidR="00EB4611" w:rsidRPr="000243A2" w:rsidRDefault="00EB4611" w:rsidP="00B0351B">
      <w:pPr>
        <w:pStyle w:val="ParaNum"/>
        <w:widowControl/>
        <w:numPr>
          <w:ilvl w:val="0"/>
          <w:numId w:val="0"/>
        </w:numPr>
        <w:tabs>
          <w:tab w:val="num" w:pos="360"/>
        </w:tabs>
        <w:ind w:firstLine="720"/>
        <w:rPr>
          <w:szCs w:val="22"/>
        </w:rPr>
      </w:pPr>
    </w:p>
    <w:p w14:paraId="609D9FD6" w14:textId="7744B572" w:rsidR="00244EE7" w:rsidRDefault="002436C7" w:rsidP="00244EE7">
      <w:pPr>
        <w:spacing w:after="174" w:line="268" w:lineRule="auto"/>
        <w:ind w:left="3667" w:right="47" w:hanging="5"/>
      </w:pPr>
      <w:r w:rsidRPr="0079547C">
        <w:rPr>
          <w:szCs w:val="22"/>
        </w:rPr>
        <w:tab/>
      </w:r>
      <w:r w:rsidR="00244EE7">
        <w:t>FEDERAL COMMUNICATIONS COMMISSION</w:t>
      </w:r>
    </w:p>
    <w:p w14:paraId="1A09B853" w14:textId="58C93676" w:rsidR="00244EE7" w:rsidRDefault="00244EE7" w:rsidP="00244EE7">
      <w:pPr>
        <w:ind w:left="3226"/>
        <w:rPr>
          <w:noProof/>
        </w:rPr>
      </w:pPr>
    </w:p>
    <w:p w14:paraId="3A3B3E89" w14:textId="77777777" w:rsidR="00F00B51" w:rsidRDefault="00F00B51" w:rsidP="00244EE7">
      <w:pPr>
        <w:ind w:left="3226"/>
      </w:pPr>
    </w:p>
    <w:p w14:paraId="01F10AFE" w14:textId="77777777" w:rsidR="00244EE7" w:rsidRDefault="00244EE7" w:rsidP="00244EE7">
      <w:pPr>
        <w:spacing w:after="3"/>
        <w:ind w:left="1229" w:right="1622" w:hanging="10"/>
        <w:jc w:val="center"/>
      </w:pPr>
      <w:r>
        <w:t>Aaron Goldschmidt</w:t>
      </w:r>
    </w:p>
    <w:p w14:paraId="173F66A7" w14:textId="77777777" w:rsidR="00244EE7" w:rsidRDefault="00244EE7" w:rsidP="00244EE7">
      <w:pPr>
        <w:spacing w:after="3"/>
        <w:ind w:left="1229" w:right="1939" w:hanging="10"/>
        <w:jc w:val="center"/>
      </w:pPr>
      <w:r>
        <w:t>Associate Chief</w:t>
      </w:r>
    </w:p>
    <w:p w14:paraId="7651C6DF" w14:textId="77777777" w:rsidR="00244EE7" w:rsidRDefault="00244EE7" w:rsidP="00DC0479">
      <w:pPr>
        <w:spacing w:line="268" w:lineRule="auto"/>
        <w:ind w:left="2880" w:right="47" w:firstLine="720"/>
        <w:jc w:val="both"/>
      </w:pPr>
      <w:r>
        <w:t>Competition and Infrastructure Policy Division</w:t>
      </w:r>
    </w:p>
    <w:p w14:paraId="3A473E51" w14:textId="297C8BBD" w:rsidR="00244EE7" w:rsidRDefault="00244EE7" w:rsidP="00244EE7">
      <w:pPr>
        <w:spacing w:after="3"/>
        <w:ind w:left="1229" w:hanging="10"/>
        <w:jc w:val="center"/>
      </w:pPr>
      <w:r>
        <w:t>Wireless Telecommunications Bureau</w:t>
      </w:r>
      <w:r w:rsidR="00DC0479">
        <w:t xml:space="preserve"> </w:t>
      </w:r>
    </w:p>
    <w:p w14:paraId="5775DC37" w14:textId="14C18F28" w:rsidR="002436C7" w:rsidRPr="0079547C" w:rsidRDefault="002436C7" w:rsidP="00244EE7">
      <w:pPr>
        <w:pStyle w:val="ParaNum"/>
        <w:widowControl/>
        <w:numPr>
          <w:ilvl w:val="0"/>
          <w:numId w:val="0"/>
        </w:numPr>
        <w:ind w:firstLine="720"/>
        <w:rPr>
          <w:szCs w:val="22"/>
        </w:rPr>
      </w:pPr>
    </w:p>
    <w:sectPr w:rsidR="002436C7" w:rsidRPr="0079547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4B1F" w14:textId="77777777" w:rsidR="00690406" w:rsidRDefault="00690406">
      <w:pPr>
        <w:spacing w:line="20" w:lineRule="exact"/>
      </w:pPr>
    </w:p>
  </w:endnote>
  <w:endnote w:type="continuationSeparator" w:id="0">
    <w:p w14:paraId="797E3357" w14:textId="77777777" w:rsidR="00690406" w:rsidRDefault="00690406">
      <w:r>
        <w:t xml:space="preserve"> </w:t>
      </w:r>
    </w:p>
  </w:endnote>
  <w:endnote w:type="continuationNotice" w:id="1">
    <w:p w14:paraId="6F607399" w14:textId="77777777" w:rsidR="00690406" w:rsidRDefault="006904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1384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9DF789C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7AE1" w14:textId="2ED6D283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0479">
      <w:rPr>
        <w:noProof/>
      </w:rPr>
      <w:t>5</w:t>
    </w:r>
    <w:r>
      <w:fldChar w:fldCharType="end"/>
    </w:r>
  </w:p>
  <w:p w14:paraId="7556D3C4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8D8E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40BB" w14:textId="77777777" w:rsidR="00690406" w:rsidRDefault="00690406">
      <w:r>
        <w:separator/>
      </w:r>
    </w:p>
  </w:footnote>
  <w:footnote w:type="continuationSeparator" w:id="0">
    <w:p w14:paraId="16E08576" w14:textId="71D28494" w:rsidR="00690406" w:rsidRPr="00B574C6" w:rsidRDefault="00690406" w:rsidP="00B574C6">
      <w:pPr>
        <w:pStyle w:val="Footer"/>
      </w:pPr>
    </w:p>
  </w:footnote>
  <w:footnote w:type="continuationNotice" w:id="1">
    <w:p w14:paraId="6EA140AD" w14:textId="39D4DAEB" w:rsidR="00690406" w:rsidRDefault="00690406" w:rsidP="00F93F5F">
      <w:pPr>
        <w:rPr>
          <w:sz w:val="20"/>
        </w:rPr>
      </w:pPr>
    </w:p>
  </w:footnote>
  <w:footnote w:id="2">
    <w:p w14:paraId="76EAB834" w14:textId="33F195D4" w:rsidR="00CE0DBC" w:rsidRPr="00F57320" w:rsidRDefault="00CE0DBC" w:rsidP="00CE0D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Proposed 199-Foot Tower Near Stamping Ground Road, Georgetown, Scott County, Kentucky</w:t>
      </w:r>
      <w:r>
        <w:t xml:space="preserve">, </w:t>
      </w:r>
      <w:r w:rsidR="000F42DE">
        <w:t>Letter Decision</w:t>
      </w:r>
      <w:r>
        <w:t xml:space="preserve"> (WTB</w:t>
      </w:r>
      <w:r w:rsidR="003B1695">
        <w:t>/CIPD</w:t>
      </w:r>
      <w:r>
        <w:t xml:space="preserve"> </w:t>
      </w:r>
      <w:r w:rsidR="003B1695">
        <w:t xml:space="preserve">Mar. 8, </w:t>
      </w:r>
      <w:r w:rsidR="000F42DE">
        <w:t>2017) (Decision</w:t>
      </w:r>
      <w:r>
        <w:t>).</w:t>
      </w:r>
    </w:p>
  </w:footnote>
  <w:footnote w:id="3">
    <w:p w14:paraId="44616746" w14:textId="410C2336" w:rsidR="00F820F9" w:rsidRPr="002436C7" w:rsidRDefault="00F820F9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063EE1">
        <w:t>William Richardson Petition for Reconsideration, at 2 (filed Apr. 7, 2017) (Petition).</w:t>
      </w:r>
    </w:p>
  </w:footnote>
  <w:footnote w:id="4">
    <w:p w14:paraId="5B648D20" w14:textId="07F583D2" w:rsidR="005F1632" w:rsidRPr="00AF3153" w:rsidRDefault="005F1632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357673">
        <w:t>Motion of William Richardson for Leave to file a Supplement to his Petition for Reconsideration (filed Apr. 1</w:t>
      </w:r>
      <w:r w:rsidR="00C74CE9">
        <w:t>2</w:t>
      </w:r>
      <w:r w:rsidR="00357673">
        <w:t>, 2017) (</w:t>
      </w:r>
      <w:r w:rsidR="009F0677">
        <w:t>Motion); Supplement to Petition for Reconsideration of William Richardson (filed Apr. 12, 2017)</w:t>
      </w:r>
      <w:r w:rsidR="006F3066">
        <w:t xml:space="preserve"> (Supplement)</w:t>
      </w:r>
      <w:r w:rsidR="009F0677">
        <w:t>.</w:t>
      </w:r>
      <w:r w:rsidR="006F3066">
        <w:t xml:space="preserve"> </w:t>
      </w:r>
      <w:r w:rsidR="009F0677">
        <w:t xml:space="preserve"> </w:t>
      </w:r>
    </w:p>
  </w:footnote>
  <w:footnote w:id="5">
    <w:p w14:paraId="3B86E85B" w14:textId="1124C1D8" w:rsidR="00D64DFB" w:rsidRDefault="00D64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5768">
        <w:t xml:space="preserve">Motion at 3.  </w:t>
      </w:r>
    </w:p>
  </w:footnote>
  <w:footnote w:id="6">
    <w:p w14:paraId="1EA187BB" w14:textId="75223851" w:rsidR="00860E87" w:rsidRDefault="00860E87">
      <w:pPr>
        <w:pStyle w:val="FootnoteText"/>
      </w:pPr>
      <w:r>
        <w:rPr>
          <w:rStyle w:val="FootnoteReference"/>
        </w:rPr>
        <w:footnoteRef/>
      </w:r>
      <w:r>
        <w:t xml:space="preserve"> The Kentucky Heritage Council is the State Historic Preservation Officer for Kentucky pursuant to 54 U.S.C. § ____.</w:t>
      </w:r>
    </w:p>
  </w:footnote>
  <w:footnote w:id="7">
    <w:p w14:paraId="458FF335" w14:textId="1A5AA6C2" w:rsidR="002B021B" w:rsidRPr="008379FC" w:rsidRDefault="002B021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9372A1" w:rsidRPr="00C95C7D">
        <w:rPr>
          <w:i/>
        </w:rPr>
        <w:t>See</w:t>
      </w:r>
      <w:r w:rsidR="009372A1">
        <w:t xml:space="preserve"> </w:t>
      </w:r>
      <w:r>
        <w:t>Decision at 2</w:t>
      </w:r>
      <w:r w:rsidR="00C9290F">
        <w:t>, para.4</w:t>
      </w:r>
      <w:r>
        <w:t>.</w:t>
      </w:r>
      <w:r w:rsidR="00860E87">
        <w:t xml:space="preserve">  Skyway had previously submitted a Form 620 for a 300-foot tower on the same property.  </w:t>
      </w:r>
      <w:r w:rsidR="00860E87">
        <w:rPr>
          <w:i/>
        </w:rPr>
        <w:t>See id.</w:t>
      </w:r>
    </w:p>
  </w:footnote>
  <w:footnote w:id="8">
    <w:p w14:paraId="0E6EDDC7" w14:textId="7778F16C" w:rsidR="009372A1" w:rsidRPr="009372A1" w:rsidRDefault="00937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Pr="00B574C6">
        <w:rPr>
          <w:i/>
        </w:rPr>
        <w:t xml:space="preserve"> </w:t>
      </w:r>
      <w:r w:rsidR="00735919" w:rsidRPr="00B574C6">
        <w:rPr>
          <w:i/>
        </w:rPr>
        <w:t>id</w:t>
      </w:r>
      <w:r w:rsidR="00735919">
        <w:t xml:space="preserve">. </w:t>
      </w:r>
      <w:r>
        <w:t xml:space="preserve">at </w:t>
      </w:r>
      <w:r w:rsidR="00C9290F">
        <w:t>3, para. 2</w:t>
      </w:r>
      <w:r>
        <w:t>.</w:t>
      </w:r>
    </w:p>
  </w:footnote>
  <w:footnote w:id="9">
    <w:p w14:paraId="409B82A8" w14:textId="6A76040B" w:rsidR="002B021B" w:rsidRDefault="002B02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72A1" w:rsidRPr="00C95C7D">
        <w:rPr>
          <w:i/>
        </w:rPr>
        <w:t>See</w:t>
      </w:r>
      <w:r w:rsidR="00735919">
        <w:rPr>
          <w:i/>
        </w:rPr>
        <w:t xml:space="preserve"> id.</w:t>
      </w:r>
      <w:r>
        <w:t xml:space="preserve"> at 3</w:t>
      </w:r>
      <w:r w:rsidR="00C9290F">
        <w:t>, para. 1</w:t>
      </w:r>
      <w:r w:rsidR="00F56ED8">
        <w:t>; Nationwide Programmatic Agreement Regarding the Section 106 National Historic Preservation Act Review Process, 47 CFR Part 1, App. C</w:t>
      </w:r>
      <w:r w:rsidR="00860E87">
        <w:t>, §§ VI.C.4.a (presumed half-mile APE for visual effects for towers 200 feet or less in height), VI.C.6 (Commission may establish an alternative APE upon request if applicant and SHPO/THPO cannot agree)</w:t>
      </w:r>
      <w:r w:rsidR="00F56ED8">
        <w:t xml:space="preserve"> (NPA)</w:t>
      </w:r>
      <w:r>
        <w:t>.</w:t>
      </w:r>
    </w:p>
  </w:footnote>
  <w:footnote w:id="10">
    <w:p w14:paraId="010AE6B2" w14:textId="52E0406C" w:rsidR="008B6B3D" w:rsidRPr="002436C7" w:rsidRDefault="008B6B3D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9372A1" w:rsidRPr="00C95C7D">
        <w:rPr>
          <w:i/>
        </w:rPr>
        <w:t>See</w:t>
      </w:r>
      <w:r w:rsidR="00735919">
        <w:rPr>
          <w:i/>
        </w:rPr>
        <w:t xml:space="preserve"> id.</w:t>
      </w:r>
      <w:r w:rsidR="00F444CA">
        <w:t xml:space="preserve"> at 1</w:t>
      </w:r>
      <w:r w:rsidR="00C9290F">
        <w:t>, para.</w:t>
      </w:r>
      <w:r w:rsidR="00582045">
        <w:t xml:space="preserve"> </w:t>
      </w:r>
      <w:r w:rsidR="00C9290F">
        <w:t>1</w:t>
      </w:r>
      <w:r w:rsidR="00357673">
        <w:t xml:space="preserve">. </w:t>
      </w:r>
    </w:p>
  </w:footnote>
  <w:footnote w:id="11">
    <w:p w14:paraId="1A40DB8F" w14:textId="7A483F88" w:rsidR="00D93C99" w:rsidRDefault="00D93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72A1" w:rsidRPr="00C95C7D">
        <w:rPr>
          <w:i/>
        </w:rPr>
        <w:t>See</w:t>
      </w:r>
      <w:r w:rsidR="00735919">
        <w:rPr>
          <w:i/>
        </w:rPr>
        <w:t xml:space="preserve"> id.</w:t>
      </w:r>
      <w:r w:rsidR="00F444CA">
        <w:t xml:space="preserve"> at 1</w:t>
      </w:r>
      <w:r w:rsidR="00C9290F">
        <w:t>, para. 1</w:t>
      </w:r>
      <w:r w:rsidR="00F57320">
        <w:t>.</w:t>
      </w:r>
    </w:p>
  </w:footnote>
  <w:footnote w:id="12">
    <w:p w14:paraId="30DA95ED" w14:textId="67E942C2" w:rsidR="00F820F9" w:rsidRPr="002436C7" w:rsidRDefault="00F820F9" w:rsidP="00F820F9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357673">
        <w:t xml:space="preserve"> Motion at Exh</w:t>
      </w:r>
      <w:r w:rsidR="00E57EEA">
        <w:t>.</w:t>
      </w:r>
      <w:r w:rsidR="00357673">
        <w:t xml:space="preserve"> </w:t>
      </w:r>
      <w:r w:rsidR="00E87533">
        <w:t xml:space="preserve">2 </w:t>
      </w:r>
      <w:r w:rsidR="00E87533" w:rsidRPr="00E27071">
        <w:t>(</w:t>
      </w:r>
      <w:r w:rsidR="00E27071">
        <w:t>March 20</w:t>
      </w:r>
      <w:r w:rsidR="00E27071" w:rsidRPr="00E27071">
        <w:rPr>
          <w:vertAlign w:val="superscript"/>
        </w:rPr>
        <w:t>th</w:t>
      </w:r>
      <w:r w:rsidR="00E27071">
        <w:t xml:space="preserve"> Email). Exhibit</w:t>
      </w:r>
      <w:r w:rsidR="00891C71" w:rsidRPr="00E27071">
        <w:t xml:space="preserve"> </w:t>
      </w:r>
      <w:r w:rsidR="00D20EA0">
        <w:t xml:space="preserve">2 </w:t>
      </w:r>
      <w:r w:rsidR="00891C71" w:rsidRPr="00E27071">
        <w:t xml:space="preserve">contains </w:t>
      </w:r>
      <w:r w:rsidR="009372A1">
        <w:t>an email chain that includes</w:t>
      </w:r>
      <w:r w:rsidR="00E27071">
        <w:t xml:space="preserve"> Richardson’s </w:t>
      </w:r>
      <w:r w:rsidR="009372A1">
        <w:t>M</w:t>
      </w:r>
      <w:r w:rsidR="00E27071">
        <w:t>arch 20</w:t>
      </w:r>
      <w:r w:rsidR="00E27071" w:rsidRPr="00E27071">
        <w:rPr>
          <w:vertAlign w:val="superscript"/>
        </w:rPr>
        <w:t>th</w:t>
      </w:r>
      <w:r w:rsidR="00E27071">
        <w:t xml:space="preserve"> email. </w:t>
      </w:r>
      <w:r w:rsidR="00891C71" w:rsidRPr="00E27071">
        <w:t xml:space="preserve"> </w:t>
      </w:r>
      <w:r w:rsidR="00E27071">
        <w:t>For purposes of this Order, we use the shorthand “M</w:t>
      </w:r>
      <w:r w:rsidR="00891C71" w:rsidRPr="00E27071">
        <w:t>arch 20</w:t>
      </w:r>
      <w:r w:rsidR="00891C71" w:rsidRPr="00E27071">
        <w:rPr>
          <w:vertAlign w:val="superscript"/>
        </w:rPr>
        <w:t>th</w:t>
      </w:r>
      <w:r w:rsidR="00891C71" w:rsidRPr="00E27071">
        <w:t xml:space="preserve"> Email</w:t>
      </w:r>
      <w:r w:rsidR="00E27071">
        <w:t>”</w:t>
      </w:r>
      <w:r w:rsidR="00891C71" w:rsidRPr="00E27071">
        <w:t xml:space="preserve"> when referring </w:t>
      </w:r>
      <w:r w:rsidR="00E27071">
        <w:t>to the March 20</w:t>
      </w:r>
      <w:r w:rsidR="00E27071" w:rsidRPr="00E27071">
        <w:rPr>
          <w:vertAlign w:val="superscript"/>
        </w:rPr>
        <w:t>th</w:t>
      </w:r>
      <w:r w:rsidR="00E27071">
        <w:t xml:space="preserve"> email contained in Exhibit 2.  </w:t>
      </w:r>
    </w:p>
  </w:footnote>
  <w:footnote w:id="13">
    <w:p w14:paraId="6558AEB2" w14:textId="0EB871F7" w:rsidR="00D31F74" w:rsidRPr="002436C7" w:rsidRDefault="00D31F74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D20EA0" w:rsidRPr="00C95C7D">
        <w:rPr>
          <w:i/>
        </w:rPr>
        <w:t xml:space="preserve">See </w:t>
      </w:r>
      <w:r w:rsidR="00BC49A3">
        <w:t>March 20</w:t>
      </w:r>
      <w:r w:rsidR="00BC49A3" w:rsidRPr="00BC49A3">
        <w:rPr>
          <w:vertAlign w:val="superscript"/>
        </w:rPr>
        <w:t>th</w:t>
      </w:r>
      <w:r w:rsidR="00BC49A3">
        <w:t xml:space="preserve"> Email</w:t>
      </w:r>
      <w:r w:rsidR="006F3066">
        <w:t>.</w:t>
      </w:r>
    </w:p>
  </w:footnote>
  <w:footnote w:id="14">
    <w:p w14:paraId="2B9A6BA1" w14:textId="2E260D66" w:rsidR="00D20EA0" w:rsidRDefault="00D20EA0" w:rsidP="00D20E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0DB8">
        <w:rPr>
          <w:i/>
        </w:rPr>
        <w:t>See</w:t>
      </w:r>
      <w:r>
        <w:t xml:space="preserve"> Motion at Exh</w:t>
      </w:r>
      <w:r w:rsidR="00E57EEA">
        <w:t>.</w:t>
      </w:r>
      <w:r>
        <w:t xml:space="preserve"> 2; 47 CFR § 1.106(f). </w:t>
      </w:r>
    </w:p>
  </w:footnote>
  <w:footnote w:id="15">
    <w:p w14:paraId="4F2E1B16" w14:textId="613E268E" w:rsidR="00BE2DB3" w:rsidRPr="00BE2DB3" w:rsidRDefault="00BE2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§ 405(a) (30-day period to file petitions for reconsideration).</w:t>
      </w:r>
    </w:p>
  </w:footnote>
  <w:footnote w:id="16">
    <w:p w14:paraId="6AA19889" w14:textId="0C69C2E8" w:rsidR="00981CEE" w:rsidRDefault="00981CEE">
      <w:pPr>
        <w:pStyle w:val="FootnoteText"/>
      </w:pPr>
      <w:r>
        <w:rPr>
          <w:rStyle w:val="FootnoteReference"/>
        </w:rPr>
        <w:footnoteRef/>
      </w:r>
      <w:r w:rsidR="00063EE1">
        <w:t xml:space="preserve"> </w:t>
      </w:r>
      <w:r w:rsidR="00D20EA0" w:rsidRPr="00C95C7D">
        <w:rPr>
          <w:i/>
        </w:rPr>
        <w:t>See</w:t>
      </w:r>
      <w:r w:rsidR="00D20EA0">
        <w:t xml:space="preserve"> </w:t>
      </w:r>
      <w:r w:rsidR="00357673">
        <w:t>Petition</w:t>
      </w:r>
      <w:r w:rsidR="00063EE1">
        <w:t xml:space="preserve"> at 2</w:t>
      </w:r>
      <w:r>
        <w:t xml:space="preserve">. </w:t>
      </w:r>
    </w:p>
  </w:footnote>
  <w:footnote w:id="17">
    <w:p w14:paraId="1881F8C6" w14:textId="77777777" w:rsidR="00C74CE9" w:rsidRDefault="00C74CE9" w:rsidP="00C74CE9">
      <w:pPr>
        <w:pStyle w:val="FootnoteText"/>
      </w:pPr>
      <w:r>
        <w:rPr>
          <w:rStyle w:val="FootnoteReference"/>
        </w:rPr>
        <w:footnoteRef/>
      </w:r>
      <w:r>
        <w:t xml:space="preserve"> Motion; Supplement.</w:t>
      </w:r>
    </w:p>
  </w:footnote>
  <w:footnote w:id="18">
    <w:p w14:paraId="2F6A1D21" w14:textId="7F83ADB8" w:rsidR="00ED736B" w:rsidRDefault="00ED73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0EA0" w:rsidRPr="00C95C7D">
        <w:rPr>
          <w:i/>
        </w:rPr>
        <w:t>See</w:t>
      </w:r>
      <w:r w:rsidR="00D20EA0">
        <w:t xml:space="preserve"> </w:t>
      </w:r>
      <w:r>
        <w:t xml:space="preserve">Motion at </w:t>
      </w:r>
      <w:r w:rsidR="00C74CE9">
        <w:t>2-</w:t>
      </w:r>
      <w:r>
        <w:t>3.</w:t>
      </w:r>
    </w:p>
  </w:footnote>
  <w:footnote w:id="19">
    <w:p w14:paraId="1BB9ED4D" w14:textId="555121D0" w:rsidR="00887828" w:rsidRDefault="00887828" w:rsidP="00887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0EA0" w:rsidRPr="00C95C7D">
        <w:rPr>
          <w:i/>
        </w:rPr>
        <w:t>See</w:t>
      </w:r>
      <w:r w:rsidR="00D20EA0">
        <w:t xml:space="preserve"> </w:t>
      </w:r>
      <w:r w:rsidR="00357673">
        <w:t>Opposition</w:t>
      </w:r>
      <w:r w:rsidR="00594724">
        <w:t xml:space="preserve"> at</w:t>
      </w:r>
      <w:r w:rsidR="00357673">
        <w:t xml:space="preserve"> Exh</w:t>
      </w:r>
      <w:r w:rsidR="00E57EEA">
        <w:t>.</w:t>
      </w:r>
      <w:r w:rsidR="00357673">
        <w:t xml:space="preserve"> V</w:t>
      </w:r>
      <w:r>
        <w:t xml:space="preserve">.  </w:t>
      </w:r>
    </w:p>
  </w:footnote>
  <w:footnote w:id="20">
    <w:p w14:paraId="31A8589C" w14:textId="48EA7059" w:rsidR="000D5F1D" w:rsidRDefault="000D5F1D" w:rsidP="000D5F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0EA0" w:rsidRPr="00C95C7D">
        <w:rPr>
          <w:i/>
        </w:rPr>
        <w:t>See</w:t>
      </w:r>
      <w:r w:rsidR="00735919">
        <w:rPr>
          <w:i/>
        </w:rPr>
        <w:t xml:space="preserve"> id.</w:t>
      </w:r>
      <w:r w:rsidR="00D20EA0">
        <w:t xml:space="preserve"> at 4-5</w:t>
      </w:r>
      <w:r w:rsidR="00D70CE7">
        <w:t>, 47 CFR § 1.106(f)</w:t>
      </w:r>
      <w:r>
        <w:t xml:space="preserve">. </w:t>
      </w:r>
    </w:p>
  </w:footnote>
  <w:footnote w:id="21">
    <w:p w14:paraId="18859EF3" w14:textId="7746FF9A" w:rsidR="001D31FC" w:rsidRDefault="001D31FC">
      <w:pPr>
        <w:pStyle w:val="FootnoteText"/>
      </w:pPr>
      <w:r>
        <w:rPr>
          <w:rStyle w:val="FootnoteReference"/>
        </w:rPr>
        <w:footnoteRef/>
      </w:r>
      <w:r>
        <w:t xml:space="preserve"> William Richardson’s Reply to Skyway Towers, LLC’s Opposition to Leave to File Supplement to Petition for Reconsideration and/or Motion to Strike. </w:t>
      </w:r>
      <w:r w:rsidR="00357673">
        <w:t>(</w:t>
      </w:r>
      <w:r>
        <w:t>Apr. 28, 2017)</w:t>
      </w:r>
      <w:r w:rsidR="001E2A87">
        <w:t xml:space="preserve"> (Reply)</w:t>
      </w:r>
      <w:r w:rsidR="00357673">
        <w:t xml:space="preserve">. </w:t>
      </w:r>
    </w:p>
  </w:footnote>
  <w:footnote w:id="22">
    <w:p w14:paraId="632BAC73" w14:textId="77777777" w:rsidR="00266600" w:rsidRPr="00140F86" w:rsidRDefault="00266600" w:rsidP="00266600">
      <w:pPr>
        <w:pStyle w:val="FootnoteText"/>
      </w:pPr>
      <w:r>
        <w:rPr>
          <w:rStyle w:val="FootnoteReference"/>
        </w:rPr>
        <w:footnoteRef/>
      </w:r>
      <w:r>
        <w:t xml:space="preserve"> 47 U.S.C. § 405(a).  </w:t>
      </w:r>
      <w:r>
        <w:rPr>
          <w:i/>
        </w:rPr>
        <w:t>See</w:t>
      </w:r>
      <w:r>
        <w:t xml:space="preserve"> </w:t>
      </w:r>
      <w:r>
        <w:rPr>
          <w:i/>
        </w:rPr>
        <w:t>Paging Sys., Inc.</w:t>
      </w:r>
      <w:r>
        <w:t xml:space="preserve">, Order on Reconsideration, 25 FCC Rcd 8476, 8480 (2010). </w:t>
      </w:r>
    </w:p>
  </w:footnote>
  <w:footnote w:id="23">
    <w:p w14:paraId="15637E4E" w14:textId="058421FD" w:rsidR="00A10FD0" w:rsidRDefault="00A10FD0">
      <w:pPr>
        <w:pStyle w:val="FootnoteText"/>
      </w:pPr>
      <w:r>
        <w:rPr>
          <w:rStyle w:val="FootnoteReference"/>
        </w:rPr>
        <w:footnoteRef/>
      </w:r>
      <w:r w:rsidR="00965768">
        <w:t xml:space="preserve"> </w:t>
      </w:r>
      <w:r w:rsidR="0005336C" w:rsidRPr="00AF3153">
        <w:rPr>
          <w:i/>
        </w:rPr>
        <w:t xml:space="preserve">See </w:t>
      </w:r>
      <w:r w:rsidR="00AC014D">
        <w:t xml:space="preserve">47 CFR </w:t>
      </w:r>
      <w:r w:rsidR="00965768">
        <w:t>§</w:t>
      </w:r>
      <w:r>
        <w:t xml:space="preserve"> 1.106(f)</w:t>
      </w:r>
      <w:r w:rsidR="004C6F69">
        <w:t>.</w:t>
      </w:r>
    </w:p>
  </w:footnote>
  <w:footnote w:id="24">
    <w:p w14:paraId="62F7BAE6" w14:textId="19BBA449" w:rsidR="008F76CB" w:rsidRPr="008F76CB" w:rsidRDefault="008F76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5CF1">
        <w:t xml:space="preserve">47 CFR § 1.106(f); 47 U.S.C. § 405. </w:t>
      </w:r>
    </w:p>
  </w:footnote>
  <w:footnote w:id="25">
    <w:p w14:paraId="37AA7CC0" w14:textId="2CBAE140" w:rsidR="00CA12C6" w:rsidRDefault="00CA1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1311" w:rsidRPr="00AF3153">
        <w:rPr>
          <w:i/>
        </w:rPr>
        <w:t>See</w:t>
      </w:r>
      <w:r w:rsidR="00AE1311">
        <w:t xml:space="preserve"> </w:t>
      </w:r>
      <w:r>
        <w:rPr>
          <w:i/>
        </w:rPr>
        <w:t>Lauren Colby, Esq. Gregory Masters, Esq. Wiley Rein LLP</w:t>
      </w:r>
      <w:r>
        <w:t xml:space="preserve">, 27 FCC Rcd 7626, 7628 (2010); </w:t>
      </w:r>
      <w:r w:rsidRPr="00AF3153">
        <w:rPr>
          <w:i/>
        </w:rPr>
        <w:t>see also</w:t>
      </w:r>
      <w:r>
        <w:t xml:space="preserve"> </w:t>
      </w:r>
      <w:r w:rsidRPr="00EE5A5E">
        <w:rPr>
          <w:i/>
          <w:iCs/>
        </w:rPr>
        <w:t>21</w:t>
      </w:r>
      <w:r w:rsidRPr="00EE5A5E">
        <w:rPr>
          <w:i/>
          <w:iCs/>
          <w:vertAlign w:val="superscript"/>
        </w:rPr>
        <w:t>st</w:t>
      </w:r>
      <w:r w:rsidRPr="00EE5A5E">
        <w:rPr>
          <w:i/>
          <w:iCs/>
        </w:rPr>
        <w:t> Century Telesis Joint Venture v. FCC</w:t>
      </w:r>
      <w:r w:rsidRPr="00EE5A5E">
        <w:t>, 31</w:t>
      </w:r>
      <w:r w:rsidR="00042B0B">
        <w:t>8</w:t>
      </w:r>
      <w:r w:rsidRPr="00EE5A5E">
        <w:t xml:space="preserve"> F.3d 192, 199-200 (D.C. Cir. 2003)</w:t>
      </w:r>
      <w:r>
        <w:t xml:space="preserve"> </w:t>
      </w:r>
      <w:r w:rsidRPr="00EE5A5E">
        <w:t>(affirming the Commission's decision not to exercise its discretion to hear</w:t>
      </w:r>
      <w:r w:rsidR="00042B0B">
        <w:t xml:space="preserve"> the</w:t>
      </w:r>
      <w:r w:rsidRPr="00EE5A5E">
        <w:t xml:space="preserve"> late-filed supplement</w:t>
      </w:r>
      <w:r w:rsidR="00BE2DB3">
        <w:t xml:space="preserve"> </w:t>
      </w:r>
      <w:r w:rsidRPr="00EE5A5E">
        <w:t>when the petitioner offered no plausible explanation for why supplemental arguments were not made in its initial petition).</w:t>
      </w:r>
    </w:p>
  </w:footnote>
  <w:footnote w:id="26">
    <w:p w14:paraId="396648D7" w14:textId="037FEA44" w:rsidR="00EE5A5E" w:rsidRDefault="00EE5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14D" w:rsidRPr="00BE49FB">
        <w:rPr>
          <w:i/>
        </w:rPr>
        <w:t xml:space="preserve">See </w:t>
      </w:r>
      <w:hyperlink r:id="rId1" w:history="1">
        <w:r w:rsidRPr="00AF3153">
          <w:rPr>
            <w:rStyle w:val="Hyperlink"/>
            <w:i/>
            <w:color w:val="auto"/>
            <w:u w:val="none"/>
          </w:rPr>
          <w:t>Pathfinder Communications Corp.</w:t>
        </w:r>
        <w:r w:rsidR="008068F7">
          <w:rPr>
            <w:rStyle w:val="Hyperlink"/>
            <w:i/>
            <w:color w:val="auto"/>
            <w:u w:val="none"/>
          </w:rPr>
          <w:t xml:space="preserve"> (WCUZ - FM)</w:t>
        </w:r>
        <w:r w:rsidRPr="00B63F82">
          <w:rPr>
            <w:rStyle w:val="Hyperlink"/>
            <w:color w:val="auto"/>
            <w:u w:val="none"/>
          </w:rPr>
          <w:t>, Memorandum Opinion and Order, 3 FCC Rcd 4146</w:t>
        </w:r>
        <w:r w:rsidR="00B63F82">
          <w:rPr>
            <w:rStyle w:val="Hyperlink"/>
            <w:color w:val="auto"/>
            <w:u w:val="none"/>
          </w:rPr>
          <w:t xml:space="preserve">, </w:t>
        </w:r>
        <w:r w:rsidR="00772D3A">
          <w:rPr>
            <w:rStyle w:val="Hyperlink"/>
            <w:color w:val="auto"/>
            <w:u w:val="none"/>
          </w:rPr>
          <w:t>para.</w:t>
        </w:r>
        <w:r w:rsidR="00B63F82">
          <w:rPr>
            <w:rStyle w:val="Hyperlink"/>
            <w:color w:val="auto"/>
            <w:u w:val="none"/>
          </w:rPr>
          <w:t xml:space="preserve"> 5 </w:t>
        </w:r>
        <w:r w:rsidRPr="00B63F82">
          <w:rPr>
            <w:rStyle w:val="Hyperlink"/>
            <w:color w:val="auto"/>
            <w:u w:val="none"/>
          </w:rPr>
          <w:t>(1988)</w:t>
        </w:r>
      </w:hyperlink>
      <w:r w:rsidRPr="00B63F82">
        <w:t>.</w:t>
      </w:r>
    </w:p>
  </w:footnote>
  <w:footnote w:id="27">
    <w:p w14:paraId="24F121A5" w14:textId="328240CF" w:rsidR="000016BF" w:rsidRDefault="000016BF" w:rsidP="000016BF">
      <w:pPr>
        <w:pStyle w:val="FootnoteText"/>
      </w:pPr>
      <w:r>
        <w:rPr>
          <w:rStyle w:val="FootnoteReference"/>
        </w:rPr>
        <w:footnoteRef/>
      </w:r>
      <w:r w:rsidR="00965768">
        <w:t xml:space="preserve"> </w:t>
      </w:r>
      <w:r>
        <w:t>Motion at 2</w:t>
      </w:r>
      <w:r w:rsidR="00610EBD">
        <w:t>.</w:t>
      </w:r>
    </w:p>
  </w:footnote>
  <w:footnote w:id="28">
    <w:p w14:paraId="51A49055" w14:textId="71CBA32B" w:rsidR="000016BF" w:rsidRDefault="000016BF" w:rsidP="000016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351B" w:rsidRPr="00B574C6">
        <w:rPr>
          <w:i/>
        </w:rPr>
        <w:t>See id.</w:t>
      </w:r>
      <w:r>
        <w:t xml:space="preserve"> at 3</w:t>
      </w:r>
      <w:r w:rsidR="00F444CA">
        <w:t>.</w:t>
      </w:r>
    </w:p>
  </w:footnote>
  <w:footnote w:id="29">
    <w:p w14:paraId="74C87D45" w14:textId="2C3FA394" w:rsidR="000D6B71" w:rsidRPr="00FF18B9" w:rsidRDefault="000D6B71" w:rsidP="000D6B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 w:rsidR="00A35B89">
        <w:rPr>
          <w:i/>
        </w:rPr>
        <w:t xml:space="preserve">Application for Review of </w:t>
      </w:r>
      <w:r w:rsidR="00F34EEF">
        <w:rPr>
          <w:i/>
        </w:rPr>
        <w:t>Southern C</w:t>
      </w:r>
      <w:r w:rsidR="006455EC">
        <w:rPr>
          <w:i/>
        </w:rPr>
        <w:t>alifornia</w:t>
      </w:r>
      <w:r w:rsidR="00333207">
        <w:rPr>
          <w:i/>
        </w:rPr>
        <w:t xml:space="preserve"> Broadcasting Co</w:t>
      </w:r>
      <w:r w:rsidR="00A35B89">
        <w:rPr>
          <w:i/>
        </w:rPr>
        <w:t>.</w:t>
      </w:r>
      <w:r w:rsidR="00333207">
        <w:rPr>
          <w:i/>
        </w:rPr>
        <w:t xml:space="preserve"> </w:t>
      </w:r>
      <w:r w:rsidR="00A35B89">
        <w:rPr>
          <w:i/>
        </w:rPr>
        <w:t>L</w:t>
      </w:r>
      <w:r w:rsidR="00333207">
        <w:rPr>
          <w:i/>
        </w:rPr>
        <w:t>icensee, Radio</w:t>
      </w:r>
      <w:r w:rsidR="00464039">
        <w:rPr>
          <w:i/>
        </w:rPr>
        <w:t xml:space="preserve"> Station Kiev (AM) Glendale, C</w:t>
      </w:r>
      <w:r w:rsidR="00B0351B">
        <w:rPr>
          <w:i/>
        </w:rPr>
        <w:t>al.</w:t>
      </w:r>
      <w:r w:rsidR="00333207">
        <w:t xml:space="preserve">, </w:t>
      </w:r>
      <w:r w:rsidR="00A35B89">
        <w:t xml:space="preserve">Memorandum Opinion and Order, </w:t>
      </w:r>
      <w:r w:rsidR="00333207">
        <w:t>6 FCC Rcd. 4387, para. 3 (1991)</w:t>
      </w:r>
      <w:r>
        <w:t>.</w:t>
      </w:r>
    </w:p>
  </w:footnote>
  <w:footnote w:id="30">
    <w:p w14:paraId="12430FF5" w14:textId="77777777" w:rsidR="00BF6E5D" w:rsidRDefault="00BF6E5D" w:rsidP="00BF6E5D">
      <w:pPr>
        <w:pStyle w:val="FootnoteText"/>
      </w:pPr>
      <w:r>
        <w:rPr>
          <w:rStyle w:val="FootnoteReference"/>
        </w:rPr>
        <w:footnoteRef/>
      </w:r>
      <w:r>
        <w:t xml:space="preserve"> 47 CFR 1.106(f) (“The petition for reconsideration and any supplement thereto . . . shall be served upon parties to the proceeding”).</w:t>
      </w:r>
    </w:p>
  </w:footnote>
  <w:footnote w:id="31">
    <w:p w14:paraId="31C7F4C9" w14:textId="49BA789B" w:rsidR="00BF6E5D" w:rsidRDefault="00BF6E5D" w:rsidP="00BF6E5D">
      <w:pPr>
        <w:pStyle w:val="FootnoteText"/>
      </w:pPr>
      <w:r>
        <w:rPr>
          <w:rStyle w:val="FootnoteReference"/>
        </w:rPr>
        <w:footnoteRef/>
      </w:r>
      <w:r>
        <w:t xml:space="preserve"> 47 CFR 1.106(i) (“Petitions for reconsideration . . . shall be submitted to the Secretary</w:t>
      </w:r>
      <w:r w:rsidR="006B0A3B">
        <w:t>. . ..</w:t>
      </w:r>
      <w:r>
        <w:t xml:space="preserve">  </w:t>
      </w:r>
      <w:r w:rsidRPr="008F541B">
        <w:t>Petitions submitted only by electronic mail and petitions submitted directly to staff without submission to the Secretary shall not be considered to have been properly filed</w:t>
      </w:r>
      <w:r>
        <w:t>”).</w:t>
      </w:r>
    </w:p>
  </w:footnote>
  <w:footnote w:id="32">
    <w:p w14:paraId="4FDDAF0D" w14:textId="40E78462" w:rsidR="00134F15" w:rsidRPr="00134F15" w:rsidRDefault="00134F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4F2D" w:rsidRPr="00C95C7D">
        <w:rPr>
          <w:i/>
        </w:rPr>
        <w:t>See</w:t>
      </w:r>
      <w:r w:rsidR="00694F2D">
        <w:t xml:space="preserve"> </w:t>
      </w:r>
      <w:r>
        <w:t>Reply at 2</w:t>
      </w:r>
      <w:r w:rsidR="00BE2DB3">
        <w:t>;</w:t>
      </w:r>
      <w:r>
        <w:t xml:space="preserve"> </w:t>
      </w:r>
      <w:r>
        <w:rPr>
          <w:i/>
        </w:rPr>
        <w:t>Gardner v. FCC</w:t>
      </w:r>
      <w:r>
        <w:t>, 530 F2d 1086 (D.C. Cir</w:t>
      </w:r>
      <w:r w:rsidR="00BE2DB3">
        <w:t>.</w:t>
      </w:r>
      <w:r>
        <w:t xml:space="preserve"> 1976).</w:t>
      </w:r>
    </w:p>
  </w:footnote>
  <w:footnote w:id="33">
    <w:p w14:paraId="35EE99F9" w14:textId="1D3A8D42" w:rsidR="004E1645" w:rsidRDefault="004E16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7890" w:rsidRPr="000D7890">
        <w:rPr>
          <w:i/>
        </w:rPr>
        <w:t>See</w:t>
      </w:r>
      <w:r w:rsidR="000D7890">
        <w:t xml:space="preserve"> Reply</w:t>
      </w:r>
      <w:r w:rsidR="006F3066">
        <w:t xml:space="preserve"> </w:t>
      </w:r>
      <w:r>
        <w:t>at 4.</w:t>
      </w:r>
    </w:p>
  </w:footnote>
  <w:footnote w:id="34">
    <w:p w14:paraId="34E17239" w14:textId="7CE986FB" w:rsidR="004B4E5F" w:rsidRPr="004B4E5F" w:rsidRDefault="004B4E5F">
      <w:pPr>
        <w:pStyle w:val="FootnoteText"/>
      </w:pPr>
      <w:r>
        <w:rPr>
          <w:rStyle w:val="FootnoteReference"/>
        </w:rPr>
        <w:footnoteRef/>
      </w:r>
      <w:r>
        <w:t xml:space="preserve"> Reply at 5-6, </w:t>
      </w:r>
      <w:r w:rsidR="000D7890">
        <w:t>c</w:t>
      </w:r>
      <w:r>
        <w:t xml:space="preserve">iting </w:t>
      </w:r>
      <w:r>
        <w:rPr>
          <w:i/>
        </w:rPr>
        <w:t xml:space="preserve">Wireless </w:t>
      </w:r>
      <w:r w:rsidR="00B37FFA">
        <w:rPr>
          <w:i/>
        </w:rPr>
        <w:t>P</w:t>
      </w:r>
      <w:r>
        <w:rPr>
          <w:i/>
        </w:rPr>
        <w:t>roperties, LLC</w:t>
      </w:r>
      <w:r>
        <w:t xml:space="preserve">, Memorandum Opinion and Order, 30 FCC Rcd 7077, 7713 (2015). </w:t>
      </w:r>
    </w:p>
  </w:footnote>
  <w:footnote w:id="35">
    <w:p w14:paraId="7F077A97" w14:textId="35AFA089" w:rsidR="004B4E5F" w:rsidRDefault="004B4E5F" w:rsidP="004B4E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7890">
        <w:t>March 20</w:t>
      </w:r>
      <w:r w:rsidR="000D7890" w:rsidRPr="00C95C7D">
        <w:rPr>
          <w:vertAlign w:val="superscript"/>
        </w:rPr>
        <w:t>th</w:t>
      </w:r>
      <w:r w:rsidR="000D7890">
        <w:t xml:space="preserve"> Email</w:t>
      </w:r>
      <w:r w:rsidR="00C2697B">
        <w:t xml:space="preserve"> (“there are 2 properties that are eligible for Registry Status, just 0.2 mi from the site, and one property about 1 mi away that is listed on the Registry”)</w:t>
      </w:r>
      <w:r>
        <w:t xml:space="preserve">.  </w:t>
      </w:r>
    </w:p>
  </w:footnote>
  <w:footnote w:id="36">
    <w:p w14:paraId="3127593D" w14:textId="23923734" w:rsidR="00C2697B" w:rsidRPr="00C2697B" w:rsidRDefault="00C26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Reply at 5, n.23</w:t>
      </w:r>
      <w:r w:rsidR="00A53234">
        <w:t xml:space="preserve"> (citing Opposition, Ex</w:t>
      </w:r>
      <w:r w:rsidR="00E57EEA">
        <w:t>h</w:t>
      </w:r>
      <w:r w:rsidR="00A53234">
        <w:t>. Q (</w:t>
      </w:r>
      <w:r w:rsidR="005F7BA4">
        <w:t>Email from Ann Bevins to Amanda Kincaid, Craig Potts, William Richardson and others (Mar. 20, 2017)</w:t>
      </w:r>
      <w:r w:rsidR="00A53234">
        <w:t>)</w:t>
      </w:r>
      <w:r w:rsidR="005F7BA4">
        <w:t xml:space="preserve">.  </w:t>
      </w:r>
    </w:p>
  </w:footnote>
  <w:footnote w:id="37">
    <w:p w14:paraId="7D86CEA0" w14:textId="0DB00263" w:rsidR="00285521" w:rsidRPr="00916A61" w:rsidRDefault="002855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</w:rPr>
        <w:t xml:space="preserve">We note that this analysis does not preclude the Commission from considering the Groverland property under Section XI of the NPA, only that we cannot do so </w:t>
      </w:r>
      <w:r w:rsidR="00916A61">
        <w:rPr>
          <w:szCs w:val="22"/>
        </w:rPr>
        <w:t>in the context</w:t>
      </w:r>
      <w:r>
        <w:rPr>
          <w:szCs w:val="22"/>
        </w:rPr>
        <w:t xml:space="preserve"> of the Petition.</w:t>
      </w:r>
      <w:r w:rsidR="00916A61">
        <w:rPr>
          <w:szCs w:val="22"/>
        </w:rPr>
        <w:t xml:space="preserve">  </w:t>
      </w:r>
      <w:r w:rsidR="00916A61">
        <w:rPr>
          <w:i/>
          <w:szCs w:val="22"/>
        </w:rPr>
        <w:t>See</w:t>
      </w:r>
      <w:r w:rsidR="00916A61">
        <w:rPr>
          <w:szCs w:val="22"/>
        </w:rPr>
        <w:t xml:space="preserve"> NPA, § XI (</w:t>
      </w:r>
      <w:r w:rsidR="00E57EEA">
        <w:rPr>
          <w:szCs w:val="22"/>
        </w:rPr>
        <w:t>“</w:t>
      </w:r>
      <w:r w:rsidR="0034396C">
        <w:rPr>
          <w:szCs w:val="22"/>
        </w:rPr>
        <w:t xml:space="preserve">Any member of the public may notify the Commission of concerns it has regarding the application of </w:t>
      </w:r>
      <w:r w:rsidR="007C6F68">
        <w:rPr>
          <w:szCs w:val="22"/>
        </w:rPr>
        <w:t>this Nationwide Agreement</w:t>
      </w:r>
      <w:r w:rsidR="0034396C">
        <w:rPr>
          <w:szCs w:val="22"/>
        </w:rPr>
        <w:t xml:space="preserve"> within a State or with rega</w:t>
      </w:r>
      <w:r w:rsidR="007C6F68">
        <w:rPr>
          <w:szCs w:val="22"/>
        </w:rPr>
        <w:t>rd to the review of individual U</w:t>
      </w:r>
      <w:r w:rsidR="0034396C">
        <w:rPr>
          <w:szCs w:val="22"/>
        </w:rPr>
        <w:t>ndertakings covered or excluded under the terms of this Agreement.</w:t>
      </w:r>
      <w:r w:rsidR="007C6F68">
        <w:rPr>
          <w:szCs w:val="22"/>
        </w:rPr>
        <w:t xml:space="preserve"> … The Commission will consider public comments and following consultation with the SHPO/THPO, potentially affected Indian tribes and NHOs, or Council, where appropriate, take appropriate actions.  The Commission shall notify the objector of the outcome of its actions.”</w:t>
      </w:r>
      <w:r w:rsidR="00916A61">
        <w:rPr>
          <w:szCs w:val="22"/>
        </w:rPr>
        <w:t>)</w:t>
      </w:r>
      <w:r w:rsidR="00516B6E">
        <w:rPr>
          <w:szCs w:val="22"/>
        </w:rPr>
        <w:t xml:space="preserve">; </w:t>
      </w:r>
      <w:r w:rsidR="00516B6E">
        <w:rPr>
          <w:i/>
          <w:szCs w:val="22"/>
        </w:rPr>
        <w:t>see also</w:t>
      </w:r>
      <w:r w:rsidR="00516B6E">
        <w:rPr>
          <w:szCs w:val="22"/>
        </w:rPr>
        <w:t xml:space="preserve"> Letter from Charlene Dwin Vaughn, Ass</w:t>
      </w:r>
      <w:r w:rsidR="00E57EEA">
        <w:rPr>
          <w:szCs w:val="22"/>
        </w:rPr>
        <w:t>istan</w:t>
      </w:r>
      <w:r w:rsidR="00516B6E">
        <w:rPr>
          <w:szCs w:val="22"/>
        </w:rPr>
        <w:t xml:space="preserve">t Director Office of Federal Agency Programs, Federal Permitting, Licensing, and Assistance Section, the Advisory Council on Historic Preservation, to Jeffrey Steinberg, Deputy Chief, Competition and Infrastructure Policy Division, </w:t>
      </w:r>
      <w:r w:rsidR="00103FBE">
        <w:rPr>
          <w:szCs w:val="22"/>
        </w:rPr>
        <w:t xml:space="preserve">FCC </w:t>
      </w:r>
      <w:r w:rsidR="00516B6E">
        <w:rPr>
          <w:szCs w:val="22"/>
        </w:rPr>
        <w:t xml:space="preserve">Wireless Telecommunications Bureau (May 11, 2017); </w:t>
      </w:r>
      <w:r w:rsidR="00B6186E">
        <w:rPr>
          <w:szCs w:val="22"/>
        </w:rPr>
        <w:t>Letter from Cr</w:t>
      </w:r>
      <w:r w:rsidR="00516B6E">
        <w:rPr>
          <w:szCs w:val="22"/>
        </w:rPr>
        <w:t>a</w:t>
      </w:r>
      <w:r w:rsidR="00B6186E">
        <w:rPr>
          <w:szCs w:val="22"/>
        </w:rPr>
        <w:t>i</w:t>
      </w:r>
      <w:r w:rsidR="00516B6E">
        <w:rPr>
          <w:szCs w:val="22"/>
        </w:rPr>
        <w:t xml:space="preserve">g A. Potts, Executive Director and State Historic Preservation Officer, Kentucky, to Jeffrey Steinberg, Deputy Chief, Competition and Infrastructure Policy Division, </w:t>
      </w:r>
      <w:r w:rsidR="00103FBE">
        <w:rPr>
          <w:szCs w:val="22"/>
        </w:rPr>
        <w:t xml:space="preserve">FCC </w:t>
      </w:r>
      <w:r w:rsidR="00516B6E">
        <w:rPr>
          <w:szCs w:val="22"/>
        </w:rPr>
        <w:t>Wireless Telecommunications Bureau (Apr. 10, 2017)</w:t>
      </w:r>
      <w:r w:rsidR="00916A61"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98B8" w14:textId="77777777" w:rsidR="00A47D6F" w:rsidRDefault="00A47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88D0" w14:textId="588ADF6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671165">
      <w:t>DA 17-969</w:t>
    </w:r>
  </w:p>
  <w:p w14:paraId="6D8442EA" w14:textId="77777777" w:rsidR="00D25FB5" w:rsidRDefault="00D331E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2C640AE" wp14:editId="7AAC1D7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7B712E91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608036C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3938" w14:textId="240C87E6" w:rsidR="00D25FB5" w:rsidRDefault="00D331EE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F3384C" wp14:editId="08C37BF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494A7041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671165">
      <w:rPr>
        <w:spacing w:val="-2"/>
      </w:rPr>
      <w:t>DA 17-969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4E55ABD"/>
    <w:multiLevelType w:val="hybridMultilevel"/>
    <w:tmpl w:val="85BAA394"/>
    <w:lvl w:ilvl="0" w:tplc="795C4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8B221B6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170"/>
        </w:tabs>
        <w:ind w:left="9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multilevel"/>
    <w:tmpl w:val="FD9AC62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EE"/>
    <w:rsid w:val="000016BF"/>
    <w:rsid w:val="00002CE4"/>
    <w:rsid w:val="00013505"/>
    <w:rsid w:val="00015C1A"/>
    <w:rsid w:val="000243A2"/>
    <w:rsid w:val="0002769D"/>
    <w:rsid w:val="00036039"/>
    <w:rsid w:val="000362E3"/>
    <w:rsid w:val="00037F90"/>
    <w:rsid w:val="00042B0B"/>
    <w:rsid w:val="000505C9"/>
    <w:rsid w:val="0005336C"/>
    <w:rsid w:val="0005613E"/>
    <w:rsid w:val="00057F53"/>
    <w:rsid w:val="000602D8"/>
    <w:rsid w:val="00063EE1"/>
    <w:rsid w:val="00076DD3"/>
    <w:rsid w:val="00086935"/>
    <w:rsid w:val="000875BF"/>
    <w:rsid w:val="00096D8C"/>
    <w:rsid w:val="000B5C32"/>
    <w:rsid w:val="000C0B65"/>
    <w:rsid w:val="000D5F1D"/>
    <w:rsid w:val="000D6B71"/>
    <w:rsid w:val="000D7890"/>
    <w:rsid w:val="000E05FE"/>
    <w:rsid w:val="000E3D42"/>
    <w:rsid w:val="000E6FC9"/>
    <w:rsid w:val="000F42DE"/>
    <w:rsid w:val="000F5A70"/>
    <w:rsid w:val="00103FBE"/>
    <w:rsid w:val="0010500E"/>
    <w:rsid w:val="00122BD5"/>
    <w:rsid w:val="001301F4"/>
    <w:rsid w:val="00133F79"/>
    <w:rsid w:val="00134F15"/>
    <w:rsid w:val="0014070B"/>
    <w:rsid w:val="00140F86"/>
    <w:rsid w:val="00146E13"/>
    <w:rsid w:val="00155DE3"/>
    <w:rsid w:val="00174AFC"/>
    <w:rsid w:val="00194A66"/>
    <w:rsid w:val="001A4AB6"/>
    <w:rsid w:val="001A671B"/>
    <w:rsid w:val="001A772A"/>
    <w:rsid w:val="001C2153"/>
    <w:rsid w:val="001D31FC"/>
    <w:rsid w:val="001D34D9"/>
    <w:rsid w:val="001D6BCF"/>
    <w:rsid w:val="001E01CA"/>
    <w:rsid w:val="001E0E23"/>
    <w:rsid w:val="001E2A87"/>
    <w:rsid w:val="001F26D1"/>
    <w:rsid w:val="00200309"/>
    <w:rsid w:val="002216AD"/>
    <w:rsid w:val="00222E26"/>
    <w:rsid w:val="00226D9D"/>
    <w:rsid w:val="00227ECA"/>
    <w:rsid w:val="002436C7"/>
    <w:rsid w:val="00244EE7"/>
    <w:rsid w:val="00245C13"/>
    <w:rsid w:val="002538BF"/>
    <w:rsid w:val="00266600"/>
    <w:rsid w:val="00271B29"/>
    <w:rsid w:val="00275CF5"/>
    <w:rsid w:val="0028301F"/>
    <w:rsid w:val="002841FA"/>
    <w:rsid w:val="00285017"/>
    <w:rsid w:val="00285521"/>
    <w:rsid w:val="002A2D2E"/>
    <w:rsid w:val="002B021B"/>
    <w:rsid w:val="002B30D4"/>
    <w:rsid w:val="002C00E8"/>
    <w:rsid w:val="002D1569"/>
    <w:rsid w:val="002E66A4"/>
    <w:rsid w:val="00333207"/>
    <w:rsid w:val="00333C89"/>
    <w:rsid w:val="00343749"/>
    <w:rsid w:val="0034396C"/>
    <w:rsid w:val="00351706"/>
    <w:rsid w:val="00355A55"/>
    <w:rsid w:val="00357673"/>
    <w:rsid w:val="003660ED"/>
    <w:rsid w:val="0036619A"/>
    <w:rsid w:val="0037788E"/>
    <w:rsid w:val="00381F4D"/>
    <w:rsid w:val="00385158"/>
    <w:rsid w:val="0039102E"/>
    <w:rsid w:val="0039419D"/>
    <w:rsid w:val="00396D0A"/>
    <w:rsid w:val="003A099F"/>
    <w:rsid w:val="003B0550"/>
    <w:rsid w:val="003B0CB8"/>
    <w:rsid w:val="003B1695"/>
    <w:rsid w:val="003B694F"/>
    <w:rsid w:val="003C2089"/>
    <w:rsid w:val="003D1D6F"/>
    <w:rsid w:val="003E207B"/>
    <w:rsid w:val="003E5E5B"/>
    <w:rsid w:val="003F171C"/>
    <w:rsid w:val="00406A81"/>
    <w:rsid w:val="0040705D"/>
    <w:rsid w:val="004107AD"/>
    <w:rsid w:val="00412FC5"/>
    <w:rsid w:val="00413343"/>
    <w:rsid w:val="00422276"/>
    <w:rsid w:val="004242F1"/>
    <w:rsid w:val="00426A15"/>
    <w:rsid w:val="00431D1D"/>
    <w:rsid w:val="00435016"/>
    <w:rsid w:val="00445A00"/>
    <w:rsid w:val="00451B0F"/>
    <w:rsid w:val="0045526C"/>
    <w:rsid w:val="00464039"/>
    <w:rsid w:val="00467A44"/>
    <w:rsid w:val="00470F79"/>
    <w:rsid w:val="00481802"/>
    <w:rsid w:val="004A17B8"/>
    <w:rsid w:val="004A2DF7"/>
    <w:rsid w:val="004B1419"/>
    <w:rsid w:val="004B19C6"/>
    <w:rsid w:val="004B4E5F"/>
    <w:rsid w:val="004B799A"/>
    <w:rsid w:val="004C1589"/>
    <w:rsid w:val="004C2EE3"/>
    <w:rsid w:val="004C6F69"/>
    <w:rsid w:val="004D69BF"/>
    <w:rsid w:val="004E1645"/>
    <w:rsid w:val="004E4A22"/>
    <w:rsid w:val="004F12C3"/>
    <w:rsid w:val="004F4C46"/>
    <w:rsid w:val="00511968"/>
    <w:rsid w:val="00516B6E"/>
    <w:rsid w:val="00526B37"/>
    <w:rsid w:val="005335E7"/>
    <w:rsid w:val="0054355A"/>
    <w:rsid w:val="00544F6F"/>
    <w:rsid w:val="0055614C"/>
    <w:rsid w:val="00563B71"/>
    <w:rsid w:val="005700DB"/>
    <w:rsid w:val="005719C8"/>
    <w:rsid w:val="00582045"/>
    <w:rsid w:val="005873BC"/>
    <w:rsid w:val="00594724"/>
    <w:rsid w:val="005B1AD3"/>
    <w:rsid w:val="005C46BB"/>
    <w:rsid w:val="005E14C2"/>
    <w:rsid w:val="005F1632"/>
    <w:rsid w:val="005F7BA4"/>
    <w:rsid w:val="00601E53"/>
    <w:rsid w:val="00605B76"/>
    <w:rsid w:val="00607BA5"/>
    <w:rsid w:val="00610EBD"/>
    <w:rsid w:val="0061180A"/>
    <w:rsid w:val="00615BCF"/>
    <w:rsid w:val="00626EB6"/>
    <w:rsid w:val="006455EC"/>
    <w:rsid w:val="0064574F"/>
    <w:rsid w:val="00655025"/>
    <w:rsid w:val="00655D03"/>
    <w:rsid w:val="00671165"/>
    <w:rsid w:val="00683388"/>
    <w:rsid w:val="00683F84"/>
    <w:rsid w:val="00690406"/>
    <w:rsid w:val="00691BDB"/>
    <w:rsid w:val="00694F2D"/>
    <w:rsid w:val="006A6A81"/>
    <w:rsid w:val="006B0A3B"/>
    <w:rsid w:val="006B3C7C"/>
    <w:rsid w:val="006B41DB"/>
    <w:rsid w:val="006B637A"/>
    <w:rsid w:val="006B7D29"/>
    <w:rsid w:val="006F3066"/>
    <w:rsid w:val="006F7393"/>
    <w:rsid w:val="0070224F"/>
    <w:rsid w:val="007115F7"/>
    <w:rsid w:val="00722906"/>
    <w:rsid w:val="00735919"/>
    <w:rsid w:val="00762287"/>
    <w:rsid w:val="007678F0"/>
    <w:rsid w:val="00771AE9"/>
    <w:rsid w:val="00772D3A"/>
    <w:rsid w:val="00772E1E"/>
    <w:rsid w:val="00785689"/>
    <w:rsid w:val="00792658"/>
    <w:rsid w:val="0079547C"/>
    <w:rsid w:val="0079754B"/>
    <w:rsid w:val="007A1E07"/>
    <w:rsid w:val="007A1E6D"/>
    <w:rsid w:val="007B0EB2"/>
    <w:rsid w:val="007B570A"/>
    <w:rsid w:val="007B7E19"/>
    <w:rsid w:val="007C468B"/>
    <w:rsid w:val="007C6F68"/>
    <w:rsid w:val="007E0481"/>
    <w:rsid w:val="007F0E88"/>
    <w:rsid w:val="007F6904"/>
    <w:rsid w:val="00800B84"/>
    <w:rsid w:val="008068F7"/>
    <w:rsid w:val="00810B6F"/>
    <w:rsid w:val="00822C25"/>
    <w:rsid w:val="00822CE0"/>
    <w:rsid w:val="00835882"/>
    <w:rsid w:val="008379FC"/>
    <w:rsid w:val="00841AB1"/>
    <w:rsid w:val="00843F93"/>
    <w:rsid w:val="0085119F"/>
    <w:rsid w:val="00860E87"/>
    <w:rsid w:val="00887828"/>
    <w:rsid w:val="00891C71"/>
    <w:rsid w:val="008A2412"/>
    <w:rsid w:val="008B2B5A"/>
    <w:rsid w:val="008B4425"/>
    <w:rsid w:val="008B6B3D"/>
    <w:rsid w:val="008C28CA"/>
    <w:rsid w:val="008C42BE"/>
    <w:rsid w:val="008C68F1"/>
    <w:rsid w:val="008D74D3"/>
    <w:rsid w:val="008F541B"/>
    <w:rsid w:val="008F76CB"/>
    <w:rsid w:val="00914800"/>
    <w:rsid w:val="0091676C"/>
    <w:rsid w:val="00916A61"/>
    <w:rsid w:val="00921803"/>
    <w:rsid w:val="00926503"/>
    <w:rsid w:val="00931EA8"/>
    <w:rsid w:val="00936539"/>
    <w:rsid w:val="009372A1"/>
    <w:rsid w:val="00940E81"/>
    <w:rsid w:val="00952AB3"/>
    <w:rsid w:val="00965768"/>
    <w:rsid w:val="009726D8"/>
    <w:rsid w:val="00976042"/>
    <w:rsid w:val="00981CEE"/>
    <w:rsid w:val="009870FF"/>
    <w:rsid w:val="009A1F0F"/>
    <w:rsid w:val="009A6F96"/>
    <w:rsid w:val="009C4339"/>
    <w:rsid w:val="009C600D"/>
    <w:rsid w:val="009F0677"/>
    <w:rsid w:val="009F76DB"/>
    <w:rsid w:val="00A00A06"/>
    <w:rsid w:val="00A10FD0"/>
    <w:rsid w:val="00A12040"/>
    <w:rsid w:val="00A1460F"/>
    <w:rsid w:val="00A161E3"/>
    <w:rsid w:val="00A32C3B"/>
    <w:rsid w:val="00A34973"/>
    <w:rsid w:val="00A35B89"/>
    <w:rsid w:val="00A45F4F"/>
    <w:rsid w:val="00A47D6F"/>
    <w:rsid w:val="00A53234"/>
    <w:rsid w:val="00A600A9"/>
    <w:rsid w:val="00A61BED"/>
    <w:rsid w:val="00A66338"/>
    <w:rsid w:val="00A726C8"/>
    <w:rsid w:val="00A87915"/>
    <w:rsid w:val="00A97370"/>
    <w:rsid w:val="00AA4301"/>
    <w:rsid w:val="00AA55B7"/>
    <w:rsid w:val="00AA5B9E"/>
    <w:rsid w:val="00AB2407"/>
    <w:rsid w:val="00AB42A4"/>
    <w:rsid w:val="00AB53DF"/>
    <w:rsid w:val="00AC014D"/>
    <w:rsid w:val="00AC645F"/>
    <w:rsid w:val="00AE1311"/>
    <w:rsid w:val="00AE3DAF"/>
    <w:rsid w:val="00AF3153"/>
    <w:rsid w:val="00AF6350"/>
    <w:rsid w:val="00B0351B"/>
    <w:rsid w:val="00B07E5C"/>
    <w:rsid w:val="00B14C1D"/>
    <w:rsid w:val="00B24AA6"/>
    <w:rsid w:val="00B37FFA"/>
    <w:rsid w:val="00B52C9A"/>
    <w:rsid w:val="00B54DAA"/>
    <w:rsid w:val="00B57413"/>
    <w:rsid w:val="00B574C6"/>
    <w:rsid w:val="00B6186E"/>
    <w:rsid w:val="00B63F82"/>
    <w:rsid w:val="00B811F7"/>
    <w:rsid w:val="00B86FD3"/>
    <w:rsid w:val="00BA06E9"/>
    <w:rsid w:val="00BA5DC6"/>
    <w:rsid w:val="00BA6196"/>
    <w:rsid w:val="00BB00E9"/>
    <w:rsid w:val="00BB1825"/>
    <w:rsid w:val="00BC49A3"/>
    <w:rsid w:val="00BC58E4"/>
    <w:rsid w:val="00BC6D8C"/>
    <w:rsid w:val="00BD2456"/>
    <w:rsid w:val="00BE0C4A"/>
    <w:rsid w:val="00BE2DB3"/>
    <w:rsid w:val="00BE49FB"/>
    <w:rsid w:val="00BF6E5D"/>
    <w:rsid w:val="00C0658F"/>
    <w:rsid w:val="00C201D5"/>
    <w:rsid w:val="00C2697B"/>
    <w:rsid w:val="00C26A4B"/>
    <w:rsid w:val="00C30582"/>
    <w:rsid w:val="00C30988"/>
    <w:rsid w:val="00C34006"/>
    <w:rsid w:val="00C34956"/>
    <w:rsid w:val="00C4143E"/>
    <w:rsid w:val="00C426B1"/>
    <w:rsid w:val="00C65B94"/>
    <w:rsid w:val="00C66160"/>
    <w:rsid w:val="00C721AC"/>
    <w:rsid w:val="00C74CE9"/>
    <w:rsid w:val="00C77984"/>
    <w:rsid w:val="00C90D6A"/>
    <w:rsid w:val="00C9290F"/>
    <w:rsid w:val="00C95C7D"/>
    <w:rsid w:val="00CA12C6"/>
    <w:rsid w:val="00CA247E"/>
    <w:rsid w:val="00CC3B9E"/>
    <w:rsid w:val="00CC72B6"/>
    <w:rsid w:val="00CE0DBC"/>
    <w:rsid w:val="00CE43E0"/>
    <w:rsid w:val="00CF2788"/>
    <w:rsid w:val="00D0218D"/>
    <w:rsid w:val="00D20EA0"/>
    <w:rsid w:val="00D246CE"/>
    <w:rsid w:val="00D25FB5"/>
    <w:rsid w:val="00D31F74"/>
    <w:rsid w:val="00D331EE"/>
    <w:rsid w:val="00D34875"/>
    <w:rsid w:val="00D44223"/>
    <w:rsid w:val="00D52333"/>
    <w:rsid w:val="00D57B52"/>
    <w:rsid w:val="00D64DFB"/>
    <w:rsid w:val="00D70CE7"/>
    <w:rsid w:val="00D8603A"/>
    <w:rsid w:val="00D93C99"/>
    <w:rsid w:val="00DA2529"/>
    <w:rsid w:val="00DA5515"/>
    <w:rsid w:val="00DB0CB3"/>
    <w:rsid w:val="00DB130A"/>
    <w:rsid w:val="00DB2EBB"/>
    <w:rsid w:val="00DB5CF1"/>
    <w:rsid w:val="00DC0479"/>
    <w:rsid w:val="00DC10A1"/>
    <w:rsid w:val="00DC655F"/>
    <w:rsid w:val="00DD0B59"/>
    <w:rsid w:val="00DD6430"/>
    <w:rsid w:val="00DD7EBD"/>
    <w:rsid w:val="00DE4AE1"/>
    <w:rsid w:val="00DE59C4"/>
    <w:rsid w:val="00DF345E"/>
    <w:rsid w:val="00DF42D4"/>
    <w:rsid w:val="00DF493E"/>
    <w:rsid w:val="00DF62B6"/>
    <w:rsid w:val="00E00784"/>
    <w:rsid w:val="00E045AD"/>
    <w:rsid w:val="00E07225"/>
    <w:rsid w:val="00E20301"/>
    <w:rsid w:val="00E27071"/>
    <w:rsid w:val="00E31725"/>
    <w:rsid w:val="00E45648"/>
    <w:rsid w:val="00E5409F"/>
    <w:rsid w:val="00E57EEA"/>
    <w:rsid w:val="00E61AA2"/>
    <w:rsid w:val="00E71196"/>
    <w:rsid w:val="00E80F00"/>
    <w:rsid w:val="00E81327"/>
    <w:rsid w:val="00E828BB"/>
    <w:rsid w:val="00E8384C"/>
    <w:rsid w:val="00E87533"/>
    <w:rsid w:val="00E9213D"/>
    <w:rsid w:val="00EA4A1A"/>
    <w:rsid w:val="00EA54D3"/>
    <w:rsid w:val="00EB4611"/>
    <w:rsid w:val="00ED736B"/>
    <w:rsid w:val="00EE5A5E"/>
    <w:rsid w:val="00EE6488"/>
    <w:rsid w:val="00F00B51"/>
    <w:rsid w:val="00F021FA"/>
    <w:rsid w:val="00F05A86"/>
    <w:rsid w:val="00F12BA3"/>
    <w:rsid w:val="00F134CD"/>
    <w:rsid w:val="00F3045D"/>
    <w:rsid w:val="00F33B88"/>
    <w:rsid w:val="00F34EEF"/>
    <w:rsid w:val="00F444CA"/>
    <w:rsid w:val="00F55FE7"/>
    <w:rsid w:val="00F56ED8"/>
    <w:rsid w:val="00F57320"/>
    <w:rsid w:val="00F61F8E"/>
    <w:rsid w:val="00F62E97"/>
    <w:rsid w:val="00F64209"/>
    <w:rsid w:val="00F653E4"/>
    <w:rsid w:val="00F820F9"/>
    <w:rsid w:val="00F866A9"/>
    <w:rsid w:val="00F86A68"/>
    <w:rsid w:val="00F90781"/>
    <w:rsid w:val="00F93BF5"/>
    <w:rsid w:val="00F93F5F"/>
    <w:rsid w:val="00FB068E"/>
    <w:rsid w:val="00FB2D83"/>
    <w:rsid w:val="00FB384A"/>
    <w:rsid w:val="00FD20A7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F551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360"/>
        <w:tab w:val="num" w:pos="1440"/>
      </w:tabs>
      <w:spacing w:after="120"/>
      <w:ind w:firstLine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2412"/>
    <w:rPr>
      <w:b/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8A2412"/>
  </w:style>
  <w:style w:type="paragraph" w:styleId="BalloonText">
    <w:name w:val="Balloon Text"/>
    <w:basedOn w:val="Normal"/>
    <w:link w:val="BalloonTextChar"/>
    <w:rsid w:val="0077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AE9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965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576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6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5768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B00E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360"/>
        <w:tab w:val="num" w:pos="1440"/>
      </w:tabs>
      <w:spacing w:after="120"/>
      <w:ind w:firstLine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2412"/>
    <w:rPr>
      <w:b/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8A2412"/>
  </w:style>
  <w:style w:type="paragraph" w:styleId="BalloonText">
    <w:name w:val="Balloon Text"/>
    <w:basedOn w:val="Normal"/>
    <w:link w:val="BalloonTextChar"/>
    <w:rsid w:val="0077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AE9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965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576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6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5768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B00E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.next.westlaw.com/Link/Document/FullText?findType=Y&amp;serNum=1988187246&amp;pubNum=0004493&amp;originatingDoc=I41b33b98cb4611e191598982704508d1&amp;refType=CA&amp;originationContext=document&amp;transitionType=DocumentItem&amp;contextData=(sc.Folder*cid.d066ec5834834ae29c8d048de055ca43*oc.UserEnteredCitation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1396</Words>
  <Characters>7735</Characters>
  <Application>Microsoft Office Word</Application>
  <DocSecurity>0</DocSecurity>
  <Lines>136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9150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2017-10-05T15:08:00Z</cp:lastPrinted>
  <dcterms:created xsi:type="dcterms:W3CDTF">2017-10-06T20:49:00Z</dcterms:created>
  <dcterms:modified xsi:type="dcterms:W3CDTF">2017-10-06T20:49:00Z</dcterms:modified>
  <cp:category> </cp:category>
  <cp:contentStatus> </cp:contentStatus>
</cp:coreProperties>
</file>