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92858"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122DA7C4" w14:textId="77777777" w:rsidR="00921803" w:rsidRDefault="00921803" w:rsidP="00921803">
      <w:pPr>
        <w:pStyle w:val="StyleBoldCentered"/>
      </w:pPr>
      <w:r>
        <w:t>F</w:t>
      </w:r>
      <w:r>
        <w:rPr>
          <w:caps w:val="0"/>
        </w:rPr>
        <w:t>ederal Communications Commission</w:t>
      </w:r>
    </w:p>
    <w:p w14:paraId="7C89C970" w14:textId="77777777" w:rsidR="004C2EE3" w:rsidRDefault="00810B6F" w:rsidP="00096D8C">
      <w:pPr>
        <w:pStyle w:val="StyleBoldCentered"/>
      </w:pPr>
      <w:r>
        <w:rPr>
          <w:caps w:val="0"/>
        </w:rPr>
        <w:t>Washington, D.C. 20554</w:t>
      </w:r>
    </w:p>
    <w:p w14:paraId="4D01D994"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75E8A812" w14:textId="77777777">
        <w:tc>
          <w:tcPr>
            <w:tcW w:w="4698" w:type="dxa"/>
          </w:tcPr>
          <w:p w14:paraId="5B04E166" w14:textId="77777777" w:rsidR="004C2EE3" w:rsidRDefault="004C2EE3">
            <w:pPr>
              <w:tabs>
                <w:tab w:val="center" w:pos="4680"/>
              </w:tabs>
              <w:suppressAutoHyphens/>
              <w:rPr>
                <w:spacing w:val="-2"/>
              </w:rPr>
            </w:pPr>
            <w:r>
              <w:rPr>
                <w:spacing w:val="-2"/>
              </w:rPr>
              <w:t>In the Matter of</w:t>
            </w:r>
          </w:p>
          <w:p w14:paraId="6547EFB4" w14:textId="77777777" w:rsidR="004C2EE3" w:rsidRDefault="004C2EE3">
            <w:pPr>
              <w:tabs>
                <w:tab w:val="center" w:pos="4680"/>
              </w:tabs>
              <w:suppressAutoHyphens/>
              <w:rPr>
                <w:spacing w:val="-2"/>
              </w:rPr>
            </w:pPr>
          </w:p>
          <w:p w14:paraId="13C3AA94" w14:textId="77777777" w:rsidR="004C2EE3" w:rsidRDefault="007A4EDA" w:rsidP="007115F7">
            <w:pPr>
              <w:tabs>
                <w:tab w:val="center" w:pos="4680"/>
              </w:tabs>
              <w:suppressAutoHyphens/>
              <w:rPr>
                <w:spacing w:val="-2"/>
              </w:rPr>
            </w:pPr>
            <w:r>
              <w:rPr>
                <w:spacing w:val="-2"/>
              </w:rPr>
              <w:t>Public Safety Technologies, Inc.</w:t>
            </w:r>
          </w:p>
          <w:p w14:paraId="5473AF9B" w14:textId="77777777" w:rsidR="007A4EDA" w:rsidRDefault="007A4EDA" w:rsidP="007115F7">
            <w:pPr>
              <w:tabs>
                <w:tab w:val="center" w:pos="4680"/>
              </w:tabs>
              <w:suppressAutoHyphens/>
              <w:rPr>
                <w:spacing w:val="-2"/>
              </w:rPr>
            </w:pPr>
            <w:r>
              <w:rPr>
                <w:spacing w:val="-2"/>
              </w:rPr>
              <w:t>Licensee of Station WQJM334</w:t>
            </w:r>
          </w:p>
          <w:p w14:paraId="75249DDB" w14:textId="77777777" w:rsidR="007A4EDA" w:rsidRDefault="007A4EDA" w:rsidP="007115F7">
            <w:pPr>
              <w:tabs>
                <w:tab w:val="center" w:pos="4680"/>
              </w:tabs>
              <w:suppressAutoHyphens/>
              <w:rPr>
                <w:spacing w:val="-2"/>
              </w:rPr>
            </w:pPr>
          </w:p>
          <w:p w14:paraId="18C8BE84" w14:textId="77777777" w:rsidR="007A4EDA" w:rsidRPr="007115F7" w:rsidRDefault="007A4EDA" w:rsidP="007115F7">
            <w:pPr>
              <w:tabs>
                <w:tab w:val="center" w:pos="4680"/>
              </w:tabs>
              <w:suppressAutoHyphens/>
              <w:rPr>
                <w:spacing w:val="-2"/>
              </w:rPr>
            </w:pPr>
            <w:r>
              <w:rPr>
                <w:spacing w:val="-2"/>
              </w:rPr>
              <w:t>West Covina, California</w:t>
            </w:r>
          </w:p>
        </w:tc>
        <w:tc>
          <w:tcPr>
            <w:tcW w:w="630" w:type="dxa"/>
          </w:tcPr>
          <w:p w14:paraId="68418D6A" w14:textId="77777777" w:rsidR="004C2EE3" w:rsidRDefault="004C2EE3">
            <w:pPr>
              <w:tabs>
                <w:tab w:val="center" w:pos="4680"/>
              </w:tabs>
              <w:suppressAutoHyphens/>
              <w:rPr>
                <w:b/>
                <w:spacing w:val="-2"/>
              </w:rPr>
            </w:pPr>
            <w:r>
              <w:rPr>
                <w:b/>
                <w:spacing w:val="-2"/>
              </w:rPr>
              <w:t>)</w:t>
            </w:r>
          </w:p>
          <w:p w14:paraId="35DB15F1" w14:textId="77777777" w:rsidR="004C2EE3" w:rsidRDefault="004C2EE3">
            <w:pPr>
              <w:tabs>
                <w:tab w:val="center" w:pos="4680"/>
              </w:tabs>
              <w:suppressAutoHyphens/>
              <w:rPr>
                <w:b/>
                <w:spacing w:val="-2"/>
              </w:rPr>
            </w:pPr>
            <w:r>
              <w:rPr>
                <w:b/>
                <w:spacing w:val="-2"/>
              </w:rPr>
              <w:t>)</w:t>
            </w:r>
          </w:p>
          <w:p w14:paraId="30E590C0" w14:textId="77777777" w:rsidR="004C2EE3" w:rsidRDefault="004C2EE3">
            <w:pPr>
              <w:tabs>
                <w:tab w:val="center" w:pos="4680"/>
              </w:tabs>
              <w:suppressAutoHyphens/>
              <w:rPr>
                <w:b/>
                <w:spacing w:val="-2"/>
              </w:rPr>
            </w:pPr>
            <w:r>
              <w:rPr>
                <w:b/>
                <w:spacing w:val="-2"/>
              </w:rPr>
              <w:t>)</w:t>
            </w:r>
          </w:p>
          <w:p w14:paraId="71EED330" w14:textId="77777777" w:rsidR="004C2EE3" w:rsidRDefault="004C2EE3">
            <w:pPr>
              <w:tabs>
                <w:tab w:val="center" w:pos="4680"/>
              </w:tabs>
              <w:suppressAutoHyphens/>
              <w:rPr>
                <w:b/>
                <w:spacing w:val="-2"/>
              </w:rPr>
            </w:pPr>
            <w:r>
              <w:rPr>
                <w:b/>
                <w:spacing w:val="-2"/>
              </w:rPr>
              <w:t>)</w:t>
            </w:r>
          </w:p>
          <w:p w14:paraId="7228D68A" w14:textId="77777777" w:rsidR="004C2EE3" w:rsidRDefault="004C2EE3">
            <w:pPr>
              <w:tabs>
                <w:tab w:val="center" w:pos="4680"/>
              </w:tabs>
              <w:suppressAutoHyphens/>
              <w:rPr>
                <w:b/>
                <w:spacing w:val="-2"/>
              </w:rPr>
            </w:pPr>
            <w:r>
              <w:rPr>
                <w:b/>
                <w:spacing w:val="-2"/>
              </w:rPr>
              <w:t>)</w:t>
            </w:r>
          </w:p>
          <w:p w14:paraId="23BB60F3" w14:textId="77777777" w:rsidR="004C2EE3" w:rsidRPr="00393B9F" w:rsidRDefault="004C2EE3">
            <w:pPr>
              <w:tabs>
                <w:tab w:val="center" w:pos="4680"/>
              </w:tabs>
              <w:suppressAutoHyphens/>
              <w:rPr>
                <w:b/>
                <w:spacing w:val="-2"/>
              </w:rPr>
            </w:pPr>
            <w:r>
              <w:rPr>
                <w:b/>
                <w:spacing w:val="-2"/>
              </w:rPr>
              <w:t>)</w:t>
            </w:r>
          </w:p>
        </w:tc>
        <w:tc>
          <w:tcPr>
            <w:tcW w:w="4248" w:type="dxa"/>
          </w:tcPr>
          <w:p w14:paraId="668304A5" w14:textId="77777777" w:rsidR="004C2EE3" w:rsidRDefault="004C2EE3">
            <w:pPr>
              <w:tabs>
                <w:tab w:val="center" w:pos="4680"/>
              </w:tabs>
              <w:suppressAutoHyphens/>
              <w:rPr>
                <w:spacing w:val="-2"/>
              </w:rPr>
            </w:pPr>
          </w:p>
          <w:p w14:paraId="4B561AE3" w14:textId="77777777" w:rsidR="004C2EE3" w:rsidRDefault="004C2EE3">
            <w:pPr>
              <w:pStyle w:val="TOAHeading"/>
              <w:tabs>
                <w:tab w:val="clear" w:pos="9360"/>
                <w:tab w:val="center" w:pos="4680"/>
              </w:tabs>
              <w:rPr>
                <w:spacing w:val="-2"/>
              </w:rPr>
            </w:pPr>
          </w:p>
          <w:p w14:paraId="4152545A" w14:textId="77777777" w:rsidR="004C2EE3" w:rsidRDefault="007A4EDA">
            <w:pPr>
              <w:tabs>
                <w:tab w:val="center" w:pos="4680"/>
              </w:tabs>
              <w:suppressAutoHyphens/>
              <w:rPr>
                <w:spacing w:val="-2"/>
              </w:rPr>
            </w:pPr>
            <w:r>
              <w:rPr>
                <w:spacing w:val="-2"/>
              </w:rPr>
              <w:t>File No. EB-FIELDWR-15-00019998</w:t>
            </w:r>
          </w:p>
          <w:p w14:paraId="0E7ACB07" w14:textId="77777777" w:rsidR="007A4EDA" w:rsidRDefault="007A4EDA">
            <w:pPr>
              <w:tabs>
                <w:tab w:val="center" w:pos="4680"/>
              </w:tabs>
              <w:suppressAutoHyphens/>
              <w:rPr>
                <w:spacing w:val="-2"/>
              </w:rPr>
            </w:pPr>
            <w:r>
              <w:rPr>
                <w:spacing w:val="-2"/>
              </w:rPr>
              <w:t xml:space="preserve">NAL/Acct. No: </w:t>
            </w:r>
            <w:r w:rsidRPr="007A4EDA">
              <w:rPr>
                <w:spacing w:val="-2"/>
              </w:rPr>
              <w:t>201632900001</w:t>
            </w:r>
          </w:p>
          <w:p w14:paraId="17CB8637" w14:textId="77777777" w:rsidR="007A4EDA" w:rsidRDefault="007A4EDA">
            <w:pPr>
              <w:tabs>
                <w:tab w:val="center" w:pos="4680"/>
              </w:tabs>
              <w:suppressAutoHyphens/>
              <w:rPr>
                <w:spacing w:val="-2"/>
              </w:rPr>
            </w:pPr>
            <w:r>
              <w:rPr>
                <w:spacing w:val="-2"/>
              </w:rPr>
              <w:t xml:space="preserve">FRN: </w:t>
            </w:r>
            <w:r w:rsidRPr="007A4EDA">
              <w:rPr>
                <w:spacing w:val="-2"/>
              </w:rPr>
              <w:t>0014831887</w:t>
            </w:r>
          </w:p>
        </w:tc>
      </w:tr>
    </w:tbl>
    <w:p w14:paraId="7984AE4D" w14:textId="77777777" w:rsidR="004C2EE3" w:rsidRDefault="004C2EE3" w:rsidP="0070224F"/>
    <w:p w14:paraId="721FB23C" w14:textId="77777777" w:rsidR="00841AB1" w:rsidRDefault="007A4EDA" w:rsidP="00F021FA">
      <w:pPr>
        <w:pStyle w:val="StyleBoldCentered"/>
      </w:pPr>
      <w:r>
        <w:t>ForFeiture Order</w:t>
      </w:r>
    </w:p>
    <w:p w14:paraId="4505A826" w14:textId="77777777" w:rsidR="004C2EE3" w:rsidRDefault="004C2EE3">
      <w:pPr>
        <w:tabs>
          <w:tab w:val="left" w:pos="-720"/>
        </w:tabs>
        <w:suppressAutoHyphens/>
        <w:spacing w:line="227" w:lineRule="auto"/>
        <w:rPr>
          <w:spacing w:val="-2"/>
        </w:rPr>
      </w:pPr>
    </w:p>
    <w:p w14:paraId="0510997E" w14:textId="19557F4F" w:rsidR="004C2EE3" w:rsidRDefault="004C2EE3" w:rsidP="00133F79">
      <w:pPr>
        <w:tabs>
          <w:tab w:val="left" w:pos="720"/>
          <w:tab w:val="right" w:pos="9360"/>
        </w:tabs>
        <w:suppressAutoHyphens/>
        <w:spacing w:line="227" w:lineRule="auto"/>
        <w:rPr>
          <w:spacing w:val="-2"/>
        </w:rPr>
      </w:pPr>
      <w:r>
        <w:rPr>
          <w:b/>
          <w:spacing w:val="-2"/>
        </w:rPr>
        <w:t xml:space="preserve">Adopted:  </w:t>
      </w:r>
      <w:r w:rsidR="00557F63">
        <w:rPr>
          <w:b/>
          <w:spacing w:val="-2"/>
        </w:rPr>
        <w:t>October 10,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57F63">
        <w:rPr>
          <w:b/>
          <w:spacing w:val="-2"/>
        </w:rPr>
        <w:t>October 11, 2017</w:t>
      </w:r>
    </w:p>
    <w:p w14:paraId="68DD2886" w14:textId="77777777" w:rsidR="00822CE0" w:rsidRDefault="00822CE0"/>
    <w:p w14:paraId="07688DE6" w14:textId="77777777" w:rsidR="004C2EE3" w:rsidRDefault="004C2EE3">
      <w:pPr>
        <w:rPr>
          <w:spacing w:val="-2"/>
        </w:rPr>
      </w:pPr>
      <w:r>
        <w:t xml:space="preserve">By </w:t>
      </w:r>
      <w:r w:rsidR="004E4A22">
        <w:t>the</w:t>
      </w:r>
      <w:r w:rsidR="002A2D2E">
        <w:t xml:space="preserve"> </w:t>
      </w:r>
      <w:r w:rsidR="007A4EDA">
        <w:rPr>
          <w:spacing w:val="-2"/>
        </w:rPr>
        <w:t>Regional Director, Region Three, Enforcement Bureau</w:t>
      </w:r>
      <w:r>
        <w:rPr>
          <w:spacing w:val="-2"/>
        </w:rPr>
        <w:t>:</w:t>
      </w:r>
    </w:p>
    <w:p w14:paraId="511875A3" w14:textId="77777777" w:rsidR="00822CE0" w:rsidRDefault="00822CE0">
      <w:pPr>
        <w:rPr>
          <w:spacing w:val="-2"/>
        </w:rPr>
      </w:pPr>
    </w:p>
    <w:p w14:paraId="3265DA30" w14:textId="77777777" w:rsidR="002C00E8" w:rsidRDefault="007A4EDA" w:rsidP="002C00E8">
      <w:pPr>
        <w:pStyle w:val="Heading1"/>
      </w:pPr>
      <w:r>
        <w:t>Introduction</w:t>
      </w:r>
    </w:p>
    <w:p w14:paraId="08703377" w14:textId="7EEF8D80" w:rsidR="007A4EDA" w:rsidRDefault="007A4EDA" w:rsidP="007A4EDA">
      <w:pPr>
        <w:pStyle w:val="ParaNum"/>
      </w:pPr>
      <w:r>
        <w:t>We impose a penalty of $25,000 against Public Safety Technologies, Inc. (PST), licensee of private land mobile radio (PLMR) station WQJM334, West Covina, California (Station), for causing harmful interference to other licensed stations operating on a shared frequency in the Los Angeles area</w:t>
      </w:r>
      <w:r w:rsidR="0051576F">
        <w:t>,</w:t>
      </w:r>
      <w:r>
        <w:t xml:space="preserve"> and for other violations of </w:t>
      </w:r>
      <w:r w:rsidR="006F70CD">
        <w:t xml:space="preserve">the Federal Communications Commission’s </w:t>
      </w:r>
      <w:r>
        <w:t>requirements for PLMR stations.</w:t>
      </w:r>
      <w:r w:rsidR="007E16C1">
        <w:t xml:space="preserve">  </w:t>
      </w:r>
      <w:r w:rsidR="00244DE7">
        <w:t>In response to a</w:t>
      </w:r>
      <w:r w:rsidR="0034262D">
        <w:t>n earlier</w:t>
      </w:r>
      <w:r w:rsidR="00244DE7">
        <w:t xml:space="preserve"> Notice of Violation,</w:t>
      </w:r>
      <w:r w:rsidR="00952EC8">
        <w:rPr>
          <w:rStyle w:val="FootnoteReference"/>
        </w:rPr>
        <w:footnoteReference w:id="2"/>
      </w:r>
      <w:r w:rsidR="00244DE7">
        <w:t xml:space="preserve"> </w:t>
      </w:r>
      <w:r w:rsidR="009012AB">
        <w:t>PST acknowledged that it operated the Station in a manner that violated the Commission’s service rules for PLMR stations</w:t>
      </w:r>
      <w:r w:rsidR="00003243">
        <w:t>.</w:t>
      </w:r>
      <w:r w:rsidR="00003243">
        <w:rPr>
          <w:rStyle w:val="FootnoteReference"/>
        </w:rPr>
        <w:footnoteReference w:id="3"/>
      </w:r>
      <w:r w:rsidR="00003243">
        <w:t xml:space="preserve"> </w:t>
      </w:r>
      <w:r w:rsidR="009012AB">
        <w:t xml:space="preserve"> </w:t>
      </w:r>
      <w:r w:rsidR="00003243">
        <w:t>Y</w:t>
      </w:r>
      <w:r w:rsidR="009012AB">
        <w:t xml:space="preserve">et, despite </w:t>
      </w:r>
      <w:r w:rsidR="00A9533F">
        <w:t xml:space="preserve">this </w:t>
      </w:r>
      <w:r w:rsidR="009012AB">
        <w:t xml:space="preserve">acknowledgment and </w:t>
      </w:r>
      <w:r w:rsidR="00A9533F">
        <w:t xml:space="preserve">an </w:t>
      </w:r>
      <w:r w:rsidR="009012AB">
        <w:t xml:space="preserve">assertion that it would remedy its conduct, PST continued to operate the Station in a manner that caused interference to other PLMR licensees and violated the law.  </w:t>
      </w:r>
      <w:r w:rsidR="006F70CD">
        <w:t>Accordingly, on</w:t>
      </w:r>
      <w:r w:rsidR="00D22EF7">
        <w:t xml:space="preserve"> September 22, 2016,</w:t>
      </w:r>
      <w:r w:rsidR="006F70CD">
        <w:t xml:space="preserve"> the Commission’s Enforcement Bureau issued </w:t>
      </w:r>
      <w:r w:rsidR="0060542C">
        <w:t>a Notice of Apparent Liability for Forfeiture (</w:t>
      </w:r>
      <w:r w:rsidR="0060542C">
        <w:rPr>
          <w:i/>
        </w:rPr>
        <w:t>NAL</w:t>
      </w:r>
      <w:r w:rsidR="0060542C">
        <w:t>), proposing a penalty of $25,000 against PST.</w:t>
      </w:r>
      <w:r w:rsidR="0060542C">
        <w:rPr>
          <w:rStyle w:val="FootnoteReference"/>
        </w:rPr>
        <w:footnoteReference w:id="4"/>
      </w:r>
    </w:p>
    <w:p w14:paraId="53730F68" w14:textId="3F0E72CC" w:rsidR="009012AB" w:rsidRDefault="009012AB" w:rsidP="00735DEA">
      <w:pPr>
        <w:pStyle w:val="ParaNum"/>
        <w:widowControl/>
      </w:pPr>
      <w:r>
        <w:t xml:space="preserve">In response to the </w:t>
      </w:r>
      <w:r w:rsidRPr="009A6C39">
        <w:rPr>
          <w:i/>
        </w:rPr>
        <w:t>NAL</w:t>
      </w:r>
      <w:r>
        <w:t xml:space="preserve">, PST </w:t>
      </w:r>
      <w:r w:rsidR="0060542C">
        <w:t>asserts</w:t>
      </w:r>
      <w:r>
        <w:t xml:space="preserve"> that the Enforcement Bureau </w:t>
      </w:r>
      <w:r w:rsidR="0060542C">
        <w:t xml:space="preserve">should </w:t>
      </w:r>
      <w:r>
        <w:t xml:space="preserve">cancel the </w:t>
      </w:r>
      <w:r w:rsidR="0060542C">
        <w:t xml:space="preserve">proposed </w:t>
      </w:r>
      <w:r>
        <w:t>forfeiture on the grounds that PST played virtually no role in the configuration or operation of the Station</w:t>
      </w:r>
      <w:r w:rsidR="0060542C">
        <w:t xml:space="preserve"> and that it acted at the direction of a third-party, Motorola Solutions, Inc., who </w:t>
      </w:r>
      <w:r w:rsidR="00D22EF7">
        <w:t>sh</w:t>
      </w:r>
      <w:r w:rsidR="0060542C">
        <w:t>ould be the responsible party instead of PST</w:t>
      </w:r>
      <w:r>
        <w:t>.</w:t>
      </w:r>
      <w:r w:rsidR="0060542C">
        <w:rPr>
          <w:rStyle w:val="FootnoteReference"/>
        </w:rPr>
        <w:footnoteReference w:id="5"/>
      </w:r>
      <w:r>
        <w:t xml:space="preserve">  We reject PST’s argument.  </w:t>
      </w:r>
      <w:r w:rsidR="00F535CF">
        <w:t xml:space="preserve">As </w:t>
      </w:r>
      <w:r w:rsidR="00F320D9">
        <w:t xml:space="preserve">the licensee of the Station, PST is responsible for </w:t>
      </w:r>
      <w:r w:rsidR="00F535CF">
        <w:t xml:space="preserve">complying with the Commission’s rules pertaining to the operation of the Station.  </w:t>
      </w:r>
      <w:r w:rsidR="0034262D">
        <w:t xml:space="preserve">If </w:t>
      </w:r>
      <w:r w:rsidR="00F535CF">
        <w:t xml:space="preserve">PST was unable or unwilling to exert sufficient control over the Station to ensure compliance with applicable </w:t>
      </w:r>
      <w:r w:rsidR="009A6C39">
        <w:t>Commission r</w:t>
      </w:r>
      <w:r w:rsidR="00F535CF">
        <w:t xml:space="preserve">ules, it </w:t>
      </w:r>
      <w:r w:rsidR="0034262D">
        <w:t>c</w:t>
      </w:r>
      <w:r w:rsidR="00F535CF">
        <w:t xml:space="preserve">ould have surrendered its license or sought the Commission’s approval to assign the license to a third party.  </w:t>
      </w:r>
      <w:r w:rsidR="0060542C">
        <w:t>But, PST did not do so</w:t>
      </w:r>
      <w:r w:rsidR="0034262D">
        <w:t xml:space="preserve">.  </w:t>
      </w:r>
      <w:r w:rsidR="00F535CF">
        <w:t xml:space="preserve">After reviewing PST’s response to the </w:t>
      </w:r>
      <w:r w:rsidR="00F535CF" w:rsidRPr="009A6C39">
        <w:rPr>
          <w:i/>
        </w:rPr>
        <w:t>NAL</w:t>
      </w:r>
      <w:r w:rsidR="00F535CF">
        <w:t xml:space="preserve">, we find no </w:t>
      </w:r>
      <w:r w:rsidR="009A6C39">
        <w:t xml:space="preserve">basis </w:t>
      </w:r>
      <w:r w:rsidR="00F535CF">
        <w:t xml:space="preserve">to cancel, withdraw, or reduce the proposed penalty, and we therefore assess the $25,000 </w:t>
      </w:r>
      <w:r w:rsidR="00A9533F">
        <w:t xml:space="preserve">forfeiture </w:t>
      </w:r>
      <w:r w:rsidR="00222139">
        <w:t xml:space="preserve">proposed in the </w:t>
      </w:r>
      <w:r w:rsidR="00222139" w:rsidRPr="009A6C39">
        <w:rPr>
          <w:i/>
        </w:rPr>
        <w:t>NAL</w:t>
      </w:r>
      <w:r w:rsidR="00222139">
        <w:t xml:space="preserve">. </w:t>
      </w:r>
    </w:p>
    <w:p w14:paraId="0022E4F3" w14:textId="77777777" w:rsidR="006E1583" w:rsidRDefault="00222139" w:rsidP="006E1583">
      <w:pPr>
        <w:pStyle w:val="Heading1"/>
      </w:pPr>
      <w:r>
        <w:lastRenderedPageBreak/>
        <w:t>Background</w:t>
      </w:r>
    </w:p>
    <w:p w14:paraId="55B5DB6C" w14:textId="4115A4BB" w:rsidR="00467F06" w:rsidRDefault="00467F06" w:rsidP="006E1583">
      <w:pPr>
        <w:pStyle w:val="ParaNum"/>
        <w:widowControl/>
      </w:pPr>
      <w:r w:rsidRPr="002C30AD">
        <w:t>PST is the licensee of several PLMR stations in the Los Angeles area.</w:t>
      </w:r>
      <w:r>
        <w:rPr>
          <w:rStyle w:val="FootnoteReference"/>
        </w:rPr>
        <w:footnoteReference w:id="6"/>
      </w:r>
      <w:r w:rsidRPr="002C30AD">
        <w:t xml:space="preserve">  Frequencies assigned to PLMR stations are available on a shared basis, unless otherwise specified.</w:t>
      </w:r>
      <w:r>
        <w:rPr>
          <w:rStyle w:val="FootnoteReference"/>
        </w:rPr>
        <w:footnoteReference w:id="7"/>
      </w:r>
      <w:r w:rsidRPr="002C30AD">
        <w:t xml:space="preserve">  </w:t>
      </w:r>
      <w:r w:rsidR="0060542C">
        <w:t>PST is authorized to operate t</w:t>
      </w:r>
      <w:r w:rsidRPr="002C30AD">
        <w:t xml:space="preserve">he Station on five frequencies from a fixed location on San Jose Hill in West Covina, California, including </w:t>
      </w:r>
      <w:r w:rsidR="004A7BD3">
        <w:t xml:space="preserve">on frequencies </w:t>
      </w:r>
      <w:r w:rsidRPr="002C30AD">
        <w:t>451.350</w:t>
      </w:r>
      <w:r>
        <w:t> MHz</w:t>
      </w:r>
      <w:r w:rsidRPr="002C30AD">
        <w:t xml:space="preserve"> and 451.600</w:t>
      </w:r>
      <w:r>
        <w:t> MHz</w:t>
      </w:r>
      <w:r w:rsidRPr="002C30AD">
        <w:t xml:space="preserve">.  In the Station’s license, these </w:t>
      </w:r>
      <w:r w:rsidR="004A7BD3">
        <w:t xml:space="preserve">two </w:t>
      </w:r>
      <w:r w:rsidRPr="002C30AD">
        <w:t>frequencies are assigned station class code FB7, which designates operation as a Private Carrier (Non-Profit), a general station class that does not itself c</w:t>
      </w:r>
      <w:r>
        <w:t>onvey any exclusive use rights.</w:t>
      </w:r>
      <w:r>
        <w:rPr>
          <w:rStyle w:val="FootnoteReference"/>
        </w:rPr>
        <w:footnoteReference w:id="8"/>
      </w:r>
      <w:r w:rsidRPr="002C30AD">
        <w:t xml:space="preserve">  Accordingly, PST must share the Station’s frequencies with other co-channel licensees.</w:t>
      </w:r>
    </w:p>
    <w:p w14:paraId="3CAFB154" w14:textId="0E7ED408" w:rsidR="00222139" w:rsidRDefault="00C35A86" w:rsidP="00735DEA">
      <w:pPr>
        <w:pStyle w:val="ParaNum"/>
      </w:pPr>
      <w:r>
        <w:t xml:space="preserve">As discussed in greater detail in the </w:t>
      </w:r>
      <w:r w:rsidRPr="007E16C1">
        <w:rPr>
          <w:i/>
        </w:rPr>
        <w:t>NAL</w:t>
      </w:r>
      <w:r>
        <w:t xml:space="preserve">, on several occasions in 2015 and 2016, agents from the </w:t>
      </w:r>
      <w:r w:rsidR="00735DEA">
        <w:t xml:space="preserve">Bureau’s </w:t>
      </w:r>
      <w:r>
        <w:t xml:space="preserve">Los Angeles Field Office (Los Angeles Office) investigated interference complaints filed against </w:t>
      </w:r>
      <w:r w:rsidR="0034262D">
        <w:t>PST</w:t>
      </w:r>
      <w:r>
        <w:t xml:space="preserve"> by a co-channel licensee.</w:t>
      </w:r>
      <w:r w:rsidR="009A6C39">
        <w:rPr>
          <w:rStyle w:val="FootnoteReference"/>
        </w:rPr>
        <w:footnoteReference w:id="9"/>
      </w:r>
      <w:r>
        <w:t xml:space="preserve">  During the investigations, </w:t>
      </w:r>
      <w:r w:rsidR="004A7BD3">
        <w:t xml:space="preserve">agents observed </w:t>
      </w:r>
      <w:r>
        <w:t xml:space="preserve">PST </w:t>
      </w:r>
      <w:r w:rsidR="00467F06" w:rsidRPr="002C30AD">
        <w:t xml:space="preserve">transmitting continuously </w:t>
      </w:r>
      <w:r w:rsidR="009147AB">
        <w:t xml:space="preserve">on 451.350 MHz and 451.600 MHz, </w:t>
      </w:r>
      <w:r w:rsidR="00735DEA">
        <w:t xml:space="preserve">thereby </w:t>
      </w:r>
      <w:r w:rsidR="007F279F">
        <w:t>d</w:t>
      </w:r>
      <w:r w:rsidR="00735DEA">
        <w:t xml:space="preserve">epriving </w:t>
      </w:r>
      <w:r w:rsidR="00D22EF7">
        <w:t xml:space="preserve">nearby </w:t>
      </w:r>
      <w:r w:rsidR="00735DEA">
        <w:t xml:space="preserve">co-channel licensees of any opportunity to operate on </w:t>
      </w:r>
      <w:r w:rsidR="009147AB">
        <w:t xml:space="preserve">those frequencies.  </w:t>
      </w:r>
      <w:r w:rsidR="00735DEA">
        <w:t xml:space="preserve">Agents also observed that PST </w:t>
      </w:r>
      <w:r w:rsidR="007F279F">
        <w:t xml:space="preserve">caused harmful interference to another licensee and that </w:t>
      </w:r>
      <w:r w:rsidR="00952EC8">
        <w:t xml:space="preserve">PST </w:t>
      </w:r>
      <w:r w:rsidR="00735DEA">
        <w:t xml:space="preserve">failed to transmit the Station’s </w:t>
      </w:r>
      <w:r w:rsidR="00467F06" w:rsidRPr="002C30AD">
        <w:t>call sign as required</w:t>
      </w:r>
      <w:r w:rsidR="00952EC8">
        <w:t xml:space="preserve"> by Section </w:t>
      </w:r>
      <w:r w:rsidR="0091751A">
        <w:t>90.425(a)</w:t>
      </w:r>
      <w:r w:rsidR="00952EC8">
        <w:t xml:space="preserve"> of the Commission’s rules</w:t>
      </w:r>
      <w:r>
        <w:t>.</w:t>
      </w:r>
      <w:r w:rsidR="0091751A">
        <w:rPr>
          <w:rStyle w:val="FootnoteReference"/>
        </w:rPr>
        <w:footnoteReference w:id="10"/>
      </w:r>
      <w:r>
        <w:t xml:space="preserve">  PST was given both verbal warnings and a written Notice of Violation</w:t>
      </w:r>
      <w:r w:rsidR="004A7BD3">
        <w:t xml:space="preserve"> </w:t>
      </w:r>
      <w:r w:rsidR="00D22EF7">
        <w:t>describing these violations of the Commission’s rules</w:t>
      </w:r>
      <w:r>
        <w:t xml:space="preserve">, yet, despite its assurances that it was working to move its clients to a system licensed to a different </w:t>
      </w:r>
      <w:r w:rsidR="00735DEA">
        <w:t>entity</w:t>
      </w:r>
      <w:r>
        <w:t>, PST continued to make exclusive use of frequencies that it was only authorized to use on a shared basis.</w:t>
      </w:r>
      <w:r w:rsidR="007E16C1">
        <w:rPr>
          <w:rStyle w:val="FootnoteReference"/>
        </w:rPr>
        <w:footnoteReference w:id="11"/>
      </w:r>
      <w:r>
        <w:t xml:space="preserve">  </w:t>
      </w:r>
      <w:r w:rsidR="00675D8F">
        <w:t xml:space="preserve"> </w:t>
      </w:r>
    </w:p>
    <w:p w14:paraId="3B32A561" w14:textId="21F5C666" w:rsidR="00467F06" w:rsidRPr="00344C0B" w:rsidRDefault="00467F06" w:rsidP="00C35A86">
      <w:pPr>
        <w:pStyle w:val="ParaNum"/>
      </w:pPr>
      <w:r w:rsidRPr="0007571D">
        <w:t xml:space="preserve">On </w:t>
      </w:r>
      <w:r w:rsidR="00C35A86">
        <w:t xml:space="preserve">September 22, 2016, the Bureau issued the PST </w:t>
      </w:r>
      <w:r w:rsidR="00C35A86" w:rsidRPr="00C35A86">
        <w:rPr>
          <w:i/>
        </w:rPr>
        <w:t>NAL</w:t>
      </w:r>
      <w:r w:rsidR="00C35A86">
        <w:t xml:space="preserve"> </w:t>
      </w:r>
      <w:r w:rsidRPr="0007571D">
        <w:t xml:space="preserve">proposing a </w:t>
      </w:r>
      <w:r w:rsidRPr="00344C0B">
        <w:t>$</w:t>
      </w:r>
      <w:r w:rsidR="00C35A86">
        <w:t xml:space="preserve">25,000 forfeiture against PST for its </w:t>
      </w:r>
      <w:r w:rsidRPr="0007571D">
        <w:t>apparent willful and</w:t>
      </w:r>
      <w:r w:rsidRPr="00344C0B">
        <w:t xml:space="preserve"> repeated violation of </w:t>
      </w:r>
      <w:r w:rsidR="00C35A86">
        <w:t>Sections 90.403(c), 90.403(e), and 90.425</w:t>
      </w:r>
      <w:r w:rsidR="0034262D">
        <w:t>(a)</w:t>
      </w:r>
      <w:r w:rsidR="00C35A86">
        <w:t xml:space="preserve"> of the</w:t>
      </w:r>
      <w:r w:rsidR="00C35A86" w:rsidRPr="00344C0B">
        <w:t xml:space="preserve"> </w:t>
      </w:r>
      <w:r w:rsidR="00C35A86">
        <w:t xml:space="preserve">Commission’s rules </w:t>
      </w:r>
      <w:r w:rsidRPr="0007571D">
        <w:t>by</w:t>
      </w:r>
      <w:r w:rsidR="00C35A86">
        <w:t xml:space="preserve"> operating</w:t>
      </w:r>
      <w:r w:rsidRPr="0007571D">
        <w:t xml:space="preserve"> </w:t>
      </w:r>
      <w:r w:rsidR="00C35A86">
        <w:t>continuously on a frequency</w:t>
      </w:r>
      <w:r w:rsidR="007F279F">
        <w:t xml:space="preserve"> </w:t>
      </w:r>
      <w:r w:rsidR="00C35A86">
        <w:t>to which PST was not granted exclusive use</w:t>
      </w:r>
      <w:r w:rsidR="007F279F">
        <w:t xml:space="preserve"> (and thereby not sharing the frequency)</w:t>
      </w:r>
      <w:r w:rsidR="00C35A86">
        <w:t>, by failing to take reasonable precautions to avoid causing harmful interference to co-channel licensees operating on shared spectrum, and by failing to transmit the Station’s call sign at regular intervals.</w:t>
      </w:r>
      <w:r w:rsidR="00C35A86">
        <w:rPr>
          <w:rStyle w:val="FootnoteReference"/>
        </w:rPr>
        <w:footnoteReference w:id="12"/>
      </w:r>
    </w:p>
    <w:p w14:paraId="20FF471E" w14:textId="72C5FF9B" w:rsidR="00467F06" w:rsidRDefault="00467F06" w:rsidP="00467F06">
      <w:pPr>
        <w:pStyle w:val="ParaNum"/>
        <w:widowControl/>
      </w:pPr>
      <w:r w:rsidRPr="00344C0B">
        <w:t xml:space="preserve">On </w:t>
      </w:r>
      <w:r w:rsidR="00C35A86">
        <w:t xml:space="preserve">October 24, 2016, PST </w:t>
      </w:r>
      <w:r w:rsidR="00A6418C">
        <w:t xml:space="preserve">submitted a timely </w:t>
      </w:r>
      <w:r w:rsidRPr="0007571D">
        <w:t xml:space="preserve">response to the </w:t>
      </w:r>
      <w:r w:rsidRPr="00344C0B">
        <w:rPr>
          <w:i/>
        </w:rPr>
        <w:t>NAL</w:t>
      </w:r>
      <w:r w:rsidRPr="00344C0B">
        <w:t>.</w:t>
      </w:r>
      <w:r w:rsidRPr="0007571D">
        <w:t xml:space="preserve">  </w:t>
      </w:r>
      <w:r w:rsidR="0098104A">
        <w:t xml:space="preserve">In </w:t>
      </w:r>
      <w:r w:rsidR="00A6418C">
        <w:t xml:space="preserve">the NAL Response, </w:t>
      </w:r>
      <w:r w:rsidR="00C35A86">
        <w:t xml:space="preserve">PST </w:t>
      </w:r>
      <w:r w:rsidR="0098104A">
        <w:t xml:space="preserve">recounts many details surrounding the construction and operation of the Station.  In particular, </w:t>
      </w:r>
      <w:r w:rsidR="007B6090">
        <w:t xml:space="preserve">PST asserts that </w:t>
      </w:r>
      <w:r w:rsidR="0098104A">
        <w:t xml:space="preserve">it is merely a small radio communications repair shop that served as a subcontractor to build out a </w:t>
      </w:r>
      <w:r w:rsidR="004A3E6F">
        <w:t xml:space="preserve">radio network, called COM-Net, for use by public safety agencies in six member communities in </w:t>
      </w:r>
      <w:r w:rsidR="0098104A">
        <w:t>southern California.</w:t>
      </w:r>
      <w:r w:rsidR="00552341">
        <w:rPr>
          <w:rStyle w:val="FootnoteReference"/>
        </w:rPr>
        <w:footnoteReference w:id="13"/>
      </w:r>
      <w:r w:rsidR="0098104A">
        <w:t xml:space="preserve">  According to the NAL Response, PST acquired the license for the Station, which is authorized to operate in the business/industrial pool, as an accommodation for </w:t>
      </w:r>
      <w:r w:rsidR="00B77803">
        <w:t xml:space="preserve">Motorola Solutions, Inc. </w:t>
      </w:r>
      <w:r w:rsidR="00EC3E94">
        <w:t xml:space="preserve">(Motorola), </w:t>
      </w:r>
      <w:r w:rsidR="0098104A">
        <w:t>the prime contractor</w:t>
      </w:r>
      <w:r w:rsidR="00952EC8">
        <w:t>,</w:t>
      </w:r>
      <w:r w:rsidR="00A6418C">
        <w:t xml:space="preserve"> and </w:t>
      </w:r>
      <w:r w:rsidR="00952EC8">
        <w:t xml:space="preserve">for </w:t>
      </w:r>
      <w:r w:rsidR="00A6418C">
        <w:t xml:space="preserve">the COM-Net participants as a </w:t>
      </w:r>
      <w:r w:rsidR="0098104A">
        <w:t>hedge against the possible unavailability of</w:t>
      </w:r>
      <w:r w:rsidR="004A3E6F">
        <w:t xml:space="preserve"> usable</w:t>
      </w:r>
      <w:r w:rsidR="0098104A">
        <w:t xml:space="preserve"> channels in the </w:t>
      </w:r>
      <w:r w:rsidR="00141DD5">
        <w:t>p</w:t>
      </w:r>
      <w:r w:rsidR="0098104A">
        <w:t xml:space="preserve">ublic </w:t>
      </w:r>
      <w:r w:rsidR="00141DD5">
        <w:t>s</w:t>
      </w:r>
      <w:r w:rsidR="0098104A">
        <w:t xml:space="preserve">afety </w:t>
      </w:r>
      <w:r w:rsidR="00141DD5">
        <w:t>p</w:t>
      </w:r>
      <w:r w:rsidR="0098104A">
        <w:t>ool.</w:t>
      </w:r>
      <w:r w:rsidR="00552341">
        <w:rPr>
          <w:rStyle w:val="FootnoteReference"/>
        </w:rPr>
        <w:footnoteReference w:id="14"/>
      </w:r>
      <w:r w:rsidR="0098104A">
        <w:t xml:space="preserve">  </w:t>
      </w:r>
      <w:r w:rsidR="006E1583">
        <w:t>According to PST, w</w:t>
      </w:r>
      <w:r w:rsidR="0098104A">
        <w:t xml:space="preserve">hen </w:t>
      </w:r>
      <w:r w:rsidR="006E1583">
        <w:t xml:space="preserve">Motorola </w:t>
      </w:r>
      <w:r w:rsidR="00A6418C">
        <w:t xml:space="preserve">determined that usable public safety pool </w:t>
      </w:r>
      <w:r w:rsidR="006E1583">
        <w:t>c</w:t>
      </w:r>
      <w:r w:rsidR="00A6418C">
        <w:t xml:space="preserve">hannels were not available, it </w:t>
      </w:r>
      <w:r w:rsidR="0098104A">
        <w:t xml:space="preserve">decided to build </w:t>
      </w:r>
      <w:r w:rsidR="00A6418C">
        <w:t xml:space="preserve">COM-Net around </w:t>
      </w:r>
      <w:r w:rsidR="0098104A">
        <w:t>PST’s license for the Station.</w:t>
      </w:r>
      <w:r w:rsidR="00552341">
        <w:rPr>
          <w:rStyle w:val="FootnoteReference"/>
        </w:rPr>
        <w:footnoteReference w:id="15"/>
      </w:r>
      <w:r w:rsidR="0098104A">
        <w:t xml:space="preserve">  PST then claims that</w:t>
      </w:r>
      <w:r w:rsidR="00636DD9">
        <w:t>,</w:t>
      </w:r>
      <w:r w:rsidR="0098104A">
        <w:t xml:space="preserve"> </w:t>
      </w:r>
      <w:r w:rsidR="00552341">
        <w:t>after one of the participants in the radio network was apprised of</w:t>
      </w:r>
      <w:r w:rsidR="0034262D">
        <w:t xml:space="preserve"> complaints filed against PST by other Part 90 licensees</w:t>
      </w:r>
      <w:r w:rsidR="00552341">
        <w:t xml:space="preserve">, </w:t>
      </w:r>
      <w:r w:rsidR="006E1583">
        <w:t xml:space="preserve">Motorola </w:t>
      </w:r>
      <w:r w:rsidR="00552341">
        <w:t xml:space="preserve">stripped PST of its access to the Station’s </w:t>
      </w:r>
      <w:r w:rsidR="0034262D">
        <w:t>transmitter</w:t>
      </w:r>
      <w:r w:rsidR="00552341">
        <w:t xml:space="preserve">, thereby preventing PST from taking </w:t>
      </w:r>
      <w:r w:rsidR="007E16C1">
        <w:t xml:space="preserve">any </w:t>
      </w:r>
      <w:r w:rsidR="00552341">
        <w:t>corrective action.</w:t>
      </w:r>
      <w:r w:rsidR="00552341">
        <w:rPr>
          <w:rStyle w:val="FootnoteReference"/>
        </w:rPr>
        <w:footnoteReference w:id="16"/>
      </w:r>
      <w:r w:rsidR="00552341">
        <w:t xml:space="preserve">  </w:t>
      </w:r>
      <w:r w:rsidR="007E16C1">
        <w:t xml:space="preserve">On these grounds, PST seeks a cancellation of the </w:t>
      </w:r>
      <w:r w:rsidR="007E16C1" w:rsidRPr="007E16C1">
        <w:rPr>
          <w:i/>
        </w:rPr>
        <w:t>NAL</w:t>
      </w:r>
      <w:r w:rsidR="007E16C1">
        <w:t xml:space="preserve"> or a reduction of the proposed forfeiture.</w:t>
      </w:r>
      <w:r w:rsidR="00023B20">
        <w:rPr>
          <w:rStyle w:val="FootnoteReference"/>
        </w:rPr>
        <w:footnoteReference w:id="17"/>
      </w:r>
    </w:p>
    <w:p w14:paraId="7C580B4F" w14:textId="77777777" w:rsidR="00675D8F" w:rsidRDefault="00675D8F" w:rsidP="00675D8F">
      <w:pPr>
        <w:pStyle w:val="Heading1"/>
      </w:pPr>
      <w:r>
        <w:t>Discussion</w:t>
      </w:r>
    </w:p>
    <w:p w14:paraId="58B6C57E" w14:textId="77777777" w:rsidR="00552341" w:rsidRDefault="00675D8F" w:rsidP="004A3E6F">
      <w:pPr>
        <w:pStyle w:val="ParaNum"/>
        <w:widowControl/>
      </w:pPr>
      <w:r w:rsidRPr="00344C0B">
        <w:t xml:space="preserve">The Bureau proposed a forfeiture in this case in accordance with Section 503(b) of the </w:t>
      </w:r>
      <w:r w:rsidR="00072C99">
        <w:t>Act</w:t>
      </w:r>
      <w:r w:rsidRPr="00344C0B">
        <w:t>,</w:t>
      </w:r>
      <w:r w:rsidRPr="0007571D">
        <w:rPr>
          <w:rStyle w:val="FootnoteReference"/>
        </w:rPr>
        <w:footnoteReference w:id="18"/>
      </w:r>
      <w:r w:rsidRPr="0007571D">
        <w:t xml:space="preserve"> Section 1.80 of the </w:t>
      </w:r>
      <w:r>
        <w:t>Commission’s r</w:t>
      </w:r>
      <w:r w:rsidRPr="0007571D">
        <w:t>ules,</w:t>
      </w:r>
      <w:r w:rsidRPr="0007571D">
        <w:rPr>
          <w:vertAlign w:val="superscript"/>
        </w:rPr>
        <w:footnoteReference w:id="19"/>
      </w:r>
      <w:r w:rsidRPr="0007571D">
        <w:t xml:space="preserve"> and the Commissi</w:t>
      </w:r>
      <w:r w:rsidRPr="00344C0B">
        <w:t xml:space="preserve">on’s </w:t>
      </w:r>
      <w:r w:rsidRPr="00344C0B">
        <w:rPr>
          <w:i/>
        </w:rPr>
        <w:t xml:space="preserve">Forfeiture Policy </w:t>
      </w:r>
      <w:r w:rsidRPr="00344C0B">
        <w:rPr>
          <w:rFonts w:eastAsia="MS Mincho"/>
          <w:i/>
          <w:szCs w:val="22"/>
        </w:rPr>
        <w:t>Statement</w:t>
      </w:r>
      <w:r w:rsidRPr="00344C0B">
        <w:t>.</w:t>
      </w:r>
      <w:r w:rsidRPr="0007571D">
        <w:rPr>
          <w:rStyle w:val="FootnoteReference"/>
          <w:szCs w:val="22"/>
        </w:rPr>
        <w:footnoteReference w:id="20"/>
      </w:r>
      <w:r w:rsidRPr="0007571D">
        <w:t xml:space="preserve">  </w:t>
      </w:r>
      <w:r w:rsidRPr="00344C0B">
        <w:t>When we assess forfeitures, Section 503(b)(2)(E) requires that we take into account the “nature, circumstances, extent, and gravity of the violation and, with respect to the violator, the degree of culpability, any history of prior offenses, ability to pay, and such other matters as justice may require.”</w:t>
      </w:r>
      <w:r w:rsidRPr="0007571D">
        <w:rPr>
          <w:vertAlign w:val="superscript"/>
        </w:rPr>
        <w:footnoteReference w:id="21"/>
      </w:r>
      <w:r w:rsidRPr="0007571D">
        <w:t xml:space="preserve">  </w:t>
      </w:r>
      <w:r w:rsidRPr="00344C0B">
        <w:rPr>
          <w:szCs w:val="22"/>
        </w:rPr>
        <w:t xml:space="preserve">As discussed below, we have fully considered </w:t>
      </w:r>
      <w:r w:rsidR="00552341">
        <w:rPr>
          <w:szCs w:val="22"/>
        </w:rPr>
        <w:t xml:space="preserve">PST’s </w:t>
      </w:r>
      <w:r w:rsidRPr="00344C0B">
        <w:rPr>
          <w:szCs w:val="22"/>
        </w:rPr>
        <w:t xml:space="preserve">response to the </w:t>
      </w:r>
      <w:r w:rsidRPr="00344C0B">
        <w:rPr>
          <w:i/>
          <w:szCs w:val="22"/>
        </w:rPr>
        <w:t>NAL</w:t>
      </w:r>
      <w:r w:rsidRPr="00344C0B">
        <w:rPr>
          <w:szCs w:val="22"/>
        </w:rPr>
        <w:t>, which includes a variety of factual arguments, but we find none of them persuasive.  We therefore affirm the $</w:t>
      </w:r>
      <w:r w:rsidR="00552341">
        <w:rPr>
          <w:szCs w:val="22"/>
        </w:rPr>
        <w:t xml:space="preserve">25,000 </w:t>
      </w:r>
      <w:r w:rsidRPr="0007571D">
        <w:rPr>
          <w:szCs w:val="22"/>
        </w:rPr>
        <w:t xml:space="preserve">forfeiture proposed in the </w:t>
      </w:r>
      <w:r w:rsidRPr="0007571D">
        <w:rPr>
          <w:i/>
          <w:szCs w:val="22"/>
        </w:rPr>
        <w:t>NAL.</w:t>
      </w:r>
    </w:p>
    <w:p w14:paraId="76C34CE9" w14:textId="77777777" w:rsidR="00E51F3C" w:rsidRDefault="00E51F3C" w:rsidP="00E51F3C">
      <w:pPr>
        <w:pStyle w:val="Heading2"/>
      </w:pPr>
      <w:r>
        <w:t>PST Does Not Contest the Documented Violations of the Commission’s Rules</w:t>
      </w:r>
    </w:p>
    <w:p w14:paraId="3D6A7431" w14:textId="6CA57B61" w:rsidR="00552341" w:rsidRDefault="00F710C0" w:rsidP="00E51F3C">
      <w:pPr>
        <w:pStyle w:val="ParaNum"/>
        <w:widowControl/>
      </w:pPr>
      <w:r>
        <w:t>First</w:t>
      </w:r>
      <w:r w:rsidR="00552341">
        <w:t xml:space="preserve">, PST </w:t>
      </w:r>
      <w:r w:rsidR="00DA12D6">
        <w:t xml:space="preserve">does </w:t>
      </w:r>
      <w:r w:rsidR="00552341">
        <w:t xml:space="preserve">not contest any of the </w:t>
      </w:r>
      <w:r w:rsidR="00DA12D6">
        <w:t>factual or legal discussion</w:t>
      </w:r>
      <w:r w:rsidR="00A6418C">
        <w:t xml:space="preserve"> in the </w:t>
      </w:r>
      <w:r w:rsidR="00A6418C">
        <w:rPr>
          <w:i/>
        </w:rPr>
        <w:t xml:space="preserve">NAL </w:t>
      </w:r>
      <w:r w:rsidR="00A6418C">
        <w:t xml:space="preserve">that supported the Bureau’s finding </w:t>
      </w:r>
      <w:r w:rsidR="00DA12D6">
        <w:t>that PST apparently violated</w:t>
      </w:r>
      <w:r w:rsidR="00A6418C">
        <w:t xml:space="preserve"> the Commission’s Part 90 rules.  </w:t>
      </w:r>
      <w:r w:rsidR="007C37E4">
        <w:t xml:space="preserve">In the </w:t>
      </w:r>
      <w:r w:rsidR="007C37E4" w:rsidRPr="007C37E4">
        <w:rPr>
          <w:i/>
        </w:rPr>
        <w:t>NAL</w:t>
      </w:r>
      <w:r w:rsidR="007C37E4">
        <w:t xml:space="preserve">, the Bureau </w:t>
      </w:r>
      <w:r w:rsidR="00BD6F48">
        <w:t>concluded</w:t>
      </w:r>
      <w:r w:rsidR="007C37E4">
        <w:t xml:space="preserve"> </w:t>
      </w:r>
      <w:r w:rsidR="00552341">
        <w:t xml:space="preserve">that </w:t>
      </w:r>
      <w:r w:rsidR="009147AB">
        <w:t xml:space="preserve">PST </w:t>
      </w:r>
      <w:r w:rsidR="008A6CCE">
        <w:t xml:space="preserve">apparently violated the Commission’s rules by operating </w:t>
      </w:r>
      <w:r w:rsidR="00552341">
        <w:t>“the Station on a continuous basis for periods in excess of an hour”</w:t>
      </w:r>
      <w:r w:rsidR="008A6CCE">
        <w:t xml:space="preserve"> on frequencies designated for shared use.</w:t>
      </w:r>
      <w:r w:rsidR="00552341">
        <w:rPr>
          <w:rStyle w:val="FootnoteReference"/>
        </w:rPr>
        <w:footnoteReference w:id="22"/>
      </w:r>
      <w:r w:rsidR="00552341">
        <w:t xml:space="preserve">  </w:t>
      </w:r>
      <w:r w:rsidR="00DA12D6">
        <w:t>PST does not contest this i</w:t>
      </w:r>
      <w:r w:rsidR="007C37E4">
        <w:t>n the NAL Response</w:t>
      </w:r>
      <w:r w:rsidR="009147AB">
        <w:t xml:space="preserve">.  </w:t>
      </w:r>
      <w:r w:rsidR="00DA12D6">
        <w:t>I</w:t>
      </w:r>
      <w:r w:rsidR="00BD6F48">
        <w:t>nstead</w:t>
      </w:r>
      <w:r w:rsidR="00DA12D6">
        <w:t>, PST</w:t>
      </w:r>
      <w:r w:rsidR="00BD6F48">
        <w:t xml:space="preserve"> </w:t>
      </w:r>
      <w:r w:rsidR="008A6CCE">
        <w:t>state</w:t>
      </w:r>
      <w:r w:rsidR="007C37E4">
        <w:t>d</w:t>
      </w:r>
      <w:r w:rsidR="008A6CCE">
        <w:t xml:space="preserve"> that it </w:t>
      </w:r>
      <w:r w:rsidR="00072C99">
        <w:t xml:space="preserve">relied on the advice from </w:t>
      </w:r>
      <w:r w:rsidR="006E1583">
        <w:t xml:space="preserve">Motorola </w:t>
      </w:r>
      <w:r w:rsidR="00072C99">
        <w:t xml:space="preserve">that the </w:t>
      </w:r>
      <w:r w:rsidR="008A6CCE">
        <w:t xml:space="preserve">“FB7 classification was appropriate for the type of use by </w:t>
      </w:r>
      <w:r w:rsidR="008A6CCE" w:rsidRPr="007E16C1">
        <w:t>COM-Net</w:t>
      </w:r>
      <w:r w:rsidR="008A6CCE">
        <w:t>.”</w:t>
      </w:r>
      <w:r w:rsidR="008A6CCE">
        <w:rPr>
          <w:rStyle w:val="FootnoteReference"/>
        </w:rPr>
        <w:footnoteReference w:id="23"/>
      </w:r>
      <w:r w:rsidR="008A6CCE">
        <w:t xml:space="preserve">  Similarly, </w:t>
      </w:r>
      <w:r w:rsidR="009147AB">
        <w:t xml:space="preserve">PST </w:t>
      </w:r>
      <w:r w:rsidR="0018580A">
        <w:t xml:space="preserve">made no attempt to </w:t>
      </w:r>
      <w:r w:rsidR="008A6CCE">
        <w:t xml:space="preserve">rebut the Bureau’s </w:t>
      </w:r>
      <w:r w:rsidR="00BD6F48">
        <w:t xml:space="preserve">conclusion </w:t>
      </w:r>
      <w:r w:rsidR="008A6CCE">
        <w:t>that, in causing interference to a co-channel licensee, PST failed to “take reasonable precautions to avoid causing harmful interference.”</w:t>
      </w:r>
      <w:r w:rsidR="00072C99">
        <w:rPr>
          <w:rStyle w:val="FootnoteReference"/>
        </w:rPr>
        <w:footnoteReference w:id="24"/>
      </w:r>
      <w:r w:rsidR="008A6CCE">
        <w:t xml:space="preserve">  Instead, </w:t>
      </w:r>
      <w:r w:rsidR="0018580A">
        <w:t>PST state</w:t>
      </w:r>
      <w:r w:rsidR="007C37E4">
        <w:t>d</w:t>
      </w:r>
      <w:r w:rsidR="0018580A">
        <w:t xml:space="preserve"> that it </w:t>
      </w:r>
      <w:r w:rsidR="008A6CCE">
        <w:t xml:space="preserve">“merely followed the lead” of </w:t>
      </w:r>
      <w:r w:rsidR="006E1583">
        <w:t>Motorola</w:t>
      </w:r>
      <w:r w:rsidR="00BD6F48">
        <w:t xml:space="preserve">, </w:t>
      </w:r>
      <w:r w:rsidR="008A6CCE">
        <w:t>“was never allowed to carry out deployment matters on its own</w:t>
      </w:r>
      <w:r w:rsidR="007C37E4">
        <w:t>,</w:t>
      </w:r>
      <w:r w:rsidR="006E1583">
        <w:t>” and relied on Motorola</w:t>
      </w:r>
      <w:r w:rsidR="0018580A">
        <w:t>’s assertion that the Station was properly configured and coordinated to avoid interference to other licensees.</w:t>
      </w:r>
      <w:r w:rsidR="0018580A">
        <w:rPr>
          <w:rStyle w:val="FootnoteReference"/>
        </w:rPr>
        <w:footnoteReference w:id="25"/>
      </w:r>
      <w:r w:rsidR="0018580A">
        <w:t xml:space="preserve">  Finally, in response to the Bureau’s </w:t>
      </w:r>
      <w:r w:rsidR="00BD6F48">
        <w:t xml:space="preserve">finding </w:t>
      </w:r>
      <w:r w:rsidR="0018580A">
        <w:t>that the Station failed to transmit its call sign in apparent violation of Section 90.425(a) of the Commission’s rules, PST merely stated that it “did not have any knowledge that the call signs were not being properly transmitted.”</w:t>
      </w:r>
      <w:r w:rsidR="0018580A">
        <w:rPr>
          <w:rStyle w:val="FootnoteReference"/>
        </w:rPr>
        <w:footnoteReference w:id="26"/>
      </w:r>
      <w:r w:rsidR="007C37E4">
        <w:t xml:space="preserve"> </w:t>
      </w:r>
      <w:r w:rsidR="00DA12D6">
        <w:t>With the</w:t>
      </w:r>
      <w:r w:rsidR="00D22EF7">
        <w:t xml:space="preserve"> </w:t>
      </w:r>
      <w:r w:rsidR="00BD6F48">
        <w:rPr>
          <w:i/>
        </w:rPr>
        <w:t>NAL</w:t>
      </w:r>
      <w:r w:rsidR="00BD6F48">
        <w:t xml:space="preserve">’s factual findings </w:t>
      </w:r>
      <w:r w:rsidR="00DA12D6">
        <w:t>uncontested, we affirm them here</w:t>
      </w:r>
      <w:r w:rsidR="00BD6F48">
        <w:rPr>
          <w:i/>
        </w:rPr>
        <w:t>.</w:t>
      </w:r>
      <w:r w:rsidR="00BD6F48" w:rsidRPr="00BD6F48">
        <w:rPr>
          <w:rStyle w:val="FootnoteReference"/>
        </w:rPr>
        <w:footnoteReference w:id="27"/>
      </w:r>
    </w:p>
    <w:p w14:paraId="37F844DB" w14:textId="77777777" w:rsidR="0018580A" w:rsidRDefault="00050474" w:rsidP="0018580A">
      <w:pPr>
        <w:pStyle w:val="Heading2"/>
      </w:pPr>
      <w:r>
        <w:t>PST Provide</w:t>
      </w:r>
      <w:r w:rsidR="00E51F3C">
        <w:t>s</w:t>
      </w:r>
      <w:r>
        <w:t xml:space="preserve"> No Basis to Cancel the NAL or Reduce the Forfeiture</w:t>
      </w:r>
    </w:p>
    <w:p w14:paraId="4A766338" w14:textId="3C831C3D" w:rsidR="0018580A" w:rsidRDefault="00F710C0" w:rsidP="00432D87">
      <w:pPr>
        <w:pStyle w:val="ParaNum"/>
      </w:pPr>
      <w:r>
        <w:t>Turning to PST’s implicit arguments i</w:t>
      </w:r>
      <w:r w:rsidR="0018580A">
        <w:t>n the NAL Response, PST suggest</w:t>
      </w:r>
      <w:r w:rsidR="00E51F3C">
        <w:t>ed</w:t>
      </w:r>
      <w:r w:rsidR="006E1583">
        <w:t xml:space="preserve"> that Motorola </w:t>
      </w:r>
      <w:r w:rsidR="0018580A">
        <w:t xml:space="preserve">convinced it to obtain the license for the Station on their mutual clients’ behalf, used PST to construct the Station, and then </w:t>
      </w:r>
      <w:r w:rsidR="00072C99">
        <w:t>prevented</w:t>
      </w:r>
      <w:r w:rsidR="0018580A">
        <w:t xml:space="preserve"> PST </w:t>
      </w:r>
      <w:r w:rsidR="00072C99">
        <w:t xml:space="preserve">from exercising </w:t>
      </w:r>
      <w:r w:rsidR="0018580A">
        <w:t>even a scintilla of control over the Station.</w:t>
      </w:r>
      <w:r w:rsidR="00072C99">
        <w:rPr>
          <w:rStyle w:val="FootnoteReference"/>
        </w:rPr>
        <w:footnoteReference w:id="28"/>
      </w:r>
      <w:r w:rsidR="0018580A">
        <w:t xml:space="preserve">  </w:t>
      </w:r>
      <w:r w:rsidR="00613872">
        <w:t xml:space="preserve">Yet, at no time did PST </w:t>
      </w:r>
      <w:r w:rsidR="00072C99">
        <w:t xml:space="preserve">assert that it had conveyed the Station’s license to </w:t>
      </w:r>
      <w:r w:rsidR="006E1583">
        <w:t>Motorola</w:t>
      </w:r>
      <w:r w:rsidR="00072C99">
        <w:t>, nor does it indicate that it attempted to s</w:t>
      </w:r>
      <w:r w:rsidR="00613872">
        <w:t xml:space="preserve">eek </w:t>
      </w:r>
      <w:r w:rsidR="00072C99">
        <w:t>the Commission’s consent to such an assignment of the Station’s license.</w:t>
      </w:r>
      <w:r w:rsidR="00613872">
        <w:t xml:space="preserve">  </w:t>
      </w:r>
      <w:r w:rsidR="00432D87" w:rsidRPr="00432D87">
        <w:t>Licensees are charged with full knowledge of</w:t>
      </w:r>
      <w:r w:rsidR="00A3410B">
        <w:t>, and compliance with,</w:t>
      </w:r>
      <w:r w:rsidR="00432D87" w:rsidRPr="00432D87">
        <w:t xml:space="preserve"> </w:t>
      </w:r>
      <w:r w:rsidR="00432D87">
        <w:t>the Commission’s r</w:t>
      </w:r>
      <w:r w:rsidR="00432D87" w:rsidRPr="00432D87">
        <w:t>ules</w:t>
      </w:r>
      <w:r w:rsidR="00432D87">
        <w:t>.</w:t>
      </w:r>
      <w:r w:rsidR="00432D87">
        <w:rPr>
          <w:rStyle w:val="FootnoteReference"/>
        </w:rPr>
        <w:footnoteReference w:id="29"/>
      </w:r>
      <w:r w:rsidR="00432D87">
        <w:t xml:space="preserve">  </w:t>
      </w:r>
      <w:r w:rsidR="00E51F3C">
        <w:t>W</w:t>
      </w:r>
      <w:r w:rsidR="00613872">
        <w:t xml:space="preserve">e cannot countenance the cancellation of the </w:t>
      </w:r>
      <w:r w:rsidR="00613872" w:rsidRPr="00E51F3C">
        <w:rPr>
          <w:i/>
        </w:rPr>
        <w:t>NAL</w:t>
      </w:r>
      <w:r w:rsidR="00613872">
        <w:t xml:space="preserve"> or a reduction of the proposed forfeiture merely on PST’s assertions that </w:t>
      </w:r>
      <w:r w:rsidR="00E51F3C">
        <w:t xml:space="preserve">the violation of the Commission’s rules stemmed from </w:t>
      </w:r>
      <w:r w:rsidR="00E3041D">
        <w:t xml:space="preserve">the abdication of its responsibility for operation </w:t>
      </w:r>
      <w:r w:rsidR="00E51F3C">
        <w:t>of the Stati</w:t>
      </w:r>
      <w:r w:rsidR="006E1583">
        <w:t>on to Motorola</w:t>
      </w:r>
      <w:r w:rsidR="00E51F3C">
        <w:t xml:space="preserve">.  </w:t>
      </w:r>
      <w:r w:rsidR="00050474">
        <w:t xml:space="preserve">Accordingly, we find no basis to cancel the </w:t>
      </w:r>
      <w:r w:rsidR="00050474" w:rsidRPr="00050474">
        <w:rPr>
          <w:i/>
        </w:rPr>
        <w:t>NAL</w:t>
      </w:r>
      <w:r w:rsidR="00050474">
        <w:t xml:space="preserve"> or to reduce the forfeiture.</w:t>
      </w:r>
    </w:p>
    <w:p w14:paraId="3AC93722" w14:textId="77777777" w:rsidR="00675D8F" w:rsidRDefault="00675D8F" w:rsidP="00675D8F">
      <w:pPr>
        <w:pStyle w:val="Heading1"/>
      </w:pPr>
      <w:r>
        <w:t>Conclusion</w:t>
      </w:r>
    </w:p>
    <w:p w14:paraId="5454DA62" w14:textId="05C81A20" w:rsidR="00675D8F" w:rsidRPr="00A020A9" w:rsidRDefault="00675D8F" w:rsidP="00675D8F">
      <w:pPr>
        <w:pStyle w:val="ParaNum"/>
      </w:pPr>
      <w:r w:rsidRPr="00344C0B">
        <w:t xml:space="preserve">Based on the record and in light of the applicable statutory factors, we </w:t>
      </w:r>
      <w:r>
        <w:t>conclude</w:t>
      </w:r>
      <w:r w:rsidRPr="00344C0B">
        <w:t xml:space="preserve"> that </w:t>
      </w:r>
      <w:r w:rsidR="00393B9F">
        <w:t xml:space="preserve">PST </w:t>
      </w:r>
      <w:r w:rsidRPr="0007571D">
        <w:t xml:space="preserve">willfully and repeatedly violated </w:t>
      </w:r>
      <w:r w:rsidR="00393B9F">
        <w:t>Sections 90.403(c), 90.403(e), and 90.425</w:t>
      </w:r>
      <w:r w:rsidR="0034262D">
        <w:t>(a)</w:t>
      </w:r>
      <w:r w:rsidR="00393B9F">
        <w:t xml:space="preserve"> of the</w:t>
      </w:r>
      <w:r w:rsidR="00393B9F" w:rsidRPr="00344C0B">
        <w:t xml:space="preserve"> </w:t>
      </w:r>
      <w:r w:rsidR="00393B9F">
        <w:t xml:space="preserve">Commission’s rules </w:t>
      </w:r>
      <w:r w:rsidR="00393B9F" w:rsidRPr="0007571D">
        <w:t>by</w:t>
      </w:r>
      <w:r w:rsidR="00393B9F">
        <w:t xml:space="preserve"> operating</w:t>
      </w:r>
      <w:r w:rsidR="00393B9F" w:rsidRPr="0007571D">
        <w:t xml:space="preserve"> </w:t>
      </w:r>
      <w:r w:rsidR="00393B9F">
        <w:t>continuously on a frequency to which PST was not granted exclusive use, by failing to take reasonable precautions to avoid causing harmful interference to co-channel licensees operating on shared spectrum, and by failing to transmit the Station’s call sign at regular intervals.</w:t>
      </w:r>
      <w:r w:rsidR="00393B9F">
        <w:rPr>
          <w:rStyle w:val="FootnoteReference"/>
        </w:rPr>
        <w:footnoteReference w:id="30"/>
      </w:r>
      <w:r w:rsidR="00393B9F">
        <w:t xml:space="preserve">  </w:t>
      </w:r>
      <w:r w:rsidRPr="0007571D">
        <w:t>We decline to cancel or reduce the</w:t>
      </w:r>
      <w:r>
        <w:t xml:space="preserve"> </w:t>
      </w:r>
      <w:r w:rsidRPr="0007571D">
        <w:t>$</w:t>
      </w:r>
      <w:r w:rsidR="00393B9F">
        <w:t>25,000</w:t>
      </w:r>
      <w:r w:rsidRPr="00A020A9">
        <w:t xml:space="preserve"> </w:t>
      </w:r>
      <w:r>
        <w:t xml:space="preserve">forfeiture </w:t>
      </w:r>
      <w:r w:rsidRPr="00A020A9">
        <w:t xml:space="preserve">proposed in the </w:t>
      </w:r>
      <w:r w:rsidRPr="00675D8F">
        <w:rPr>
          <w:i/>
        </w:rPr>
        <w:t>NAL</w:t>
      </w:r>
      <w:r w:rsidRPr="00A020A9">
        <w:t xml:space="preserve">.   </w:t>
      </w:r>
    </w:p>
    <w:p w14:paraId="564AC2EF" w14:textId="77777777" w:rsidR="00675D8F" w:rsidRPr="00344C0B" w:rsidRDefault="00675D8F" w:rsidP="00675D8F">
      <w:pPr>
        <w:pStyle w:val="Heading1"/>
      </w:pPr>
      <w:r w:rsidRPr="00344C0B">
        <w:t>ORDERING CLAUSES</w:t>
      </w:r>
    </w:p>
    <w:p w14:paraId="0D2522CB" w14:textId="77777777" w:rsidR="00675D8F" w:rsidRPr="009A2403" w:rsidRDefault="00675D8F" w:rsidP="00675D8F">
      <w:pPr>
        <w:pStyle w:val="ParaNum"/>
      </w:pPr>
      <w:r w:rsidRPr="00344C0B">
        <w:t xml:space="preserve">Accordingly, </w:t>
      </w:r>
      <w:r w:rsidRPr="00344C0B">
        <w:rPr>
          <w:b/>
        </w:rPr>
        <w:t>IT IS ORDERED</w:t>
      </w:r>
      <w:r>
        <w:rPr>
          <w:b/>
        </w:rPr>
        <w:t xml:space="preserve"> </w:t>
      </w:r>
      <w:r>
        <w:t>that</w:t>
      </w:r>
      <w:r w:rsidRPr="00344C0B">
        <w:t>, pursuant to Section 503(b) of the</w:t>
      </w:r>
      <w:r>
        <w:t xml:space="preserve"> Act</w:t>
      </w:r>
      <w:r w:rsidRPr="00344C0B">
        <w:t>,</w:t>
      </w:r>
      <w:r w:rsidRPr="0007571D">
        <w:rPr>
          <w:rStyle w:val="FootnoteReference"/>
        </w:rPr>
        <w:footnoteReference w:id="31"/>
      </w:r>
      <w:r w:rsidRPr="0007571D">
        <w:t xml:space="preserve"> and Section 1.80 of the </w:t>
      </w:r>
      <w:r w:rsidR="00D60F44">
        <w:t>Commission’s r</w:t>
      </w:r>
      <w:r w:rsidRPr="0007571D">
        <w:t>ules,</w:t>
      </w:r>
      <w:r w:rsidRPr="0007571D">
        <w:rPr>
          <w:rStyle w:val="FootnoteReference"/>
        </w:rPr>
        <w:footnoteReference w:id="32"/>
      </w:r>
      <w:r w:rsidRPr="0007571D">
        <w:t xml:space="preserve"> </w:t>
      </w:r>
      <w:r w:rsidR="00393B9F">
        <w:t>Public Safety Technologies, Inc.,</w:t>
      </w:r>
      <w:r w:rsidRPr="0007571D">
        <w:t xml:space="preserve"> </w:t>
      </w:r>
      <w:r w:rsidRPr="0007571D">
        <w:rPr>
          <w:b/>
        </w:rPr>
        <w:t>IS LIABLE FOR A MONETARY FORFEITURE</w:t>
      </w:r>
      <w:r w:rsidRPr="009A2403">
        <w:t xml:space="preserve"> in the amount of </w:t>
      </w:r>
      <w:r w:rsidR="00393B9F">
        <w:t>Twenty-Five Thousand Dollars ($25,000)</w:t>
      </w:r>
      <w:r w:rsidRPr="0007571D">
        <w:t xml:space="preserve"> for willfully </w:t>
      </w:r>
      <w:r>
        <w:t xml:space="preserve">and repeatedly </w:t>
      </w:r>
      <w:r w:rsidRPr="0007571D">
        <w:t xml:space="preserve">violating </w:t>
      </w:r>
      <w:r w:rsidR="00393B9F">
        <w:t>Sections 90.403(c), 90.403(e), and 90.425 of the Commission’s rules.</w:t>
      </w:r>
      <w:r w:rsidR="00D60F44">
        <w:rPr>
          <w:rStyle w:val="FootnoteReference"/>
        </w:rPr>
        <w:footnoteReference w:id="33"/>
      </w:r>
    </w:p>
    <w:p w14:paraId="64B482A9" w14:textId="77777777" w:rsidR="00675D8F" w:rsidRPr="00344C0B" w:rsidRDefault="00675D8F" w:rsidP="007A242F">
      <w:pPr>
        <w:pStyle w:val="ParaNum"/>
        <w:widowControl/>
      </w:pPr>
      <w:r w:rsidRPr="00344C0B">
        <w:t xml:space="preserve">Payment of the forfeiture shall be made in the manner provided for in Section 1.80 of the </w:t>
      </w:r>
      <w:r w:rsidR="00D60F44">
        <w:t>Commission’s r</w:t>
      </w:r>
      <w:r w:rsidRPr="00344C0B">
        <w:t xml:space="preserve">ules within </w:t>
      </w:r>
      <w:r>
        <w:t>thirty (30</w:t>
      </w:r>
      <w:r w:rsidRPr="00344C0B">
        <w:t>) calendar days after the release of this Forfeiture Order.</w:t>
      </w:r>
      <w:r w:rsidRPr="0007571D">
        <w:rPr>
          <w:rStyle w:val="FootnoteReference"/>
        </w:rPr>
        <w:footnoteReference w:id="34"/>
      </w:r>
      <w:r w:rsidRPr="0007571D">
        <w:t xml:space="preserve">  If the forfeiture is not paid within the period specified, the case may be referred to the U.S. Department of Justice for enforcement of the forfeiture pursuant to Section 504(a) of the Act.</w:t>
      </w:r>
      <w:r w:rsidRPr="0007571D">
        <w:rPr>
          <w:rStyle w:val="FootnoteReference"/>
        </w:rPr>
        <w:footnoteReference w:id="35"/>
      </w:r>
      <w:r w:rsidRPr="0007571D">
        <w:t xml:space="preserve">  </w:t>
      </w:r>
    </w:p>
    <w:p w14:paraId="7C058115" w14:textId="08B2D4BD" w:rsidR="00675D8F" w:rsidRPr="00344C0B" w:rsidRDefault="00675D8F" w:rsidP="00675D8F">
      <w:pPr>
        <w:pStyle w:val="ParaNum"/>
      </w:pPr>
      <w:r>
        <w:rPr>
          <w:szCs w:val="22"/>
        </w:rPr>
        <w:t xml:space="preserve">Payment of the forfeiture </w:t>
      </w:r>
      <w:r w:rsidRPr="006D73F2">
        <w:rPr>
          <w:szCs w:val="22"/>
        </w:rPr>
        <w:t xml:space="preserve">must be made by check or similar instrument, wire transfer, or credit card, and must include the NAL/Account Number and FRN referenced </w:t>
      </w:r>
      <w:r>
        <w:rPr>
          <w:szCs w:val="22"/>
        </w:rPr>
        <w:t>above</w:t>
      </w:r>
      <w:r w:rsidRPr="006D73F2">
        <w:rPr>
          <w:szCs w:val="22"/>
        </w:rPr>
        <w:t xml:space="preserve">.  </w:t>
      </w:r>
      <w:r w:rsidR="00393B9F">
        <w:rPr>
          <w:szCs w:val="22"/>
        </w:rPr>
        <w:t xml:space="preserve">Public Safety Technologies, Inc., </w:t>
      </w:r>
      <w:r w:rsidRPr="006D73F2">
        <w:rPr>
          <w:szCs w:val="22"/>
        </w:rPr>
        <w:t xml:space="preserve">shall send electronic notification </w:t>
      </w:r>
      <w:r>
        <w:rPr>
          <w:szCs w:val="22"/>
        </w:rPr>
        <w:t xml:space="preserve">of </w:t>
      </w:r>
      <w:r w:rsidRPr="006D73F2">
        <w:rPr>
          <w:szCs w:val="22"/>
        </w:rPr>
        <w:t xml:space="preserve">payment to </w:t>
      </w:r>
      <w:r w:rsidR="00393B9F">
        <w:rPr>
          <w:szCs w:val="22"/>
        </w:rPr>
        <w:t xml:space="preserve">Matthew L. Gibson </w:t>
      </w:r>
      <w:r w:rsidRPr="006D73F2">
        <w:rPr>
          <w:szCs w:val="22"/>
        </w:rPr>
        <w:t xml:space="preserve">at </w:t>
      </w:r>
      <w:hyperlink r:id="rId8" w:history="1">
        <w:r w:rsidR="00393B9F" w:rsidRPr="0023337A">
          <w:rPr>
            <w:rStyle w:val="Hyperlink"/>
            <w:szCs w:val="22"/>
          </w:rPr>
          <w:t>matthew.gibson@fcc.gov</w:t>
        </w:r>
      </w:hyperlink>
      <w:r w:rsidR="00393B9F">
        <w:rPr>
          <w:szCs w:val="22"/>
        </w:rPr>
        <w:t xml:space="preserve">, with a copy to </w:t>
      </w:r>
      <w:hyperlink r:id="rId9" w:history="1">
        <w:r w:rsidR="00735DEA" w:rsidRPr="00744575">
          <w:rPr>
            <w:rStyle w:val="Hyperlink"/>
            <w:szCs w:val="22"/>
          </w:rPr>
          <w:t>field@fcc.gov</w:t>
        </w:r>
      </w:hyperlink>
      <w:r w:rsidR="00735DEA">
        <w:rPr>
          <w:szCs w:val="22"/>
        </w:rPr>
        <w:t xml:space="preserve">, </w:t>
      </w:r>
      <w:r w:rsidRPr="006D73F2">
        <w:rPr>
          <w:szCs w:val="22"/>
        </w:rPr>
        <w:t>on the date said payment is made.</w:t>
      </w:r>
      <w:r>
        <w:rPr>
          <w:szCs w:val="22"/>
        </w:rPr>
        <w:t xml:space="preserve">  </w:t>
      </w:r>
      <w:r w:rsidRPr="00344C0B">
        <w:t>Regardless of the form of payment, a completed FCC Form 159 (Remittance Advice) must be submitted.</w:t>
      </w:r>
      <w:r w:rsidRPr="0007571D">
        <w:rPr>
          <w:rStyle w:val="FootnoteReference"/>
        </w:rPr>
        <w:footnoteReference w:id="36"/>
      </w:r>
      <w:r w:rsidRPr="0007571D">
        <w:t xml:space="preserve">  When completing the Form 159, enter the Account Number in block number 23A (call sign/other ID) and enter the letters “FORF” in block number 24A (payment type code).  </w:t>
      </w:r>
      <w:r w:rsidRPr="006D73F2">
        <w:rPr>
          <w:szCs w:val="22"/>
        </w:rPr>
        <w:t>Below are additional instructions</w:t>
      </w:r>
      <w:r>
        <w:rPr>
          <w:szCs w:val="22"/>
        </w:rPr>
        <w:t xml:space="preserve"> that should be followed </w:t>
      </w:r>
      <w:r w:rsidRPr="006D73F2">
        <w:rPr>
          <w:szCs w:val="22"/>
        </w:rPr>
        <w:t>based on the form of payment select</w:t>
      </w:r>
      <w:r>
        <w:rPr>
          <w:szCs w:val="22"/>
        </w:rPr>
        <w:t>ed</w:t>
      </w:r>
      <w:r w:rsidRPr="006D73F2">
        <w:rPr>
          <w:szCs w:val="22"/>
        </w:rPr>
        <w:t>:</w:t>
      </w:r>
    </w:p>
    <w:p w14:paraId="7A35EDD9" w14:textId="77777777" w:rsidR="00675D8F" w:rsidRPr="00344C0B" w:rsidRDefault="00675D8F" w:rsidP="006E1583">
      <w:pPr>
        <w:pStyle w:val="par1"/>
        <w:widowControl/>
        <w:numPr>
          <w:ilvl w:val="0"/>
          <w:numId w:val="10"/>
        </w:numPr>
        <w:tabs>
          <w:tab w:val="clear" w:pos="1440"/>
        </w:tabs>
        <w:spacing w:after="120"/>
        <w:rPr>
          <w:sz w:val="22"/>
        </w:rPr>
      </w:pPr>
      <w:r w:rsidRPr="00344C0B">
        <w:rPr>
          <w:sz w:val="22"/>
        </w:rPr>
        <w:t>Payment by check or money order must be made payable to the order of the Federal Communications Commission.  Such payments (along with completed Form 159) must be mailed to the Federal Communications Commission, P.O. Box 979088, St. Louis, MO 63197-9000, or sent via overnight mail to U.S. Bank – Government Lockbox #979088, SL</w:t>
      </w:r>
      <w:r w:rsidRPr="00344C0B">
        <w:rPr>
          <w:sz w:val="22"/>
        </w:rPr>
        <w:noBreakHyphen/>
        <w:t>MO-C2-GL, 1005 Convention Plaza, St. Louis, MO 63101.</w:t>
      </w:r>
    </w:p>
    <w:p w14:paraId="01F29B57" w14:textId="77777777" w:rsidR="00675D8F" w:rsidRPr="00344C0B" w:rsidRDefault="00675D8F" w:rsidP="00393B9F">
      <w:pPr>
        <w:pStyle w:val="par1"/>
        <w:widowControl/>
        <w:numPr>
          <w:ilvl w:val="0"/>
          <w:numId w:val="10"/>
        </w:numPr>
        <w:tabs>
          <w:tab w:val="clear" w:pos="1440"/>
        </w:tabs>
        <w:spacing w:after="120"/>
        <w:rPr>
          <w:sz w:val="22"/>
        </w:rPr>
      </w:pPr>
      <w:r w:rsidRPr="00344C0B">
        <w:rPr>
          <w:sz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533E15AC" w14:textId="77777777" w:rsidR="00675D8F" w:rsidRPr="00344C0B" w:rsidRDefault="00675D8F" w:rsidP="00675D8F">
      <w:pPr>
        <w:pStyle w:val="par1"/>
        <w:widowControl/>
        <w:numPr>
          <w:ilvl w:val="0"/>
          <w:numId w:val="10"/>
        </w:numPr>
        <w:tabs>
          <w:tab w:val="clear" w:pos="1440"/>
        </w:tabs>
        <w:spacing w:after="120"/>
        <w:ind w:left="1267"/>
        <w:rPr>
          <w:sz w:val="22"/>
        </w:rPr>
      </w:pPr>
      <w:r w:rsidRPr="00344C0B">
        <w:rPr>
          <w:sz w:val="22"/>
        </w:rPr>
        <w:t>Payment by credit card must be made by providing the required credit card information on FCC From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0FD242C1" w14:textId="461847F5" w:rsidR="00675D8F" w:rsidRDefault="00675D8F" w:rsidP="00675D8F">
      <w:pPr>
        <w:pStyle w:val="ParaNum"/>
      </w:pPr>
      <w:r w:rsidRPr="006D73F2">
        <w:t xml:space="preserve">Any request for </w:t>
      </w:r>
      <w:r>
        <w:t xml:space="preserve">making </w:t>
      </w:r>
      <w:r w:rsidRPr="006D73F2">
        <w:t xml:space="preserve">full payment </w:t>
      </w:r>
      <w:r>
        <w:t xml:space="preserve">over time </w:t>
      </w:r>
      <w:r w:rsidRPr="006D73F2">
        <w:t>under an installment plan should be sent to</w:t>
      </w:r>
      <w:r>
        <w:t xml:space="preserve">: </w:t>
      </w:r>
      <w:r w:rsidRPr="006D73F2">
        <w:t xml:space="preserve"> Chief Financial Officer – Financial Operations, Federal Communications Commission, 445 12th Street, SW, Room 1</w:t>
      </w:r>
      <w:r w:rsidRPr="006D73F2">
        <w:noBreakHyphen/>
        <w:t>A625, Washington, DC 20554.</w:t>
      </w:r>
      <w:r w:rsidRPr="006D73F2">
        <w:rPr>
          <w:rStyle w:val="FootnoteReference"/>
          <w:szCs w:val="22"/>
        </w:rPr>
        <w:footnoteReference w:id="37"/>
      </w:r>
      <w:r w:rsidRPr="006D73F2">
        <w:t xml:space="preserve">  </w:t>
      </w:r>
      <w:r>
        <w:t>Q</w:t>
      </w:r>
      <w:r w:rsidRPr="006D73F2">
        <w:t>uestions regarding payment procedures</w:t>
      </w:r>
      <w:r>
        <w:t xml:space="preserve"> </w:t>
      </w:r>
      <w:r w:rsidRPr="006D73F2">
        <w:t xml:space="preserve">should </w:t>
      </w:r>
      <w:r>
        <w:t xml:space="preserve">be directed to </w:t>
      </w:r>
      <w:r w:rsidRPr="006D73F2">
        <w:t xml:space="preserve">the Financial Operations Group Help Desk by telephone, 1-877-480-3201, or by e-mail, </w:t>
      </w:r>
      <w:hyperlink r:id="rId10" w:history="1">
        <w:r w:rsidRPr="0023337A">
          <w:rPr>
            <w:rStyle w:val="Hyperlink"/>
          </w:rPr>
          <w:t>ARINQUIRIES@fcc.gov</w:t>
        </w:r>
      </w:hyperlink>
      <w:r w:rsidRPr="00373669">
        <w:t>.</w:t>
      </w:r>
    </w:p>
    <w:p w14:paraId="10579360" w14:textId="77777777" w:rsidR="00675D8F" w:rsidRDefault="00675D8F" w:rsidP="00675D8F">
      <w:pPr>
        <w:pStyle w:val="ParaNum"/>
      </w:pPr>
      <w:r w:rsidRPr="00675D8F">
        <w:rPr>
          <w:b/>
        </w:rPr>
        <w:t>IT IS FURTHER ORDERED</w:t>
      </w:r>
      <w:r w:rsidRPr="00344C0B">
        <w:t xml:space="preserve"> that a copy of this Forfeiture Order </w:t>
      </w:r>
      <w:r w:rsidRPr="004749BE">
        <w:t xml:space="preserve">shall be sent by first class mail and certified mail, return receipt requested, to </w:t>
      </w:r>
      <w:r w:rsidR="00D60F44">
        <w:t>Richard Young, President, Public Safety Technologies, Inc., 719 Arrow Grand Circle, Covina, California 91722.</w:t>
      </w:r>
      <w:r w:rsidR="00D60F44" w:rsidRPr="004749BE">
        <w:t xml:space="preserve"> </w:t>
      </w:r>
    </w:p>
    <w:p w14:paraId="0ABD7244" w14:textId="77777777" w:rsidR="00D60F44" w:rsidRDefault="00D60F44" w:rsidP="00D60F44">
      <w:pPr>
        <w:pStyle w:val="ParaNum"/>
        <w:numPr>
          <w:ilvl w:val="0"/>
          <w:numId w:val="0"/>
        </w:numPr>
        <w:ind w:firstLine="720"/>
      </w:pPr>
    </w:p>
    <w:p w14:paraId="20D54A82" w14:textId="77777777" w:rsidR="00675D8F" w:rsidRDefault="00675D8F" w:rsidP="008D3216">
      <w:r>
        <w:tab/>
      </w:r>
      <w:r>
        <w:tab/>
      </w:r>
      <w:r>
        <w:tab/>
      </w:r>
      <w:r>
        <w:tab/>
      </w:r>
      <w:r>
        <w:tab/>
      </w:r>
      <w:r>
        <w:tab/>
        <w:t>FEDERAL COMMUNICATIONS COMMISSION</w:t>
      </w:r>
    </w:p>
    <w:p w14:paraId="319832B9" w14:textId="77777777" w:rsidR="00675D8F" w:rsidRDefault="00675D8F" w:rsidP="008D3216"/>
    <w:p w14:paraId="36DEA059" w14:textId="77777777" w:rsidR="00675D8F" w:rsidRDefault="00675D8F" w:rsidP="008D3216"/>
    <w:p w14:paraId="15BA5891" w14:textId="77777777" w:rsidR="00675D8F" w:rsidRDefault="00675D8F" w:rsidP="008D3216"/>
    <w:p w14:paraId="28E46B2C" w14:textId="77777777" w:rsidR="00675D8F" w:rsidRDefault="00675D8F" w:rsidP="008D3216"/>
    <w:p w14:paraId="5DF04F2C" w14:textId="77777777" w:rsidR="00675D8F" w:rsidRDefault="00675D8F" w:rsidP="008D3216">
      <w:r>
        <w:tab/>
      </w:r>
      <w:r>
        <w:tab/>
      </w:r>
      <w:r>
        <w:tab/>
      </w:r>
      <w:r>
        <w:tab/>
      </w:r>
      <w:r>
        <w:tab/>
      </w:r>
      <w:r>
        <w:tab/>
        <w:t>Lark Hadley,</w:t>
      </w:r>
    </w:p>
    <w:p w14:paraId="671A432B" w14:textId="77777777" w:rsidR="00675D8F" w:rsidRDefault="00675D8F" w:rsidP="008D3216">
      <w:r>
        <w:tab/>
      </w:r>
      <w:r>
        <w:tab/>
      </w:r>
      <w:r>
        <w:tab/>
      </w:r>
      <w:r>
        <w:tab/>
      </w:r>
      <w:r>
        <w:tab/>
      </w:r>
      <w:r>
        <w:tab/>
        <w:t>Regional Director</w:t>
      </w:r>
      <w:r w:rsidR="00E51F3C">
        <w:t xml:space="preserve">, </w:t>
      </w:r>
      <w:r>
        <w:t>Region Three</w:t>
      </w:r>
    </w:p>
    <w:p w14:paraId="758FAFF2" w14:textId="77777777" w:rsidR="00675D8F" w:rsidRPr="00675D8F" w:rsidRDefault="00675D8F" w:rsidP="00E51F3C">
      <w:r>
        <w:tab/>
      </w:r>
      <w:r>
        <w:tab/>
      </w:r>
      <w:r>
        <w:tab/>
      </w:r>
      <w:r>
        <w:tab/>
      </w:r>
      <w:r>
        <w:tab/>
      </w:r>
      <w:r>
        <w:tab/>
        <w:t>Enforcement Bureau</w:t>
      </w:r>
    </w:p>
    <w:sectPr w:rsidR="00675D8F" w:rsidRPr="00675D8F" w:rsidSect="0055614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B81FA" w14:textId="77777777" w:rsidR="00506C7C" w:rsidRDefault="00506C7C">
      <w:pPr>
        <w:spacing w:line="20" w:lineRule="exact"/>
      </w:pPr>
    </w:p>
  </w:endnote>
  <w:endnote w:type="continuationSeparator" w:id="0">
    <w:p w14:paraId="20C39C2F" w14:textId="77777777" w:rsidR="00506C7C" w:rsidRDefault="00506C7C">
      <w:r>
        <w:t xml:space="preserve"> </w:t>
      </w:r>
    </w:p>
  </w:endnote>
  <w:endnote w:type="continuationNotice" w:id="1">
    <w:p w14:paraId="6C1D3D06" w14:textId="77777777" w:rsidR="00506C7C" w:rsidRDefault="00506C7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61420"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D8ECABF"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A1F24" w14:textId="3C7294B1" w:rsidR="00D25FB5" w:rsidRDefault="00D25FB5" w:rsidP="0055614C">
    <w:pPr>
      <w:pStyle w:val="Footer"/>
      <w:framePr w:wrap="around" w:vAnchor="text" w:hAnchor="margin" w:xAlign="center" w:y="1"/>
    </w:pPr>
    <w:r>
      <w:fldChar w:fldCharType="begin"/>
    </w:r>
    <w:r>
      <w:instrText xml:space="preserve">PAGE  </w:instrText>
    </w:r>
    <w:r>
      <w:fldChar w:fldCharType="separate"/>
    </w:r>
    <w:r w:rsidR="00041EEA">
      <w:rPr>
        <w:noProof/>
      </w:rPr>
      <w:t>2</w:t>
    </w:r>
    <w:r>
      <w:fldChar w:fldCharType="end"/>
    </w:r>
  </w:p>
  <w:p w14:paraId="19394FCB"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A1AC5"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01755" w14:textId="77777777" w:rsidR="00506C7C" w:rsidRDefault="00506C7C">
      <w:r>
        <w:separator/>
      </w:r>
    </w:p>
  </w:footnote>
  <w:footnote w:type="continuationSeparator" w:id="0">
    <w:p w14:paraId="52FA920C" w14:textId="77777777" w:rsidR="00506C7C" w:rsidRDefault="00506C7C" w:rsidP="00C721AC">
      <w:pPr>
        <w:spacing w:before="120"/>
        <w:rPr>
          <w:sz w:val="20"/>
        </w:rPr>
      </w:pPr>
      <w:r>
        <w:rPr>
          <w:sz w:val="20"/>
        </w:rPr>
        <w:t xml:space="preserve">(Continued from previous page)  </w:t>
      </w:r>
      <w:r>
        <w:rPr>
          <w:sz w:val="20"/>
        </w:rPr>
        <w:separator/>
      </w:r>
    </w:p>
  </w:footnote>
  <w:footnote w:type="continuationNotice" w:id="1">
    <w:p w14:paraId="31FB3EE3" w14:textId="77777777" w:rsidR="00506C7C" w:rsidRDefault="00506C7C" w:rsidP="00C721AC">
      <w:pPr>
        <w:jc w:val="right"/>
        <w:rPr>
          <w:sz w:val="20"/>
        </w:rPr>
      </w:pPr>
      <w:r>
        <w:rPr>
          <w:sz w:val="20"/>
        </w:rPr>
        <w:t>(continued….)</w:t>
      </w:r>
    </w:p>
  </w:footnote>
  <w:footnote w:id="2">
    <w:p w14:paraId="47146B4C" w14:textId="7DAF20C7" w:rsidR="00952EC8" w:rsidRDefault="00952EC8">
      <w:pPr>
        <w:pStyle w:val="FootnoteText"/>
      </w:pPr>
      <w:r>
        <w:rPr>
          <w:rStyle w:val="FootnoteReference"/>
        </w:rPr>
        <w:footnoteRef/>
      </w:r>
      <w:r>
        <w:t xml:space="preserve"> </w:t>
      </w:r>
      <w:r w:rsidR="0091751A" w:rsidRPr="0091751A">
        <w:rPr>
          <w:i/>
        </w:rPr>
        <w:t>Public Safety Technologies, Inc.</w:t>
      </w:r>
      <w:r w:rsidR="0091751A" w:rsidRPr="0091751A">
        <w:t>, Notice of Violation, V201632900004 (Apr. 7, 2016) (NOV)</w:t>
      </w:r>
      <w:r w:rsidR="0091751A">
        <w:t xml:space="preserve">, at </w:t>
      </w:r>
      <w:r w:rsidR="0091751A" w:rsidRPr="0091751A">
        <w:t>https://apps.fcc.gov/edocs_public/attachmatch/DOC-338813A1.pdf</w:t>
      </w:r>
      <w:r w:rsidR="0091751A">
        <w:t>.</w:t>
      </w:r>
      <w:r w:rsidR="0091751A" w:rsidRPr="0091751A" w:rsidDel="0091751A">
        <w:t xml:space="preserve"> </w:t>
      </w:r>
    </w:p>
  </w:footnote>
  <w:footnote w:id="3">
    <w:p w14:paraId="64C146FC" w14:textId="35E572DB" w:rsidR="00003243" w:rsidRPr="00244DE7" w:rsidRDefault="00003243" w:rsidP="00003243">
      <w:pPr>
        <w:pStyle w:val="FootnoteText"/>
      </w:pPr>
      <w:r>
        <w:rPr>
          <w:rStyle w:val="FootnoteReference"/>
        </w:rPr>
        <w:footnoteRef/>
      </w:r>
      <w:r>
        <w:t xml:space="preserve"> Public Safety Technologies, Inc., </w:t>
      </w:r>
      <w:r w:rsidRPr="0007571D">
        <w:t xml:space="preserve">Response to Notice of </w:t>
      </w:r>
      <w:r>
        <w:t xml:space="preserve">Violation </w:t>
      </w:r>
      <w:r w:rsidRPr="0007571D">
        <w:t>(</w:t>
      </w:r>
      <w:r w:rsidR="00952EC8">
        <w:t xml:space="preserve">filed </w:t>
      </w:r>
      <w:r>
        <w:t>Apr. 22, 2016)</w:t>
      </w:r>
      <w:r w:rsidRPr="0007571D">
        <w:t xml:space="preserve"> (on file in </w:t>
      </w:r>
      <w:r w:rsidRPr="00344C0B">
        <w:rPr>
          <w:spacing w:val="-2"/>
        </w:rPr>
        <w:t>EB</w:t>
      </w:r>
      <w:r>
        <w:rPr>
          <w:spacing w:val="-2"/>
        </w:rPr>
        <w:t>-FIELDWR-15-00019998</w:t>
      </w:r>
      <w:r w:rsidRPr="0007571D">
        <w:t>)</w:t>
      </w:r>
      <w:r>
        <w:t xml:space="preserve"> (NOV Response)</w:t>
      </w:r>
      <w:r w:rsidRPr="0007571D">
        <w:t>.</w:t>
      </w:r>
    </w:p>
  </w:footnote>
  <w:footnote w:id="4">
    <w:p w14:paraId="65CD1C2B" w14:textId="77777777" w:rsidR="0060542C" w:rsidRDefault="0060542C" w:rsidP="0060542C">
      <w:pPr>
        <w:pStyle w:val="FootnoteText"/>
      </w:pPr>
      <w:r>
        <w:rPr>
          <w:rStyle w:val="FootnoteReference"/>
        </w:rPr>
        <w:footnoteRef/>
      </w:r>
      <w:r>
        <w:t xml:space="preserve"> </w:t>
      </w:r>
      <w:r w:rsidRPr="009012AB">
        <w:rPr>
          <w:i/>
        </w:rPr>
        <w:t>Public Safety Technologies, Inc.</w:t>
      </w:r>
      <w:r>
        <w:t xml:space="preserve">, Notice of Apparent Liability for Forfeiture, 31 FCC Rcd </w:t>
      </w:r>
      <w:r w:rsidRPr="009012AB">
        <w:t>10477</w:t>
      </w:r>
      <w:r>
        <w:t xml:space="preserve"> (EB 2016).</w:t>
      </w:r>
    </w:p>
  </w:footnote>
  <w:footnote w:id="5">
    <w:p w14:paraId="6D72F9F3" w14:textId="77777777" w:rsidR="0060542C" w:rsidRDefault="0060542C" w:rsidP="0060542C">
      <w:pPr>
        <w:pStyle w:val="FootnoteText"/>
      </w:pPr>
      <w:r>
        <w:rPr>
          <w:rStyle w:val="FootnoteReference"/>
        </w:rPr>
        <w:footnoteRef/>
      </w:r>
      <w:r>
        <w:t xml:space="preserve"> Public Safety Technologies, Inc., </w:t>
      </w:r>
      <w:r w:rsidRPr="0007571D">
        <w:t>Response to Notice of Apparent Liability (</w:t>
      </w:r>
      <w:r>
        <w:t>Oct. 24, 2016</w:t>
      </w:r>
      <w:r w:rsidRPr="0007571D">
        <w:t xml:space="preserve">) (on file in </w:t>
      </w:r>
      <w:r w:rsidRPr="00344C0B">
        <w:rPr>
          <w:spacing w:val="-2"/>
        </w:rPr>
        <w:t>EB</w:t>
      </w:r>
      <w:r>
        <w:rPr>
          <w:spacing w:val="-2"/>
        </w:rPr>
        <w:t>-FIELDWR-15-00019998</w:t>
      </w:r>
      <w:r w:rsidRPr="0007571D">
        <w:t>) (NAL Response).</w:t>
      </w:r>
    </w:p>
  </w:footnote>
  <w:footnote w:id="6">
    <w:p w14:paraId="6EEBE22D" w14:textId="77777777" w:rsidR="00467F06" w:rsidRDefault="00467F06" w:rsidP="00467F06">
      <w:pPr>
        <w:pStyle w:val="FootnoteText"/>
      </w:pPr>
      <w:r>
        <w:rPr>
          <w:rStyle w:val="FootnoteReference"/>
        </w:rPr>
        <w:footnoteRef/>
      </w:r>
      <w:r>
        <w:t xml:space="preserve"> </w:t>
      </w:r>
      <w:r>
        <w:rPr>
          <w:i/>
        </w:rPr>
        <w:t>See</w:t>
      </w:r>
      <w:r>
        <w:t xml:space="preserve">, </w:t>
      </w:r>
      <w:r w:rsidRPr="000A23B5">
        <w:rPr>
          <w:i/>
        </w:rPr>
        <w:t>e.g.</w:t>
      </w:r>
      <w:r>
        <w:t>, WQJP447, West Covina, California; WQKB675, West Covina, California.</w:t>
      </w:r>
    </w:p>
  </w:footnote>
  <w:footnote w:id="7">
    <w:p w14:paraId="6A50BEC6" w14:textId="77777777" w:rsidR="00467F06" w:rsidRDefault="00467F06" w:rsidP="00467F06">
      <w:pPr>
        <w:pStyle w:val="FootnoteText"/>
      </w:pPr>
      <w:r>
        <w:rPr>
          <w:rStyle w:val="FootnoteReference"/>
        </w:rPr>
        <w:footnoteRef/>
      </w:r>
      <w:r>
        <w:t xml:space="preserve"> 47 CFR § 90.173(a) (“</w:t>
      </w:r>
      <w:r w:rsidRPr="000A23B5">
        <w:t>Except as otherwise specifically provided in this part, frequencies assigned to land mobile stations are available on a shared basis only and will not be assigned for the exclusive use of any licensee.</w:t>
      </w:r>
      <w:r>
        <w:t>”).</w:t>
      </w:r>
    </w:p>
  </w:footnote>
  <w:footnote w:id="8">
    <w:p w14:paraId="36B39775" w14:textId="77777777" w:rsidR="00467F06" w:rsidRDefault="00467F06" w:rsidP="00467F06">
      <w:pPr>
        <w:pStyle w:val="FootnoteText"/>
      </w:pPr>
      <w:r>
        <w:rPr>
          <w:rStyle w:val="FootnoteReference"/>
        </w:rPr>
        <w:footnoteRef/>
      </w:r>
      <w:r>
        <w:t xml:space="preserve"> </w:t>
      </w:r>
      <w:r w:rsidRPr="00D20A37">
        <w:rPr>
          <w:i/>
        </w:rPr>
        <w:t>Compare</w:t>
      </w:r>
      <w:r>
        <w:t xml:space="preserve"> 47 CFR §§ 90.7 (defining a private carrier as “[a]n entity licensed in the private services and authorized to provide communications service to other private services on a commercial basis”) and 90.403(c) (establishing presumption of spectrum sharing for PLMR stations unless otherwise provided in Part 90 of the Rules) </w:t>
      </w:r>
      <w:r w:rsidRPr="00D20A37">
        <w:rPr>
          <w:i/>
        </w:rPr>
        <w:t>to</w:t>
      </w:r>
      <w:r>
        <w:t xml:space="preserve"> 47 CFR § 90.187(e) (establishing interference protection in an “exclusive service area” for stations, such as FB8 stations, that the Commission has “authorized for centralized trunked operation”).</w:t>
      </w:r>
    </w:p>
  </w:footnote>
  <w:footnote w:id="9">
    <w:p w14:paraId="22C64211" w14:textId="77777777" w:rsidR="009A6C39" w:rsidRPr="009A6C39" w:rsidRDefault="009A6C39">
      <w:pPr>
        <w:pStyle w:val="FootnoteText"/>
      </w:pPr>
      <w:r>
        <w:rPr>
          <w:rStyle w:val="FootnoteReference"/>
        </w:rPr>
        <w:footnoteRef/>
      </w:r>
      <w:r>
        <w:t xml:space="preserve"> </w:t>
      </w:r>
      <w:r w:rsidRPr="00344C0B">
        <w:rPr>
          <w:iCs/>
          <w:color w:val="000000"/>
        </w:rPr>
        <w:t xml:space="preserve">The </w:t>
      </w:r>
      <w:r w:rsidRPr="00344C0B">
        <w:rPr>
          <w:i/>
          <w:iCs/>
          <w:color w:val="000000"/>
        </w:rPr>
        <w:t>NAL</w:t>
      </w:r>
      <w:r w:rsidRPr="00344C0B">
        <w:rPr>
          <w:iCs/>
          <w:color w:val="000000"/>
        </w:rPr>
        <w:t xml:space="preserve"> includes a more complete discussion of the facts and history of this case and is incorporated </w:t>
      </w:r>
      <w:r w:rsidR="004A7BD3">
        <w:rPr>
          <w:iCs/>
          <w:color w:val="000000"/>
        </w:rPr>
        <w:t xml:space="preserve">in its entirety </w:t>
      </w:r>
      <w:r w:rsidRPr="00344C0B">
        <w:rPr>
          <w:iCs/>
          <w:color w:val="000000"/>
        </w:rPr>
        <w:t>herein by reference.</w:t>
      </w:r>
      <w:r>
        <w:rPr>
          <w:iCs/>
          <w:color w:val="000000"/>
        </w:rPr>
        <w:t xml:space="preserve">  </w:t>
      </w:r>
      <w:r>
        <w:rPr>
          <w:i/>
          <w:iCs/>
          <w:color w:val="000000"/>
        </w:rPr>
        <w:t>See</w:t>
      </w:r>
      <w:r>
        <w:rPr>
          <w:iCs/>
          <w:color w:val="000000"/>
        </w:rPr>
        <w:t xml:space="preserve"> </w:t>
      </w:r>
      <w:r>
        <w:rPr>
          <w:i/>
          <w:iCs/>
          <w:color w:val="000000"/>
        </w:rPr>
        <w:t>NAL</w:t>
      </w:r>
      <w:r>
        <w:rPr>
          <w:iCs/>
          <w:color w:val="000000"/>
        </w:rPr>
        <w:t>, 31 FCC Rcd at 10477</w:t>
      </w:r>
      <w:r w:rsidR="00A447CB">
        <w:rPr>
          <w:iCs/>
          <w:color w:val="000000"/>
        </w:rPr>
        <w:t>-79,</w:t>
      </w:r>
      <w:r>
        <w:rPr>
          <w:iCs/>
          <w:color w:val="000000"/>
        </w:rPr>
        <w:t xml:space="preserve"> paras</w:t>
      </w:r>
      <w:r w:rsidR="00A447CB">
        <w:rPr>
          <w:iCs/>
          <w:color w:val="000000"/>
        </w:rPr>
        <w:t>.</w:t>
      </w:r>
      <w:r>
        <w:rPr>
          <w:iCs/>
          <w:color w:val="000000"/>
        </w:rPr>
        <w:t xml:space="preserve"> 2-8. </w:t>
      </w:r>
    </w:p>
  </w:footnote>
  <w:footnote w:id="10">
    <w:p w14:paraId="7F91E890" w14:textId="5F68B0E2" w:rsidR="0091751A" w:rsidRDefault="0091751A">
      <w:pPr>
        <w:pStyle w:val="FootnoteText"/>
      </w:pPr>
      <w:r>
        <w:rPr>
          <w:rStyle w:val="FootnoteReference"/>
        </w:rPr>
        <w:footnoteRef/>
      </w:r>
      <w:r>
        <w:t xml:space="preserve"> 47 CFR § 90.425(a).</w:t>
      </w:r>
    </w:p>
  </w:footnote>
  <w:footnote w:id="11">
    <w:p w14:paraId="2AE1427F" w14:textId="77777777" w:rsidR="007E16C1" w:rsidRPr="00072C99" w:rsidRDefault="007E16C1">
      <w:pPr>
        <w:pStyle w:val="FootnoteText"/>
      </w:pPr>
      <w:r>
        <w:rPr>
          <w:rStyle w:val="FootnoteReference"/>
        </w:rPr>
        <w:footnoteRef/>
      </w:r>
      <w:r>
        <w:t xml:space="preserve"> </w:t>
      </w:r>
      <w:r w:rsidR="00072C99">
        <w:rPr>
          <w:i/>
        </w:rPr>
        <w:t>See</w:t>
      </w:r>
      <w:r w:rsidR="00072C99">
        <w:t xml:space="preserve"> </w:t>
      </w:r>
      <w:r w:rsidR="00A6418C">
        <w:t xml:space="preserve">NOV; </w:t>
      </w:r>
      <w:r w:rsidR="00244DE7">
        <w:t>NOV Response.</w:t>
      </w:r>
    </w:p>
  </w:footnote>
  <w:footnote w:id="12">
    <w:p w14:paraId="1EC0BE15" w14:textId="03001845" w:rsidR="00C35A86" w:rsidRPr="00D60F44" w:rsidRDefault="00C35A86">
      <w:pPr>
        <w:pStyle w:val="FootnoteText"/>
      </w:pPr>
      <w:r>
        <w:rPr>
          <w:rStyle w:val="FootnoteReference"/>
        </w:rPr>
        <w:footnoteRef/>
      </w:r>
      <w:r>
        <w:t xml:space="preserve"> </w:t>
      </w:r>
      <w:r w:rsidR="00D60F44">
        <w:rPr>
          <w:i/>
        </w:rPr>
        <w:t>See NAL</w:t>
      </w:r>
      <w:r w:rsidR="00D60F44">
        <w:t xml:space="preserve">, </w:t>
      </w:r>
      <w:r w:rsidR="009A6C39">
        <w:t>31 FCC Rcd at 10479</w:t>
      </w:r>
      <w:r w:rsidR="00A447CB">
        <w:t>-80,</w:t>
      </w:r>
      <w:r w:rsidR="00A6418C">
        <w:t xml:space="preserve"> </w:t>
      </w:r>
      <w:r w:rsidR="009A6C39">
        <w:t>para</w:t>
      </w:r>
      <w:r w:rsidR="00A6418C">
        <w:t>s</w:t>
      </w:r>
      <w:r w:rsidR="009A6C39">
        <w:t>. 9</w:t>
      </w:r>
      <w:r w:rsidR="00A6418C">
        <w:t>-13</w:t>
      </w:r>
      <w:r w:rsidR="00952EC8">
        <w:t>; 47 CFR §§ 90.403(c), 90.403(e), and 90.425(a)</w:t>
      </w:r>
      <w:r w:rsidR="00D60F44">
        <w:t>.</w:t>
      </w:r>
    </w:p>
  </w:footnote>
  <w:footnote w:id="13">
    <w:p w14:paraId="6348EB17" w14:textId="77777777" w:rsidR="00552341" w:rsidRDefault="00552341">
      <w:pPr>
        <w:pStyle w:val="FootnoteText"/>
      </w:pPr>
      <w:r>
        <w:rPr>
          <w:rStyle w:val="FootnoteReference"/>
        </w:rPr>
        <w:footnoteRef/>
      </w:r>
      <w:r>
        <w:t xml:space="preserve"> </w:t>
      </w:r>
      <w:r w:rsidR="00D60F44">
        <w:t>NAL Response at 1.</w:t>
      </w:r>
    </w:p>
  </w:footnote>
  <w:footnote w:id="14">
    <w:p w14:paraId="7F6FCBC9" w14:textId="673F9682" w:rsidR="00552341" w:rsidRDefault="00552341">
      <w:pPr>
        <w:pStyle w:val="FootnoteText"/>
      </w:pPr>
      <w:r>
        <w:rPr>
          <w:rStyle w:val="FootnoteReference"/>
        </w:rPr>
        <w:footnoteRef/>
      </w:r>
      <w:r>
        <w:t xml:space="preserve"> </w:t>
      </w:r>
      <w:r w:rsidR="00D60F44">
        <w:t>NAL Response at 1</w:t>
      </w:r>
      <w:r w:rsidR="00A6418C">
        <w:t>-</w:t>
      </w:r>
      <w:r w:rsidR="00D60F44">
        <w:t>2.</w:t>
      </w:r>
      <w:r w:rsidR="00735DEA">
        <w:t xml:space="preserve">  </w:t>
      </w:r>
      <w:r w:rsidR="007A242F" w:rsidRPr="007A242F">
        <w:t xml:space="preserve">Under Part 90 of the Commission’s rules, the </w:t>
      </w:r>
      <w:r w:rsidR="00141DD5">
        <w:t>public safety pool</w:t>
      </w:r>
      <w:r w:rsidR="007A242F" w:rsidRPr="007A242F">
        <w:t xml:space="preserve"> “covers the licensing of the radio communications of governmental entities and the following category of activities: Medical services, rescue organizations, veterinarians, persons with disabilities, disaster relief organizations, school buses, beach patrols, establishments in isolated places, communications standby facilities and emergency repair of public communications facilities.”  47 CFR § 90.15.  </w:t>
      </w:r>
    </w:p>
  </w:footnote>
  <w:footnote w:id="15">
    <w:p w14:paraId="7EE9D693" w14:textId="77777777" w:rsidR="00552341" w:rsidRDefault="00552341">
      <w:pPr>
        <w:pStyle w:val="FootnoteText"/>
      </w:pPr>
      <w:r>
        <w:rPr>
          <w:rStyle w:val="FootnoteReference"/>
        </w:rPr>
        <w:footnoteRef/>
      </w:r>
      <w:r>
        <w:t xml:space="preserve"> </w:t>
      </w:r>
      <w:r w:rsidR="00D60F44" w:rsidRPr="00D60F44">
        <w:rPr>
          <w:i/>
        </w:rPr>
        <w:t>Id.</w:t>
      </w:r>
      <w:r w:rsidR="00D60F44">
        <w:t xml:space="preserve"> at 2.</w:t>
      </w:r>
    </w:p>
  </w:footnote>
  <w:footnote w:id="16">
    <w:p w14:paraId="6BD9CFA5" w14:textId="77777777" w:rsidR="00552341" w:rsidRPr="00D60F44" w:rsidRDefault="00552341">
      <w:pPr>
        <w:pStyle w:val="FootnoteText"/>
      </w:pPr>
      <w:r>
        <w:rPr>
          <w:rStyle w:val="FootnoteReference"/>
        </w:rPr>
        <w:footnoteRef/>
      </w:r>
      <w:r>
        <w:t xml:space="preserve"> </w:t>
      </w:r>
      <w:r w:rsidR="00D60F44">
        <w:rPr>
          <w:i/>
        </w:rPr>
        <w:t>Id.</w:t>
      </w:r>
      <w:r w:rsidR="00D60F44">
        <w:t xml:space="preserve"> at 3. </w:t>
      </w:r>
    </w:p>
  </w:footnote>
  <w:footnote w:id="17">
    <w:p w14:paraId="1DFFCBBA" w14:textId="77777777" w:rsidR="00023B20" w:rsidRDefault="00023B20">
      <w:pPr>
        <w:pStyle w:val="FootnoteText"/>
      </w:pPr>
      <w:r>
        <w:rPr>
          <w:rStyle w:val="FootnoteReference"/>
        </w:rPr>
        <w:footnoteRef/>
      </w:r>
      <w:r>
        <w:t xml:space="preserve"> </w:t>
      </w:r>
      <w:r w:rsidR="00E3041D">
        <w:rPr>
          <w:i/>
        </w:rPr>
        <w:t>Id.</w:t>
      </w:r>
      <w:r w:rsidR="00E3041D">
        <w:t xml:space="preserve"> at 4.</w:t>
      </w:r>
    </w:p>
  </w:footnote>
  <w:footnote w:id="18">
    <w:p w14:paraId="79376FDD" w14:textId="77777777" w:rsidR="00675D8F" w:rsidRPr="00344C0B" w:rsidRDefault="00675D8F" w:rsidP="00675D8F">
      <w:pPr>
        <w:pStyle w:val="FootnoteText"/>
      </w:pPr>
      <w:r w:rsidRPr="00344C0B">
        <w:rPr>
          <w:rStyle w:val="FootnoteReference"/>
        </w:rPr>
        <w:footnoteRef/>
      </w:r>
      <w:r w:rsidRPr="00344C0B">
        <w:t xml:space="preserve"> </w:t>
      </w:r>
      <w:r w:rsidRPr="00344C0B">
        <w:rPr>
          <w:color w:val="000000"/>
        </w:rPr>
        <w:t>47 U.S.C. § 503(b).</w:t>
      </w:r>
    </w:p>
  </w:footnote>
  <w:footnote w:id="19">
    <w:p w14:paraId="5ECB748F" w14:textId="77777777" w:rsidR="00675D8F" w:rsidRPr="00344C0B" w:rsidRDefault="00675D8F" w:rsidP="00675D8F">
      <w:pPr>
        <w:pStyle w:val="FootnoteText"/>
      </w:pPr>
      <w:r w:rsidRPr="00344C0B">
        <w:rPr>
          <w:rStyle w:val="FootnoteReference"/>
        </w:rPr>
        <w:footnoteRef/>
      </w:r>
      <w:r w:rsidRPr="00344C0B">
        <w:t xml:space="preserve"> 47 CFR § 1.80.</w:t>
      </w:r>
    </w:p>
  </w:footnote>
  <w:footnote w:id="20">
    <w:p w14:paraId="3E4374C8" w14:textId="77777777" w:rsidR="00675D8F" w:rsidRPr="00344C0B" w:rsidRDefault="00675D8F" w:rsidP="00675D8F">
      <w:pPr>
        <w:pStyle w:val="FootnoteText"/>
      </w:pPr>
      <w:r w:rsidRPr="00344C0B">
        <w:rPr>
          <w:rStyle w:val="FootnoteReference"/>
        </w:rPr>
        <w:footnoteRef/>
      </w:r>
      <w:r w:rsidRPr="00344C0B">
        <w:rPr>
          <w:i/>
        </w:rPr>
        <w:t xml:space="preserve"> The Commission’s Forfeiture Policy Statement and Amendment of Section 1.80 of the Rules to Incorporate the Forfeiture Guidelines</w:t>
      </w:r>
      <w:r w:rsidRPr="00344C0B">
        <w:t>, Report and Order, 12 FCC Rcd 17087 (1997) (</w:t>
      </w:r>
      <w:r w:rsidRPr="00344C0B">
        <w:rPr>
          <w:i/>
        </w:rPr>
        <w:t>Forfeiture Policy Statement</w:t>
      </w:r>
      <w:r w:rsidRPr="00344C0B">
        <w:t xml:space="preserve">), </w:t>
      </w:r>
      <w:r w:rsidRPr="00344C0B">
        <w:rPr>
          <w:i/>
        </w:rPr>
        <w:t>recons. denied</w:t>
      </w:r>
      <w:r w:rsidRPr="00344C0B">
        <w:t xml:space="preserve">, Memorandum Opinion and Order, 15 FCC Rcd 303 (1999). </w:t>
      </w:r>
    </w:p>
  </w:footnote>
  <w:footnote w:id="21">
    <w:p w14:paraId="3CE3E689" w14:textId="77777777" w:rsidR="00675D8F" w:rsidRPr="00344C0B" w:rsidRDefault="00675D8F" w:rsidP="00675D8F">
      <w:pPr>
        <w:pStyle w:val="FootnoteText"/>
      </w:pPr>
      <w:r w:rsidRPr="00344C0B">
        <w:rPr>
          <w:rStyle w:val="FootnoteReference"/>
        </w:rPr>
        <w:footnoteRef/>
      </w:r>
      <w:r w:rsidRPr="00344C0B">
        <w:t xml:space="preserve"> 47 U.S.C. § 503(b)(2)(E).</w:t>
      </w:r>
    </w:p>
  </w:footnote>
  <w:footnote w:id="22">
    <w:p w14:paraId="0E0FF35C" w14:textId="77777777" w:rsidR="00552341" w:rsidRDefault="00552341">
      <w:pPr>
        <w:pStyle w:val="FootnoteText"/>
      </w:pPr>
      <w:r>
        <w:rPr>
          <w:rStyle w:val="FootnoteReference"/>
        </w:rPr>
        <w:footnoteRef/>
      </w:r>
      <w:r>
        <w:t xml:space="preserve"> </w:t>
      </w:r>
      <w:r w:rsidR="00D60F44" w:rsidRPr="00D60F44">
        <w:rPr>
          <w:i/>
        </w:rPr>
        <w:t>NAL</w:t>
      </w:r>
      <w:r w:rsidR="00D60F44">
        <w:t>, 31 FCC Rcd at 10479, para. 10.</w:t>
      </w:r>
    </w:p>
  </w:footnote>
  <w:footnote w:id="23">
    <w:p w14:paraId="14F7BEE1" w14:textId="77777777" w:rsidR="008A6CCE" w:rsidRDefault="008A6CCE">
      <w:pPr>
        <w:pStyle w:val="FootnoteText"/>
      </w:pPr>
      <w:r>
        <w:rPr>
          <w:rStyle w:val="FootnoteReference"/>
        </w:rPr>
        <w:footnoteRef/>
      </w:r>
      <w:r>
        <w:t xml:space="preserve"> </w:t>
      </w:r>
      <w:r w:rsidR="00D60F44">
        <w:t>NAL Response at 2.</w:t>
      </w:r>
    </w:p>
  </w:footnote>
  <w:footnote w:id="24">
    <w:p w14:paraId="7F6288E3" w14:textId="77777777" w:rsidR="00072C99" w:rsidRPr="00D60F44" w:rsidRDefault="00072C99">
      <w:pPr>
        <w:pStyle w:val="FootnoteText"/>
      </w:pPr>
      <w:r>
        <w:rPr>
          <w:rStyle w:val="FootnoteReference"/>
        </w:rPr>
        <w:footnoteRef/>
      </w:r>
      <w:r>
        <w:t xml:space="preserve"> </w:t>
      </w:r>
      <w:r w:rsidR="00D60F44">
        <w:rPr>
          <w:i/>
        </w:rPr>
        <w:t>NAL</w:t>
      </w:r>
      <w:r w:rsidR="00D60F44">
        <w:t>, 31 FCC Rcd at 10479, para. 12.</w:t>
      </w:r>
    </w:p>
  </w:footnote>
  <w:footnote w:id="25">
    <w:p w14:paraId="022A73CA" w14:textId="77777777" w:rsidR="0018580A" w:rsidRDefault="0018580A">
      <w:pPr>
        <w:pStyle w:val="FootnoteText"/>
      </w:pPr>
      <w:r>
        <w:rPr>
          <w:rStyle w:val="FootnoteReference"/>
        </w:rPr>
        <w:footnoteRef/>
      </w:r>
      <w:r>
        <w:t xml:space="preserve"> </w:t>
      </w:r>
      <w:r w:rsidR="00D60F44">
        <w:t>NAL Response at 2.</w:t>
      </w:r>
    </w:p>
  </w:footnote>
  <w:footnote w:id="26">
    <w:p w14:paraId="31A8C1A8" w14:textId="77777777" w:rsidR="0018580A" w:rsidRPr="00D60F44" w:rsidRDefault="0018580A">
      <w:pPr>
        <w:pStyle w:val="FootnoteText"/>
      </w:pPr>
      <w:r>
        <w:rPr>
          <w:rStyle w:val="FootnoteReference"/>
        </w:rPr>
        <w:footnoteRef/>
      </w:r>
      <w:r>
        <w:t xml:space="preserve"> </w:t>
      </w:r>
      <w:r w:rsidR="00D60F44">
        <w:rPr>
          <w:i/>
        </w:rPr>
        <w:t>NAL</w:t>
      </w:r>
      <w:r w:rsidR="00D60F44">
        <w:t>, 31 FCC Rcd at 10480, para. 13; NAL Response at 2.</w:t>
      </w:r>
    </w:p>
  </w:footnote>
  <w:footnote w:id="27">
    <w:p w14:paraId="321A297E" w14:textId="77777777" w:rsidR="00BD6F48" w:rsidRPr="00BD6F48" w:rsidRDefault="00BD6F48">
      <w:pPr>
        <w:pStyle w:val="FootnoteText"/>
        <w:rPr>
          <w:i/>
        </w:rPr>
      </w:pPr>
      <w:r>
        <w:rPr>
          <w:rStyle w:val="FootnoteReference"/>
        </w:rPr>
        <w:footnoteRef/>
      </w:r>
      <w:r>
        <w:t xml:space="preserve"> </w:t>
      </w:r>
      <w:r>
        <w:rPr>
          <w:i/>
        </w:rPr>
        <w:t>See</w:t>
      </w:r>
      <w:r>
        <w:t xml:space="preserve">, </w:t>
      </w:r>
      <w:r w:rsidRPr="00BD6F48">
        <w:rPr>
          <w:i/>
        </w:rPr>
        <w:t>e.g.</w:t>
      </w:r>
      <w:r>
        <w:t xml:space="preserve">, </w:t>
      </w:r>
      <w:r w:rsidRPr="00E51F3C">
        <w:rPr>
          <w:i/>
        </w:rPr>
        <w:t>Telseven, LLC &amp; Patrick Hines</w:t>
      </w:r>
      <w:r>
        <w:t xml:space="preserve">, Forfeiture Order, 31 FCC Rcd 1629, 1631, para. 7 (2016) (finding violations of the Act and the Commission’s rules “[b]ased on the uncontested record of violations documented in the </w:t>
      </w:r>
      <w:r>
        <w:rPr>
          <w:i/>
        </w:rPr>
        <w:t>NAL</w:t>
      </w:r>
      <w:r>
        <w:t>”).</w:t>
      </w:r>
    </w:p>
  </w:footnote>
  <w:footnote w:id="28">
    <w:p w14:paraId="30B6A0FD" w14:textId="77777777" w:rsidR="00072C99" w:rsidRDefault="00072C99">
      <w:pPr>
        <w:pStyle w:val="FootnoteText"/>
      </w:pPr>
      <w:r>
        <w:rPr>
          <w:rStyle w:val="FootnoteReference"/>
        </w:rPr>
        <w:footnoteRef/>
      </w:r>
      <w:r>
        <w:t xml:space="preserve"> </w:t>
      </w:r>
      <w:r w:rsidR="00D60F44">
        <w:t>NAL Response at 2–3.</w:t>
      </w:r>
    </w:p>
  </w:footnote>
  <w:footnote w:id="29">
    <w:p w14:paraId="722B442E" w14:textId="68AAE321" w:rsidR="00432D87" w:rsidRPr="00432D87" w:rsidRDefault="00432D87">
      <w:pPr>
        <w:pStyle w:val="FootnoteText"/>
      </w:pPr>
      <w:r>
        <w:rPr>
          <w:rStyle w:val="FootnoteReference"/>
        </w:rPr>
        <w:footnoteRef/>
      </w:r>
      <w:r>
        <w:t xml:space="preserve"> </w:t>
      </w:r>
      <w:r>
        <w:rPr>
          <w:i/>
        </w:rPr>
        <w:t>See</w:t>
      </w:r>
      <w:r>
        <w:t xml:space="preserve">, </w:t>
      </w:r>
      <w:r>
        <w:rPr>
          <w:i/>
        </w:rPr>
        <w:t>e.g.</w:t>
      </w:r>
      <w:r>
        <w:t xml:space="preserve">, </w:t>
      </w:r>
      <w:r w:rsidRPr="007A242F">
        <w:rPr>
          <w:i/>
        </w:rPr>
        <w:t>D.T.V., LLC</w:t>
      </w:r>
      <w:r w:rsidRPr="00432D87">
        <w:t>, Forfeiture Order, 31 FCC Rcd 2650, 2657 (2016)</w:t>
      </w:r>
      <w:r>
        <w:t xml:space="preserve"> (finding that a licensee “</w:t>
      </w:r>
      <w:r w:rsidRPr="00432D87">
        <w:t>cannot pass on its responsibility as a licensee to operate within licensed parameters</w:t>
      </w:r>
      <w:r w:rsidR="007A242F">
        <w:t xml:space="preserve">” to third parties acting on the licensee’s behalf); </w:t>
      </w:r>
      <w:r w:rsidR="007A242F" w:rsidRPr="007A242F">
        <w:rPr>
          <w:i/>
        </w:rPr>
        <w:t>Indus. Broad. Co.</w:t>
      </w:r>
      <w:r w:rsidR="007A242F" w:rsidRPr="007A242F">
        <w:t xml:space="preserve">, Memorandum Opinion and Order, 34 FCC 2d 950, 954 (1971) (stating that licensees are charged with knowledge of the rules governing the stations for which they are licensed); </w:t>
      </w:r>
      <w:r w:rsidR="007A242F" w:rsidRPr="007A242F">
        <w:rPr>
          <w:i/>
        </w:rPr>
        <w:t>Willapa Broad. Co., Inc.</w:t>
      </w:r>
      <w:r w:rsidR="007A242F" w:rsidRPr="007A242F">
        <w:t>, Memorandum Opinion and Order, 17 FCC 2d 110, 111 (1969) (stating that licensees are expected to be aware of and comply with the requirements of the Commission's rules).</w:t>
      </w:r>
    </w:p>
  </w:footnote>
  <w:footnote w:id="30">
    <w:p w14:paraId="694AD80F" w14:textId="77777777" w:rsidR="00393B9F" w:rsidRDefault="00393B9F" w:rsidP="00393B9F">
      <w:pPr>
        <w:pStyle w:val="FootnoteText"/>
      </w:pPr>
      <w:r>
        <w:rPr>
          <w:rStyle w:val="FootnoteReference"/>
        </w:rPr>
        <w:footnoteRef/>
      </w:r>
      <w:r>
        <w:t xml:space="preserve"> </w:t>
      </w:r>
      <w:r w:rsidR="00D60F44">
        <w:t>47 CFR §§ 90.403(c), 90.403(e), and 90.425</w:t>
      </w:r>
      <w:r w:rsidR="0034262D">
        <w:t>(a)</w:t>
      </w:r>
      <w:r w:rsidR="00D60F44">
        <w:t>.</w:t>
      </w:r>
    </w:p>
  </w:footnote>
  <w:footnote w:id="31">
    <w:p w14:paraId="774FA298" w14:textId="77777777" w:rsidR="00675D8F" w:rsidRPr="00344C0B" w:rsidRDefault="00675D8F" w:rsidP="00675D8F">
      <w:pPr>
        <w:pStyle w:val="FootnoteText"/>
      </w:pPr>
      <w:r w:rsidRPr="00344C0B">
        <w:rPr>
          <w:rStyle w:val="FootnoteReference"/>
        </w:rPr>
        <w:footnoteRef/>
      </w:r>
      <w:r w:rsidRPr="00344C0B">
        <w:t xml:space="preserve"> 47 U.S.C. § 503(b).</w:t>
      </w:r>
    </w:p>
  </w:footnote>
  <w:footnote w:id="32">
    <w:p w14:paraId="451D97AE" w14:textId="77777777" w:rsidR="00675D8F" w:rsidRPr="00344C0B" w:rsidRDefault="00675D8F" w:rsidP="00675D8F">
      <w:pPr>
        <w:pStyle w:val="FootnoteText"/>
      </w:pPr>
      <w:r w:rsidRPr="00344C0B">
        <w:rPr>
          <w:rStyle w:val="FootnoteReference"/>
        </w:rPr>
        <w:footnoteRef/>
      </w:r>
      <w:r w:rsidRPr="00344C0B">
        <w:t xml:space="preserve"> 47 CFR § 1.80.</w:t>
      </w:r>
    </w:p>
  </w:footnote>
  <w:footnote w:id="33">
    <w:p w14:paraId="1B50CECC" w14:textId="77777777" w:rsidR="00D60F44" w:rsidRDefault="00D60F44">
      <w:pPr>
        <w:pStyle w:val="FootnoteText"/>
      </w:pPr>
      <w:r>
        <w:rPr>
          <w:rStyle w:val="FootnoteReference"/>
        </w:rPr>
        <w:footnoteRef/>
      </w:r>
      <w:r>
        <w:t xml:space="preserve"> </w:t>
      </w:r>
      <w:r w:rsidR="00AB6C4A">
        <w:t>47 CFR §§ 90.403(c), 90.403(e), and 90.425</w:t>
      </w:r>
      <w:r w:rsidR="0034262D">
        <w:t>(a)</w:t>
      </w:r>
      <w:r w:rsidR="00AB6C4A">
        <w:t>.</w:t>
      </w:r>
    </w:p>
  </w:footnote>
  <w:footnote w:id="34">
    <w:p w14:paraId="061A20C2" w14:textId="77777777" w:rsidR="00675D8F" w:rsidRPr="0034262D" w:rsidRDefault="00675D8F" w:rsidP="00675D8F">
      <w:pPr>
        <w:pStyle w:val="FootnoteText"/>
      </w:pPr>
      <w:r w:rsidRPr="00344C0B">
        <w:rPr>
          <w:rStyle w:val="FootnoteReference"/>
        </w:rPr>
        <w:footnoteRef/>
      </w:r>
      <w:r w:rsidRPr="00344C0B">
        <w:t xml:space="preserve"> </w:t>
      </w:r>
      <w:r w:rsidR="0034262D">
        <w:t>47 CFR § 1.80.</w:t>
      </w:r>
    </w:p>
  </w:footnote>
  <w:footnote w:id="35">
    <w:p w14:paraId="3367723E" w14:textId="77777777" w:rsidR="00675D8F" w:rsidRPr="00344C0B" w:rsidRDefault="00675D8F" w:rsidP="00675D8F">
      <w:pPr>
        <w:pStyle w:val="FootnoteText"/>
      </w:pPr>
      <w:r w:rsidRPr="00344C0B">
        <w:rPr>
          <w:rStyle w:val="FootnoteReference"/>
        </w:rPr>
        <w:footnoteRef/>
      </w:r>
      <w:r w:rsidRPr="00344C0B">
        <w:t xml:space="preserve"> 47 U.S.C. § 504(a).</w:t>
      </w:r>
    </w:p>
  </w:footnote>
  <w:footnote w:id="36">
    <w:p w14:paraId="22967E1B" w14:textId="5DA2E924" w:rsidR="00675D8F" w:rsidRPr="00344C0B" w:rsidRDefault="00675D8F" w:rsidP="00675D8F">
      <w:pPr>
        <w:pStyle w:val="FootnoteText"/>
      </w:pPr>
      <w:r w:rsidRPr="00344C0B">
        <w:rPr>
          <w:rStyle w:val="FootnoteReference"/>
        </w:rPr>
        <w:footnoteRef/>
      </w:r>
      <w:r w:rsidRPr="00344C0B">
        <w:t xml:space="preserve"> </w:t>
      </w:r>
      <w:r w:rsidRPr="00344C0B">
        <w:rPr>
          <w:rStyle w:val="FootnoteTextChar2"/>
        </w:rPr>
        <w:t xml:space="preserve">An FCC Form 159 and detailed instructions for completing the form may be obtained at </w:t>
      </w:r>
      <w:hyperlink r:id="rId1" w:history="1">
        <w:r w:rsidR="00054465" w:rsidRPr="003B62FB">
          <w:rPr>
            <w:rStyle w:val="Hyperlink"/>
          </w:rPr>
          <w:t>http://www.fcc.gov/Forms/Form159/159.pdf</w:t>
        </w:r>
      </w:hyperlink>
      <w:r w:rsidRPr="00344C0B">
        <w:rPr>
          <w:rStyle w:val="FootnoteTextChar2"/>
        </w:rPr>
        <w:t>.</w:t>
      </w:r>
    </w:p>
  </w:footnote>
  <w:footnote w:id="37">
    <w:p w14:paraId="02709386" w14:textId="77777777" w:rsidR="00675D8F" w:rsidRPr="0030738C" w:rsidRDefault="00675D8F" w:rsidP="00675D8F">
      <w:pPr>
        <w:pStyle w:val="FootnoteText"/>
      </w:pPr>
      <w:r w:rsidRPr="00344C0B">
        <w:rPr>
          <w:rStyle w:val="FootnoteReference"/>
        </w:rPr>
        <w:footnoteRef/>
      </w:r>
      <w:r w:rsidRPr="00344C0B">
        <w:t xml:space="preserve"> </w:t>
      </w:r>
      <w:r w:rsidRPr="00344C0B">
        <w:rPr>
          <w:i/>
        </w:rPr>
        <w:t>See</w:t>
      </w:r>
      <w:r w:rsidRPr="00344C0B">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050B7" w14:textId="77777777" w:rsidR="00881585" w:rsidRDefault="00881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2D005" w14:textId="71460130" w:rsidR="00D25FB5" w:rsidRDefault="00D25FB5" w:rsidP="00810B6F">
    <w:pPr>
      <w:pStyle w:val="Header"/>
      <w:rPr>
        <w:b w:val="0"/>
      </w:rPr>
    </w:pPr>
    <w:r>
      <w:tab/>
      <w:t>Federal Communications Commission</w:t>
    </w:r>
    <w:r>
      <w:tab/>
    </w:r>
    <w:r w:rsidR="00467F06">
      <w:t>DA 17-</w:t>
    </w:r>
    <w:r w:rsidR="00041EEA">
      <w:t>977</w:t>
    </w:r>
  </w:p>
  <w:p w14:paraId="30535617" w14:textId="45146399" w:rsidR="00D25FB5" w:rsidRDefault="00BF6537">
    <w:pPr>
      <w:tabs>
        <w:tab w:val="left" w:pos="-720"/>
      </w:tabs>
      <w:suppressAutoHyphens/>
      <w:spacing w:line="19" w:lineRule="exact"/>
      <w:rPr>
        <w:spacing w:val="-2"/>
      </w:rPr>
    </w:pPr>
    <w:r>
      <w:rPr>
        <w:noProof/>
      </w:rPr>
      <w:pict w14:anchorId="58FB8B1B">
        <v:rect id="Rectangle 1" o:spid="_x0000_s4099" style="position:absolute;margin-left:0;margin-top:0;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081A7704"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85487" w14:textId="32D489C6" w:rsidR="00D25FB5" w:rsidRDefault="00BF6537" w:rsidP="00810B6F">
    <w:pPr>
      <w:pStyle w:val="Header"/>
      <w:rPr>
        <w:b w:val="0"/>
      </w:rPr>
    </w:pPr>
    <w:r>
      <w:rPr>
        <w:noProof/>
      </w:rPr>
      <w:pict w14:anchorId="7A37E98C">
        <v:rect id="Rectangle 3" o:spid="_x0000_s4097"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467F06">
      <w:rPr>
        <w:spacing w:val="-2"/>
      </w:rPr>
      <w:t>DA 17-</w:t>
    </w:r>
    <w:r w:rsidR="00041EEA">
      <w:rPr>
        <w:spacing w:val="-2"/>
      </w:rPr>
      <w:t>977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7"/>
    <w:lvlOverride w:ilvl="0">
      <w:startOverride w:val="1"/>
    </w:lvlOverride>
  </w:num>
  <w:num w:numId="8">
    <w:abstractNumId w:val="7"/>
  </w:num>
  <w:num w:numId="9">
    <w:abstractNumId w:val="0"/>
    <w:lvlOverride w:ilvl="0">
      <w:lvl w:ilvl="0">
        <w:numFmt w:val="bullet"/>
        <w:pStyle w:val="par1"/>
        <w:lvlText w:val=""/>
        <w:legacy w:legacy="1" w:legacySpace="0" w:legacyIndent="360"/>
        <w:lvlJc w:val="left"/>
        <w:rPr>
          <w:rFonts w:ascii="Symbol" w:hAnsi="Symbol" w:hint="default"/>
        </w:rPr>
      </w:lvl>
    </w:lvlOverride>
  </w:num>
  <w:num w:numId="10">
    <w:abstractNumId w:val="6"/>
  </w:num>
  <w:num w:numId="11">
    <w:abstractNumId w:val="7"/>
    <w:lvlOverride w:ilvl="0">
      <w:startOverride w:val="1"/>
    </w:lvlOverride>
  </w:num>
  <w:num w:numId="12">
    <w:abstractNumId w:val="7"/>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100"/>
    <o:shapelayout v:ext="edit">
      <o:idmap v:ext="edit" data="4"/>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0FAF"/>
    <w:rsid w:val="00003243"/>
    <w:rsid w:val="00023B20"/>
    <w:rsid w:val="00036039"/>
    <w:rsid w:val="00037F90"/>
    <w:rsid w:val="00041EEA"/>
    <w:rsid w:val="00050474"/>
    <w:rsid w:val="00054465"/>
    <w:rsid w:val="00072C99"/>
    <w:rsid w:val="00080FAF"/>
    <w:rsid w:val="000875BF"/>
    <w:rsid w:val="00096D8C"/>
    <w:rsid w:val="000C0B65"/>
    <w:rsid w:val="000E05FE"/>
    <w:rsid w:val="000E3D42"/>
    <w:rsid w:val="000F209F"/>
    <w:rsid w:val="000F6089"/>
    <w:rsid w:val="001033F9"/>
    <w:rsid w:val="00122BD5"/>
    <w:rsid w:val="00133F79"/>
    <w:rsid w:val="00141DD5"/>
    <w:rsid w:val="0018580A"/>
    <w:rsid w:val="00194A66"/>
    <w:rsid w:val="001C397C"/>
    <w:rsid w:val="001C6773"/>
    <w:rsid w:val="001D6BCF"/>
    <w:rsid w:val="001E01CA"/>
    <w:rsid w:val="00222139"/>
    <w:rsid w:val="00244DE7"/>
    <w:rsid w:val="002700C9"/>
    <w:rsid w:val="00275CF5"/>
    <w:rsid w:val="0028301F"/>
    <w:rsid w:val="00285017"/>
    <w:rsid w:val="00295DFB"/>
    <w:rsid w:val="002A2D2E"/>
    <w:rsid w:val="002C00E8"/>
    <w:rsid w:val="003106D5"/>
    <w:rsid w:val="00341A03"/>
    <w:rsid w:val="0034262D"/>
    <w:rsid w:val="00343749"/>
    <w:rsid w:val="003565C9"/>
    <w:rsid w:val="003660ED"/>
    <w:rsid w:val="00393B9F"/>
    <w:rsid w:val="003A446F"/>
    <w:rsid w:val="003B0550"/>
    <w:rsid w:val="003B694F"/>
    <w:rsid w:val="003F171C"/>
    <w:rsid w:val="00412FC5"/>
    <w:rsid w:val="004214F4"/>
    <w:rsid w:val="00422276"/>
    <w:rsid w:val="004242F1"/>
    <w:rsid w:val="00432D87"/>
    <w:rsid w:val="00445A00"/>
    <w:rsid w:val="00451B0F"/>
    <w:rsid w:val="00467F06"/>
    <w:rsid w:val="004A3E6F"/>
    <w:rsid w:val="004A7BD3"/>
    <w:rsid w:val="004C2EE3"/>
    <w:rsid w:val="004E4A22"/>
    <w:rsid w:val="00501474"/>
    <w:rsid w:val="00506C7C"/>
    <w:rsid w:val="00511968"/>
    <w:rsid w:val="0051576F"/>
    <w:rsid w:val="00552341"/>
    <w:rsid w:val="0055614C"/>
    <w:rsid w:val="00557F63"/>
    <w:rsid w:val="005E14C2"/>
    <w:rsid w:val="0060542C"/>
    <w:rsid w:val="00607BA5"/>
    <w:rsid w:val="0061180A"/>
    <w:rsid w:val="00613872"/>
    <w:rsid w:val="00626EB6"/>
    <w:rsid w:val="00636DD9"/>
    <w:rsid w:val="00652565"/>
    <w:rsid w:val="00655D03"/>
    <w:rsid w:val="00675D8F"/>
    <w:rsid w:val="00683388"/>
    <w:rsid w:val="00683F84"/>
    <w:rsid w:val="006A60DF"/>
    <w:rsid w:val="006A6A81"/>
    <w:rsid w:val="006C2B19"/>
    <w:rsid w:val="006E1583"/>
    <w:rsid w:val="006F70CD"/>
    <w:rsid w:val="006F7393"/>
    <w:rsid w:val="0070224F"/>
    <w:rsid w:val="007115F7"/>
    <w:rsid w:val="00720B08"/>
    <w:rsid w:val="00735DEA"/>
    <w:rsid w:val="00744FA7"/>
    <w:rsid w:val="0076391F"/>
    <w:rsid w:val="00785689"/>
    <w:rsid w:val="0079754B"/>
    <w:rsid w:val="007A1E6D"/>
    <w:rsid w:val="007A242F"/>
    <w:rsid w:val="007A4EDA"/>
    <w:rsid w:val="007B0EB2"/>
    <w:rsid w:val="007B6090"/>
    <w:rsid w:val="007C37E4"/>
    <w:rsid w:val="007E16C1"/>
    <w:rsid w:val="007F0C3D"/>
    <w:rsid w:val="007F279F"/>
    <w:rsid w:val="00810B6F"/>
    <w:rsid w:val="00822CE0"/>
    <w:rsid w:val="00841AB1"/>
    <w:rsid w:val="008573EE"/>
    <w:rsid w:val="008712B2"/>
    <w:rsid w:val="00881585"/>
    <w:rsid w:val="008A6CCE"/>
    <w:rsid w:val="008C4FA9"/>
    <w:rsid w:val="008C68F1"/>
    <w:rsid w:val="008D3216"/>
    <w:rsid w:val="008F2449"/>
    <w:rsid w:val="009012AB"/>
    <w:rsid w:val="009147AB"/>
    <w:rsid w:val="0091751A"/>
    <w:rsid w:val="00921803"/>
    <w:rsid w:val="00926503"/>
    <w:rsid w:val="00952EC8"/>
    <w:rsid w:val="009726D8"/>
    <w:rsid w:val="0098104A"/>
    <w:rsid w:val="009A6C39"/>
    <w:rsid w:val="009B2811"/>
    <w:rsid w:val="009F76DB"/>
    <w:rsid w:val="00A32C3B"/>
    <w:rsid w:val="00A3410B"/>
    <w:rsid w:val="00A447CB"/>
    <w:rsid w:val="00A45F4F"/>
    <w:rsid w:val="00A600A9"/>
    <w:rsid w:val="00A6418C"/>
    <w:rsid w:val="00A9533F"/>
    <w:rsid w:val="00AA55B7"/>
    <w:rsid w:val="00AA5B9E"/>
    <w:rsid w:val="00AB2407"/>
    <w:rsid w:val="00AB53DF"/>
    <w:rsid w:val="00AB6C4A"/>
    <w:rsid w:val="00AC4ECA"/>
    <w:rsid w:val="00B014A8"/>
    <w:rsid w:val="00B07E5C"/>
    <w:rsid w:val="00B31624"/>
    <w:rsid w:val="00B5361A"/>
    <w:rsid w:val="00B77803"/>
    <w:rsid w:val="00B811F7"/>
    <w:rsid w:val="00B83500"/>
    <w:rsid w:val="00BA5DC6"/>
    <w:rsid w:val="00BA6196"/>
    <w:rsid w:val="00BC6D8C"/>
    <w:rsid w:val="00BD6F48"/>
    <w:rsid w:val="00BF6537"/>
    <w:rsid w:val="00C05F4D"/>
    <w:rsid w:val="00C34006"/>
    <w:rsid w:val="00C35A86"/>
    <w:rsid w:val="00C426B1"/>
    <w:rsid w:val="00C5335F"/>
    <w:rsid w:val="00C66160"/>
    <w:rsid w:val="00C721AC"/>
    <w:rsid w:val="00C90D6A"/>
    <w:rsid w:val="00CA247E"/>
    <w:rsid w:val="00CC72B6"/>
    <w:rsid w:val="00D0218D"/>
    <w:rsid w:val="00D17E95"/>
    <w:rsid w:val="00D22EF7"/>
    <w:rsid w:val="00D25FB5"/>
    <w:rsid w:val="00D42A53"/>
    <w:rsid w:val="00D44223"/>
    <w:rsid w:val="00D60F44"/>
    <w:rsid w:val="00DA12D6"/>
    <w:rsid w:val="00DA2529"/>
    <w:rsid w:val="00DB130A"/>
    <w:rsid w:val="00DB2EBB"/>
    <w:rsid w:val="00DC10A1"/>
    <w:rsid w:val="00DC655F"/>
    <w:rsid w:val="00DD0B59"/>
    <w:rsid w:val="00DD1625"/>
    <w:rsid w:val="00DD33F0"/>
    <w:rsid w:val="00DD7EBD"/>
    <w:rsid w:val="00DE10F9"/>
    <w:rsid w:val="00DF62B6"/>
    <w:rsid w:val="00E07225"/>
    <w:rsid w:val="00E25492"/>
    <w:rsid w:val="00E3041D"/>
    <w:rsid w:val="00E51F3C"/>
    <w:rsid w:val="00E5409F"/>
    <w:rsid w:val="00E571C2"/>
    <w:rsid w:val="00EC0CC4"/>
    <w:rsid w:val="00EC3E94"/>
    <w:rsid w:val="00EE6488"/>
    <w:rsid w:val="00F021FA"/>
    <w:rsid w:val="00F3167F"/>
    <w:rsid w:val="00F320D9"/>
    <w:rsid w:val="00F32CA2"/>
    <w:rsid w:val="00F35E70"/>
    <w:rsid w:val="00F535CF"/>
    <w:rsid w:val="00F62E97"/>
    <w:rsid w:val="00F64209"/>
    <w:rsid w:val="00F710C0"/>
    <w:rsid w:val="00F93BF5"/>
    <w:rsid w:val="00FA0AAC"/>
    <w:rsid w:val="00FF0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202F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537"/>
    <w:pPr>
      <w:widowControl w:val="0"/>
    </w:pPr>
    <w:rPr>
      <w:snapToGrid w:val="0"/>
      <w:kern w:val="28"/>
      <w:sz w:val="22"/>
    </w:rPr>
  </w:style>
  <w:style w:type="paragraph" w:styleId="Heading1">
    <w:name w:val="heading 1"/>
    <w:basedOn w:val="Normal"/>
    <w:next w:val="ParaNum"/>
    <w:link w:val="Heading1Char"/>
    <w:qFormat/>
    <w:rsid w:val="00BF653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F6537"/>
    <w:pPr>
      <w:keepNext/>
      <w:numPr>
        <w:ilvl w:val="1"/>
        <w:numId w:val="3"/>
      </w:numPr>
      <w:spacing w:after="120"/>
      <w:outlineLvl w:val="1"/>
    </w:pPr>
    <w:rPr>
      <w:b/>
    </w:rPr>
  </w:style>
  <w:style w:type="paragraph" w:styleId="Heading3">
    <w:name w:val="heading 3"/>
    <w:basedOn w:val="Normal"/>
    <w:next w:val="ParaNum"/>
    <w:qFormat/>
    <w:rsid w:val="00BF6537"/>
    <w:pPr>
      <w:keepNext/>
      <w:numPr>
        <w:ilvl w:val="2"/>
        <w:numId w:val="3"/>
      </w:numPr>
      <w:tabs>
        <w:tab w:val="left" w:pos="2160"/>
      </w:tabs>
      <w:spacing w:after="120"/>
      <w:outlineLvl w:val="2"/>
    </w:pPr>
    <w:rPr>
      <w:b/>
    </w:rPr>
  </w:style>
  <w:style w:type="paragraph" w:styleId="Heading4">
    <w:name w:val="heading 4"/>
    <w:basedOn w:val="Normal"/>
    <w:next w:val="ParaNum"/>
    <w:qFormat/>
    <w:rsid w:val="00BF6537"/>
    <w:pPr>
      <w:keepNext/>
      <w:numPr>
        <w:ilvl w:val="3"/>
        <w:numId w:val="3"/>
      </w:numPr>
      <w:tabs>
        <w:tab w:val="left" w:pos="2880"/>
      </w:tabs>
      <w:spacing w:after="120"/>
      <w:outlineLvl w:val="3"/>
    </w:pPr>
    <w:rPr>
      <w:b/>
    </w:rPr>
  </w:style>
  <w:style w:type="paragraph" w:styleId="Heading5">
    <w:name w:val="heading 5"/>
    <w:basedOn w:val="Normal"/>
    <w:next w:val="ParaNum"/>
    <w:qFormat/>
    <w:rsid w:val="00BF653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F6537"/>
    <w:pPr>
      <w:numPr>
        <w:ilvl w:val="5"/>
        <w:numId w:val="3"/>
      </w:numPr>
      <w:tabs>
        <w:tab w:val="left" w:pos="4320"/>
      </w:tabs>
      <w:spacing w:after="120"/>
      <w:outlineLvl w:val="5"/>
    </w:pPr>
    <w:rPr>
      <w:b/>
    </w:rPr>
  </w:style>
  <w:style w:type="paragraph" w:styleId="Heading7">
    <w:name w:val="heading 7"/>
    <w:basedOn w:val="Normal"/>
    <w:next w:val="ParaNum"/>
    <w:qFormat/>
    <w:rsid w:val="00BF653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F653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F653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F65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6537"/>
  </w:style>
  <w:style w:type="paragraph" w:customStyle="1" w:styleId="ParaNum">
    <w:name w:val="ParaNum"/>
    <w:basedOn w:val="Normal"/>
    <w:link w:val="ParaNumChar"/>
    <w:rsid w:val="00BF6537"/>
    <w:pPr>
      <w:numPr>
        <w:numId w:val="2"/>
      </w:numPr>
      <w:tabs>
        <w:tab w:val="clear" w:pos="1080"/>
        <w:tab w:val="num" w:pos="1440"/>
      </w:tabs>
      <w:spacing w:after="120"/>
    </w:pPr>
  </w:style>
  <w:style w:type="paragraph" w:styleId="EndnoteText">
    <w:name w:val="endnote text"/>
    <w:basedOn w:val="Normal"/>
    <w:semiHidden/>
    <w:rsid w:val="00BF6537"/>
    <w:rPr>
      <w:sz w:val="20"/>
    </w:rPr>
  </w:style>
  <w:style w:type="character" w:styleId="EndnoteReference">
    <w:name w:val="endnote reference"/>
    <w:semiHidden/>
    <w:rsid w:val="00BF6537"/>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BF6537"/>
    <w:pPr>
      <w:spacing w:after="120"/>
    </w:pPr>
  </w:style>
  <w:style w:type="character" w:styleId="FootnoteReference">
    <w:name w:val="footnote reference"/>
    <w:aliases w:val="Style 4,Appel note de bas de p,Style 12,(NECG) Footnote Reference,Style 124,Style 13,o,fr,Style 3,FR,Style 17,Style 6,Footnote Reference/"/>
    <w:rsid w:val="00BF6537"/>
    <w:rPr>
      <w:rFonts w:ascii="Times New Roman" w:hAnsi="Times New Roman"/>
      <w:dstrike w:val="0"/>
      <w:color w:val="auto"/>
      <w:sz w:val="20"/>
      <w:vertAlign w:val="superscript"/>
    </w:rPr>
  </w:style>
  <w:style w:type="paragraph" w:styleId="TOC1">
    <w:name w:val="toc 1"/>
    <w:basedOn w:val="Normal"/>
    <w:next w:val="Normal"/>
    <w:semiHidden/>
    <w:rsid w:val="00BF653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F6537"/>
    <w:pPr>
      <w:tabs>
        <w:tab w:val="left" w:pos="720"/>
        <w:tab w:val="right" w:leader="dot" w:pos="9360"/>
      </w:tabs>
      <w:suppressAutoHyphens/>
      <w:ind w:left="720" w:right="720" w:hanging="360"/>
    </w:pPr>
    <w:rPr>
      <w:noProof/>
    </w:rPr>
  </w:style>
  <w:style w:type="paragraph" w:styleId="TOC3">
    <w:name w:val="toc 3"/>
    <w:basedOn w:val="Normal"/>
    <w:next w:val="Normal"/>
    <w:semiHidden/>
    <w:rsid w:val="00BF653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F653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F653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F653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F653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F653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F653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F6537"/>
    <w:pPr>
      <w:tabs>
        <w:tab w:val="right" w:pos="9360"/>
      </w:tabs>
      <w:suppressAutoHyphens/>
    </w:pPr>
  </w:style>
  <w:style w:type="character" w:customStyle="1" w:styleId="EquationCaption">
    <w:name w:val="_Equation Caption"/>
    <w:rsid w:val="00BF6537"/>
  </w:style>
  <w:style w:type="paragraph" w:styleId="Header">
    <w:name w:val="header"/>
    <w:basedOn w:val="Normal"/>
    <w:autoRedefine/>
    <w:rsid w:val="00BF6537"/>
    <w:pPr>
      <w:tabs>
        <w:tab w:val="center" w:pos="4680"/>
        <w:tab w:val="right" w:pos="9360"/>
      </w:tabs>
    </w:pPr>
    <w:rPr>
      <w:b/>
    </w:rPr>
  </w:style>
  <w:style w:type="paragraph" w:styleId="Footer">
    <w:name w:val="footer"/>
    <w:basedOn w:val="Normal"/>
    <w:rsid w:val="00BF6537"/>
    <w:pPr>
      <w:tabs>
        <w:tab w:val="center" w:pos="4320"/>
        <w:tab w:val="right" w:pos="8640"/>
      </w:tabs>
    </w:pPr>
  </w:style>
  <w:style w:type="character" w:styleId="PageNumber">
    <w:name w:val="page number"/>
    <w:basedOn w:val="DefaultParagraphFont"/>
    <w:rsid w:val="00BF6537"/>
  </w:style>
  <w:style w:type="paragraph" w:styleId="BlockText">
    <w:name w:val="Block Text"/>
    <w:basedOn w:val="Normal"/>
    <w:rsid w:val="00BF6537"/>
    <w:pPr>
      <w:spacing w:after="240"/>
      <w:ind w:left="1440" w:right="1440"/>
    </w:pPr>
  </w:style>
  <w:style w:type="paragraph" w:customStyle="1" w:styleId="Paratitle">
    <w:name w:val="Para title"/>
    <w:basedOn w:val="Normal"/>
    <w:rsid w:val="00BF6537"/>
    <w:pPr>
      <w:tabs>
        <w:tab w:val="center" w:pos="9270"/>
      </w:tabs>
      <w:spacing w:after="240"/>
    </w:pPr>
    <w:rPr>
      <w:spacing w:val="-2"/>
    </w:rPr>
  </w:style>
  <w:style w:type="paragraph" w:customStyle="1" w:styleId="Bullet">
    <w:name w:val="Bullet"/>
    <w:basedOn w:val="Normal"/>
    <w:rsid w:val="00BF6537"/>
    <w:pPr>
      <w:tabs>
        <w:tab w:val="left" w:pos="2160"/>
      </w:tabs>
      <w:spacing w:after="220"/>
      <w:ind w:left="2160" w:hanging="720"/>
    </w:pPr>
  </w:style>
  <w:style w:type="paragraph" w:customStyle="1" w:styleId="TableFormat">
    <w:name w:val="TableFormat"/>
    <w:basedOn w:val="Bullet"/>
    <w:rsid w:val="00BF6537"/>
    <w:pPr>
      <w:tabs>
        <w:tab w:val="clear" w:pos="2160"/>
        <w:tab w:val="left" w:pos="5040"/>
      </w:tabs>
      <w:ind w:left="5040" w:hanging="3600"/>
    </w:pPr>
  </w:style>
  <w:style w:type="paragraph" w:customStyle="1" w:styleId="TOCTitle">
    <w:name w:val="TOC Title"/>
    <w:basedOn w:val="Normal"/>
    <w:rsid w:val="00BF653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F6537"/>
    <w:pPr>
      <w:jc w:val="center"/>
    </w:pPr>
    <w:rPr>
      <w:rFonts w:ascii="Times New Roman Bold" w:hAnsi="Times New Roman Bold"/>
      <w:b/>
      <w:bCs/>
      <w:caps/>
      <w:szCs w:val="22"/>
    </w:rPr>
  </w:style>
  <w:style w:type="character" w:styleId="Hyperlink">
    <w:name w:val="Hyperlink"/>
    <w:rsid w:val="00BF6537"/>
    <w:rPr>
      <w:color w:val="0000FF"/>
      <w:u w:val="single"/>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link w:val="FootnoteText"/>
    <w:locked/>
    <w:rsid w:val="00675D8F"/>
  </w:style>
  <w:style w:type="character" w:customStyle="1" w:styleId="ParaNumChar">
    <w:name w:val="ParaNum Char"/>
    <w:link w:val="ParaNum"/>
    <w:locked/>
    <w:rsid w:val="00675D8F"/>
    <w:rPr>
      <w:snapToGrid w:val="0"/>
      <w:kern w:val="28"/>
      <w:sz w:val="22"/>
    </w:rPr>
  </w:style>
  <w:style w:type="character" w:customStyle="1" w:styleId="Heading1Char">
    <w:name w:val="Heading 1 Char"/>
    <w:link w:val="Heading1"/>
    <w:locked/>
    <w:rsid w:val="00675D8F"/>
    <w:rPr>
      <w:rFonts w:ascii="Times New Roman Bold" w:hAnsi="Times New Roman Bold"/>
      <w:b/>
      <w:caps/>
      <w:snapToGrid w:val="0"/>
      <w:kern w:val="28"/>
      <w:sz w:val="22"/>
    </w:rPr>
  </w:style>
  <w:style w:type="paragraph" w:customStyle="1" w:styleId="par1">
    <w:name w:val="par1"/>
    <w:basedOn w:val="Normal"/>
    <w:link w:val="par1Char"/>
    <w:uiPriority w:val="99"/>
    <w:rsid w:val="00675D8F"/>
    <w:pPr>
      <w:numPr>
        <w:numId w:val="9"/>
      </w:numPr>
      <w:tabs>
        <w:tab w:val="num" w:pos="900"/>
        <w:tab w:val="left" w:pos="1440"/>
      </w:tabs>
      <w:ind w:left="-180" w:firstLine="720"/>
    </w:pPr>
    <w:rPr>
      <w:snapToGrid/>
      <w:sz w:val="20"/>
    </w:rPr>
  </w:style>
  <w:style w:type="character" w:customStyle="1" w:styleId="par1Char">
    <w:name w:val="par1 Char"/>
    <w:link w:val="par1"/>
    <w:uiPriority w:val="99"/>
    <w:locked/>
    <w:rsid w:val="00675D8F"/>
    <w:rPr>
      <w:kern w:val="28"/>
    </w:rPr>
  </w:style>
  <w:style w:type="character" w:styleId="CommentReference">
    <w:name w:val="annotation reference"/>
    <w:rsid w:val="00244DE7"/>
    <w:rPr>
      <w:sz w:val="16"/>
      <w:szCs w:val="16"/>
    </w:rPr>
  </w:style>
  <w:style w:type="paragraph" w:styleId="CommentText">
    <w:name w:val="annotation text"/>
    <w:basedOn w:val="Normal"/>
    <w:link w:val="CommentTextChar"/>
    <w:rsid w:val="00244DE7"/>
    <w:rPr>
      <w:sz w:val="20"/>
    </w:rPr>
  </w:style>
  <w:style w:type="character" w:customStyle="1" w:styleId="CommentTextChar">
    <w:name w:val="Comment Text Char"/>
    <w:link w:val="CommentText"/>
    <w:rsid w:val="00244DE7"/>
    <w:rPr>
      <w:snapToGrid w:val="0"/>
      <w:kern w:val="28"/>
    </w:rPr>
  </w:style>
  <w:style w:type="paragraph" w:styleId="CommentSubject">
    <w:name w:val="annotation subject"/>
    <w:basedOn w:val="CommentText"/>
    <w:next w:val="CommentText"/>
    <w:link w:val="CommentSubjectChar"/>
    <w:rsid w:val="00244DE7"/>
    <w:rPr>
      <w:b/>
      <w:bCs/>
    </w:rPr>
  </w:style>
  <w:style w:type="character" w:customStyle="1" w:styleId="CommentSubjectChar">
    <w:name w:val="Comment Subject Char"/>
    <w:link w:val="CommentSubject"/>
    <w:rsid w:val="00244DE7"/>
    <w:rPr>
      <w:b/>
      <w:bCs/>
      <w:snapToGrid w:val="0"/>
      <w:kern w:val="28"/>
    </w:rPr>
  </w:style>
  <w:style w:type="paragraph" w:styleId="BalloonText">
    <w:name w:val="Balloon Text"/>
    <w:basedOn w:val="Normal"/>
    <w:link w:val="BalloonTextChar"/>
    <w:rsid w:val="00244DE7"/>
    <w:rPr>
      <w:rFonts w:ascii="Segoe UI" w:hAnsi="Segoe UI" w:cs="Segoe UI"/>
      <w:sz w:val="18"/>
      <w:szCs w:val="18"/>
    </w:rPr>
  </w:style>
  <w:style w:type="character" w:customStyle="1" w:styleId="BalloonTextChar">
    <w:name w:val="Balloon Text Char"/>
    <w:link w:val="BalloonText"/>
    <w:rsid w:val="00244DE7"/>
    <w:rPr>
      <w:rFonts w:ascii="Segoe UI" w:hAnsi="Segoe UI" w:cs="Segoe UI"/>
      <w:snapToGrid w:val="0"/>
      <w:kern w:val="28"/>
      <w:sz w:val="18"/>
      <w:szCs w:val="18"/>
    </w:rPr>
  </w:style>
  <w:style w:type="character" w:customStyle="1" w:styleId="Mention">
    <w:name w:val="Mention"/>
    <w:uiPriority w:val="99"/>
    <w:semiHidden/>
    <w:unhideWhenUsed/>
    <w:rsid w:val="00054465"/>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gibson@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INQUIRIES@fcc.gov" TargetMode="External"/><Relationship Id="rId4" Type="http://schemas.openxmlformats.org/officeDocument/2006/relationships/settings" Target="settings.xml"/><Relationship Id="rId9" Type="http://schemas.openxmlformats.org/officeDocument/2006/relationships/hyperlink" Target="mailto:field@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Form159/15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2028</Words>
  <Characters>10946</Characters>
  <Application>Microsoft Office Word</Application>
  <DocSecurity>0</DocSecurity>
  <Lines>177</Lines>
  <Paragraphs>48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13013</CharactersWithSpaces>
  <SharedDoc>false</SharedDoc>
  <HyperlinkBase> </HyperlinkBase>
  <HLinks>
    <vt:vector size="24" baseType="variant">
      <vt:variant>
        <vt:i4>8126550</vt:i4>
      </vt:variant>
      <vt:variant>
        <vt:i4>10</vt:i4>
      </vt:variant>
      <vt:variant>
        <vt:i4>0</vt:i4>
      </vt:variant>
      <vt:variant>
        <vt:i4>5</vt:i4>
      </vt:variant>
      <vt:variant>
        <vt:lpwstr>mailto:ARINQUIRIES@fcc.gov</vt:lpwstr>
      </vt:variant>
      <vt:variant>
        <vt:lpwstr/>
      </vt:variant>
      <vt:variant>
        <vt:i4>3276871</vt:i4>
      </vt:variant>
      <vt:variant>
        <vt:i4>7</vt:i4>
      </vt:variant>
      <vt:variant>
        <vt:i4>0</vt:i4>
      </vt:variant>
      <vt:variant>
        <vt:i4>5</vt:i4>
      </vt:variant>
      <vt:variant>
        <vt:lpwstr>mailto:WR-Response@fcc.gov</vt:lpwstr>
      </vt:variant>
      <vt:variant>
        <vt:lpwstr/>
      </vt:variant>
      <vt:variant>
        <vt:i4>7077890</vt:i4>
      </vt:variant>
      <vt:variant>
        <vt:i4>4</vt:i4>
      </vt:variant>
      <vt:variant>
        <vt:i4>0</vt:i4>
      </vt:variant>
      <vt:variant>
        <vt:i4>5</vt:i4>
      </vt:variant>
      <vt:variant>
        <vt:lpwstr>mailto:matthew.gibson@fcc.gov</vt:lpwstr>
      </vt:variant>
      <vt:variant>
        <vt:lpwstr/>
      </vt:variant>
      <vt:variant>
        <vt:i4>5898263</vt:i4>
      </vt:variant>
      <vt:variant>
        <vt:i4>0</vt:i4>
      </vt:variant>
      <vt:variant>
        <vt:i4>0</vt:i4>
      </vt:variant>
      <vt:variant>
        <vt:i4>5</vt:i4>
      </vt:variant>
      <vt:variant>
        <vt:lpwstr>http://www.fcc.gov/Forms/Form159/159.pdf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2017-10-06T21:37:00Z</dcterms:created>
  <dcterms:modified xsi:type="dcterms:W3CDTF">2017-10-06T21:37:00Z</dcterms:modified>
  <cp:category> </cp:category>
  <cp:contentStatus> </cp:contentStatus>
</cp:coreProperties>
</file>