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C3B74" w14:textId="77777777" w:rsidR="00723396" w:rsidRPr="00661A46" w:rsidRDefault="00C50486">
      <w:pPr>
        <w:jc w:val="center"/>
        <w:rPr>
          <w:b/>
          <w:szCs w:val="22"/>
        </w:rPr>
      </w:pPr>
      <w:bookmarkStart w:id="0" w:name="_GoBack"/>
      <w:bookmarkEnd w:id="0"/>
      <w:r w:rsidRPr="00661A46">
        <w:rPr>
          <w:b/>
          <w:szCs w:val="22"/>
        </w:rPr>
        <w:t>Before the</w:t>
      </w:r>
    </w:p>
    <w:p w14:paraId="1E4193FB" w14:textId="77777777" w:rsidR="00723396" w:rsidRPr="00661A46" w:rsidRDefault="00C50486">
      <w:pPr>
        <w:jc w:val="center"/>
        <w:rPr>
          <w:b/>
          <w:szCs w:val="22"/>
        </w:rPr>
      </w:pPr>
      <w:r w:rsidRPr="00661A46">
        <w:rPr>
          <w:b/>
          <w:szCs w:val="22"/>
        </w:rPr>
        <w:t>Federal Communications Commission</w:t>
      </w:r>
    </w:p>
    <w:p w14:paraId="54D6B88F" w14:textId="77777777" w:rsidR="00723396" w:rsidRPr="00661A46" w:rsidRDefault="00C50486" w:rsidP="00C0579F">
      <w:pPr>
        <w:jc w:val="center"/>
        <w:rPr>
          <w:b/>
          <w:szCs w:val="22"/>
        </w:rPr>
      </w:pPr>
      <w:r w:rsidRPr="00661A46">
        <w:rPr>
          <w:b/>
          <w:szCs w:val="22"/>
        </w:rPr>
        <w:t>Washington, D.C. 20554</w:t>
      </w:r>
    </w:p>
    <w:p w14:paraId="4C731E84" w14:textId="77777777" w:rsidR="00723396" w:rsidRPr="00661A46" w:rsidRDefault="00723396">
      <w:pPr>
        <w:rPr>
          <w:szCs w:val="22"/>
        </w:rPr>
      </w:pPr>
    </w:p>
    <w:p w14:paraId="77667C40" w14:textId="77777777" w:rsidR="00723396" w:rsidRPr="00661A46" w:rsidRDefault="00723396">
      <w:pPr>
        <w:rPr>
          <w:szCs w:val="22"/>
        </w:rPr>
      </w:pPr>
    </w:p>
    <w:tbl>
      <w:tblPr>
        <w:tblW w:w="0" w:type="auto"/>
        <w:tblLayout w:type="fixed"/>
        <w:tblLook w:val="0000" w:firstRow="0" w:lastRow="0" w:firstColumn="0" w:lastColumn="0" w:noHBand="0" w:noVBand="0"/>
      </w:tblPr>
      <w:tblGrid>
        <w:gridCol w:w="4698"/>
        <w:gridCol w:w="720"/>
        <w:gridCol w:w="4230"/>
      </w:tblGrid>
      <w:tr w:rsidR="00723396" w:rsidRPr="00661A46" w14:paraId="5ABCD1F8" w14:textId="77777777">
        <w:tc>
          <w:tcPr>
            <w:tcW w:w="4698" w:type="dxa"/>
          </w:tcPr>
          <w:p w14:paraId="31B99C56" w14:textId="77777777" w:rsidR="00723396" w:rsidRPr="00661A46" w:rsidRDefault="00C50486">
            <w:pPr>
              <w:ind w:right="-18"/>
              <w:rPr>
                <w:szCs w:val="22"/>
              </w:rPr>
            </w:pPr>
            <w:r w:rsidRPr="00661A46">
              <w:rPr>
                <w:szCs w:val="22"/>
              </w:rPr>
              <w:t xml:space="preserve">In the </w:t>
            </w:r>
            <w:r w:rsidR="00ED38AC" w:rsidRPr="00661A46">
              <w:rPr>
                <w:szCs w:val="22"/>
              </w:rPr>
              <w:t>M</w:t>
            </w:r>
            <w:r w:rsidRPr="00661A46">
              <w:rPr>
                <w:szCs w:val="22"/>
              </w:rPr>
              <w:t>atter of</w:t>
            </w:r>
          </w:p>
          <w:p w14:paraId="38AF5719" w14:textId="77777777" w:rsidR="00DB340F" w:rsidRPr="00661A46" w:rsidRDefault="00DB340F">
            <w:pPr>
              <w:ind w:right="-18"/>
              <w:rPr>
                <w:szCs w:val="22"/>
              </w:rPr>
            </w:pPr>
          </w:p>
          <w:p w14:paraId="39AD3B57" w14:textId="77777777" w:rsidR="00723396" w:rsidRPr="00661A46" w:rsidRDefault="00DB340F">
            <w:pPr>
              <w:ind w:right="-18"/>
              <w:rPr>
                <w:szCs w:val="22"/>
              </w:rPr>
            </w:pPr>
            <w:r w:rsidRPr="00661A46">
              <w:rPr>
                <w:szCs w:val="22"/>
              </w:rPr>
              <w:t>TerreStar Corporation Request for Temporary</w:t>
            </w:r>
          </w:p>
          <w:p w14:paraId="45CA499A" w14:textId="77777777" w:rsidR="00723396" w:rsidRDefault="00DB340F">
            <w:pPr>
              <w:ind w:right="-18"/>
              <w:rPr>
                <w:szCs w:val="22"/>
              </w:rPr>
            </w:pPr>
            <w:r w:rsidRPr="00661A46">
              <w:rPr>
                <w:szCs w:val="22"/>
              </w:rPr>
              <w:t>Waiver of S</w:t>
            </w:r>
            <w:r w:rsidR="00661A46">
              <w:rPr>
                <w:szCs w:val="22"/>
              </w:rPr>
              <w:t>ubstantial Service Requirements</w:t>
            </w:r>
          </w:p>
          <w:p w14:paraId="7C768058" w14:textId="77777777" w:rsidR="001E3C31" w:rsidRPr="00661A46" w:rsidRDefault="001E3C31">
            <w:pPr>
              <w:ind w:right="-18"/>
              <w:rPr>
                <w:szCs w:val="22"/>
              </w:rPr>
            </w:pPr>
            <w:r>
              <w:rPr>
                <w:szCs w:val="22"/>
              </w:rPr>
              <w:t>for 1.4 GHz Licenses</w:t>
            </w:r>
          </w:p>
          <w:p w14:paraId="6926A348" w14:textId="77777777" w:rsidR="00DB340F" w:rsidRPr="00661A46" w:rsidRDefault="00DB340F">
            <w:pPr>
              <w:ind w:right="-18"/>
              <w:rPr>
                <w:szCs w:val="22"/>
              </w:rPr>
            </w:pPr>
          </w:p>
        </w:tc>
        <w:tc>
          <w:tcPr>
            <w:tcW w:w="720" w:type="dxa"/>
          </w:tcPr>
          <w:p w14:paraId="0A52EFFB" w14:textId="77777777" w:rsidR="00723396" w:rsidRPr="00661A46" w:rsidRDefault="00C50486">
            <w:pPr>
              <w:rPr>
                <w:b/>
                <w:szCs w:val="22"/>
              </w:rPr>
            </w:pPr>
            <w:r w:rsidRPr="00661A46">
              <w:rPr>
                <w:b/>
                <w:szCs w:val="22"/>
              </w:rPr>
              <w:t>)</w:t>
            </w:r>
          </w:p>
          <w:p w14:paraId="2ACD1619" w14:textId="77777777" w:rsidR="00723396" w:rsidRPr="00661A46" w:rsidRDefault="00C50486">
            <w:pPr>
              <w:rPr>
                <w:b/>
                <w:szCs w:val="22"/>
              </w:rPr>
            </w:pPr>
            <w:r w:rsidRPr="00661A46">
              <w:rPr>
                <w:b/>
                <w:szCs w:val="22"/>
              </w:rPr>
              <w:t>)</w:t>
            </w:r>
          </w:p>
          <w:p w14:paraId="18D5937A" w14:textId="77777777" w:rsidR="00723396" w:rsidRPr="00661A46" w:rsidRDefault="00C50486">
            <w:pPr>
              <w:rPr>
                <w:b/>
                <w:szCs w:val="22"/>
              </w:rPr>
            </w:pPr>
            <w:r w:rsidRPr="00661A46">
              <w:rPr>
                <w:b/>
                <w:szCs w:val="22"/>
              </w:rPr>
              <w:t>)</w:t>
            </w:r>
          </w:p>
          <w:p w14:paraId="5487735B" w14:textId="77777777" w:rsidR="00723396" w:rsidRPr="00661A46" w:rsidRDefault="00C50486">
            <w:pPr>
              <w:rPr>
                <w:b/>
                <w:szCs w:val="22"/>
              </w:rPr>
            </w:pPr>
            <w:r w:rsidRPr="00661A46">
              <w:rPr>
                <w:b/>
                <w:szCs w:val="22"/>
              </w:rPr>
              <w:t>)</w:t>
            </w:r>
          </w:p>
          <w:p w14:paraId="6B614133" w14:textId="77777777" w:rsidR="00723396" w:rsidRPr="00661A46" w:rsidRDefault="00C50486" w:rsidP="007710F2">
            <w:pPr>
              <w:rPr>
                <w:b/>
                <w:szCs w:val="22"/>
              </w:rPr>
            </w:pPr>
            <w:r w:rsidRPr="00661A46">
              <w:rPr>
                <w:b/>
                <w:szCs w:val="22"/>
              </w:rPr>
              <w:t>)</w:t>
            </w:r>
          </w:p>
        </w:tc>
        <w:tc>
          <w:tcPr>
            <w:tcW w:w="4230" w:type="dxa"/>
          </w:tcPr>
          <w:p w14:paraId="0D0F24E3" w14:textId="77777777" w:rsidR="00723396" w:rsidRPr="00661A46" w:rsidRDefault="00723396">
            <w:pPr>
              <w:rPr>
                <w:szCs w:val="22"/>
              </w:rPr>
            </w:pPr>
          </w:p>
          <w:p w14:paraId="1906C68C" w14:textId="77777777" w:rsidR="00723396" w:rsidRPr="00661A46" w:rsidRDefault="00723396">
            <w:pPr>
              <w:rPr>
                <w:szCs w:val="22"/>
              </w:rPr>
            </w:pPr>
          </w:p>
          <w:p w14:paraId="33FBB789" w14:textId="77777777" w:rsidR="00723396" w:rsidRPr="00661A46" w:rsidRDefault="00BA625A" w:rsidP="003C0461">
            <w:pPr>
              <w:rPr>
                <w:szCs w:val="22"/>
              </w:rPr>
            </w:pPr>
            <w:r>
              <w:rPr>
                <w:spacing w:val="-2"/>
                <w:szCs w:val="22"/>
              </w:rPr>
              <w:t xml:space="preserve">WT Docket No. </w:t>
            </w:r>
            <w:r w:rsidR="003C0461">
              <w:rPr>
                <w:spacing w:val="-2"/>
                <w:szCs w:val="22"/>
              </w:rPr>
              <w:t>16-290</w:t>
            </w:r>
          </w:p>
        </w:tc>
      </w:tr>
    </w:tbl>
    <w:p w14:paraId="18CFF0B6" w14:textId="77777777" w:rsidR="00723396" w:rsidRPr="00661A46" w:rsidRDefault="00723396" w:rsidP="00345C2B">
      <w:pPr>
        <w:spacing w:after="120"/>
        <w:rPr>
          <w:szCs w:val="22"/>
        </w:rPr>
      </w:pPr>
    </w:p>
    <w:p w14:paraId="7C5232E1" w14:textId="77777777" w:rsidR="00DB340F" w:rsidRPr="00661A46" w:rsidRDefault="00DB340F" w:rsidP="00DB34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s>
        <w:jc w:val="center"/>
        <w:rPr>
          <w:b/>
          <w:caps/>
          <w:szCs w:val="22"/>
        </w:rPr>
      </w:pPr>
      <w:r w:rsidRPr="00661A46">
        <w:rPr>
          <w:b/>
          <w:caps/>
          <w:szCs w:val="22"/>
        </w:rPr>
        <w:t>ORDER</w:t>
      </w:r>
    </w:p>
    <w:p w14:paraId="7876EDDA" w14:textId="77777777" w:rsidR="00DB340F" w:rsidRPr="00661A46" w:rsidRDefault="00DB340F" w:rsidP="00DB34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s>
        <w:jc w:val="center"/>
        <w:rPr>
          <w:b/>
          <w:caps/>
          <w:szCs w:val="22"/>
          <w:u w:val="single"/>
        </w:rPr>
      </w:pPr>
    </w:p>
    <w:p w14:paraId="058FB7D0" w14:textId="0071BCA1" w:rsidR="00CE2FF0" w:rsidRPr="00CE2FF0" w:rsidRDefault="00CE2FF0" w:rsidP="00CE2FF0">
      <w:pPr>
        <w:tabs>
          <w:tab w:val="left" w:pos="720"/>
          <w:tab w:val="right" w:pos="9360"/>
        </w:tabs>
        <w:suppressAutoHyphens/>
        <w:spacing w:line="227" w:lineRule="auto"/>
        <w:rPr>
          <w:spacing w:val="-2"/>
        </w:rPr>
      </w:pPr>
      <w:r w:rsidRPr="00CE2FF0">
        <w:rPr>
          <w:b/>
          <w:spacing w:val="-2"/>
        </w:rPr>
        <w:t xml:space="preserve">Adopted: </w:t>
      </w:r>
      <w:r w:rsidR="006E23EC">
        <w:rPr>
          <w:b/>
          <w:spacing w:val="-2"/>
        </w:rPr>
        <w:t>October 10, 2017</w:t>
      </w:r>
      <w:r w:rsidRPr="00CE2FF0">
        <w:rPr>
          <w:b/>
          <w:spacing w:val="-2"/>
        </w:rPr>
        <w:tab/>
        <w:t xml:space="preserve">Released:  </w:t>
      </w:r>
      <w:r w:rsidR="006E23EC">
        <w:rPr>
          <w:b/>
          <w:spacing w:val="-2"/>
        </w:rPr>
        <w:t>October 10, 2017</w:t>
      </w:r>
    </w:p>
    <w:p w14:paraId="758B6486" w14:textId="77777777" w:rsidR="00DB340F" w:rsidRPr="00661A46" w:rsidRDefault="00DB340F" w:rsidP="00DB340F">
      <w:pPr>
        <w:tabs>
          <w:tab w:val="left" w:pos="5760"/>
        </w:tabs>
        <w:jc w:val="both"/>
        <w:rPr>
          <w:b/>
          <w:szCs w:val="22"/>
        </w:rPr>
      </w:pPr>
    </w:p>
    <w:p w14:paraId="7F9C7132" w14:textId="77777777" w:rsidR="00CE2FF0" w:rsidRPr="00AD3268" w:rsidRDefault="00DB340F" w:rsidP="00DB340F">
      <w:pPr>
        <w:tabs>
          <w:tab w:val="left" w:pos="5760"/>
        </w:tabs>
        <w:spacing w:after="120"/>
        <w:rPr>
          <w:bCs/>
          <w:spacing w:val="-2"/>
          <w:szCs w:val="22"/>
        </w:rPr>
      </w:pPr>
      <w:r w:rsidRPr="00661A46">
        <w:rPr>
          <w:bCs/>
          <w:szCs w:val="22"/>
        </w:rPr>
        <w:t>By the Chief, Mobility Division, Wir</w:t>
      </w:r>
      <w:r w:rsidRPr="00661A46">
        <w:rPr>
          <w:bCs/>
          <w:spacing w:val="-2"/>
          <w:szCs w:val="22"/>
        </w:rPr>
        <w:t>eless Telecommunications Bureau</w:t>
      </w:r>
      <w:r w:rsidR="00CE2FF0">
        <w:rPr>
          <w:bCs/>
          <w:spacing w:val="-2"/>
          <w:szCs w:val="22"/>
        </w:rPr>
        <w:t>:</w:t>
      </w:r>
    </w:p>
    <w:p w14:paraId="2FAF8992" w14:textId="77777777" w:rsidR="006B206C" w:rsidRPr="00661A46" w:rsidRDefault="006B206C" w:rsidP="00C0579F">
      <w:pPr>
        <w:pStyle w:val="Heading1"/>
        <w:rPr>
          <w:szCs w:val="22"/>
        </w:rPr>
      </w:pPr>
      <w:r w:rsidRPr="00661A46">
        <w:rPr>
          <w:szCs w:val="22"/>
        </w:rPr>
        <w:t>introduction</w:t>
      </w:r>
    </w:p>
    <w:p w14:paraId="7C3D69FF" w14:textId="1AAF80C5" w:rsidR="006B206C" w:rsidRPr="00D759D5" w:rsidRDefault="003C527C" w:rsidP="00D630DE">
      <w:pPr>
        <w:pStyle w:val="ParaNum"/>
        <w:rPr>
          <w:szCs w:val="22"/>
        </w:rPr>
      </w:pPr>
      <w:r w:rsidRPr="00661A46">
        <w:rPr>
          <w:szCs w:val="22"/>
        </w:rPr>
        <w:t xml:space="preserve">In this Order, </w:t>
      </w:r>
      <w:r w:rsidR="00977981">
        <w:rPr>
          <w:szCs w:val="22"/>
        </w:rPr>
        <w:t>we</w:t>
      </w:r>
      <w:r w:rsidRPr="00661A46">
        <w:rPr>
          <w:szCs w:val="22"/>
        </w:rPr>
        <w:t xml:space="preserve"> </w:t>
      </w:r>
      <w:r w:rsidR="00977981">
        <w:rPr>
          <w:szCs w:val="22"/>
        </w:rPr>
        <w:t>deny</w:t>
      </w:r>
      <w:r w:rsidR="00977981" w:rsidRPr="00661A46">
        <w:rPr>
          <w:szCs w:val="22"/>
        </w:rPr>
        <w:t xml:space="preserve"> </w:t>
      </w:r>
      <w:r w:rsidRPr="00661A46">
        <w:rPr>
          <w:szCs w:val="22"/>
        </w:rPr>
        <w:t xml:space="preserve">the </w:t>
      </w:r>
      <w:r w:rsidR="00977981">
        <w:rPr>
          <w:szCs w:val="22"/>
        </w:rPr>
        <w:t>Waiver R</w:t>
      </w:r>
      <w:r w:rsidR="006A5B09" w:rsidRPr="00661A46">
        <w:rPr>
          <w:szCs w:val="22"/>
        </w:rPr>
        <w:t xml:space="preserve">equest </w:t>
      </w:r>
      <w:r w:rsidRPr="00661A46">
        <w:rPr>
          <w:szCs w:val="22"/>
        </w:rPr>
        <w:t xml:space="preserve">filed by </w:t>
      </w:r>
      <w:r w:rsidR="006A5B09" w:rsidRPr="00661A46">
        <w:rPr>
          <w:szCs w:val="22"/>
        </w:rPr>
        <w:t>TerreStar Corporation (TerreStar)</w:t>
      </w:r>
      <w:r w:rsidRPr="00661A46">
        <w:rPr>
          <w:szCs w:val="22"/>
        </w:rPr>
        <w:t xml:space="preserve"> </w:t>
      </w:r>
      <w:r w:rsidR="00D759D5">
        <w:rPr>
          <w:szCs w:val="22"/>
        </w:rPr>
        <w:t>regarding</w:t>
      </w:r>
      <w:r w:rsidR="006A5B09" w:rsidRPr="00661A46">
        <w:rPr>
          <w:szCs w:val="22"/>
        </w:rPr>
        <w:t xml:space="preserve"> </w:t>
      </w:r>
      <w:r w:rsidRPr="00661A46">
        <w:rPr>
          <w:szCs w:val="22"/>
        </w:rPr>
        <w:t>its</w:t>
      </w:r>
      <w:r w:rsidR="006E5623">
        <w:rPr>
          <w:szCs w:val="22"/>
        </w:rPr>
        <w:t xml:space="preserve"> </w:t>
      </w:r>
      <w:r w:rsidR="006E5623" w:rsidRPr="00661A46">
        <w:rPr>
          <w:szCs w:val="22"/>
        </w:rPr>
        <w:t>licenses</w:t>
      </w:r>
      <w:r w:rsidR="006E5623">
        <w:rPr>
          <w:szCs w:val="22"/>
        </w:rPr>
        <w:t xml:space="preserve"> in the </w:t>
      </w:r>
      <w:r w:rsidR="00E32B49">
        <w:rPr>
          <w:szCs w:val="22"/>
        </w:rPr>
        <w:t xml:space="preserve">paired </w:t>
      </w:r>
      <w:r w:rsidR="006E5623">
        <w:rPr>
          <w:szCs w:val="22"/>
        </w:rPr>
        <w:t xml:space="preserve">1392-1395 MHz and 1432-1435 MHz </w:t>
      </w:r>
      <w:r w:rsidR="00E32B49">
        <w:rPr>
          <w:szCs w:val="22"/>
        </w:rPr>
        <w:t>band</w:t>
      </w:r>
      <w:r w:rsidR="006E5623">
        <w:rPr>
          <w:szCs w:val="22"/>
        </w:rPr>
        <w:t>s</w:t>
      </w:r>
      <w:r w:rsidR="00E32B49">
        <w:rPr>
          <w:szCs w:val="22"/>
        </w:rPr>
        <w:t xml:space="preserve"> and unpaired </w:t>
      </w:r>
      <w:r w:rsidR="006E5623" w:rsidRPr="00661A46">
        <w:rPr>
          <w:szCs w:val="22"/>
        </w:rPr>
        <w:t>1390-</w:t>
      </w:r>
      <w:r w:rsidR="006E5623">
        <w:rPr>
          <w:szCs w:val="22"/>
        </w:rPr>
        <w:t xml:space="preserve">1392 MHz band </w:t>
      </w:r>
      <w:r w:rsidR="00E32B49">
        <w:rPr>
          <w:szCs w:val="22"/>
        </w:rPr>
        <w:t>(</w:t>
      </w:r>
      <w:r w:rsidR="006E5623">
        <w:rPr>
          <w:szCs w:val="22"/>
        </w:rPr>
        <w:t xml:space="preserve">collectively, </w:t>
      </w:r>
      <w:r w:rsidR="006E5623" w:rsidRPr="00661A46">
        <w:rPr>
          <w:szCs w:val="22"/>
        </w:rPr>
        <w:t>the 1.4 GHz Band</w:t>
      </w:r>
      <w:r w:rsidR="006E5623">
        <w:rPr>
          <w:szCs w:val="22"/>
        </w:rPr>
        <w:t>)</w:t>
      </w:r>
      <w:r w:rsidR="00A26B5C" w:rsidRPr="00661A46">
        <w:rPr>
          <w:szCs w:val="22"/>
        </w:rPr>
        <w:t>.</w:t>
      </w:r>
      <w:r w:rsidR="006A5B09" w:rsidRPr="00661A46">
        <w:rPr>
          <w:rStyle w:val="FootnoteReference"/>
          <w:szCs w:val="22"/>
        </w:rPr>
        <w:footnoteReference w:id="2"/>
      </w:r>
      <w:r w:rsidR="006A5B09" w:rsidRPr="00661A46">
        <w:rPr>
          <w:szCs w:val="22"/>
        </w:rPr>
        <w:t xml:space="preserve"> </w:t>
      </w:r>
      <w:r w:rsidR="00A26B5C" w:rsidRPr="00661A46">
        <w:rPr>
          <w:szCs w:val="22"/>
        </w:rPr>
        <w:t xml:space="preserve"> </w:t>
      </w:r>
      <w:r w:rsidR="00360ACA" w:rsidRPr="00661A46">
        <w:rPr>
          <w:szCs w:val="22"/>
        </w:rPr>
        <w:t>TerreStar</w:t>
      </w:r>
      <w:r w:rsidR="006E5623">
        <w:rPr>
          <w:szCs w:val="22"/>
        </w:rPr>
        <w:t xml:space="preserve"> </w:t>
      </w:r>
      <w:r w:rsidR="001E3C31">
        <w:rPr>
          <w:szCs w:val="22"/>
        </w:rPr>
        <w:t xml:space="preserve">asks the Commission </w:t>
      </w:r>
      <w:r w:rsidR="001E3C31" w:rsidRPr="005D0A14">
        <w:rPr>
          <w:szCs w:val="22"/>
        </w:rPr>
        <w:t>to waive</w:t>
      </w:r>
      <w:r w:rsidR="00BD5254">
        <w:rPr>
          <w:szCs w:val="22"/>
        </w:rPr>
        <w:t>,</w:t>
      </w:r>
      <w:r w:rsidR="00D759D5" w:rsidRPr="005D0A14">
        <w:rPr>
          <w:szCs w:val="22"/>
        </w:rPr>
        <w:t xml:space="preserve"> until April 23, 202</w:t>
      </w:r>
      <w:r w:rsidR="001F62BC" w:rsidRPr="005D0A14">
        <w:rPr>
          <w:szCs w:val="22"/>
        </w:rPr>
        <w:t>0</w:t>
      </w:r>
      <w:r w:rsidR="00D759D5" w:rsidRPr="005D0A14">
        <w:rPr>
          <w:szCs w:val="22"/>
        </w:rPr>
        <w:t>,</w:t>
      </w:r>
      <w:r w:rsidR="001E3C31" w:rsidRPr="005D0A14">
        <w:rPr>
          <w:szCs w:val="22"/>
        </w:rPr>
        <w:t xml:space="preserve"> the</w:t>
      </w:r>
      <w:r w:rsidR="00AF7A88" w:rsidRPr="005D0A14">
        <w:rPr>
          <w:szCs w:val="22"/>
        </w:rPr>
        <w:t xml:space="preserve"> </w:t>
      </w:r>
      <w:r w:rsidR="0042770D" w:rsidRPr="005D0A14">
        <w:rPr>
          <w:szCs w:val="22"/>
        </w:rPr>
        <w:t>requirement</w:t>
      </w:r>
      <w:r w:rsidR="00D759D5" w:rsidRPr="005D0A14">
        <w:rPr>
          <w:szCs w:val="22"/>
        </w:rPr>
        <w:t xml:space="preserve"> in Section 27.14(a) of the Commission’s rules</w:t>
      </w:r>
      <w:r w:rsidR="00D759D5" w:rsidRPr="005D0A14">
        <w:rPr>
          <w:rStyle w:val="FootnoteReference"/>
          <w:szCs w:val="22"/>
        </w:rPr>
        <w:footnoteReference w:id="3"/>
      </w:r>
      <w:r w:rsidR="0042770D" w:rsidRPr="005D0A14">
        <w:rPr>
          <w:szCs w:val="22"/>
        </w:rPr>
        <w:t xml:space="preserve"> that it </w:t>
      </w:r>
      <w:r w:rsidR="00D759D5" w:rsidRPr="005D0A14">
        <w:rPr>
          <w:szCs w:val="22"/>
        </w:rPr>
        <w:t>demonstrate substantial service</w:t>
      </w:r>
      <w:r w:rsidR="001F62BC" w:rsidRPr="005D0A14">
        <w:rPr>
          <w:szCs w:val="22"/>
        </w:rPr>
        <w:t xml:space="preserve"> </w:t>
      </w:r>
      <w:r w:rsidR="0042770D" w:rsidRPr="005D0A14">
        <w:rPr>
          <w:szCs w:val="22"/>
        </w:rPr>
        <w:t>with respect to</w:t>
      </w:r>
      <w:r w:rsidR="00360ACA" w:rsidRPr="005D0A14">
        <w:rPr>
          <w:szCs w:val="22"/>
        </w:rPr>
        <w:t xml:space="preserve"> all of its </w:t>
      </w:r>
      <w:r w:rsidR="001E3C31" w:rsidRPr="005D0A14">
        <w:rPr>
          <w:szCs w:val="22"/>
        </w:rPr>
        <w:t xml:space="preserve">1.4 GHz </w:t>
      </w:r>
      <w:r w:rsidR="00360ACA" w:rsidRPr="005D0A14">
        <w:rPr>
          <w:szCs w:val="22"/>
        </w:rPr>
        <w:t>licenses</w:t>
      </w:r>
      <w:r w:rsidR="00204345" w:rsidRPr="005D0A14">
        <w:rPr>
          <w:szCs w:val="22"/>
        </w:rPr>
        <w:t xml:space="preserve"> by April 23, 2017</w:t>
      </w:r>
      <w:r w:rsidR="00360ACA" w:rsidRPr="005D0A14">
        <w:rPr>
          <w:szCs w:val="22"/>
        </w:rPr>
        <w:t xml:space="preserve">.  </w:t>
      </w:r>
      <w:r w:rsidR="00846028" w:rsidRPr="005D0A14">
        <w:rPr>
          <w:szCs w:val="22"/>
        </w:rPr>
        <w:t>For the reasons discussed below</w:t>
      </w:r>
      <w:r w:rsidR="00183709" w:rsidRPr="005D0A14">
        <w:rPr>
          <w:szCs w:val="22"/>
        </w:rPr>
        <w:t xml:space="preserve">, we </w:t>
      </w:r>
      <w:r w:rsidR="00395C6B" w:rsidRPr="005D0A14">
        <w:rPr>
          <w:szCs w:val="22"/>
        </w:rPr>
        <w:t>deny</w:t>
      </w:r>
      <w:r w:rsidR="00D759D5" w:rsidRPr="005D0A14">
        <w:rPr>
          <w:szCs w:val="22"/>
        </w:rPr>
        <w:t xml:space="preserve"> TerreStar’s </w:t>
      </w:r>
      <w:r w:rsidR="00395C6B" w:rsidRPr="005D0A14">
        <w:rPr>
          <w:szCs w:val="22"/>
        </w:rPr>
        <w:t>request</w:t>
      </w:r>
      <w:r w:rsidR="00D759D5" w:rsidRPr="005D0A14">
        <w:rPr>
          <w:szCs w:val="22"/>
        </w:rPr>
        <w:t>.</w:t>
      </w:r>
      <w:r w:rsidR="00D759D5" w:rsidRPr="00D759D5">
        <w:rPr>
          <w:szCs w:val="22"/>
        </w:rPr>
        <w:t xml:space="preserve">   </w:t>
      </w:r>
    </w:p>
    <w:p w14:paraId="5B18522C" w14:textId="77777777" w:rsidR="00C0579F" w:rsidRPr="00661A46" w:rsidRDefault="006A5B09" w:rsidP="00C0579F">
      <w:pPr>
        <w:pStyle w:val="Heading1"/>
        <w:rPr>
          <w:szCs w:val="22"/>
        </w:rPr>
      </w:pPr>
      <w:r w:rsidRPr="00661A46">
        <w:rPr>
          <w:szCs w:val="22"/>
        </w:rPr>
        <w:t>Background</w:t>
      </w:r>
    </w:p>
    <w:p w14:paraId="4F15499C" w14:textId="7A7AF034" w:rsidR="00661A46" w:rsidRDefault="00846028" w:rsidP="00661A46">
      <w:pPr>
        <w:pStyle w:val="ParaNum"/>
        <w:rPr>
          <w:szCs w:val="22"/>
        </w:rPr>
      </w:pPr>
      <w:r w:rsidRPr="00661A46">
        <w:rPr>
          <w:i/>
          <w:szCs w:val="22"/>
        </w:rPr>
        <w:t xml:space="preserve">1.4 GHz Band.  </w:t>
      </w:r>
      <w:r w:rsidR="00A26B5C" w:rsidRPr="00661A46">
        <w:rPr>
          <w:szCs w:val="22"/>
        </w:rPr>
        <w:t>In 2002, the Commission</w:t>
      </w:r>
      <w:r w:rsidR="00483453">
        <w:rPr>
          <w:szCs w:val="22"/>
        </w:rPr>
        <w:t xml:space="preserve"> allocated </w:t>
      </w:r>
      <w:r w:rsidR="004A6D39">
        <w:rPr>
          <w:szCs w:val="22"/>
        </w:rPr>
        <w:t xml:space="preserve">certain </w:t>
      </w:r>
      <w:r w:rsidR="00483453">
        <w:rPr>
          <w:szCs w:val="22"/>
        </w:rPr>
        <w:t>spectrum</w:t>
      </w:r>
      <w:r w:rsidR="004A6D39">
        <w:rPr>
          <w:szCs w:val="22"/>
        </w:rPr>
        <w:t xml:space="preserve"> bands,</w:t>
      </w:r>
      <w:r w:rsidR="00483453">
        <w:rPr>
          <w:szCs w:val="22"/>
        </w:rPr>
        <w:t xml:space="preserve"> </w:t>
      </w:r>
      <w:r w:rsidR="004A6D39" w:rsidRPr="00661A46">
        <w:rPr>
          <w:szCs w:val="22"/>
        </w:rPr>
        <w:t xml:space="preserve">including </w:t>
      </w:r>
      <w:r w:rsidR="004A6D39">
        <w:rPr>
          <w:szCs w:val="22"/>
        </w:rPr>
        <w:t xml:space="preserve">spectrum in the 1.4 GHz Band, </w:t>
      </w:r>
      <w:r w:rsidR="00483453">
        <w:rPr>
          <w:szCs w:val="22"/>
        </w:rPr>
        <w:t>for non-Government use,</w:t>
      </w:r>
      <w:r w:rsidR="00A26B5C" w:rsidRPr="00661A46">
        <w:rPr>
          <w:szCs w:val="22"/>
        </w:rPr>
        <w:t xml:space="preserve"> </w:t>
      </w:r>
      <w:r w:rsidR="00483453">
        <w:rPr>
          <w:szCs w:val="22"/>
        </w:rPr>
        <w:t xml:space="preserve">thereby effectuating the </w:t>
      </w:r>
      <w:r w:rsidR="00A26B5C" w:rsidRPr="00661A46">
        <w:rPr>
          <w:szCs w:val="22"/>
        </w:rPr>
        <w:t>transfer</w:t>
      </w:r>
      <w:r w:rsidR="00661A46" w:rsidRPr="00661A46">
        <w:rPr>
          <w:szCs w:val="22"/>
        </w:rPr>
        <w:t xml:space="preserve"> of spectrum</w:t>
      </w:r>
      <w:r w:rsidR="000C57E5">
        <w:rPr>
          <w:szCs w:val="22"/>
        </w:rPr>
        <w:t xml:space="preserve"> from the </w:t>
      </w:r>
      <w:r w:rsidR="000C57E5" w:rsidRPr="00661A46">
        <w:rPr>
          <w:szCs w:val="22"/>
        </w:rPr>
        <w:t>Federal Government</w:t>
      </w:r>
      <w:r w:rsidR="004A6D39">
        <w:rPr>
          <w:szCs w:val="22"/>
        </w:rPr>
        <w:t xml:space="preserve"> pursuant to statutory requirements</w:t>
      </w:r>
      <w:r w:rsidR="001E14C5" w:rsidRPr="00661A46">
        <w:rPr>
          <w:szCs w:val="22"/>
        </w:rPr>
        <w:t>.</w:t>
      </w:r>
      <w:r w:rsidR="004A6D39">
        <w:rPr>
          <w:rStyle w:val="FootnoteReference"/>
          <w:szCs w:val="22"/>
        </w:rPr>
        <w:footnoteReference w:id="4"/>
      </w:r>
      <w:r w:rsidR="001E14C5" w:rsidRPr="00661A46">
        <w:rPr>
          <w:szCs w:val="22"/>
        </w:rPr>
        <w:t xml:space="preserve">  T</w:t>
      </w:r>
      <w:r w:rsidR="00B01735" w:rsidRPr="00661A46">
        <w:rPr>
          <w:szCs w:val="22"/>
        </w:rPr>
        <w:t xml:space="preserve">he Commission </w:t>
      </w:r>
      <w:r w:rsidR="00373063" w:rsidRPr="00661A46">
        <w:rPr>
          <w:szCs w:val="22"/>
        </w:rPr>
        <w:t xml:space="preserve">subsequently </w:t>
      </w:r>
      <w:r w:rsidR="00B01735" w:rsidRPr="00661A46">
        <w:rPr>
          <w:szCs w:val="22"/>
        </w:rPr>
        <w:t xml:space="preserve">established </w:t>
      </w:r>
      <w:r w:rsidR="001E14C5" w:rsidRPr="00661A46">
        <w:rPr>
          <w:szCs w:val="22"/>
        </w:rPr>
        <w:t>f</w:t>
      </w:r>
      <w:r w:rsidR="00B01735" w:rsidRPr="00661A46">
        <w:rPr>
          <w:szCs w:val="22"/>
        </w:rPr>
        <w:t xml:space="preserve">ixed and </w:t>
      </w:r>
      <w:r w:rsidR="001E14C5" w:rsidRPr="00661A46">
        <w:rPr>
          <w:szCs w:val="22"/>
        </w:rPr>
        <w:t>m</w:t>
      </w:r>
      <w:r w:rsidR="00B01735" w:rsidRPr="00661A46">
        <w:rPr>
          <w:szCs w:val="22"/>
        </w:rPr>
        <w:t xml:space="preserve">obile allocations for the </w:t>
      </w:r>
      <w:r w:rsidR="001E14C5" w:rsidRPr="00661A46">
        <w:rPr>
          <w:szCs w:val="22"/>
        </w:rPr>
        <w:t>1.4 GHz B</w:t>
      </w:r>
      <w:r w:rsidR="00373063" w:rsidRPr="00661A46">
        <w:rPr>
          <w:szCs w:val="22"/>
        </w:rPr>
        <w:t>and and</w:t>
      </w:r>
      <w:r w:rsidR="001E14C5" w:rsidRPr="00661A46">
        <w:rPr>
          <w:szCs w:val="22"/>
        </w:rPr>
        <w:t xml:space="preserve"> adopt</w:t>
      </w:r>
      <w:r w:rsidR="00B01735" w:rsidRPr="00661A46">
        <w:rPr>
          <w:szCs w:val="22"/>
        </w:rPr>
        <w:t>ed service rules.</w:t>
      </w:r>
      <w:r w:rsidR="00B01735" w:rsidRPr="00661A46">
        <w:rPr>
          <w:rStyle w:val="FootnoteReference"/>
          <w:szCs w:val="22"/>
        </w:rPr>
        <w:footnoteReference w:id="5"/>
      </w:r>
      <w:r w:rsidR="00B01735" w:rsidRPr="00661A46">
        <w:rPr>
          <w:szCs w:val="22"/>
        </w:rPr>
        <w:t xml:space="preserve">  </w:t>
      </w:r>
      <w:r w:rsidR="00A06ECA">
        <w:rPr>
          <w:szCs w:val="22"/>
        </w:rPr>
        <w:t xml:space="preserve">In taking this action, </w:t>
      </w:r>
      <w:r w:rsidR="00661A46">
        <w:rPr>
          <w:szCs w:val="22"/>
        </w:rPr>
        <w:t>the Commission</w:t>
      </w:r>
      <w:r w:rsidR="00B01735" w:rsidRPr="00661A46">
        <w:rPr>
          <w:szCs w:val="22"/>
        </w:rPr>
        <w:t xml:space="preserve"> </w:t>
      </w:r>
      <w:r w:rsidR="00A06ECA" w:rsidRPr="00A06ECA">
        <w:rPr>
          <w:szCs w:val="22"/>
        </w:rPr>
        <w:t xml:space="preserve">decided to license operations in the 1.4 GHz Band as a Part 27 Wireless Communications Service, thereby applying the basic </w:t>
      </w:r>
      <w:r w:rsidR="00887FF5">
        <w:rPr>
          <w:szCs w:val="22"/>
        </w:rPr>
        <w:t>technologically neutral</w:t>
      </w:r>
      <w:r w:rsidR="00887FF5" w:rsidRPr="00661A46">
        <w:rPr>
          <w:szCs w:val="22"/>
        </w:rPr>
        <w:t xml:space="preserve"> </w:t>
      </w:r>
      <w:r w:rsidR="00B01735" w:rsidRPr="00661A46">
        <w:rPr>
          <w:szCs w:val="22"/>
        </w:rPr>
        <w:t>regulatory and licensing framework</w:t>
      </w:r>
      <w:r w:rsidR="00A06ECA">
        <w:rPr>
          <w:szCs w:val="22"/>
        </w:rPr>
        <w:t xml:space="preserve"> of Part 27 to these operations with the goal</w:t>
      </w:r>
      <w:r w:rsidR="00887FF5">
        <w:rPr>
          <w:szCs w:val="22"/>
        </w:rPr>
        <w:t>,</w:t>
      </w:r>
      <w:r w:rsidR="00A06ECA">
        <w:rPr>
          <w:szCs w:val="22"/>
        </w:rPr>
        <w:t xml:space="preserve"> </w:t>
      </w:r>
      <w:r w:rsidR="00A06ECA">
        <w:rPr>
          <w:i/>
          <w:szCs w:val="22"/>
        </w:rPr>
        <w:t>inter alia</w:t>
      </w:r>
      <w:r w:rsidR="00A06ECA">
        <w:rPr>
          <w:szCs w:val="22"/>
        </w:rPr>
        <w:t xml:space="preserve">, of </w:t>
      </w:r>
      <w:r w:rsidR="00183709">
        <w:rPr>
          <w:szCs w:val="22"/>
        </w:rPr>
        <w:t>allow</w:t>
      </w:r>
      <w:r w:rsidR="00A06ECA">
        <w:rPr>
          <w:szCs w:val="22"/>
        </w:rPr>
        <w:t>ing</w:t>
      </w:r>
      <w:r w:rsidR="00183709">
        <w:rPr>
          <w:szCs w:val="22"/>
        </w:rPr>
        <w:t xml:space="preserve"> 1.4 GHz Band </w:t>
      </w:r>
      <w:r w:rsidR="00C96040">
        <w:rPr>
          <w:szCs w:val="22"/>
        </w:rPr>
        <w:t>licensees to accommodate a variety of business plans</w:t>
      </w:r>
      <w:r w:rsidR="00887FF5">
        <w:rPr>
          <w:szCs w:val="22"/>
        </w:rPr>
        <w:t xml:space="preserve"> while</w:t>
      </w:r>
      <w:r w:rsidR="00CF1453">
        <w:rPr>
          <w:szCs w:val="22"/>
        </w:rPr>
        <w:t xml:space="preserve"> affording adjacent users sufficient protection from </w:t>
      </w:r>
      <w:r w:rsidR="00CF1453">
        <w:rPr>
          <w:szCs w:val="22"/>
        </w:rPr>
        <w:lastRenderedPageBreak/>
        <w:t>interference.</w:t>
      </w:r>
      <w:r w:rsidR="00C96040">
        <w:rPr>
          <w:rStyle w:val="FootnoteReference"/>
          <w:szCs w:val="22"/>
        </w:rPr>
        <w:footnoteReference w:id="6"/>
      </w:r>
      <w:r w:rsidR="00C96040" w:rsidRPr="00544837">
        <w:rPr>
          <w:szCs w:val="22"/>
        </w:rPr>
        <w:t xml:space="preserve"> </w:t>
      </w:r>
    </w:p>
    <w:p w14:paraId="7EB5C786" w14:textId="595E079B" w:rsidR="00012D7F" w:rsidRPr="00FC141F" w:rsidRDefault="001E14C5" w:rsidP="00FC141F">
      <w:pPr>
        <w:pStyle w:val="ParaNum"/>
        <w:rPr>
          <w:szCs w:val="22"/>
        </w:rPr>
      </w:pPr>
      <w:r w:rsidRPr="00661A46">
        <w:rPr>
          <w:szCs w:val="22"/>
        </w:rPr>
        <w:t xml:space="preserve">In 2007, the Commission auctioned </w:t>
      </w:r>
      <w:r w:rsidR="00C938C9">
        <w:rPr>
          <w:szCs w:val="22"/>
        </w:rPr>
        <w:t>64 licenses</w:t>
      </w:r>
      <w:r w:rsidR="0013243C">
        <w:rPr>
          <w:szCs w:val="22"/>
        </w:rPr>
        <w:t xml:space="preserve"> in the 1.4 GHz band</w:t>
      </w:r>
      <w:r w:rsidR="000C57E5">
        <w:rPr>
          <w:szCs w:val="22"/>
        </w:rPr>
        <w:t>,</w:t>
      </w:r>
      <w:r w:rsidR="002B5871" w:rsidRPr="00661A46">
        <w:rPr>
          <w:rStyle w:val="FootnoteReference"/>
          <w:szCs w:val="22"/>
        </w:rPr>
        <w:footnoteReference w:id="7"/>
      </w:r>
      <w:r w:rsidR="000C57E5">
        <w:rPr>
          <w:szCs w:val="22"/>
        </w:rPr>
        <w:t xml:space="preserve"> comprised of </w:t>
      </w:r>
      <w:r w:rsidRPr="00661A46">
        <w:rPr>
          <w:szCs w:val="22"/>
        </w:rPr>
        <w:t xml:space="preserve">52 </w:t>
      </w:r>
      <w:r w:rsidR="00AE1C40">
        <w:rPr>
          <w:szCs w:val="22"/>
        </w:rPr>
        <w:t>Major Economic Area (</w:t>
      </w:r>
      <w:r w:rsidRPr="00661A46">
        <w:rPr>
          <w:szCs w:val="22"/>
        </w:rPr>
        <w:t>MEA</w:t>
      </w:r>
      <w:r w:rsidR="00AE1C40">
        <w:rPr>
          <w:szCs w:val="22"/>
        </w:rPr>
        <w:t>)</w:t>
      </w:r>
      <w:r w:rsidRPr="00661A46">
        <w:rPr>
          <w:szCs w:val="22"/>
        </w:rPr>
        <w:t xml:space="preserve"> licens</w:t>
      </w:r>
      <w:r w:rsidR="00661A46">
        <w:rPr>
          <w:szCs w:val="22"/>
        </w:rPr>
        <w:t>es in the 1390-1392 MHz se</w:t>
      </w:r>
      <w:r w:rsidR="000C57E5">
        <w:rPr>
          <w:szCs w:val="22"/>
        </w:rPr>
        <w:t>gment</w:t>
      </w:r>
      <w:r w:rsidR="008F0C89" w:rsidRPr="00661A46">
        <w:rPr>
          <w:rStyle w:val="FootnoteReference"/>
          <w:szCs w:val="22"/>
        </w:rPr>
        <w:footnoteReference w:id="8"/>
      </w:r>
      <w:r w:rsidRPr="00661A46">
        <w:rPr>
          <w:szCs w:val="22"/>
        </w:rPr>
        <w:t xml:space="preserve"> </w:t>
      </w:r>
      <w:r w:rsidR="00661A46">
        <w:rPr>
          <w:szCs w:val="22"/>
        </w:rPr>
        <w:t xml:space="preserve">and </w:t>
      </w:r>
      <w:r w:rsidRPr="00661A46">
        <w:rPr>
          <w:szCs w:val="22"/>
        </w:rPr>
        <w:t xml:space="preserve">12 paired </w:t>
      </w:r>
      <w:r w:rsidR="00AE1C40" w:rsidRPr="00AB33FC">
        <w:rPr>
          <w:szCs w:val="22"/>
        </w:rPr>
        <w:t>Economic Area Grouping (</w:t>
      </w:r>
      <w:r w:rsidRPr="00AB33FC">
        <w:rPr>
          <w:szCs w:val="22"/>
        </w:rPr>
        <w:t>EAG</w:t>
      </w:r>
      <w:r w:rsidR="00AE1C40" w:rsidRPr="00AB33FC">
        <w:rPr>
          <w:szCs w:val="22"/>
        </w:rPr>
        <w:t>)</w:t>
      </w:r>
      <w:r w:rsidRPr="00AB33FC">
        <w:rPr>
          <w:szCs w:val="22"/>
        </w:rPr>
        <w:t xml:space="preserve"> licenses in the 1392-1395 MHz and 1432-1435 MHz segments.</w:t>
      </w:r>
      <w:r w:rsidR="008F0C89" w:rsidRPr="00AB33FC">
        <w:rPr>
          <w:rStyle w:val="FootnoteReference"/>
          <w:szCs w:val="22"/>
        </w:rPr>
        <w:footnoteReference w:id="9"/>
      </w:r>
      <w:r w:rsidRPr="00AB33FC">
        <w:rPr>
          <w:szCs w:val="22"/>
        </w:rPr>
        <w:t xml:space="preserve">  </w:t>
      </w:r>
      <w:r w:rsidR="001E4E00" w:rsidRPr="00AB33FC">
        <w:rPr>
          <w:szCs w:val="22"/>
        </w:rPr>
        <w:t xml:space="preserve">The rules </w:t>
      </w:r>
      <w:r w:rsidR="00247C0D" w:rsidRPr="00AB33FC">
        <w:rPr>
          <w:szCs w:val="22"/>
        </w:rPr>
        <w:t xml:space="preserve">for this service </w:t>
      </w:r>
      <w:r w:rsidR="001E4E00" w:rsidRPr="00AB33FC">
        <w:rPr>
          <w:szCs w:val="22"/>
        </w:rPr>
        <w:t xml:space="preserve">provide, </w:t>
      </w:r>
      <w:r w:rsidR="001E4E00" w:rsidRPr="00AB33FC">
        <w:rPr>
          <w:i/>
          <w:szCs w:val="22"/>
        </w:rPr>
        <w:t>inter alia</w:t>
      </w:r>
      <w:r w:rsidR="001E4E00" w:rsidRPr="00AB33FC">
        <w:rPr>
          <w:szCs w:val="22"/>
        </w:rPr>
        <w:t xml:space="preserve">, that such </w:t>
      </w:r>
      <w:r w:rsidR="00651CDC" w:rsidRPr="00AB33FC">
        <w:rPr>
          <w:szCs w:val="22"/>
        </w:rPr>
        <w:t xml:space="preserve">licenses </w:t>
      </w:r>
      <w:r w:rsidR="001E4E00" w:rsidRPr="00AB33FC">
        <w:rPr>
          <w:szCs w:val="22"/>
        </w:rPr>
        <w:t xml:space="preserve">will be </w:t>
      </w:r>
      <w:r w:rsidR="000B647A" w:rsidRPr="00AB33FC">
        <w:rPr>
          <w:szCs w:val="22"/>
        </w:rPr>
        <w:t xml:space="preserve">forfeited </w:t>
      </w:r>
      <w:r w:rsidR="00651CDC" w:rsidRPr="00AB33FC">
        <w:rPr>
          <w:szCs w:val="22"/>
        </w:rPr>
        <w:t>if the license</w:t>
      </w:r>
      <w:r w:rsidR="00D545CA" w:rsidRPr="00AB33FC">
        <w:rPr>
          <w:szCs w:val="22"/>
        </w:rPr>
        <w:t>e</w:t>
      </w:r>
      <w:r w:rsidR="00651CDC" w:rsidRPr="00AB33FC">
        <w:rPr>
          <w:szCs w:val="22"/>
        </w:rPr>
        <w:t xml:space="preserve"> </w:t>
      </w:r>
      <w:r w:rsidR="00247C0D" w:rsidRPr="00AB33FC">
        <w:rPr>
          <w:szCs w:val="22"/>
        </w:rPr>
        <w:t xml:space="preserve">does not successfully </w:t>
      </w:r>
      <w:r w:rsidR="00D545CA" w:rsidRPr="00AB33FC">
        <w:rPr>
          <w:szCs w:val="22"/>
        </w:rPr>
        <w:t>“mak</w:t>
      </w:r>
      <w:r w:rsidR="00247C0D" w:rsidRPr="00AB33FC">
        <w:rPr>
          <w:szCs w:val="22"/>
        </w:rPr>
        <w:t>e</w:t>
      </w:r>
      <w:r w:rsidR="00D545CA" w:rsidRPr="00AB33FC">
        <w:rPr>
          <w:szCs w:val="22"/>
        </w:rPr>
        <w:t xml:space="preserve"> a</w:t>
      </w:r>
      <w:r w:rsidR="00651CDC" w:rsidRPr="00AB33FC">
        <w:rPr>
          <w:szCs w:val="22"/>
        </w:rPr>
        <w:t xml:space="preserve"> showing of </w:t>
      </w:r>
      <w:r w:rsidR="00D545CA" w:rsidRPr="00AB33FC">
        <w:rPr>
          <w:szCs w:val="22"/>
        </w:rPr>
        <w:t>‘</w:t>
      </w:r>
      <w:r w:rsidR="00651CDC" w:rsidRPr="00AB33FC">
        <w:rPr>
          <w:szCs w:val="22"/>
        </w:rPr>
        <w:t>substantial service</w:t>
      </w:r>
      <w:r w:rsidR="00D545CA" w:rsidRPr="00AB33FC">
        <w:rPr>
          <w:szCs w:val="22"/>
        </w:rPr>
        <w:t>’</w:t>
      </w:r>
      <w:r w:rsidR="00651CDC" w:rsidRPr="00AB33FC">
        <w:rPr>
          <w:szCs w:val="22"/>
        </w:rPr>
        <w:t xml:space="preserve"> in </w:t>
      </w:r>
      <w:r w:rsidR="00D545CA" w:rsidRPr="00AB33FC">
        <w:rPr>
          <w:szCs w:val="22"/>
        </w:rPr>
        <w:t xml:space="preserve">the[ ] </w:t>
      </w:r>
      <w:r w:rsidR="00651CDC" w:rsidRPr="00AB33FC">
        <w:rPr>
          <w:szCs w:val="22"/>
        </w:rPr>
        <w:t xml:space="preserve">license area within the </w:t>
      </w:r>
      <w:r w:rsidR="00B52302" w:rsidRPr="00AB33FC">
        <w:rPr>
          <w:szCs w:val="22"/>
        </w:rPr>
        <w:t xml:space="preserve">prescribed </w:t>
      </w:r>
      <w:r w:rsidR="00D545CA" w:rsidRPr="00AB33FC">
        <w:rPr>
          <w:szCs w:val="22"/>
        </w:rPr>
        <w:t>license term</w:t>
      </w:r>
      <w:r w:rsidR="007251FC" w:rsidRPr="00AB33FC">
        <w:rPr>
          <w:szCs w:val="22"/>
        </w:rPr>
        <w:t xml:space="preserve"> set forth in § 27.13</w:t>
      </w:r>
      <w:r w:rsidR="00D545CA" w:rsidRPr="00AB33FC">
        <w:rPr>
          <w:szCs w:val="22"/>
        </w:rPr>
        <w:t>”</w:t>
      </w:r>
      <w:r w:rsidR="00247C0D" w:rsidRPr="00AB33FC">
        <w:rPr>
          <w:szCs w:val="22"/>
        </w:rPr>
        <w:t xml:space="preserve"> and thereby fails to meet the performance requirement for </w:t>
      </w:r>
      <w:r w:rsidR="007251FC" w:rsidRPr="00AB33FC">
        <w:rPr>
          <w:szCs w:val="22"/>
        </w:rPr>
        <w:t xml:space="preserve">maintaining a license in </w:t>
      </w:r>
      <w:r w:rsidR="00247C0D" w:rsidRPr="00AB33FC">
        <w:rPr>
          <w:szCs w:val="22"/>
        </w:rPr>
        <w:t xml:space="preserve">the </w:t>
      </w:r>
      <w:r w:rsidR="007251FC" w:rsidRPr="00AB33FC">
        <w:rPr>
          <w:szCs w:val="22"/>
        </w:rPr>
        <w:t>1.4 GHz Band.</w:t>
      </w:r>
      <w:r w:rsidR="00D545CA" w:rsidRPr="00AB33FC">
        <w:rPr>
          <w:rStyle w:val="FootnoteReference"/>
          <w:szCs w:val="22"/>
        </w:rPr>
        <w:footnoteReference w:id="10"/>
      </w:r>
      <w:r w:rsidR="00D545CA" w:rsidRPr="00AB33FC">
        <w:rPr>
          <w:szCs w:val="22"/>
        </w:rPr>
        <w:t xml:space="preserve">  </w:t>
      </w:r>
      <w:r w:rsidR="007B5DA8" w:rsidRPr="00AB33FC">
        <w:rPr>
          <w:szCs w:val="22"/>
        </w:rPr>
        <w:t xml:space="preserve">TerreStar </w:t>
      </w:r>
      <w:r w:rsidR="003E5250" w:rsidRPr="00AB33FC">
        <w:rPr>
          <w:szCs w:val="22"/>
        </w:rPr>
        <w:t>currently</w:t>
      </w:r>
      <w:r w:rsidR="003E5250" w:rsidRPr="00FC141F">
        <w:rPr>
          <w:szCs w:val="22"/>
        </w:rPr>
        <w:t xml:space="preserve"> holds all 64 </w:t>
      </w:r>
      <w:r w:rsidR="000C57E5">
        <w:rPr>
          <w:szCs w:val="22"/>
        </w:rPr>
        <w:t xml:space="preserve">1.4 GHz Band </w:t>
      </w:r>
      <w:r w:rsidR="003E5250" w:rsidRPr="00FC141F">
        <w:rPr>
          <w:szCs w:val="22"/>
        </w:rPr>
        <w:t>licenses</w:t>
      </w:r>
      <w:r w:rsidR="000C57E5">
        <w:rPr>
          <w:szCs w:val="22"/>
        </w:rPr>
        <w:t xml:space="preserve"> </w:t>
      </w:r>
      <w:r w:rsidR="003E5250" w:rsidRPr="00FC141F">
        <w:rPr>
          <w:szCs w:val="22"/>
        </w:rPr>
        <w:t xml:space="preserve">after acquisitions of licenses from EchoStar in 2007 and CCTV in </w:t>
      </w:r>
      <w:r w:rsidR="003E5250" w:rsidRPr="005D0A14">
        <w:rPr>
          <w:szCs w:val="22"/>
        </w:rPr>
        <w:t>2008</w:t>
      </w:r>
      <w:r w:rsidR="00162A93">
        <w:rPr>
          <w:szCs w:val="22"/>
        </w:rPr>
        <w:t xml:space="preserve">, and the initial license </w:t>
      </w:r>
      <w:r w:rsidR="00B52302">
        <w:rPr>
          <w:szCs w:val="22"/>
        </w:rPr>
        <w:t xml:space="preserve">term for </w:t>
      </w:r>
      <w:r w:rsidR="00162A93">
        <w:rPr>
          <w:szCs w:val="22"/>
        </w:rPr>
        <w:t xml:space="preserve">each license </w:t>
      </w:r>
      <w:r w:rsidR="00B52302">
        <w:rPr>
          <w:szCs w:val="22"/>
        </w:rPr>
        <w:t>ended on April 23, 2017</w:t>
      </w:r>
      <w:r w:rsidR="003E5250" w:rsidRPr="005D0A14">
        <w:rPr>
          <w:szCs w:val="22"/>
        </w:rPr>
        <w:t>.</w:t>
      </w:r>
      <w:r w:rsidR="007B5DA8" w:rsidRPr="005D0A14">
        <w:rPr>
          <w:rStyle w:val="FootnoteReference"/>
          <w:szCs w:val="22"/>
        </w:rPr>
        <w:footnoteReference w:id="11"/>
      </w:r>
      <w:r w:rsidR="00C938C9" w:rsidRPr="005D0A14">
        <w:rPr>
          <w:szCs w:val="22"/>
        </w:rPr>
        <w:t xml:space="preserve">  </w:t>
      </w:r>
    </w:p>
    <w:p w14:paraId="7484AC25" w14:textId="01E48B0B" w:rsidR="000D1269" w:rsidRPr="00657665" w:rsidRDefault="00444742" w:rsidP="00657665">
      <w:pPr>
        <w:pStyle w:val="ParaNum"/>
        <w:rPr>
          <w:szCs w:val="22"/>
        </w:rPr>
      </w:pPr>
      <w:r w:rsidRPr="00661A46">
        <w:rPr>
          <w:i/>
          <w:szCs w:val="22"/>
        </w:rPr>
        <w:t xml:space="preserve">TerreStar’s </w:t>
      </w:r>
      <w:r w:rsidR="004B71F4">
        <w:rPr>
          <w:i/>
          <w:szCs w:val="22"/>
        </w:rPr>
        <w:t>Waiver Request</w:t>
      </w:r>
      <w:r w:rsidRPr="00661A46">
        <w:rPr>
          <w:i/>
          <w:szCs w:val="22"/>
        </w:rPr>
        <w:t>.</w:t>
      </w:r>
      <w:r w:rsidRPr="00661A46">
        <w:rPr>
          <w:szCs w:val="22"/>
        </w:rPr>
        <w:t xml:space="preserve">  </w:t>
      </w:r>
      <w:r w:rsidR="00035DB5" w:rsidRPr="005D0A14">
        <w:rPr>
          <w:szCs w:val="22"/>
        </w:rPr>
        <w:t>Pursuant to Sectio</w:t>
      </w:r>
      <w:r w:rsidR="00875927" w:rsidRPr="005D0A14">
        <w:rPr>
          <w:szCs w:val="22"/>
        </w:rPr>
        <w:t xml:space="preserve">ns 1.3 and 1.925(b)(3)(ii), </w:t>
      </w:r>
      <w:r w:rsidR="004B71F4" w:rsidRPr="005D0A14">
        <w:rPr>
          <w:szCs w:val="22"/>
        </w:rPr>
        <w:t xml:space="preserve">TerreStar seeks a </w:t>
      </w:r>
      <w:r w:rsidR="00B70A28">
        <w:rPr>
          <w:szCs w:val="22"/>
        </w:rPr>
        <w:t xml:space="preserve">three-year </w:t>
      </w:r>
      <w:r w:rsidR="008527D4" w:rsidRPr="005D0A14">
        <w:rPr>
          <w:szCs w:val="22"/>
        </w:rPr>
        <w:t>waiver of its</w:t>
      </w:r>
      <w:r w:rsidR="00A30EED" w:rsidRPr="005D0A14">
        <w:rPr>
          <w:szCs w:val="22"/>
        </w:rPr>
        <w:t xml:space="preserve"> </w:t>
      </w:r>
      <w:r w:rsidR="008527D4" w:rsidRPr="005D0A14">
        <w:rPr>
          <w:szCs w:val="22"/>
        </w:rPr>
        <w:t>substantial service</w:t>
      </w:r>
      <w:r w:rsidR="00035B69" w:rsidRPr="005D0A14">
        <w:rPr>
          <w:szCs w:val="22"/>
        </w:rPr>
        <w:t xml:space="preserve"> performance</w:t>
      </w:r>
      <w:r w:rsidR="008527D4" w:rsidRPr="005D0A14">
        <w:rPr>
          <w:szCs w:val="22"/>
        </w:rPr>
        <w:t xml:space="preserve"> </w:t>
      </w:r>
      <w:r w:rsidR="00A30EED" w:rsidRPr="005D0A14">
        <w:rPr>
          <w:szCs w:val="22"/>
        </w:rPr>
        <w:t>requirement</w:t>
      </w:r>
      <w:r w:rsidR="00B70A28">
        <w:rPr>
          <w:szCs w:val="22"/>
        </w:rPr>
        <w:t>,</w:t>
      </w:r>
      <w:r w:rsidR="00A30EED" w:rsidRPr="005D0A14">
        <w:rPr>
          <w:szCs w:val="22"/>
        </w:rPr>
        <w:t xml:space="preserve"> </w:t>
      </w:r>
      <w:r w:rsidR="009168C2" w:rsidRPr="005D0A14">
        <w:rPr>
          <w:szCs w:val="22"/>
        </w:rPr>
        <w:t>until April 23, 2020</w:t>
      </w:r>
      <w:r w:rsidR="009168C2">
        <w:rPr>
          <w:szCs w:val="22"/>
        </w:rPr>
        <w:t xml:space="preserve">, </w:t>
      </w:r>
      <w:r w:rsidR="007E48A4" w:rsidRPr="005D0A14">
        <w:rPr>
          <w:szCs w:val="22"/>
        </w:rPr>
        <w:t xml:space="preserve">in order to </w:t>
      </w:r>
      <w:r w:rsidR="006C684C">
        <w:rPr>
          <w:szCs w:val="22"/>
        </w:rPr>
        <w:t>enable</w:t>
      </w:r>
      <w:r w:rsidR="008527D4" w:rsidRPr="005D0A14">
        <w:rPr>
          <w:szCs w:val="22"/>
        </w:rPr>
        <w:t xml:space="preserve"> </w:t>
      </w:r>
      <w:r w:rsidR="006C684C">
        <w:rPr>
          <w:szCs w:val="22"/>
        </w:rPr>
        <w:t xml:space="preserve">commercial wireless </w:t>
      </w:r>
      <w:r w:rsidR="00B41029" w:rsidRPr="005D0A14">
        <w:rPr>
          <w:szCs w:val="22"/>
        </w:rPr>
        <w:t>medical telemetry</w:t>
      </w:r>
      <w:r w:rsidR="006C684C">
        <w:rPr>
          <w:szCs w:val="22"/>
        </w:rPr>
        <w:t xml:space="preserve"> </w:t>
      </w:r>
      <w:r w:rsidR="00031B57">
        <w:rPr>
          <w:szCs w:val="22"/>
        </w:rPr>
        <w:t xml:space="preserve">on its 1.4 GHz Band spectrum </w:t>
      </w:r>
      <w:r w:rsidR="00B41029" w:rsidRPr="005D0A14">
        <w:rPr>
          <w:szCs w:val="22"/>
        </w:rPr>
        <w:t>nationwide</w:t>
      </w:r>
      <w:r w:rsidR="008527D4" w:rsidRPr="005D0A14">
        <w:rPr>
          <w:szCs w:val="22"/>
        </w:rPr>
        <w:t xml:space="preserve">. </w:t>
      </w:r>
      <w:r w:rsidR="000D1269" w:rsidRPr="005D0A14">
        <w:rPr>
          <w:szCs w:val="22"/>
        </w:rPr>
        <w:t xml:space="preserve">Specifically, </w:t>
      </w:r>
      <w:r w:rsidR="00D349E5" w:rsidRPr="005D0A14">
        <w:rPr>
          <w:szCs w:val="22"/>
        </w:rPr>
        <w:t>TerreStar argues that it could not construct its planned WiMAX network given the threat of interference such a</w:t>
      </w:r>
      <w:r w:rsidR="00D32F20">
        <w:rPr>
          <w:szCs w:val="22"/>
        </w:rPr>
        <w:t xml:space="preserve"> system would pose to</w:t>
      </w:r>
      <w:r w:rsidR="00D349E5" w:rsidRPr="005D0A14">
        <w:rPr>
          <w:szCs w:val="22"/>
        </w:rPr>
        <w:t xml:space="preserve"> </w:t>
      </w:r>
      <w:r w:rsidR="00031B57">
        <w:rPr>
          <w:szCs w:val="22"/>
        </w:rPr>
        <w:t>Wireless Medical Telemetry Service (</w:t>
      </w:r>
      <w:r w:rsidR="00D349E5" w:rsidRPr="005D0A14">
        <w:rPr>
          <w:szCs w:val="22"/>
        </w:rPr>
        <w:t>WMTS</w:t>
      </w:r>
      <w:r w:rsidR="00031B57">
        <w:rPr>
          <w:szCs w:val="22"/>
        </w:rPr>
        <w:t>) operations</w:t>
      </w:r>
      <w:r w:rsidR="00EE6D2C">
        <w:rPr>
          <w:rStyle w:val="FootnoteReference"/>
          <w:szCs w:val="22"/>
        </w:rPr>
        <w:footnoteReference w:id="12"/>
      </w:r>
      <w:r w:rsidR="00D349E5" w:rsidRPr="005D0A14">
        <w:rPr>
          <w:szCs w:val="22"/>
        </w:rPr>
        <w:t xml:space="preserve"> and other entities</w:t>
      </w:r>
      <w:r w:rsidR="00D32F20">
        <w:rPr>
          <w:szCs w:val="22"/>
        </w:rPr>
        <w:t xml:space="preserve"> in </w:t>
      </w:r>
      <w:r w:rsidR="00031B57">
        <w:rPr>
          <w:szCs w:val="22"/>
        </w:rPr>
        <w:t>frequency bands adjacent to its 1.4 GHz spectrum</w:t>
      </w:r>
      <w:r w:rsidR="00D349E5" w:rsidRPr="005D0A14">
        <w:rPr>
          <w:szCs w:val="22"/>
        </w:rPr>
        <w:t xml:space="preserve">.  Instead, </w:t>
      </w:r>
      <w:r w:rsidR="000D1269" w:rsidRPr="005D0A14">
        <w:rPr>
          <w:szCs w:val="22"/>
        </w:rPr>
        <w:t xml:space="preserve">TerreStar </w:t>
      </w:r>
      <w:r w:rsidR="00C74D82">
        <w:rPr>
          <w:szCs w:val="22"/>
        </w:rPr>
        <w:t xml:space="preserve">now plans </w:t>
      </w:r>
      <w:r w:rsidR="000D1269" w:rsidRPr="005D0A14">
        <w:rPr>
          <w:szCs w:val="22"/>
        </w:rPr>
        <w:t xml:space="preserve">to </w:t>
      </w:r>
      <w:r w:rsidR="00B107A5">
        <w:rPr>
          <w:szCs w:val="22"/>
        </w:rPr>
        <w:t xml:space="preserve">supplement existing </w:t>
      </w:r>
      <w:r w:rsidR="000D1269" w:rsidRPr="005D0A14">
        <w:rPr>
          <w:szCs w:val="22"/>
        </w:rPr>
        <w:t xml:space="preserve">medical telemetry services within health care facilities </w:t>
      </w:r>
      <w:r w:rsidR="00B107A5">
        <w:rPr>
          <w:szCs w:val="22"/>
        </w:rPr>
        <w:t xml:space="preserve">by offering such services over </w:t>
      </w:r>
      <w:r w:rsidR="000D1269" w:rsidRPr="005D0A14">
        <w:rPr>
          <w:szCs w:val="22"/>
        </w:rPr>
        <w:t>its unpaired band (1390-1392 MHz) and Upper A and B Blocks (1432-1435</w:t>
      </w:r>
      <w:r w:rsidR="000D1269" w:rsidRPr="00AD3268">
        <w:rPr>
          <w:szCs w:val="22"/>
        </w:rPr>
        <w:t xml:space="preserve"> MHz), and </w:t>
      </w:r>
      <w:r w:rsidR="00CD4F97">
        <w:rPr>
          <w:szCs w:val="22"/>
        </w:rPr>
        <w:t xml:space="preserve">to </w:t>
      </w:r>
      <w:r w:rsidR="000D1269" w:rsidRPr="00AD3268">
        <w:rPr>
          <w:szCs w:val="22"/>
        </w:rPr>
        <w:t>establish new medical telemetry services in the Lower A and B Blocks (1392-1395 MHz).</w:t>
      </w:r>
      <w:r w:rsidR="000D1269" w:rsidRPr="00661A46">
        <w:rPr>
          <w:rStyle w:val="FootnoteReference"/>
          <w:szCs w:val="22"/>
        </w:rPr>
        <w:footnoteReference w:id="13"/>
      </w:r>
      <w:r w:rsidR="000D1269" w:rsidRPr="00AD3268">
        <w:rPr>
          <w:szCs w:val="22"/>
        </w:rPr>
        <w:t xml:space="preserve">  TerreStar </w:t>
      </w:r>
      <w:r w:rsidR="009168C2">
        <w:rPr>
          <w:szCs w:val="22"/>
        </w:rPr>
        <w:t xml:space="preserve">states that it </w:t>
      </w:r>
      <w:r w:rsidR="0057313C">
        <w:rPr>
          <w:szCs w:val="22"/>
        </w:rPr>
        <w:t>intends</w:t>
      </w:r>
      <w:r w:rsidR="0057313C" w:rsidRPr="00AD3268">
        <w:rPr>
          <w:szCs w:val="22"/>
        </w:rPr>
        <w:t xml:space="preserve"> </w:t>
      </w:r>
      <w:r w:rsidR="000D1269" w:rsidRPr="00AD3268">
        <w:rPr>
          <w:szCs w:val="22"/>
        </w:rPr>
        <w:t>to use the Lower A and B Blocks for WMTS research and development</w:t>
      </w:r>
      <w:r w:rsidR="007E7DB0">
        <w:rPr>
          <w:szCs w:val="22"/>
        </w:rPr>
        <w:t>; it</w:t>
      </w:r>
      <w:r w:rsidR="00183709">
        <w:rPr>
          <w:szCs w:val="22"/>
        </w:rPr>
        <w:t xml:space="preserve"> propos</w:t>
      </w:r>
      <w:r w:rsidR="007E7DB0">
        <w:rPr>
          <w:szCs w:val="22"/>
        </w:rPr>
        <w:t>es</w:t>
      </w:r>
      <w:r w:rsidR="000D1269" w:rsidRPr="00AD3268">
        <w:rPr>
          <w:szCs w:val="22"/>
        </w:rPr>
        <w:t xml:space="preserve"> </w:t>
      </w:r>
      <w:r w:rsidR="00183709">
        <w:rPr>
          <w:szCs w:val="22"/>
        </w:rPr>
        <w:t>a</w:t>
      </w:r>
      <w:r w:rsidR="00183709" w:rsidRPr="00AD3268">
        <w:rPr>
          <w:szCs w:val="22"/>
        </w:rPr>
        <w:t xml:space="preserve"> </w:t>
      </w:r>
      <w:r w:rsidR="000D1269" w:rsidRPr="00AD3268">
        <w:rPr>
          <w:szCs w:val="22"/>
        </w:rPr>
        <w:t>po</w:t>
      </w:r>
      <w:r w:rsidR="00183709">
        <w:rPr>
          <w:szCs w:val="22"/>
        </w:rPr>
        <w:t>tential</w:t>
      </w:r>
      <w:r w:rsidR="000D1269" w:rsidRPr="00AD3268">
        <w:rPr>
          <w:szCs w:val="22"/>
        </w:rPr>
        <w:t xml:space="preserve"> mobile medical telemetry service </w:t>
      </w:r>
      <w:r w:rsidR="0057313C">
        <w:rPr>
          <w:szCs w:val="22"/>
        </w:rPr>
        <w:t xml:space="preserve">to be provided </w:t>
      </w:r>
      <w:r w:rsidR="000D1269" w:rsidRPr="00AD3268">
        <w:rPr>
          <w:szCs w:val="22"/>
        </w:rPr>
        <w:t>outside of healthcare facilities</w:t>
      </w:r>
      <w:r w:rsidR="00836DE3">
        <w:rPr>
          <w:szCs w:val="22"/>
        </w:rPr>
        <w:t>, and</w:t>
      </w:r>
      <w:r w:rsidR="000D1269" w:rsidRPr="00AD3268">
        <w:rPr>
          <w:szCs w:val="22"/>
        </w:rPr>
        <w:t xml:space="preserve"> plans to implement a national registration and frequency coordination framework for WMTS equipment to operate in the 1.4 GHz </w:t>
      </w:r>
      <w:r w:rsidR="000D1269" w:rsidRPr="00AD3268">
        <w:rPr>
          <w:szCs w:val="22"/>
        </w:rPr>
        <w:lastRenderedPageBreak/>
        <w:t>spectrum similar to that used today in the dedicated WMTS bands.</w:t>
      </w:r>
      <w:r w:rsidR="000D1269">
        <w:rPr>
          <w:rStyle w:val="FootnoteReference"/>
          <w:szCs w:val="22"/>
        </w:rPr>
        <w:footnoteReference w:id="14"/>
      </w:r>
      <w:r w:rsidR="0088626C">
        <w:rPr>
          <w:szCs w:val="22"/>
        </w:rPr>
        <w:t xml:space="preserve"> </w:t>
      </w:r>
      <w:r w:rsidR="0013243C">
        <w:rPr>
          <w:szCs w:val="22"/>
        </w:rPr>
        <w:t xml:space="preserve"> </w:t>
      </w:r>
      <w:r w:rsidR="00504B27">
        <w:rPr>
          <w:szCs w:val="22"/>
        </w:rPr>
        <w:t>As an a</w:t>
      </w:r>
      <w:r w:rsidR="0017010F">
        <w:rPr>
          <w:szCs w:val="22"/>
        </w:rPr>
        <w:t>lternative</w:t>
      </w:r>
      <w:r w:rsidR="00504B27">
        <w:rPr>
          <w:szCs w:val="22"/>
        </w:rPr>
        <w:t xml:space="preserve"> to requesting a waiver of Section 27.14(a) </w:t>
      </w:r>
      <w:r w:rsidR="009140EF" w:rsidRPr="00221AB8">
        <w:t xml:space="preserve">pursuant to Sections 1.3 and 1.925(b)(ii), </w:t>
      </w:r>
      <w:r w:rsidR="0017010F">
        <w:rPr>
          <w:szCs w:val="22"/>
        </w:rPr>
        <w:t xml:space="preserve">TerreStar </w:t>
      </w:r>
      <w:r w:rsidR="009140EF">
        <w:rPr>
          <w:szCs w:val="22"/>
        </w:rPr>
        <w:t xml:space="preserve">also </w:t>
      </w:r>
      <w:r w:rsidR="009140EF" w:rsidRPr="00221AB8">
        <w:t>proposes relief under Section 1.946(e) by</w:t>
      </w:r>
      <w:r w:rsidR="009140EF">
        <w:t xml:space="preserve"> requesting</w:t>
      </w:r>
      <w:r w:rsidR="009140EF">
        <w:rPr>
          <w:szCs w:val="22"/>
        </w:rPr>
        <w:t xml:space="preserve"> </w:t>
      </w:r>
      <w:r w:rsidR="0017010F">
        <w:rPr>
          <w:szCs w:val="22"/>
        </w:rPr>
        <w:t>a thirty-six month extension of the April 23, 2017 substantial service deadline.</w:t>
      </w:r>
      <w:r w:rsidR="0017010F">
        <w:rPr>
          <w:rStyle w:val="FootnoteReference"/>
          <w:szCs w:val="22"/>
        </w:rPr>
        <w:footnoteReference w:id="15"/>
      </w:r>
      <w:r w:rsidR="00EC3D3A" w:rsidRPr="00657665">
        <w:rPr>
          <w:szCs w:val="22"/>
        </w:rPr>
        <w:t xml:space="preserve">  </w:t>
      </w:r>
    </w:p>
    <w:p w14:paraId="2F934A06" w14:textId="3CEF3CC5" w:rsidR="008852E8" w:rsidRPr="00A21DDC" w:rsidRDefault="00837D64" w:rsidP="00A21DDC">
      <w:pPr>
        <w:pStyle w:val="ParaNum"/>
        <w:rPr>
          <w:szCs w:val="22"/>
        </w:rPr>
      </w:pPr>
      <w:r w:rsidRPr="00661A46">
        <w:rPr>
          <w:i/>
          <w:szCs w:val="22"/>
        </w:rPr>
        <w:t>Comments and Replies</w:t>
      </w:r>
      <w:r w:rsidRPr="00661A46">
        <w:rPr>
          <w:szCs w:val="22"/>
        </w:rPr>
        <w:t xml:space="preserve">.  </w:t>
      </w:r>
      <w:r w:rsidR="00510D22">
        <w:rPr>
          <w:szCs w:val="22"/>
        </w:rPr>
        <w:t xml:space="preserve">After the </w:t>
      </w:r>
      <w:r w:rsidR="00A4117C">
        <w:rPr>
          <w:szCs w:val="22"/>
        </w:rPr>
        <w:t xml:space="preserve">Wireless Telecommunications </w:t>
      </w:r>
      <w:r w:rsidR="00A4117C">
        <w:t>Bureau</w:t>
      </w:r>
      <w:r w:rsidR="00A4117C">
        <w:rPr>
          <w:szCs w:val="22"/>
        </w:rPr>
        <w:t xml:space="preserve"> (</w:t>
      </w:r>
      <w:r w:rsidR="00E5694D">
        <w:t>Bureau</w:t>
      </w:r>
      <w:r w:rsidR="00A4117C">
        <w:t>)</w:t>
      </w:r>
      <w:r w:rsidR="00E5694D">
        <w:t xml:space="preserve"> sought comment on TerreStar’s Waiver Reques</w:t>
      </w:r>
      <w:r w:rsidR="00510D22">
        <w:t>t, the American Society for Health Care Engineering (</w:t>
      </w:r>
      <w:r w:rsidR="00030340" w:rsidRPr="00661A46">
        <w:rPr>
          <w:szCs w:val="22"/>
        </w:rPr>
        <w:t>ASHE</w:t>
      </w:r>
      <w:r w:rsidR="00510D22">
        <w:rPr>
          <w:szCs w:val="22"/>
        </w:rPr>
        <w:t>)</w:t>
      </w:r>
      <w:r w:rsidR="00030340" w:rsidRPr="00661A46">
        <w:rPr>
          <w:szCs w:val="22"/>
        </w:rPr>
        <w:t>,</w:t>
      </w:r>
      <w:r w:rsidR="00510D22">
        <w:rPr>
          <w:rStyle w:val="FootnoteReference"/>
          <w:szCs w:val="22"/>
        </w:rPr>
        <w:footnoteReference w:id="16"/>
      </w:r>
      <w:r w:rsidR="00030340" w:rsidRPr="00661A46">
        <w:rPr>
          <w:szCs w:val="22"/>
        </w:rPr>
        <w:t xml:space="preserve"> </w:t>
      </w:r>
      <w:r w:rsidR="007A6507">
        <w:rPr>
          <w:szCs w:val="22"/>
        </w:rPr>
        <w:t xml:space="preserve">and WMTS device manufacturers </w:t>
      </w:r>
      <w:r w:rsidR="00590AF5" w:rsidRPr="00661A46">
        <w:rPr>
          <w:szCs w:val="22"/>
        </w:rPr>
        <w:t xml:space="preserve">GE Healthcare </w:t>
      </w:r>
      <w:r w:rsidR="00590AF5">
        <w:rPr>
          <w:szCs w:val="22"/>
        </w:rPr>
        <w:t>Technologies (GE Healthcare)</w:t>
      </w:r>
      <w:r w:rsidR="00590AF5" w:rsidRPr="00590AF5">
        <w:rPr>
          <w:szCs w:val="22"/>
        </w:rPr>
        <w:t xml:space="preserve"> </w:t>
      </w:r>
      <w:r w:rsidR="00590AF5" w:rsidRPr="00661A46">
        <w:rPr>
          <w:szCs w:val="22"/>
        </w:rPr>
        <w:t xml:space="preserve">and </w:t>
      </w:r>
      <w:r w:rsidR="00030340" w:rsidRPr="00661A46">
        <w:rPr>
          <w:szCs w:val="22"/>
        </w:rPr>
        <w:t>Philips Healthcare commented on TerreStar’s Waiver Request.</w:t>
      </w:r>
      <w:r w:rsidR="003D1D67" w:rsidRPr="003D1D67">
        <w:rPr>
          <w:rStyle w:val="FootnoteReference"/>
          <w:szCs w:val="22"/>
        </w:rPr>
        <w:t xml:space="preserve"> </w:t>
      </w:r>
      <w:r w:rsidR="003D1D67" w:rsidRPr="00661A46">
        <w:rPr>
          <w:rStyle w:val="FootnoteReference"/>
          <w:szCs w:val="22"/>
        </w:rPr>
        <w:footnoteReference w:id="17"/>
      </w:r>
      <w:r w:rsidR="00030340" w:rsidRPr="00661A46">
        <w:rPr>
          <w:szCs w:val="22"/>
        </w:rPr>
        <w:t xml:space="preserve">  </w:t>
      </w:r>
      <w:r w:rsidR="00A70CAE">
        <w:rPr>
          <w:szCs w:val="22"/>
        </w:rPr>
        <w:t xml:space="preserve">Although </w:t>
      </w:r>
      <w:r w:rsidR="007A6507">
        <w:rPr>
          <w:szCs w:val="22"/>
        </w:rPr>
        <w:t>the WMTS device manufacturers generally support</w:t>
      </w:r>
      <w:r w:rsidR="00107051">
        <w:rPr>
          <w:szCs w:val="22"/>
        </w:rPr>
        <w:t>ed</w:t>
      </w:r>
      <w:r w:rsidR="007A6507">
        <w:rPr>
          <w:szCs w:val="22"/>
        </w:rPr>
        <w:t xml:space="preserve"> </w:t>
      </w:r>
      <w:r w:rsidR="00FA01CC" w:rsidRPr="00661A46">
        <w:rPr>
          <w:szCs w:val="22"/>
        </w:rPr>
        <w:t>the Waiver Request,</w:t>
      </w:r>
      <w:r w:rsidR="00A70CAE" w:rsidRPr="00661A46">
        <w:rPr>
          <w:rStyle w:val="FootnoteReference"/>
          <w:szCs w:val="22"/>
        </w:rPr>
        <w:footnoteReference w:id="18"/>
      </w:r>
      <w:r w:rsidR="00FA01CC" w:rsidRPr="00661A46">
        <w:rPr>
          <w:szCs w:val="22"/>
        </w:rPr>
        <w:t xml:space="preserve"> </w:t>
      </w:r>
      <w:r w:rsidR="008852E8" w:rsidRPr="00A70CAE">
        <w:rPr>
          <w:szCs w:val="22"/>
        </w:rPr>
        <w:t>ASHE</w:t>
      </w:r>
      <w:r w:rsidR="0093136E" w:rsidRPr="00A70CAE">
        <w:rPr>
          <w:szCs w:val="22"/>
        </w:rPr>
        <w:t xml:space="preserve"> initially</w:t>
      </w:r>
      <w:r w:rsidR="008852E8" w:rsidRPr="00A70CAE">
        <w:rPr>
          <w:szCs w:val="22"/>
        </w:rPr>
        <w:t xml:space="preserve"> </w:t>
      </w:r>
      <w:r w:rsidR="00BA14AA" w:rsidRPr="00A70CAE">
        <w:rPr>
          <w:szCs w:val="22"/>
        </w:rPr>
        <w:t xml:space="preserve">voiced </w:t>
      </w:r>
      <w:r w:rsidR="00A70CAE">
        <w:rPr>
          <w:szCs w:val="22"/>
        </w:rPr>
        <w:t xml:space="preserve">several </w:t>
      </w:r>
      <w:r w:rsidR="00EA3C98" w:rsidRPr="00A70CAE">
        <w:rPr>
          <w:szCs w:val="22"/>
        </w:rPr>
        <w:t>concerns</w:t>
      </w:r>
      <w:r w:rsidR="007D0BC2" w:rsidRPr="00A70CAE">
        <w:rPr>
          <w:szCs w:val="22"/>
        </w:rPr>
        <w:t xml:space="preserve"> </w:t>
      </w:r>
      <w:r w:rsidR="0093136E" w:rsidRPr="00A70CAE">
        <w:rPr>
          <w:szCs w:val="22"/>
        </w:rPr>
        <w:t xml:space="preserve">and </w:t>
      </w:r>
      <w:r w:rsidR="007D0BC2" w:rsidRPr="00A70CAE">
        <w:rPr>
          <w:szCs w:val="22"/>
        </w:rPr>
        <w:t xml:space="preserve">asked that the Commission instead grant a </w:t>
      </w:r>
      <w:r w:rsidR="0099649F" w:rsidRPr="00A70CAE">
        <w:rPr>
          <w:szCs w:val="22"/>
        </w:rPr>
        <w:t xml:space="preserve">more limited </w:t>
      </w:r>
      <w:r w:rsidR="007D0BC2" w:rsidRPr="00A70CAE">
        <w:rPr>
          <w:szCs w:val="22"/>
        </w:rPr>
        <w:t>waiver.</w:t>
      </w:r>
      <w:r w:rsidR="007D0BC2" w:rsidRPr="00661A46">
        <w:rPr>
          <w:rStyle w:val="FootnoteReference"/>
          <w:szCs w:val="22"/>
        </w:rPr>
        <w:footnoteReference w:id="19"/>
      </w:r>
      <w:r w:rsidR="007D0BC2" w:rsidRPr="00A70CAE">
        <w:rPr>
          <w:szCs w:val="22"/>
        </w:rPr>
        <w:t xml:space="preserve"> </w:t>
      </w:r>
      <w:r w:rsidR="00A21DDC">
        <w:rPr>
          <w:szCs w:val="22"/>
        </w:rPr>
        <w:t xml:space="preserve"> After </w:t>
      </w:r>
      <w:r w:rsidR="00A21DDC" w:rsidRPr="00A21DDC">
        <w:rPr>
          <w:szCs w:val="22"/>
        </w:rPr>
        <w:t>TerreStar</w:t>
      </w:r>
      <w:r w:rsidR="00A21DDC">
        <w:rPr>
          <w:szCs w:val="22"/>
        </w:rPr>
        <w:t xml:space="preserve"> provided additional clarification i</w:t>
      </w:r>
      <w:r w:rsidR="00152E38" w:rsidRPr="00A21DDC">
        <w:rPr>
          <w:szCs w:val="22"/>
        </w:rPr>
        <w:t>n its Reply Comments,</w:t>
      </w:r>
      <w:r w:rsidR="00152E38">
        <w:rPr>
          <w:rStyle w:val="FootnoteReference"/>
          <w:szCs w:val="22"/>
        </w:rPr>
        <w:footnoteReference w:id="20"/>
      </w:r>
      <w:r w:rsidR="00152E38" w:rsidRPr="00A21DDC">
        <w:rPr>
          <w:szCs w:val="22"/>
        </w:rPr>
        <w:t xml:space="preserve"> </w:t>
      </w:r>
      <w:r w:rsidR="0007064B" w:rsidRPr="00A21DDC">
        <w:rPr>
          <w:szCs w:val="22"/>
        </w:rPr>
        <w:t xml:space="preserve">ASHE filed an </w:t>
      </w:r>
      <w:r w:rsidR="0007064B" w:rsidRPr="00A21DDC">
        <w:rPr>
          <w:i/>
          <w:szCs w:val="22"/>
        </w:rPr>
        <w:t>ex parte</w:t>
      </w:r>
      <w:r w:rsidR="0007064B" w:rsidRPr="00A21DDC">
        <w:rPr>
          <w:szCs w:val="22"/>
        </w:rPr>
        <w:t xml:space="preserve"> urging the </w:t>
      </w:r>
      <w:r w:rsidR="003139BE" w:rsidRPr="00A21DDC">
        <w:rPr>
          <w:szCs w:val="22"/>
        </w:rPr>
        <w:t>Bureau</w:t>
      </w:r>
      <w:r w:rsidR="0007064B" w:rsidRPr="00A21DDC">
        <w:rPr>
          <w:szCs w:val="22"/>
        </w:rPr>
        <w:t xml:space="preserve"> to grant the full relief requested by TerreStar.</w:t>
      </w:r>
      <w:r w:rsidR="0007064B">
        <w:rPr>
          <w:rStyle w:val="FootnoteReference"/>
          <w:szCs w:val="22"/>
        </w:rPr>
        <w:footnoteReference w:id="21"/>
      </w:r>
      <w:r w:rsidR="00A310F7">
        <w:rPr>
          <w:szCs w:val="22"/>
        </w:rPr>
        <w:t xml:space="preserve">  </w:t>
      </w:r>
    </w:p>
    <w:p w14:paraId="408B93B5" w14:textId="77777777" w:rsidR="005B187F" w:rsidRPr="00661A46" w:rsidRDefault="005B187F" w:rsidP="005B187F">
      <w:pPr>
        <w:pStyle w:val="Heading1"/>
        <w:rPr>
          <w:szCs w:val="22"/>
        </w:rPr>
      </w:pPr>
      <w:r>
        <w:rPr>
          <w:szCs w:val="22"/>
        </w:rPr>
        <w:t>Discussion</w:t>
      </w:r>
    </w:p>
    <w:p w14:paraId="760E6C2E" w14:textId="77777777" w:rsidR="00BD7513" w:rsidRPr="00BD7513" w:rsidRDefault="00211FC5" w:rsidP="00034896">
      <w:pPr>
        <w:pStyle w:val="ParaNum"/>
        <w:rPr>
          <w:szCs w:val="22"/>
        </w:rPr>
      </w:pPr>
      <w:r>
        <w:t>Licensees may request a waiver of the performance requirement under Section 1.925(b)(3) or Section 1.3 of the Commission’s rules, or an extension pursuant to Section 1.946(e).</w:t>
      </w:r>
      <w:r>
        <w:rPr>
          <w:rStyle w:val="FootnoteReference"/>
        </w:rPr>
        <w:footnoteReference w:id="22"/>
      </w:r>
      <w:r>
        <w:t xml:space="preserve">  </w:t>
      </w:r>
      <w:r w:rsidR="00E4240B">
        <w:t>Section 1.925(b)(3) of the Commission’s rules states that the Commission may grant a waiver when either “</w:t>
      </w:r>
      <w:r w:rsidR="001D27AD">
        <w:t xml:space="preserve">(i) </w:t>
      </w:r>
      <w:r w:rsidR="00E4240B">
        <w:t>[t]he underlying purpose of the rule(s) would not be served or would be frustrated by application to the instant case, and that a grant of the requested waiver would be in the public interest,” or “</w:t>
      </w:r>
      <w:r w:rsidR="001D27AD">
        <w:t xml:space="preserve">(ii) </w:t>
      </w:r>
      <w:r w:rsidR="00E4240B">
        <w:t>in view of unique or unusual factual circumstances of the instant case, application of the rule(s) would be inequitable, unduly burdensome or contrary to the public interest, or the applicant has no reasonable alternative.”</w:t>
      </w:r>
      <w:r w:rsidR="00E4240B">
        <w:rPr>
          <w:rStyle w:val="FootnoteReference"/>
        </w:rPr>
        <w:footnoteReference w:id="23"/>
      </w:r>
      <w:r w:rsidR="00E4240B">
        <w:t xml:space="preserve">  </w:t>
      </w:r>
    </w:p>
    <w:p w14:paraId="47E9E792" w14:textId="40FB1E25" w:rsidR="00211FC5" w:rsidRPr="00AB33FC" w:rsidRDefault="00E446D4" w:rsidP="00034896">
      <w:pPr>
        <w:pStyle w:val="ParaNum"/>
        <w:rPr>
          <w:szCs w:val="22"/>
        </w:rPr>
      </w:pPr>
      <w:r>
        <w:t xml:space="preserve">As with other Commission rules, requests to waive a </w:t>
      </w:r>
      <w:r w:rsidR="00211FC5">
        <w:t xml:space="preserve">performance </w:t>
      </w:r>
      <w:r>
        <w:t>requirement must “meet a high hurdle at the starting gate.”</w:t>
      </w:r>
      <w:r>
        <w:rPr>
          <w:rStyle w:val="FootnoteReference"/>
        </w:rPr>
        <w:footnoteReference w:id="24"/>
      </w:r>
      <w:r>
        <w:t xml:space="preserve">  </w:t>
      </w:r>
      <w:r w:rsidR="00E4240B">
        <w:t xml:space="preserve">We note that the waiver standard must be applied in </w:t>
      </w:r>
      <w:r w:rsidR="00C53205">
        <w:t xml:space="preserve">light </w:t>
      </w:r>
      <w:r w:rsidR="00E4240B">
        <w:t xml:space="preserve">of Section 309(j) of the Communications Act, which </w:t>
      </w:r>
      <w:r w:rsidR="00172761">
        <w:t xml:space="preserve">provides </w:t>
      </w:r>
      <w:r w:rsidR="00E4240B">
        <w:t xml:space="preserve">that the Commission shall include performance requirements to ensure </w:t>
      </w:r>
      <w:r w:rsidR="00034896">
        <w:t xml:space="preserve">intensive use of valuable spectrum </w:t>
      </w:r>
      <w:r w:rsidR="00B92E90">
        <w:t>and</w:t>
      </w:r>
      <w:r w:rsidR="00E4240B">
        <w:t xml:space="preserve"> to prevent the stockpiling and warehousing of spectrum by licensees.</w:t>
      </w:r>
      <w:r w:rsidR="00E4240B">
        <w:rPr>
          <w:rStyle w:val="FootnoteReference"/>
        </w:rPr>
        <w:footnoteReference w:id="25"/>
      </w:r>
      <w:r w:rsidR="00E4240B">
        <w:t xml:space="preserve">  </w:t>
      </w:r>
      <w:r w:rsidR="00BB3073">
        <w:t>W</w:t>
      </w:r>
      <w:r w:rsidR="00034896">
        <w:t>hile each case must be determined in light of its specific circumstances, w</w:t>
      </w:r>
      <w:r w:rsidR="00BB3073">
        <w:t>aiver</w:t>
      </w:r>
      <w:r w:rsidR="00B51CCE">
        <w:t>s</w:t>
      </w:r>
      <w:r w:rsidR="00BB3073">
        <w:t xml:space="preserve"> of </w:t>
      </w:r>
      <w:r w:rsidR="00211FC5">
        <w:t xml:space="preserve">performance </w:t>
      </w:r>
      <w:r w:rsidR="00BB3073">
        <w:t xml:space="preserve">requirements are </w:t>
      </w:r>
      <w:r w:rsidR="00B51CCE">
        <w:t xml:space="preserve">granted </w:t>
      </w:r>
      <w:r w:rsidR="00BB3073">
        <w:t>infrequent</w:t>
      </w:r>
      <w:r w:rsidR="00B51CCE">
        <w:t>ly</w:t>
      </w:r>
      <w:r w:rsidR="00BB3073">
        <w:t xml:space="preserve"> and </w:t>
      </w:r>
      <w:r w:rsidR="00B51CCE">
        <w:t xml:space="preserve">are </w:t>
      </w:r>
      <w:r w:rsidR="00BB3073">
        <w:t>only appropriate when consistent with t</w:t>
      </w:r>
      <w:r w:rsidR="00BB3073" w:rsidRPr="001D27AD">
        <w:t>he statute and the public interest.</w:t>
      </w:r>
      <w:r w:rsidR="00BB3073" w:rsidRPr="001D27AD">
        <w:rPr>
          <w:rStyle w:val="FootnoteReference"/>
        </w:rPr>
        <w:footnoteReference w:id="26"/>
      </w:r>
      <w:r w:rsidR="00BB3073" w:rsidRPr="001D27AD">
        <w:t xml:space="preserve">  </w:t>
      </w:r>
      <w:r w:rsidR="00E4240B" w:rsidRPr="001D27AD">
        <w:t>The Commission also may waive its rules for good cause shown</w:t>
      </w:r>
      <w:r w:rsidR="001D67D2">
        <w:t xml:space="preserve"> under Section 1.3 of its rules</w:t>
      </w:r>
      <w:r w:rsidR="00E4240B" w:rsidRPr="001D27AD">
        <w:t>.</w:t>
      </w:r>
      <w:r w:rsidR="00E4240B" w:rsidRPr="001D27AD">
        <w:rPr>
          <w:rStyle w:val="FootnoteReference"/>
        </w:rPr>
        <w:footnoteReference w:id="27"/>
      </w:r>
      <w:r w:rsidR="00A461C3" w:rsidRPr="001D27AD">
        <w:t xml:space="preserve">  </w:t>
      </w:r>
      <w:r w:rsidR="001D27AD" w:rsidRPr="001D27AD">
        <w:t xml:space="preserve">Alternatively, the Commission </w:t>
      </w:r>
      <w:r w:rsidR="001D67D2">
        <w:t xml:space="preserve">may </w:t>
      </w:r>
      <w:r w:rsidR="00A461C3" w:rsidRPr="001D27AD">
        <w:t>grant</w:t>
      </w:r>
      <w:r w:rsidR="001D27AD" w:rsidRPr="001D27AD">
        <w:t xml:space="preserve"> a licensee</w:t>
      </w:r>
      <w:r w:rsidR="00A461C3" w:rsidRPr="001D27AD">
        <w:t xml:space="preserve"> an extension of time </w:t>
      </w:r>
      <w:r w:rsidR="00A461C3" w:rsidRPr="00C34ACE">
        <w:t xml:space="preserve">pursuant to Section 1.946(e), </w:t>
      </w:r>
      <w:r w:rsidR="001D27AD" w:rsidRPr="00C34ACE">
        <w:t>but</w:t>
      </w:r>
      <w:r w:rsidR="00A461C3" w:rsidRPr="00C34ACE">
        <w:t xml:space="preserve"> only </w:t>
      </w:r>
      <w:r w:rsidR="0020380D">
        <w:t>“</w:t>
      </w:r>
      <w:r w:rsidR="00A461C3" w:rsidRPr="00C34ACE">
        <w:t>if the failure to commence service is due to causes beyond its control.”</w:t>
      </w:r>
      <w:r w:rsidR="00A461C3" w:rsidRPr="00C34ACE">
        <w:rPr>
          <w:rStyle w:val="FootnoteReference"/>
        </w:rPr>
        <w:footnoteReference w:id="28"/>
      </w:r>
      <w:r w:rsidR="00A461C3" w:rsidRPr="00C34ACE">
        <w:t xml:space="preserve">  </w:t>
      </w:r>
      <w:r w:rsidR="00034896">
        <w:t xml:space="preserve">We further </w:t>
      </w:r>
      <w:r w:rsidR="00034896" w:rsidRPr="00B54FC7">
        <w:t xml:space="preserve">observe that </w:t>
      </w:r>
      <w:r w:rsidR="00034896" w:rsidRPr="00B54FC7">
        <w:rPr>
          <w:color w:val="000000" w:themeColor="text1"/>
        </w:rPr>
        <w:t xml:space="preserve">it is a licensee’s responsibility to </w:t>
      </w:r>
      <w:r w:rsidR="002E5479">
        <w:rPr>
          <w:color w:val="000000" w:themeColor="text1"/>
        </w:rPr>
        <w:t xml:space="preserve">exercise due diligence to </w:t>
      </w:r>
      <w:r w:rsidR="00034896" w:rsidRPr="00B54FC7">
        <w:rPr>
          <w:color w:val="000000" w:themeColor="text1"/>
        </w:rPr>
        <w:t xml:space="preserve">confirm that it can satisfy </w:t>
      </w:r>
      <w:r w:rsidR="002B7825">
        <w:rPr>
          <w:color w:val="000000" w:themeColor="text1"/>
        </w:rPr>
        <w:t xml:space="preserve">performance </w:t>
      </w:r>
      <w:r w:rsidR="00034896" w:rsidRPr="00B54FC7">
        <w:rPr>
          <w:color w:val="000000" w:themeColor="text1"/>
        </w:rPr>
        <w:t>requirements in advance of acquiring spectrum</w:t>
      </w:r>
      <w:r w:rsidR="00034896">
        <w:rPr>
          <w:color w:val="000000" w:themeColor="text1"/>
        </w:rPr>
        <w:t xml:space="preserve">, a fact of which we routinely remind </w:t>
      </w:r>
      <w:r w:rsidR="00034896" w:rsidRPr="00AB33FC">
        <w:rPr>
          <w:color w:val="000000" w:themeColor="text1"/>
        </w:rPr>
        <w:t>licensees prior to auctioning licenses.</w:t>
      </w:r>
      <w:bookmarkStart w:id="1" w:name="FN_FN45_"/>
      <w:bookmarkEnd w:id="1"/>
      <w:r w:rsidR="00034896" w:rsidRPr="00AB33FC">
        <w:rPr>
          <w:rStyle w:val="FootnoteReference"/>
        </w:rPr>
        <w:footnoteReference w:id="29"/>
      </w:r>
    </w:p>
    <w:p w14:paraId="5E952936" w14:textId="599453F4" w:rsidR="00A84C9B" w:rsidRPr="008D38C4" w:rsidRDefault="00D342BA" w:rsidP="008D38C4">
      <w:pPr>
        <w:pStyle w:val="ParaNum"/>
        <w:rPr>
          <w:szCs w:val="22"/>
        </w:rPr>
      </w:pPr>
      <w:r w:rsidRPr="00AB33FC">
        <w:t xml:space="preserve">As noted, Section 27.14(a) requires </w:t>
      </w:r>
      <w:r w:rsidR="009027B5">
        <w:t xml:space="preserve">that </w:t>
      </w:r>
      <w:r w:rsidR="002E5479" w:rsidRPr="00AB33FC">
        <w:t xml:space="preserve">each </w:t>
      </w:r>
      <w:r w:rsidR="00427114">
        <w:t xml:space="preserve">1.4 GHz licensee </w:t>
      </w:r>
      <w:r w:rsidRPr="00AB33FC">
        <w:t>demonstrate substantial service</w:t>
      </w:r>
      <w:r w:rsidR="002E5479" w:rsidRPr="00AB33FC">
        <w:t xml:space="preserve"> within the license term in order to avoid forfeiting the license</w:t>
      </w:r>
      <w:r w:rsidRPr="00AB33FC">
        <w:t>.  Accordingly, TerreStar must show that it is providing service that is “sound, favorable and</w:t>
      </w:r>
      <w:r w:rsidRPr="00C34ACE">
        <w:t xml:space="preserve"> substantially above a level of mediocre service which just might minimally warrant renewal” for each of its licenses by April 23, 2017.</w:t>
      </w:r>
      <w:r w:rsidRPr="00C34ACE">
        <w:rPr>
          <w:rStyle w:val="FootnoteReference"/>
          <w:szCs w:val="22"/>
        </w:rPr>
        <w:footnoteReference w:id="30"/>
      </w:r>
      <w:r w:rsidRPr="00C34ACE">
        <w:t xml:space="preserve">  </w:t>
      </w:r>
      <w:r w:rsidR="00A00A37">
        <w:t xml:space="preserve">As described below, </w:t>
      </w:r>
      <w:r w:rsidR="00CE560E">
        <w:t>for much of its license term</w:t>
      </w:r>
      <w:r w:rsidR="006D7968">
        <w:t xml:space="preserve">, </w:t>
      </w:r>
      <w:r w:rsidR="00DE6E47">
        <w:t xml:space="preserve">TerreStar failed </w:t>
      </w:r>
      <w:r w:rsidR="006D7968">
        <w:t xml:space="preserve">consistently </w:t>
      </w:r>
      <w:r w:rsidR="000A58CE">
        <w:t xml:space="preserve">to </w:t>
      </w:r>
      <w:r w:rsidR="00DE6E47">
        <w:t xml:space="preserve">put its spectrum to </w:t>
      </w:r>
      <w:r w:rsidR="006D7968">
        <w:t xml:space="preserve">intensive </w:t>
      </w:r>
      <w:r w:rsidR="00DE6E47">
        <w:t xml:space="preserve">use.  It then chose, for years, to pursue a business strategy that it </w:t>
      </w:r>
      <w:r w:rsidR="002E5479">
        <w:t xml:space="preserve">ultimately came to </w:t>
      </w:r>
      <w:r w:rsidR="00DE6E47">
        <w:t>believe</w:t>
      </w:r>
      <w:r w:rsidR="00F86026">
        <w:t>—</w:t>
      </w:r>
      <w:r w:rsidR="00DE6E47">
        <w:t>but has not demonstrated</w:t>
      </w:r>
      <w:r w:rsidR="00F86026">
        <w:t>—</w:t>
      </w:r>
      <w:r w:rsidR="002E5479">
        <w:t xml:space="preserve">could not be implemented without </w:t>
      </w:r>
      <w:r w:rsidR="00DE6E47">
        <w:t>caus</w:t>
      </w:r>
      <w:r w:rsidR="002E5479">
        <w:t>ing</w:t>
      </w:r>
      <w:r w:rsidR="00C34657">
        <w:t xml:space="preserve"> </w:t>
      </w:r>
      <w:r w:rsidR="00DE6E47">
        <w:t xml:space="preserve">interference to adjacent spectrum users.  </w:t>
      </w:r>
      <w:r w:rsidR="000C1100">
        <w:t xml:space="preserve">With only one year left before the deadline for meeting the performance requirement for its licenses, </w:t>
      </w:r>
      <w:r w:rsidR="00A667AF">
        <w:t>TerreStar</w:t>
      </w:r>
      <w:r w:rsidR="00FC0448">
        <w:t xml:space="preserve"> </w:t>
      </w:r>
      <w:r w:rsidR="00A667AF">
        <w:t>abandon</w:t>
      </w:r>
      <w:r w:rsidR="009027B5">
        <w:t>ed</w:t>
      </w:r>
      <w:r w:rsidR="00A667AF">
        <w:t xml:space="preserve"> </w:t>
      </w:r>
      <w:r w:rsidR="00DE6E47">
        <w:t>that strategy</w:t>
      </w:r>
      <w:r w:rsidR="00FC0448">
        <w:t xml:space="preserve"> and </w:t>
      </w:r>
      <w:r w:rsidR="00DE6E47">
        <w:t>pursue</w:t>
      </w:r>
      <w:r w:rsidR="009027B5">
        <w:t>d</w:t>
      </w:r>
      <w:r w:rsidR="00DE6E47">
        <w:t xml:space="preserve"> </w:t>
      </w:r>
      <w:r w:rsidR="009E40A7">
        <w:t xml:space="preserve">an alternative business plan that entailed a </w:t>
      </w:r>
      <w:r w:rsidR="00DE6E47">
        <w:t xml:space="preserve">different buildout </w:t>
      </w:r>
      <w:r w:rsidR="009E40A7">
        <w:t xml:space="preserve">approach.  </w:t>
      </w:r>
      <w:r w:rsidR="000C7D12">
        <w:t>B</w:t>
      </w:r>
      <w:r w:rsidR="00DE6E47">
        <w:t xml:space="preserve">ased on the record before us, </w:t>
      </w:r>
      <w:r w:rsidR="000C7D12">
        <w:t>w</w:t>
      </w:r>
      <w:r w:rsidRPr="00C34ACE">
        <w:t xml:space="preserve">e are not persuaded that </w:t>
      </w:r>
      <w:r w:rsidR="00FC0448">
        <w:t xml:space="preserve">according TerreStar </w:t>
      </w:r>
      <w:r w:rsidRPr="00C34ACE">
        <w:t xml:space="preserve">relief from </w:t>
      </w:r>
      <w:r w:rsidR="00FC0448">
        <w:t>its performance obligations</w:t>
      </w:r>
      <w:r w:rsidR="00F86026">
        <w:t>—</w:t>
      </w:r>
      <w:r w:rsidR="000C7D12">
        <w:t xml:space="preserve">by grant of either a waiver or </w:t>
      </w:r>
      <w:r w:rsidR="0093652E">
        <w:t xml:space="preserve">an </w:t>
      </w:r>
      <w:r w:rsidR="000C7D12">
        <w:t>extension</w:t>
      </w:r>
      <w:r w:rsidR="00F86026">
        <w:t>—</w:t>
      </w:r>
      <w:r w:rsidRPr="00C34ACE">
        <w:t xml:space="preserve">is warranted in the instant case.  </w:t>
      </w:r>
    </w:p>
    <w:p w14:paraId="09D7EE25" w14:textId="117E5D95" w:rsidR="00294EC2" w:rsidRDefault="00294EC2" w:rsidP="00294EC2">
      <w:pPr>
        <w:pStyle w:val="ParaNum"/>
        <w:rPr>
          <w:szCs w:val="22"/>
        </w:rPr>
      </w:pPr>
      <w:r w:rsidRPr="00294EC2">
        <w:rPr>
          <w:szCs w:val="22"/>
        </w:rPr>
        <w:t xml:space="preserve">TerreStar was on notice of the obligation to build out its markets by the end of its license terms and the technical requirements applicable to the 1.4 GHz Band before it acquired its licenses.  </w:t>
      </w:r>
      <w:r w:rsidRPr="00D42474">
        <w:t xml:space="preserve">As a general matter, </w:t>
      </w:r>
      <w:r w:rsidRPr="00294EC2">
        <w:rPr>
          <w:color w:val="000000" w:themeColor="text1"/>
        </w:rPr>
        <w:t xml:space="preserve">it is a licensee’s responsibility to conduct adequate due diligence prior to acquisition of licenses:  </w:t>
      </w:r>
      <w:r w:rsidRPr="00294EC2">
        <w:rPr>
          <w:szCs w:val="22"/>
        </w:rPr>
        <w:t>potential licensees are required to familiarize themselves with all applicable rules (including any technical restrictions) with respect to deployment of the relevant spectrum, to assure that they can timely construct as specified per service rules</w:t>
      </w:r>
      <w:r w:rsidRPr="00294EC2">
        <w:rPr>
          <w:color w:val="000000" w:themeColor="text1"/>
        </w:rPr>
        <w:t>, and to confirm that the spectrum is suitable for the licensee’s business plans and needs.</w:t>
      </w:r>
      <w:r w:rsidRPr="00294EC2">
        <w:rPr>
          <w:color w:val="000000" w:themeColor="text1"/>
          <w:sz w:val="20"/>
        </w:rPr>
        <w:t xml:space="preserve">  </w:t>
      </w:r>
      <w:r w:rsidRPr="00294EC2">
        <w:rPr>
          <w:color w:val="000000" w:themeColor="text1"/>
        </w:rPr>
        <w:t xml:space="preserve">The Commission’s rules also generally do not contemplate waiving rules (including those involving deadlines) for types of considerations that licensees should take into account as part of this type of due diligence. </w:t>
      </w:r>
      <w:r w:rsidR="00006461">
        <w:rPr>
          <w:szCs w:val="22"/>
        </w:rPr>
        <w:t xml:space="preserve"> </w:t>
      </w:r>
      <w:r w:rsidR="00F35719">
        <w:rPr>
          <w:szCs w:val="22"/>
        </w:rPr>
        <w:t xml:space="preserve">Indeed, the Commission has repeatedly reminded prospective licensees that </w:t>
      </w:r>
      <w:r w:rsidR="00F0756B">
        <w:rPr>
          <w:szCs w:val="22"/>
        </w:rPr>
        <w:t xml:space="preserve">each </w:t>
      </w:r>
      <w:r w:rsidR="009027B5">
        <w:rPr>
          <w:szCs w:val="22"/>
        </w:rPr>
        <w:t>licensee</w:t>
      </w:r>
      <w:r w:rsidR="00F0756B">
        <w:rPr>
          <w:szCs w:val="22"/>
        </w:rPr>
        <w:t xml:space="preserve"> has an </w:t>
      </w:r>
      <w:r w:rsidR="00F35719">
        <w:rPr>
          <w:szCs w:val="22"/>
        </w:rPr>
        <w:t xml:space="preserve">obligation </w:t>
      </w:r>
      <w:r w:rsidRPr="00294EC2">
        <w:rPr>
          <w:szCs w:val="22"/>
        </w:rPr>
        <w:t xml:space="preserve">to conduct adequate research </w:t>
      </w:r>
      <w:r w:rsidR="00F0756B">
        <w:rPr>
          <w:szCs w:val="22"/>
        </w:rPr>
        <w:t xml:space="preserve">in order to </w:t>
      </w:r>
      <w:r w:rsidRPr="00294EC2">
        <w:rPr>
          <w:szCs w:val="22"/>
        </w:rPr>
        <w:t xml:space="preserve">assess whether </w:t>
      </w:r>
      <w:r w:rsidR="00F0756B">
        <w:rPr>
          <w:szCs w:val="22"/>
        </w:rPr>
        <w:t xml:space="preserve">it </w:t>
      </w:r>
      <w:r w:rsidRPr="00294EC2">
        <w:rPr>
          <w:szCs w:val="22"/>
        </w:rPr>
        <w:t>has the ability to fully comply with all applicable technical and legal requirements</w:t>
      </w:r>
      <w:r w:rsidR="00F0756B">
        <w:rPr>
          <w:szCs w:val="22"/>
        </w:rPr>
        <w:t>, and the wherewithal to shoulder the inherent risks of taking on the responsibilities of a licensee</w:t>
      </w:r>
      <w:r w:rsidRPr="00294EC2">
        <w:rPr>
          <w:szCs w:val="22"/>
        </w:rPr>
        <w:t>.</w:t>
      </w:r>
      <w:r>
        <w:rPr>
          <w:rStyle w:val="FootnoteReference"/>
          <w:szCs w:val="22"/>
        </w:rPr>
        <w:footnoteReference w:id="31"/>
      </w:r>
      <w:r w:rsidRPr="00294EC2">
        <w:rPr>
          <w:szCs w:val="22"/>
        </w:rPr>
        <w:t xml:space="preserve">  </w:t>
      </w:r>
      <w:r w:rsidR="009027B5">
        <w:rPr>
          <w:szCs w:val="22"/>
        </w:rPr>
        <w:t xml:space="preserve">With respect </w:t>
      </w:r>
      <w:r w:rsidR="00AD6030">
        <w:rPr>
          <w:szCs w:val="22"/>
        </w:rPr>
        <w:t>to TerreStar’s licenses</w:t>
      </w:r>
      <w:r w:rsidR="009027B5">
        <w:rPr>
          <w:szCs w:val="22"/>
        </w:rPr>
        <w:t xml:space="preserve"> specifically</w:t>
      </w:r>
      <w:r w:rsidR="00AD6030">
        <w:rPr>
          <w:szCs w:val="22"/>
        </w:rPr>
        <w:t xml:space="preserve">, </w:t>
      </w:r>
      <w:r w:rsidR="009027B5">
        <w:rPr>
          <w:szCs w:val="22"/>
        </w:rPr>
        <w:t xml:space="preserve">the Bureau, </w:t>
      </w:r>
      <w:r w:rsidR="00AD6030">
        <w:rPr>
          <w:szCs w:val="22"/>
        </w:rPr>
        <w:t>u</w:t>
      </w:r>
      <w:r w:rsidRPr="00294EC2">
        <w:rPr>
          <w:szCs w:val="22"/>
        </w:rPr>
        <w:t>pon establishing the auction bidding procedures for this spectrum in 2006, cautioned potential applicants that Commission rules as well as incumbent operations may affect how 1.4 GHz licensees use the spectrum, and directed bidders to become familiar with any applicable rules, orders, pending proceedings and incumbent operations prior to participating in the auction.</w:t>
      </w:r>
      <w:r w:rsidRPr="00D42474">
        <w:rPr>
          <w:color w:val="000000" w:themeColor="text1"/>
          <w:vertAlign w:val="superscript"/>
        </w:rPr>
        <w:footnoteReference w:id="32"/>
      </w:r>
      <w:r w:rsidRPr="00294EC2">
        <w:rPr>
          <w:szCs w:val="22"/>
        </w:rPr>
        <w:t xml:space="preserve">  The Bureau reminded potential bidders:</w:t>
      </w:r>
    </w:p>
    <w:p w14:paraId="31986115" w14:textId="37D8D5A0" w:rsidR="008D38C4" w:rsidRDefault="008D38C4" w:rsidP="008D38C4">
      <w:pPr>
        <w:pStyle w:val="ParaNum"/>
        <w:numPr>
          <w:ilvl w:val="0"/>
          <w:numId w:val="0"/>
        </w:numPr>
        <w:ind w:left="720"/>
      </w:pPr>
      <w:r>
        <w:t>[</w:t>
      </w:r>
      <w:r w:rsidRPr="00EE6D2C">
        <w:t xml:space="preserve">T]hey are solely responsible for investigating and evaluating all technical and marketplace factors that may have a bearing on the value of the 1.4 GHz band licenses in this auction. </w:t>
      </w:r>
      <w:r>
        <w:t xml:space="preserve"> </w:t>
      </w:r>
      <w:r w:rsidRPr="00EE6D2C">
        <w:rPr>
          <w:bCs/>
        </w:rPr>
        <w:t xml:space="preserve">The FCC makes no representations or warranties about the use of this spectrum for particular services. </w:t>
      </w:r>
      <w:r>
        <w:rPr>
          <w:bCs/>
        </w:rPr>
        <w:t xml:space="preserve"> </w:t>
      </w:r>
      <w:r w:rsidRPr="00EE6D2C">
        <w:rPr>
          <w:bCs/>
        </w:rPr>
        <w:t xml:space="preserve">Applicants should be aware that an FCC </w:t>
      </w:r>
      <w:r w:rsidRPr="00EE6D2C">
        <w:t>auction</w:t>
      </w:r>
      <w:r w:rsidRPr="00EE6D2C">
        <w:rPr>
          <w:bCs/>
        </w:rPr>
        <w:t xml:space="preserve"> represents an opportunity to become an FCC licensee in the </w:t>
      </w:r>
      <w:r w:rsidRPr="00EE6D2C">
        <w:t>1</w:t>
      </w:r>
      <w:r w:rsidRPr="00EE6D2C">
        <w:rPr>
          <w:bCs/>
        </w:rPr>
        <w:t>.</w:t>
      </w:r>
      <w:r w:rsidRPr="00EE6D2C">
        <w:t>4</w:t>
      </w:r>
      <w:r w:rsidRPr="00EE6D2C">
        <w:rPr>
          <w:bCs/>
        </w:rPr>
        <w:t xml:space="preserve"> </w:t>
      </w:r>
      <w:r w:rsidRPr="00EE6D2C">
        <w:t>GHz</w:t>
      </w:r>
      <w:r w:rsidRPr="00EE6D2C">
        <w:rPr>
          <w:bCs/>
        </w:rPr>
        <w:t xml:space="preserve"> band subject to certain conditions and regulations. </w:t>
      </w:r>
      <w:r>
        <w:rPr>
          <w:bCs/>
        </w:rPr>
        <w:t xml:space="preserve"> </w:t>
      </w:r>
      <w:r w:rsidRPr="00EE6D2C">
        <w:rPr>
          <w:bCs/>
        </w:rPr>
        <w:t xml:space="preserve">An FCC </w:t>
      </w:r>
      <w:r w:rsidRPr="00EE6D2C">
        <w:t>auction</w:t>
      </w:r>
      <w:r w:rsidRPr="00EE6D2C">
        <w:rPr>
          <w:bCs/>
        </w:rPr>
        <w:t xml:space="preserve"> does not constitute an endorsement by the FCC of any particular service, technology, or product, nor does an FCC license constitute a guarantee of business success.</w:t>
      </w:r>
      <w:r w:rsidRPr="00EE6D2C">
        <w:t xml:space="preserve"> </w:t>
      </w:r>
      <w:r>
        <w:t xml:space="preserve"> </w:t>
      </w:r>
      <w:r w:rsidRPr="00EE6D2C">
        <w:t>Applicants should perform their individual due diligence before proceeding as they would with any new business venture.</w:t>
      </w:r>
      <w:r w:rsidRPr="00EE6D2C">
        <w:rPr>
          <w:rStyle w:val="FootnoteReference"/>
        </w:rPr>
        <w:footnoteReference w:id="33"/>
      </w:r>
    </w:p>
    <w:p w14:paraId="3932DA66" w14:textId="3022F500" w:rsidR="00507BC6" w:rsidRPr="00585827" w:rsidRDefault="0013243C" w:rsidP="00585827">
      <w:pPr>
        <w:pStyle w:val="ParaNum"/>
        <w:rPr>
          <w:szCs w:val="22"/>
        </w:rPr>
      </w:pPr>
      <w:r>
        <w:t xml:space="preserve">At no time has the Commission made ambiguous or unclear statements </w:t>
      </w:r>
      <w:r w:rsidRPr="00457DBD">
        <w:t>as to a 1.4 GHz licensee’s obligations</w:t>
      </w:r>
      <w:r>
        <w:t xml:space="preserve">. </w:t>
      </w:r>
      <w:r w:rsidRPr="00457DBD">
        <w:t xml:space="preserve"> </w:t>
      </w:r>
      <w:r>
        <w:t xml:space="preserve">In acquiring these licenses from the auction winners in 2007 and 2008, TerreStar was responsible for being fully cognizant of its </w:t>
      </w:r>
      <w:r w:rsidRPr="001C4D6C">
        <w:t xml:space="preserve">responsibility to comply with all applicable service and technical requirements imposed in Part 27 and other Commission rules prior to acquiring its licenses, including the performance requirements and the consequences of failing to meet them.  Given the Commission’s findings that WMTS could be vulnerable to interference as well as </w:t>
      </w:r>
      <w:r>
        <w:t xml:space="preserve">the </w:t>
      </w:r>
      <w:r w:rsidRPr="001C4D6C">
        <w:t>technical requirements aimed at mitigating risks to such operations,</w:t>
      </w:r>
      <w:r w:rsidRPr="001C4D6C">
        <w:rPr>
          <w:rStyle w:val="FootnoteReference"/>
          <w:szCs w:val="22"/>
        </w:rPr>
        <w:footnoteReference w:id="34"/>
      </w:r>
      <w:r w:rsidRPr="001C4D6C">
        <w:t xml:space="preserve"> TerreStar either was aware, or should have been aware, of the possibility that WMTS operations could affect TerreStar’s</w:t>
      </w:r>
      <w:r>
        <w:t xml:space="preserve"> deployment plans.</w:t>
      </w:r>
      <w:r>
        <w:rPr>
          <w:rStyle w:val="FootnoteReference"/>
          <w:szCs w:val="22"/>
        </w:rPr>
        <w:footnoteReference w:id="35"/>
      </w:r>
      <w:r>
        <w:t xml:space="preserve">  In conducting its due diligence, TerreStar therefore should have focused efforts on assessing such risks and developing strategies for addressing them, </w:t>
      </w:r>
      <w:r w:rsidR="00D97BC8">
        <w:t xml:space="preserve">such as </w:t>
      </w:r>
      <w:r>
        <w:t>by performing technical analyses sufficiently early in the course of the license term to enable it to develop and implement</w:t>
      </w:r>
      <w:r w:rsidR="00F86026">
        <w:t>—</w:t>
      </w:r>
      <w:r>
        <w:t>and modify if necessary</w:t>
      </w:r>
      <w:r w:rsidR="00F86026">
        <w:t>—</w:t>
      </w:r>
      <w:r>
        <w:t>a buildout plan that could be accomplished within the applicable performance deadlines.</w:t>
      </w:r>
      <w:r>
        <w:rPr>
          <w:rStyle w:val="FootnoteReference"/>
          <w:szCs w:val="22"/>
        </w:rPr>
        <w:footnoteReference w:id="36"/>
      </w:r>
      <w:r>
        <w:t xml:space="preserve"> </w:t>
      </w:r>
    </w:p>
    <w:p w14:paraId="6BF9E113" w14:textId="5D8B496A" w:rsidR="00B420F1" w:rsidRPr="00E32754" w:rsidRDefault="008D38C4" w:rsidP="00E32754">
      <w:pPr>
        <w:pStyle w:val="ParaNum"/>
        <w:rPr>
          <w:szCs w:val="22"/>
        </w:rPr>
      </w:pPr>
      <w:r w:rsidRPr="00294EC2">
        <w:t>TerreStar argues that</w:t>
      </w:r>
      <w:r w:rsidR="00754259">
        <w:t xml:space="preserve"> it requires additional time to construct due to the</w:t>
      </w:r>
      <w:r w:rsidRPr="00294EC2">
        <w:t xml:space="preserve"> potential for harmful interference to</w:t>
      </w:r>
      <w:r w:rsidR="00DF4D95">
        <w:t xml:space="preserve"> adjacent band</w:t>
      </w:r>
      <w:r w:rsidRPr="00294EC2">
        <w:t xml:space="preserve"> operations</w:t>
      </w:r>
      <w:r w:rsidR="00DF4D95">
        <w:t xml:space="preserve">.  </w:t>
      </w:r>
      <w:r w:rsidR="00ED56EE">
        <w:t xml:space="preserve">Further, TerreStar argues that it could not have known </w:t>
      </w:r>
      <w:r w:rsidR="00E52492">
        <w:t>of the sensitivity of WMTS equipment to interference until after it engaged in collaborative discussions with WMTS interests.</w:t>
      </w:r>
      <w:r w:rsidR="00E52492">
        <w:rPr>
          <w:rStyle w:val="FootnoteReference"/>
        </w:rPr>
        <w:footnoteReference w:id="37"/>
      </w:r>
      <w:r w:rsidR="00E32754">
        <w:t xml:space="preserve">  </w:t>
      </w:r>
      <w:r w:rsidR="00E52492" w:rsidRPr="00E32754">
        <w:rPr>
          <w:szCs w:val="22"/>
        </w:rPr>
        <w:t>However</w:t>
      </w:r>
      <w:r w:rsidRPr="00E32754">
        <w:rPr>
          <w:szCs w:val="22"/>
        </w:rPr>
        <w:t>, these arguments fail to account for the fact that interference to WMTS was a known concern that the Commission alread</w:t>
      </w:r>
      <w:r w:rsidR="00E52492" w:rsidRPr="00E32754">
        <w:rPr>
          <w:szCs w:val="22"/>
        </w:rPr>
        <w:t>y</w:t>
      </w:r>
      <w:r w:rsidRPr="00E32754">
        <w:rPr>
          <w:szCs w:val="22"/>
        </w:rPr>
        <w:t xml:space="preserve"> addressed</w:t>
      </w:r>
      <w:r w:rsidR="00C53205" w:rsidRPr="00E32754">
        <w:rPr>
          <w:szCs w:val="22"/>
        </w:rPr>
        <w:t xml:space="preserve"> in </w:t>
      </w:r>
      <w:r w:rsidR="00EA6956" w:rsidRPr="00E32754">
        <w:rPr>
          <w:szCs w:val="22"/>
        </w:rPr>
        <w:t xml:space="preserve">2002 </w:t>
      </w:r>
      <w:r w:rsidR="00585827" w:rsidRPr="00E32754">
        <w:rPr>
          <w:szCs w:val="22"/>
        </w:rPr>
        <w:t xml:space="preserve">in the </w:t>
      </w:r>
      <w:r w:rsidR="00C53205" w:rsidRPr="00E32754">
        <w:rPr>
          <w:i/>
          <w:szCs w:val="22"/>
        </w:rPr>
        <w:t>1.4 GHz Service Rules Order</w:t>
      </w:r>
      <w:r w:rsidRPr="00E32754">
        <w:rPr>
          <w:szCs w:val="22"/>
        </w:rPr>
        <w:t>.  Specifically, the Commission recognized that interference to adjacent band WMTS may be difficult to control because of the license-by-rule nature of WMTS deployments (i.e.</w:t>
      </w:r>
      <w:r w:rsidR="002172C0" w:rsidRPr="00E32754">
        <w:rPr>
          <w:szCs w:val="22"/>
        </w:rPr>
        <w:t>,</w:t>
      </w:r>
      <w:r w:rsidRPr="00E32754">
        <w:rPr>
          <w:szCs w:val="22"/>
        </w:rPr>
        <w:t xml:space="preserve"> WMTS equipment has no set locus and operations may occur at various locations throughout a metropolitan area).</w:t>
      </w:r>
      <w:r>
        <w:rPr>
          <w:rStyle w:val="FootnoteReference"/>
          <w:szCs w:val="22"/>
        </w:rPr>
        <w:footnoteReference w:id="38"/>
      </w:r>
      <w:r w:rsidRPr="00E32754">
        <w:rPr>
          <w:szCs w:val="22"/>
        </w:rPr>
        <w:t xml:space="preserve">  </w:t>
      </w:r>
      <w:r w:rsidR="00E32754" w:rsidRPr="00E32754">
        <w:rPr>
          <w:szCs w:val="22"/>
        </w:rPr>
        <w:t>Accordingly</w:t>
      </w:r>
      <w:r w:rsidR="00E9557F" w:rsidRPr="00E32754">
        <w:rPr>
          <w:szCs w:val="22"/>
        </w:rPr>
        <w:t>, t</w:t>
      </w:r>
      <w:r w:rsidRPr="00E32754">
        <w:rPr>
          <w:szCs w:val="22"/>
        </w:rPr>
        <w:t>he Commission established rules to protect WMTS, i.e., more stringent power and field strength limits</w:t>
      </w:r>
      <w:r w:rsidR="00C60F8A">
        <w:rPr>
          <w:szCs w:val="22"/>
        </w:rPr>
        <w:t xml:space="preserve"> at the site of WMTS operations</w:t>
      </w:r>
      <w:r w:rsidRPr="00E32754">
        <w:rPr>
          <w:szCs w:val="22"/>
        </w:rPr>
        <w:t>.</w:t>
      </w:r>
      <w:r>
        <w:rPr>
          <w:rStyle w:val="FootnoteReference"/>
          <w:szCs w:val="22"/>
        </w:rPr>
        <w:footnoteReference w:id="39"/>
      </w:r>
      <w:r w:rsidRPr="00E32754">
        <w:rPr>
          <w:szCs w:val="22"/>
        </w:rPr>
        <w:t xml:space="preserve">  </w:t>
      </w:r>
      <w:r w:rsidR="00E32754" w:rsidRPr="00E32754">
        <w:rPr>
          <w:szCs w:val="22"/>
        </w:rPr>
        <w:t>T</w:t>
      </w:r>
      <w:r w:rsidR="00D447CC" w:rsidRPr="00E32754">
        <w:rPr>
          <w:szCs w:val="22"/>
        </w:rPr>
        <w:t xml:space="preserve">he Commission concluded that protecting WMTS operations from harmful interference </w:t>
      </w:r>
      <w:r w:rsidR="00521460" w:rsidRPr="00E32754">
        <w:rPr>
          <w:szCs w:val="22"/>
        </w:rPr>
        <w:t xml:space="preserve">and allowing adjacent band operations flexibility would be best achieved by defining the permissible field strengths that adjacent </w:t>
      </w:r>
      <w:r w:rsidR="00155089" w:rsidRPr="00E32754">
        <w:rPr>
          <w:szCs w:val="22"/>
        </w:rPr>
        <w:t>operations, including 1.4 GHz operations</w:t>
      </w:r>
      <w:r w:rsidR="00C60F8A">
        <w:rPr>
          <w:szCs w:val="22"/>
        </w:rPr>
        <w:t>,</w:t>
      </w:r>
      <w:r w:rsidR="00155089" w:rsidRPr="00E32754">
        <w:rPr>
          <w:szCs w:val="22"/>
        </w:rPr>
        <w:t xml:space="preserve"> must meet.</w:t>
      </w:r>
      <w:r w:rsidR="00155089">
        <w:rPr>
          <w:rStyle w:val="FootnoteReference"/>
          <w:szCs w:val="22"/>
        </w:rPr>
        <w:footnoteReference w:id="40"/>
      </w:r>
      <w:r w:rsidR="00155089" w:rsidRPr="00E32754">
        <w:rPr>
          <w:szCs w:val="22"/>
        </w:rPr>
        <w:t xml:space="preserve">  </w:t>
      </w:r>
      <w:r w:rsidRPr="00E32754">
        <w:rPr>
          <w:szCs w:val="22"/>
        </w:rPr>
        <w:t>The Commission received no objections during the 1.4 GHz Band rulemaking proceeding with respect to these limits or to out-of-band emissions limits established for this spectrum band,</w:t>
      </w:r>
      <w:r w:rsidR="0045100E">
        <w:rPr>
          <w:rStyle w:val="FootnoteReference"/>
          <w:szCs w:val="22"/>
        </w:rPr>
        <w:footnoteReference w:id="41"/>
      </w:r>
      <w:r w:rsidRPr="00E32754">
        <w:rPr>
          <w:szCs w:val="22"/>
        </w:rPr>
        <w:t xml:space="preserve"> and TerreStar provides little support as to why these limits are now insufficient.  The 1.4 GHz Band service rules provide for flexible uses and allow a licensee to determine what technology to use to provide service, but the licensee must comply with the technical and other service rules adopted </w:t>
      </w:r>
      <w:r w:rsidR="00E32754">
        <w:rPr>
          <w:szCs w:val="22"/>
        </w:rPr>
        <w:t>to protect adjacent WMTS operation</w:t>
      </w:r>
      <w:r w:rsidRPr="00E32754">
        <w:rPr>
          <w:szCs w:val="22"/>
        </w:rPr>
        <w:t>.</w:t>
      </w:r>
      <w:r w:rsidRPr="008D38C4">
        <w:t xml:space="preserve"> </w:t>
      </w:r>
      <w:r>
        <w:t xml:space="preserve"> It was TerreStar’s obligation to construct its system in </w:t>
      </w:r>
      <w:r w:rsidR="00E9557F">
        <w:t xml:space="preserve">conformance </w:t>
      </w:r>
      <w:r>
        <w:t xml:space="preserve">to these rules (i.e., the more stringent power and field strength limits), and that obligation cannot be excused by delaying until the end of the license term </w:t>
      </w:r>
      <w:r w:rsidR="00E9557F">
        <w:t>and then</w:t>
      </w:r>
      <w:r>
        <w:t xml:space="preserve"> claim</w:t>
      </w:r>
      <w:r w:rsidR="00E9557F">
        <w:t>ing</w:t>
      </w:r>
      <w:r>
        <w:t xml:space="preserve"> without any technical demonstration that the rules do not provide adequate protection to such adjacent services.</w:t>
      </w:r>
    </w:p>
    <w:p w14:paraId="54E586F4" w14:textId="1473BD2F" w:rsidR="00C26AF4" w:rsidRPr="00754259" w:rsidRDefault="00B420F1" w:rsidP="00754259">
      <w:pPr>
        <w:pStyle w:val="ParaNum"/>
      </w:pPr>
      <w:r>
        <w:t>As</w:t>
      </w:r>
      <w:r w:rsidR="008320A2" w:rsidRPr="00D16BF8">
        <w:rPr>
          <w:szCs w:val="22"/>
        </w:rPr>
        <w:t xml:space="preserve"> note</w:t>
      </w:r>
      <w:r>
        <w:rPr>
          <w:szCs w:val="22"/>
        </w:rPr>
        <w:t>d,</w:t>
      </w:r>
      <w:r w:rsidR="008320A2" w:rsidRPr="00D16BF8">
        <w:rPr>
          <w:szCs w:val="22"/>
        </w:rPr>
        <w:t xml:space="preserve"> certain operating issues referenced in TerreStar’s filing</w:t>
      </w:r>
      <w:r w:rsidR="00D16BF8" w:rsidRPr="00D16BF8">
        <w:rPr>
          <w:szCs w:val="22"/>
        </w:rPr>
        <w:t>s</w:t>
      </w:r>
      <w:r w:rsidR="008320A2" w:rsidRPr="00D16BF8">
        <w:rPr>
          <w:szCs w:val="22"/>
        </w:rPr>
        <w:t xml:space="preserve"> (such as the effect of out-of-band emissions from mobile units operating in close proximity to medical facilities) were raised</w:t>
      </w:r>
      <w:r w:rsidR="00185022" w:rsidRPr="00D16BF8">
        <w:rPr>
          <w:szCs w:val="22"/>
        </w:rPr>
        <w:t xml:space="preserve"> in c</w:t>
      </w:r>
      <w:r w:rsidR="008320A2" w:rsidRPr="00D16BF8">
        <w:rPr>
          <w:szCs w:val="22"/>
        </w:rPr>
        <w:t xml:space="preserve">omments </w:t>
      </w:r>
      <w:r w:rsidR="00081F44" w:rsidRPr="00D16BF8">
        <w:rPr>
          <w:szCs w:val="22"/>
        </w:rPr>
        <w:t>and accounted for in the rules adopted in</w:t>
      </w:r>
      <w:r w:rsidR="008320A2" w:rsidRPr="00D16BF8">
        <w:rPr>
          <w:szCs w:val="22"/>
        </w:rPr>
        <w:t xml:space="preserve"> the 1.4 GHz Band </w:t>
      </w:r>
      <w:r w:rsidR="008320A2" w:rsidRPr="00754259">
        <w:rPr>
          <w:szCs w:val="22"/>
        </w:rPr>
        <w:t>proceeding</w:t>
      </w:r>
      <w:r w:rsidR="00185022" w:rsidRPr="00754259">
        <w:rPr>
          <w:szCs w:val="22"/>
        </w:rPr>
        <w:t>.</w:t>
      </w:r>
      <w:r w:rsidR="00A06B12" w:rsidRPr="00754259">
        <w:rPr>
          <w:rStyle w:val="FootnoteReference"/>
          <w:szCs w:val="22"/>
        </w:rPr>
        <w:footnoteReference w:id="42"/>
      </w:r>
      <w:r w:rsidR="00185022" w:rsidRPr="00754259">
        <w:rPr>
          <w:szCs w:val="22"/>
        </w:rPr>
        <w:t xml:space="preserve">  It is not evident that TerreStar took</w:t>
      </w:r>
      <w:r w:rsidRPr="00754259">
        <w:rPr>
          <w:szCs w:val="22"/>
        </w:rPr>
        <w:t xml:space="preserve"> sufficient</w:t>
      </w:r>
      <w:r w:rsidR="00185022" w:rsidRPr="00754259">
        <w:rPr>
          <w:szCs w:val="22"/>
        </w:rPr>
        <w:t xml:space="preserve"> steps </w:t>
      </w:r>
      <w:r w:rsidR="00585827" w:rsidRPr="00754259">
        <w:rPr>
          <w:szCs w:val="22"/>
        </w:rPr>
        <w:t xml:space="preserve">to adjust </w:t>
      </w:r>
      <w:r w:rsidR="00185022" w:rsidRPr="00754259">
        <w:rPr>
          <w:szCs w:val="22"/>
        </w:rPr>
        <w:t>its planned deployment</w:t>
      </w:r>
      <w:r w:rsidR="00A06B12" w:rsidRPr="00754259">
        <w:rPr>
          <w:szCs w:val="22"/>
        </w:rPr>
        <w:t xml:space="preserve"> </w:t>
      </w:r>
      <w:r w:rsidR="000D6FE5" w:rsidRPr="00754259">
        <w:rPr>
          <w:szCs w:val="22"/>
        </w:rPr>
        <w:t xml:space="preserve">and construct a system </w:t>
      </w:r>
      <w:r w:rsidR="00A06B12" w:rsidRPr="00754259">
        <w:rPr>
          <w:szCs w:val="22"/>
        </w:rPr>
        <w:t>in light of these issues</w:t>
      </w:r>
      <w:r w:rsidR="009E195B" w:rsidRPr="00754259">
        <w:rPr>
          <w:szCs w:val="22"/>
        </w:rPr>
        <w:t xml:space="preserve"> before </w:t>
      </w:r>
      <w:r w:rsidR="004961EF" w:rsidRPr="00754259">
        <w:rPr>
          <w:szCs w:val="22"/>
        </w:rPr>
        <w:t xml:space="preserve">deciding to </w:t>
      </w:r>
      <w:r w:rsidR="006D3EAB" w:rsidRPr="00754259">
        <w:rPr>
          <w:szCs w:val="22"/>
        </w:rPr>
        <w:t xml:space="preserve">abandon </w:t>
      </w:r>
      <w:r w:rsidR="004961EF" w:rsidRPr="00754259">
        <w:rPr>
          <w:szCs w:val="22"/>
        </w:rPr>
        <w:t>its business plan</w:t>
      </w:r>
      <w:r w:rsidR="009E195B" w:rsidRPr="00754259">
        <w:rPr>
          <w:szCs w:val="22"/>
        </w:rPr>
        <w:t xml:space="preserve"> </w:t>
      </w:r>
      <w:r w:rsidR="006D3EAB" w:rsidRPr="00754259">
        <w:rPr>
          <w:szCs w:val="22"/>
        </w:rPr>
        <w:t xml:space="preserve">with </w:t>
      </w:r>
      <w:r w:rsidR="009E195B" w:rsidRPr="00754259">
        <w:rPr>
          <w:szCs w:val="22"/>
        </w:rPr>
        <w:t xml:space="preserve">less than one year </w:t>
      </w:r>
      <w:r w:rsidR="00D266AC" w:rsidRPr="00754259">
        <w:rPr>
          <w:szCs w:val="22"/>
        </w:rPr>
        <w:t>remaining</w:t>
      </w:r>
      <w:r w:rsidR="00D266AC" w:rsidRPr="00D16BF8">
        <w:rPr>
          <w:szCs w:val="22"/>
        </w:rPr>
        <w:t xml:space="preserve"> </w:t>
      </w:r>
      <w:r w:rsidR="00484A69" w:rsidRPr="00D16BF8">
        <w:rPr>
          <w:szCs w:val="22"/>
        </w:rPr>
        <w:t xml:space="preserve">on </w:t>
      </w:r>
      <w:r w:rsidR="009E195B" w:rsidRPr="00D16BF8">
        <w:rPr>
          <w:szCs w:val="22"/>
        </w:rPr>
        <w:t>its</w:t>
      </w:r>
      <w:r w:rsidR="00484A69" w:rsidRPr="00D16BF8">
        <w:rPr>
          <w:szCs w:val="22"/>
        </w:rPr>
        <w:t xml:space="preserve"> </w:t>
      </w:r>
      <w:r w:rsidR="009E195B" w:rsidRPr="00D16BF8">
        <w:rPr>
          <w:szCs w:val="22"/>
        </w:rPr>
        <w:t>license term</w:t>
      </w:r>
      <w:r w:rsidR="00F00E85" w:rsidRPr="00D16BF8">
        <w:rPr>
          <w:szCs w:val="22"/>
        </w:rPr>
        <w:t>.</w:t>
      </w:r>
      <w:r w:rsidR="00970D5D" w:rsidRPr="00D16BF8">
        <w:rPr>
          <w:highlight w:val="yellow"/>
        </w:rPr>
        <w:t xml:space="preserve"> </w:t>
      </w:r>
      <w:r w:rsidR="00302EB3" w:rsidRPr="00D16BF8">
        <w:rPr>
          <w:highlight w:val="yellow"/>
        </w:rPr>
        <w:t xml:space="preserve"> </w:t>
      </w:r>
      <w:r w:rsidR="00302EB3">
        <w:t>We find it striking that TerreStar considered the possibility of setting commercial wireless exclusion zones around WMTS facilities</w:t>
      </w:r>
      <w:r w:rsidR="00302EB3">
        <w:rPr>
          <w:rStyle w:val="FootnoteReference"/>
        </w:rPr>
        <w:footnoteReference w:id="43"/>
      </w:r>
      <w:r w:rsidR="00302EB3">
        <w:t>—a solution that would have complied with the required field strength limits</w:t>
      </w:r>
      <w:r w:rsidR="00D16BF8">
        <w:t>—but rejected</w:t>
      </w:r>
      <w:r>
        <w:t xml:space="preserve"> it</w:t>
      </w:r>
      <w:r w:rsidR="00D16BF8">
        <w:t xml:space="preserve"> for business reasons.  Further, </w:t>
      </w:r>
      <w:r>
        <w:t xml:space="preserve">while </w:t>
      </w:r>
      <w:r w:rsidR="00D16BF8">
        <w:t>TerreStar also states that</w:t>
      </w:r>
      <w:r>
        <w:t xml:space="preserve"> </w:t>
      </w:r>
      <w:r w:rsidR="00D16BF8">
        <w:t xml:space="preserve">it </w:t>
      </w:r>
      <w:r w:rsidR="000D6FE5">
        <w:t>sought</w:t>
      </w:r>
      <w:r w:rsidR="00D16BF8">
        <w:t xml:space="preserve"> a downlink-only wireless operation to avoid interference to WMTS and attempted </w:t>
      </w:r>
      <w:r>
        <w:t xml:space="preserve">in late 2014/early 2015 </w:t>
      </w:r>
      <w:r w:rsidR="000D6FE5">
        <w:t xml:space="preserve">to </w:t>
      </w:r>
      <w:r w:rsidR="00D16BF8">
        <w:t>acquire additional spectrum with which it could pair its 1.4 GHz spectrum</w:t>
      </w:r>
      <w:r>
        <w:t>,</w:t>
      </w:r>
      <w:r w:rsidR="00754259">
        <w:rPr>
          <w:rStyle w:val="FootnoteReference"/>
        </w:rPr>
        <w:footnoteReference w:id="44"/>
      </w:r>
      <w:r>
        <w:t xml:space="preserve"> we find that </w:t>
      </w:r>
      <w:r w:rsidR="00754259">
        <w:t xml:space="preserve">TerreStar </w:t>
      </w:r>
      <w:r>
        <w:t>should have</w:t>
      </w:r>
      <w:r w:rsidR="00754259">
        <w:t xml:space="preserve"> recognized the need to address such technical issues earlier in its license term.</w:t>
      </w:r>
    </w:p>
    <w:p w14:paraId="141A5042" w14:textId="6207701B" w:rsidR="00D46D7B" w:rsidRDefault="00820591" w:rsidP="00DC737D">
      <w:pPr>
        <w:pStyle w:val="ParaNum"/>
        <w:rPr>
          <w:szCs w:val="22"/>
        </w:rPr>
      </w:pPr>
      <w:r>
        <w:rPr>
          <w:szCs w:val="22"/>
        </w:rPr>
        <w:t xml:space="preserve">Similarly, TerreStar fails to provide any technical support beyond </w:t>
      </w:r>
      <w:r w:rsidR="00153808" w:rsidRPr="00A64CBF">
        <w:rPr>
          <w:szCs w:val="22"/>
        </w:rPr>
        <w:t xml:space="preserve">its </w:t>
      </w:r>
      <w:r w:rsidR="00081F44">
        <w:rPr>
          <w:szCs w:val="22"/>
        </w:rPr>
        <w:t>own</w:t>
      </w:r>
      <w:r>
        <w:rPr>
          <w:szCs w:val="22"/>
        </w:rPr>
        <w:t xml:space="preserve"> </w:t>
      </w:r>
      <w:r w:rsidR="00153808" w:rsidRPr="00A64CBF">
        <w:rPr>
          <w:szCs w:val="22"/>
        </w:rPr>
        <w:t>assertions that</w:t>
      </w:r>
      <w:r w:rsidR="00FE1A24" w:rsidRPr="00A64CBF">
        <w:rPr>
          <w:szCs w:val="22"/>
        </w:rPr>
        <w:t xml:space="preserve"> </w:t>
      </w:r>
      <w:r w:rsidR="00686C8E" w:rsidRPr="00A64CBF">
        <w:rPr>
          <w:szCs w:val="22"/>
        </w:rPr>
        <w:t xml:space="preserve">WiMAX system </w:t>
      </w:r>
      <w:r w:rsidR="00A54B9F" w:rsidRPr="00A64CBF">
        <w:rPr>
          <w:szCs w:val="22"/>
        </w:rPr>
        <w:t>o</w:t>
      </w:r>
      <w:r w:rsidR="00B17794" w:rsidRPr="00A64CBF">
        <w:rPr>
          <w:szCs w:val="22"/>
        </w:rPr>
        <w:t>peration</w:t>
      </w:r>
      <w:r>
        <w:rPr>
          <w:szCs w:val="22"/>
        </w:rPr>
        <w:t xml:space="preserve">s </w:t>
      </w:r>
      <w:r w:rsidR="00037C0C" w:rsidRPr="00A64CBF">
        <w:rPr>
          <w:szCs w:val="22"/>
        </w:rPr>
        <w:t xml:space="preserve">could </w:t>
      </w:r>
      <w:r w:rsidR="00282CC6" w:rsidRPr="00A64CBF">
        <w:t xml:space="preserve">disrupt the protected operations of </w:t>
      </w:r>
      <w:r>
        <w:t xml:space="preserve">other </w:t>
      </w:r>
      <w:r w:rsidR="00282CC6" w:rsidRPr="00A64CBF">
        <w:t xml:space="preserve">adjacent </w:t>
      </w:r>
      <w:r>
        <w:t xml:space="preserve">band </w:t>
      </w:r>
      <w:r w:rsidR="00AD2120">
        <w:t>entities</w:t>
      </w:r>
      <w:r>
        <w:t>, such</w:t>
      </w:r>
      <w:r w:rsidR="00282CC6" w:rsidRPr="00A64CBF">
        <w:t xml:space="preserve"> </w:t>
      </w:r>
      <w:r>
        <w:t xml:space="preserve">as </w:t>
      </w:r>
      <w:r w:rsidR="00282CC6" w:rsidRPr="00A64CBF">
        <w:t xml:space="preserve">federal aeronautical telemetry at 1435-1525 MHz, </w:t>
      </w:r>
      <w:r w:rsidR="00CF5471">
        <w:t>and</w:t>
      </w:r>
      <w:r>
        <w:t xml:space="preserve"> </w:t>
      </w:r>
      <w:r w:rsidR="00282CC6" w:rsidRPr="00A64CBF">
        <w:t xml:space="preserve">federal radar operations at 1300-1390 </w:t>
      </w:r>
      <w:r w:rsidR="00081F44">
        <w:t>MHz,</w:t>
      </w:r>
      <w:r w:rsidR="00B17794" w:rsidRPr="00A64CBF">
        <w:rPr>
          <w:rStyle w:val="FootnoteReference"/>
          <w:szCs w:val="22"/>
        </w:rPr>
        <w:footnoteReference w:id="45"/>
      </w:r>
      <w:r w:rsidR="00B17794" w:rsidRPr="00A64CBF">
        <w:rPr>
          <w:szCs w:val="22"/>
        </w:rPr>
        <w:t xml:space="preserve"> </w:t>
      </w:r>
      <w:r w:rsidR="00081F44">
        <w:rPr>
          <w:szCs w:val="22"/>
        </w:rPr>
        <w:t>or how coordination requirements designed to help pro</w:t>
      </w:r>
      <w:r w:rsidR="00CF5471">
        <w:rPr>
          <w:szCs w:val="22"/>
        </w:rPr>
        <w:t>tect such operations are insuffic</w:t>
      </w:r>
      <w:r w:rsidR="00081F44">
        <w:rPr>
          <w:szCs w:val="22"/>
        </w:rPr>
        <w:t>ient</w:t>
      </w:r>
      <w:r w:rsidR="00CF5471">
        <w:rPr>
          <w:szCs w:val="22"/>
        </w:rPr>
        <w:t>.</w:t>
      </w:r>
      <w:r w:rsidR="00B17794" w:rsidRPr="00A64CBF">
        <w:rPr>
          <w:szCs w:val="22"/>
        </w:rPr>
        <w:t xml:space="preserve"> </w:t>
      </w:r>
      <w:r w:rsidR="00F42FD2">
        <w:rPr>
          <w:szCs w:val="22"/>
        </w:rPr>
        <w:t xml:space="preserve"> </w:t>
      </w:r>
      <w:r w:rsidR="008B1A91">
        <w:rPr>
          <w:szCs w:val="22"/>
        </w:rPr>
        <w:t>T</w:t>
      </w:r>
      <w:r w:rsidR="008B1A91" w:rsidRPr="00810D74">
        <w:rPr>
          <w:szCs w:val="22"/>
        </w:rPr>
        <w:t>he Commission considered impacts to other adjacent band uses and put in place coordination requirements to protect certain operations, such as co-primary federal incumbents, while determining that other adjacent band operations can be adequately accommodated by 1.4 GHz licensees on a case-by-case basis.</w:t>
      </w:r>
      <w:r w:rsidR="008B1A91">
        <w:rPr>
          <w:rStyle w:val="FootnoteReference"/>
          <w:szCs w:val="22"/>
        </w:rPr>
        <w:footnoteReference w:id="46"/>
      </w:r>
      <w:r w:rsidR="008B1A91" w:rsidRPr="00810D74">
        <w:rPr>
          <w:szCs w:val="22"/>
        </w:rPr>
        <w:t xml:space="preserve">  </w:t>
      </w:r>
      <w:r w:rsidR="00CF5471">
        <w:t>Likewise</w:t>
      </w:r>
      <w:r w:rsidR="00081F44">
        <w:t>, TerreStar</w:t>
      </w:r>
      <w:r w:rsidR="00081F44" w:rsidRPr="00A64CBF">
        <w:t xml:space="preserve"> </w:t>
      </w:r>
      <w:r w:rsidR="008F11A0">
        <w:t xml:space="preserve">fails to demonstrate </w:t>
      </w:r>
      <w:r w:rsidR="00282CC6" w:rsidRPr="00A64CBF">
        <w:t xml:space="preserve">that </w:t>
      </w:r>
      <w:r w:rsidR="00CF5471">
        <w:t>its planned</w:t>
      </w:r>
      <w:r w:rsidR="00CF5471" w:rsidRPr="00A64CBF">
        <w:t xml:space="preserve"> </w:t>
      </w:r>
      <w:r w:rsidR="00282CC6" w:rsidRPr="00A64CBF">
        <w:t>operation would cause interference to telemetry below 1432 MHz</w:t>
      </w:r>
      <w:r w:rsidR="00CF5471">
        <w:rPr>
          <w:szCs w:val="22"/>
        </w:rPr>
        <w:t xml:space="preserve"> or that existing technical rules for 1.4 GHz are generally problematic</w:t>
      </w:r>
      <w:r w:rsidR="007007A7">
        <w:rPr>
          <w:szCs w:val="22"/>
        </w:rPr>
        <w:t xml:space="preserve"> with regard to such operations.</w:t>
      </w:r>
      <w:r w:rsidR="004961EF">
        <w:rPr>
          <w:szCs w:val="22"/>
        </w:rPr>
        <w:t xml:space="preserve"> </w:t>
      </w:r>
      <w:r w:rsidR="00F42FD2">
        <w:rPr>
          <w:szCs w:val="22"/>
        </w:rPr>
        <w:t xml:space="preserve"> </w:t>
      </w:r>
      <w:r w:rsidR="00BB54EE">
        <w:rPr>
          <w:szCs w:val="22"/>
        </w:rPr>
        <w:t>It has failed to supply supporting technical analysis</w:t>
      </w:r>
      <w:r w:rsidR="003263FB">
        <w:rPr>
          <w:szCs w:val="22"/>
        </w:rPr>
        <w:t>,</w:t>
      </w:r>
      <w:r w:rsidR="00BB54EE">
        <w:rPr>
          <w:szCs w:val="22"/>
        </w:rPr>
        <w:t xml:space="preserve"> or </w:t>
      </w:r>
      <w:r w:rsidR="00C27A56">
        <w:t xml:space="preserve">results </w:t>
      </w:r>
      <w:r w:rsidR="00BB54EE">
        <w:t xml:space="preserve">from any </w:t>
      </w:r>
      <w:r w:rsidR="00C27A56">
        <w:t xml:space="preserve">actual </w:t>
      </w:r>
      <w:r w:rsidR="00BB54EE">
        <w:t xml:space="preserve">efforts to construct its facilities in compliance with </w:t>
      </w:r>
      <w:r w:rsidR="00C27A56">
        <w:t xml:space="preserve">our </w:t>
      </w:r>
      <w:r w:rsidR="00BB54EE">
        <w:t>rules</w:t>
      </w:r>
      <w:r w:rsidR="00C27A56">
        <w:t xml:space="preserve">, that </w:t>
      </w:r>
      <w:r w:rsidR="003263FB">
        <w:t>demonstrates</w:t>
      </w:r>
      <w:r w:rsidR="00BB54EE">
        <w:t xml:space="preserve"> how coordination requirements designed to help protect such operations were proven to be insufficient. </w:t>
      </w:r>
      <w:r w:rsidR="00772F41">
        <w:t xml:space="preserve"> </w:t>
      </w:r>
      <w:r w:rsidRPr="009E195B">
        <w:rPr>
          <w:szCs w:val="22"/>
        </w:rPr>
        <w:t xml:space="preserve">Accordingly, </w:t>
      </w:r>
      <w:r>
        <w:rPr>
          <w:szCs w:val="22"/>
        </w:rPr>
        <w:t>w</w:t>
      </w:r>
      <w:r w:rsidRPr="009E195B">
        <w:rPr>
          <w:szCs w:val="22"/>
        </w:rPr>
        <w:t xml:space="preserve">ithout a more definitive demonstration that harmful interference will occur from WiMAX </w:t>
      </w:r>
      <w:r>
        <w:rPr>
          <w:szCs w:val="22"/>
        </w:rPr>
        <w:t xml:space="preserve">or other </w:t>
      </w:r>
      <w:r w:rsidRPr="009E195B">
        <w:rPr>
          <w:szCs w:val="22"/>
        </w:rPr>
        <w:t xml:space="preserve">deployments operating in compliance with our technical rules, </w:t>
      </w:r>
      <w:r w:rsidR="00914B0E">
        <w:rPr>
          <w:szCs w:val="22"/>
        </w:rPr>
        <w:t>we</w:t>
      </w:r>
      <w:r w:rsidR="00135F47">
        <w:rPr>
          <w:szCs w:val="22"/>
        </w:rPr>
        <w:t xml:space="preserve"> </w:t>
      </w:r>
      <w:r w:rsidR="007F0E41">
        <w:rPr>
          <w:szCs w:val="22"/>
        </w:rPr>
        <w:t xml:space="preserve">find no basis to </w:t>
      </w:r>
      <w:r w:rsidR="00840118">
        <w:rPr>
          <w:szCs w:val="22"/>
        </w:rPr>
        <w:t xml:space="preserve">conclude that </w:t>
      </w:r>
      <w:r w:rsidR="004D2E12">
        <w:rPr>
          <w:szCs w:val="22"/>
        </w:rPr>
        <w:t>execution of TerreStar’s now-abandoned business plan was</w:t>
      </w:r>
      <w:r w:rsidR="00840118">
        <w:rPr>
          <w:szCs w:val="22"/>
        </w:rPr>
        <w:t xml:space="preserve"> not feasible</w:t>
      </w:r>
      <w:r w:rsidRPr="009E195B">
        <w:rPr>
          <w:szCs w:val="22"/>
        </w:rPr>
        <w:t>.</w:t>
      </w:r>
    </w:p>
    <w:p w14:paraId="3F3E0FB6" w14:textId="18FDFA13" w:rsidR="006B0D87" w:rsidRDefault="00EA1AB8" w:rsidP="00EA75AE">
      <w:pPr>
        <w:pStyle w:val="ParaNum"/>
        <w:rPr>
          <w:szCs w:val="22"/>
        </w:rPr>
      </w:pPr>
      <w:r>
        <w:rPr>
          <w:szCs w:val="22"/>
        </w:rPr>
        <w:t xml:space="preserve">We also observe that </w:t>
      </w:r>
      <w:r w:rsidR="00B95DCC" w:rsidRPr="00457DBD">
        <w:rPr>
          <w:szCs w:val="22"/>
        </w:rPr>
        <w:t>TerreStar</w:t>
      </w:r>
      <w:r w:rsidR="003E7C3B">
        <w:rPr>
          <w:szCs w:val="22"/>
        </w:rPr>
        <w:t xml:space="preserve"> made limited progress with respect to </w:t>
      </w:r>
      <w:r w:rsidR="00D64B4B">
        <w:rPr>
          <w:szCs w:val="22"/>
        </w:rPr>
        <w:t xml:space="preserve">putting </w:t>
      </w:r>
      <w:r w:rsidR="00457DBD" w:rsidRPr="00457DBD">
        <w:rPr>
          <w:szCs w:val="22"/>
        </w:rPr>
        <w:t>its spectrum to productive use</w:t>
      </w:r>
      <w:r w:rsidR="00B95DCC">
        <w:rPr>
          <w:szCs w:val="22"/>
        </w:rPr>
        <w:t xml:space="preserve"> </w:t>
      </w:r>
      <w:r w:rsidR="00452A73">
        <w:rPr>
          <w:szCs w:val="22"/>
        </w:rPr>
        <w:t>during the term of its licenses</w:t>
      </w:r>
      <w:r w:rsidR="00F86026">
        <w:rPr>
          <w:szCs w:val="22"/>
        </w:rPr>
        <w:t>—</w:t>
      </w:r>
      <w:r>
        <w:rPr>
          <w:szCs w:val="22"/>
        </w:rPr>
        <w:t xml:space="preserve">making it that much </w:t>
      </w:r>
      <w:r w:rsidR="007F0E41">
        <w:rPr>
          <w:szCs w:val="22"/>
        </w:rPr>
        <w:t xml:space="preserve">more </w:t>
      </w:r>
      <w:r>
        <w:rPr>
          <w:szCs w:val="22"/>
        </w:rPr>
        <w:t xml:space="preserve">difficult to find that even with the benefit of a waiver, TerreStar would be able to </w:t>
      </w:r>
      <w:r w:rsidR="00840118">
        <w:rPr>
          <w:szCs w:val="22"/>
        </w:rPr>
        <w:t>ensure construction and use of its licenses as required by our rules</w:t>
      </w:r>
      <w:r w:rsidR="00457DBD" w:rsidRPr="002C60E9">
        <w:rPr>
          <w:szCs w:val="22"/>
        </w:rPr>
        <w:t xml:space="preserve">.  </w:t>
      </w:r>
      <w:r w:rsidR="002C60E9" w:rsidRPr="002C60E9">
        <w:rPr>
          <w:szCs w:val="22"/>
        </w:rPr>
        <w:t xml:space="preserve">After </w:t>
      </w:r>
      <w:r w:rsidR="00B3399E" w:rsidRPr="002C60E9">
        <w:rPr>
          <w:szCs w:val="22"/>
        </w:rPr>
        <w:t xml:space="preserve">it </w:t>
      </w:r>
      <w:r w:rsidR="00457DBD" w:rsidRPr="002C60E9">
        <w:rPr>
          <w:szCs w:val="22"/>
        </w:rPr>
        <w:t>acquir</w:t>
      </w:r>
      <w:r w:rsidR="00B3399E" w:rsidRPr="002C60E9">
        <w:rPr>
          <w:szCs w:val="22"/>
        </w:rPr>
        <w:t>ed</w:t>
      </w:r>
      <w:r w:rsidR="00457DBD" w:rsidRPr="002C60E9">
        <w:rPr>
          <w:szCs w:val="22"/>
        </w:rPr>
        <w:t xml:space="preserve"> its licenses in 2007 and 2008, TerreStar </w:t>
      </w:r>
      <w:r w:rsidR="001A70A2" w:rsidRPr="002C60E9">
        <w:rPr>
          <w:szCs w:val="22"/>
        </w:rPr>
        <w:t xml:space="preserve">briefly </w:t>
      </w:r>
      <w:r w:rsidR="00457DBD" w:rsidRPr="002C60E9">
        <w:rPr>
          <w:szCs w:val="22"/>
        </w:rPr>
        <w:t xml:space="preserve">sought to provide mobile coverage via a mixed terrestrial-satellite </w:t>
      </w:r>
      <w:r w:rsidR="007915FC" w:rsidRPr="002C60E9">
        <w:rPr>
          <w:szCs w:val="22"/>
        </w:rPr>
        <w:t>service</w:t>
      </w:r>
      <w:r w:rsidR="00935996" w:rsidRPr="002C60E9">
        <w:rPr>
          <w:szCs w:val="22"/>
        </w:rPr>
        <w:t xml:space="preserve"> </w:t>
      </w:r>
      <w:r w:rsidR="00E45EF3" w:rsidRPr="002C60E9">
        <w:rPr>
          <w:szCs w:val="22"/>
        </w:rPr>
        <w:t xml:space="preserve">in 2009 </w:t>
      </w:r>
      <w:r w:rsidR="00935996" w:rsidRPr="002C60E9">
        <w:rPr>
          <w:szCs w:val="22"/>
        </w:rPr>
        <w:t xml:space="preserve">prior to </w:t>
      </w:r>
      <w:r w:rsidR="00B5558A">
        <w:rPr>
          <w:szCs w:val="22"/>
        </w:rPr>
        <w:t>filing for Chapter 11</w:t>
      </w:r>
      <w:r w:rsidR="00861754" w:rsidRPr="002C60E9">
        <w:rPr>
          <w:szCs w:val="22"/>
        </w:rPr>
        <w:t xml:space="preserve"> </w:t>
      </w:r>
      <w:r w:rsidR="00935996" w:rsidRPr="002C60E9">
        <w:rPr>
          <w:szCs w:val="22"/>
        </w:rPr>
        <w:t>bankruptcy</w:t>
      </w:r>
      <w:r w:rsidR="00E45EF3" w:rsidRPr="002C60E9">
        <w:rPr>
          <w:szCs w:val="22"/>
        </w:rPr>
        <w:t xml:space="preserve"> a year later</w:t>
      </w:r>
      <w:r w:rsidR="00AF1BAC" w:rsidRPr="002C60E9">
        <w:rPr>
          <w:szCs w:val="22"/>
        </w:rPr>
        <w:t>.</w:t>
      </w:r>
      <w:r w:rsidR="00935996" w:rsidRPr="002C60E9">
        <w:rPr>
          <w:rStyle w:val="FootnoteReference"/>
          <w:szCs w:val="22"/>
        </w:rPr>
        <w:footnoteReference w:id="47"/>
      </w:r>
      <w:r w:rsidR="00AF1BAC" w:rsidRPr="002C60E9">
        <w:rPr>
          <w:szCs w:val="22"/>
        </w:rPr>
        <w:t xml:space="preserve">  </w:t>
      </w:r>
      <w:r w:rsidR="00730D54" w:rsidRPr="002C60E9">
        <w:rPr>
          <w:szCs w:val="22"/>
        </w:rPr>
        <w:t>Once</w:t>
      </w:r>
      <w:r w:rsidR="002C60E9" w:rsidRPr="002C60E9">
        <w:rPr>
          <w:szCs w:val="22"/>
        </w:rPr>
        <w:t xml:space="preserve"> it emerged</w:t>
      </w:r>
      <w:r w:rsidR="00730D54" w:rsidRPr="002C60E9">
        <w:rPr>
          <w:szCs w:val="22"/>
        </w:rPr>
        <w:t xml:space="preserve"> </w:t>
      </w:r>
      <w:r w:rsidR="008F11A0">
        <w:rPr>
          <w:szCs w:val="22"/>
        </w:rPr>
        <w:t xml:space="preserve">from </w:t>
      </w:r>
      <w:r w:rsidR="00730D54" w:rsidRPr="00DC259B">
        <w:rPr>
          <w:szCs w:val="22"/>
        </w:rPr>
        <w:t>bankruptcy</w:t>
      </w:r>
      <w:r w:rsidR="002C60E9" w:rsidRPr="00DC259B">
        <w:rPr>
          <w:szCs w:val="22"/>
        </w:rPr>
        <w:t>,</w:t>
      </w:r>
      <w:r w:rsidR="00730D54" w:rsidRPr="00DC259B">
        <w:rPr>
          <w:szCs w:val="22"/>
        </w:rPr>
        <w:t xml:space="preserve"> </w:t>
      </w:r>
      <w:r w:rsidR="00C14DAF" w:rsidRPr="00DC259B">
        <w:rPr>
          <w:szCs w:val="22"/>
        </w:rPr>
        <w:t xml:space="preserve">TerreStar </w:t>
      </w:r>
      <w:r w:rsidR="00F37A3D" w:rsidRPr="00DC259B">
        <w:rPr>
          <w:szCs w:val="22"/>
        </w:rPr>
        <w:t xml:space="preserve">then </w:t>
      </w:r>
      <w:r w:rsidR="00457DBD" w:rsidRPr="00DC259B">
        <w:rPr>
          <w:szCs w:val="22"/>
        </w:rPr>
        <w:t xml:space="preserve">continued to hold </w:t>
      </w:r>
      <w:r w:rsidR="00730D54" w:rsidRPr="00DC259B">
        <w:rPr>
          <w:szCs w:val="22"/>
        </w:rPr>
        <w:t>all li</w:t>
      </w:r>
      <w:r w:rsidR="00457DBD" w:rsidRPr="00DC259B">
        <w:rPr>
          <w:szCs w:val="22"/>
        </w:rPr>
        <w:t>censes</w:t>
      </w:r>
      <w:r w:rsidR="001A70A2" w:rsidRPr="00DC259B">
        <w:rPr>
          <w:szCs w:val="22"/>
        </w:rPr>
        <w:t xml:space="preserve"> </w:t>
      </w:r>
      <w:r w:rsidR="00730D54" w:rsidRPr="00DC259B">
        <w:rPr>
          <w:szCs w:val="22"/>
        </w:rPr>
        <w:t xml:space="preserve">in the 1.4 GHz Band </w:t>
      </w:r>
      <w:r w:rsidR="00C14DAF" w:rsidRPr="00DC259B">
        <w:rPr>
          <w:szCs w:val="22"/>
        </w:rPr>
        <w:t xml:space="preserve">without </w:t>
      </w:r>
      <w:r w:rsidR="005D36D7" w:rsidRPr="00DC259B">
        <w:rPr>
          <w:szCs w:val="22"/>
        </w:rPr>
        <w:t>constructing</w:t>
      </w:r>
      <w:r w:rsidR="00011112" w:rsidRPr="00DC259B">
        <w:rPr>
          <w:szCs w:val="22"/>
        </w:rPr>
        <w:t xml:space="preserve"> </w:t>
      </w:r>
      <w:r w:rsidR="00A21006" w:rsidRPr="00DC259B">
        <w:rPr>
          <w:szCs w:val="22"/>
        </w:rPr>
        <w:t>any</w:t>
      </w:r>
      <w:r w:rsidR="00730D54" w:rsidRPr="00DC259B">
        <w:rPr>
          <w:szCs w:val="22"/>
        </w:rPr>
        <w:t xml:space="preserve"> market</w:t>
      </w:r>
      <w:r w:rsidR="00A21006" w:rsidRPr="00DC259B">
        <w:rPr>
          <w:szCs w:val="22"/>
        </w:rPr>
        <w:t>s</w:t>
      </w:r>
      <w:r w:rsidR="00935996" w:rsidRPr="00DC259B">
        <w:rPr>
          <w:szCs w:val="22"/>
        </w:rPr>
        <w:t xml:space="preserve">. </w:t>
      </w:r>
      <w:r w:rsidR="00C14DAF" w:rsidRPr="00DC259B">
        <w:rPr>
          <w:szCs w:val="22"/>
        </w:rPr>
        <w:t xml:space="preserve"> </w:t>
      </w:r>
      <w:r w:rsidR="00730D54" w:rsidRPr="00DC259B">
        <w:rPr>
          <w:szCs w:val="22"/>
        </w:rPr>
        <w:t xml:space="preserve">While TerreStar </w:t>
      </w:r>
      <w:r w:rsidR="005D36D7" w:rsidRPr="00DC259B">
        <w:rPr>
          <w:szCs w:val="22"/>
        </w:rPr>
        <w:t xml:space="preserve">did </w:t>
      </w:r>
      <w:r w:rsidR="00730D54" w:rsidRPr="00DC259B">
        <w:rPr>
          <w:szCs w:val="22"/>
        </w:rPr>
        <w:t>enter into</w:t>
      </w:r>
      <w:r w:rsidR="004910A5" w:rsidRPr="00DC259B">
        <w:rPr>
          <w:szCs w:val="22"/>
        </w:rPr>
        <w:t xml:space="preserve"> </w:t>
      </w:r>
      <w:r w:rsidR="00457DBD" w:rsidRPr="00DC259B">
        <w:rPr>
          <w:szCs w:val="22"/>
        </w:rPr>
        <w:t xml:space="preserve">two leasing </w:t>
      </w:r>
      <w:r w:rsidR="00C478F4" w:rsidRPr="00DC259B">
        <w:rPr>
          <w:szCs w:val="22"/>
        </w:rPr>
        <w:t>arrangements</w:t>
      </w:r>
      <w:r w:rsidR="00730D54" w:rsidRPr="00DC259B">
        <w:rPr>
          <w:szCs w:val="22"/>
        </w:rPr>
        <w:t>,</w:t>
      </w:r>
      <w:r w:rsidR="004910A5" w:rsidRPr="00DC259B">
        <w:rPr>
          <w:szCs w:val="22"/>
        </w:rPr>
        <w:t xml:space="preserve"> </w:t>
      </w:r>
      <w:r w:rsidR="00730D54" w:rsidRPr="00DC259B">
        <w:rPr>
          <w:szCs w:val="22"/>
        </w:rPr>
        <w:t>use of the spectrum</w:t>
      </w:r>
      <w:r w:rsidR="000B1B72" w:rsidRPr="00DC259B">
        <w:rPr>
          <w:szCs w:val="22"/>
        </w:rPr>
        <w:t xml:space="preserve"> </w:t>
      </w:r>
      <w:r w:rsidR="00F37A3D" w:rsidRPr="00DC259B">
        <w:rPr>
          <w:szCs w:val="22"/>
        </w:rPr>
        <w:t xml:space="preserve">by </w:t>
      </w:r>
      <w:r w:rsidR="000B1B72" w:rsidRPr="00DC259B">
        <w:rPr>
          <w:szCs w:val="22"/>
        </w:rPr>
        <w:t>its</w:t>
      </w:r>
      <w:r w:rsidR="004910A5" w:rsidRPr="00DC259B">
        <w:rPr>
          <w:szCs w:val="22"/>
        </w:rPr>
        <w:t xml:space="preserve"> lessees</w:t>
      </w:r>
      <w:r w:rsidR="00C478F4" w:rsidRPr="005D36D7">
        <w:rPr>
          <w:szCs w:val="22"/>
        </w:rPr>
        <w:t xml:space="preserve"> </w:t>
      </w:r>
      <w:r w:rsidR="00F37A3D" w:rsidRPr="005D36D7">
        <w:rPr>
          <w:szCs w:val="22"/>
        </w:rPr>
        <w:t>w</w:t>
      </w:r>
      <w:r w:rsidR="008F11A0">
        <w:rPr>
          <w:szCs w:val="22"/>
        </w:rPr>
        <w:t>as</w:t>
      </w:r>
      <w:r w:rsidR="00F37A3D" w:rsidRPr="005D36D7">
        <w:rPr>
          <w:szCs w:val="22"/>
        </w:rPr>
        <w:t xml:space="preserve"> </w:t>
      </w:r>
      <w:r w:rsidR="008E596E" w:rsidRPr="005D36D7">
        <w:rPr>
          <w:szCs w:val="22"/>
        </w:rPr>
        <w:t xml:space="preserve">limited in duration and </w:t>
      </w:r>
      <w:r w:rsidR="00730D54" w:rsidRPr="005D36D7">
        <w:rPr>
          <w:szCs w:val="22"/>
        </w:rPr>
        <w:t xml:space="preserve">market </w:t>
      </w:r>
      <w:r w:rsidR="008E596E" w:rsidRPr="005D36D7">
        <w:rPr>
          <w:szCs w:val="22"/>
        </w:rPr>
        <w:t>coverage</w:t>
      </w:r>
      <w:r w:rsidR="007E4EAB" w:rsidRPr="005D36D7">
        <w:rPr>
          <w:szCs w:val="22"/>
        </w:rPr>
        <w:t>.</w:t>
      </w:r>
      <w:r w:rsidR="00C478F4">
        <w:rPr>
          <w:rStyle w:val="FootnoteReference"/>
          <w:szCs w:val="22"/>
        </w:rPr>
        <w:footnoteReference w:id="48"/>
      </w:r>
      <w:r w:rsidR="007E4EAB" w:rsidRPr="005D36D7">
        <w:rPr>
          <w:szCs w:val="22"/>
        </w:rPr>
        <w:t xml:space="preserve">  </w:t>
      </w:r>
      <w:r w:rsidR="008C6B4D">
        <w:rPr>
          <w:szCs w:val="22"/>
        </w:rPr>
        <w:t xml:space="preserve">Except for these arrangements, the spectrum was not put to use </w:t>
      </w:r>
      <w:r w:rsidR="008C6B4D" w:rsidRPr="00C60F8A">
        <w:rPr>
          <w:szCs w:val="22"/>
        </w:rPr>
        <w:t xml:space="preserve">for the </w:t>
      </w:r>
      <w:r w:rsidR="00452A73" w:rsidRPr="00C60F8A">
        <w:rPr>
          <w:szCs w:val="22"/>
        </w:rPr>
        <w:t>remainder</w:t>
      </w:r>
      <w:r w:rsidR="008C6B4D" w:rsidRPr="00C60F8A">
        <w:rPr>
          <w:szCs w:val="22"/>
        </w:rPr>
        <w:t xml:space="preserve"> of the license terms.</w:t>
      </w:r>
      <w:r w:rsidR="00452A73" w:rsidRPr="00C60F8A">
        <w:rPr>
          <w:rStyle w:val="FootnoteReference"/>
          <w:szCs w:val="22"/>
        </w:rPr>
        <w:footnoteReference w:id="49"/>
      </w:r>
      <w:r w:rsidR="008C6B4D" w:rsidRPr="00C60F8A">
        <w:rPr>
          <w:szCs w:val="22"/>
        </w:rPr>
        <w:t xml:space="preserve">  </w:t>
      </w:r>
      <w:r w:rsidR="004910A5" w:rsidRPr="00C60F8A">
        <w:rPr>
          <w:szCs w:val="22"/>
        </w:rPr>
        <w:t xml:space="preserve">In lieu of </w:t>
      </w:r>
      <w:r w:rsidR="00730D54" w:rsidRPr="00C60F8A">
        <w:rPr>
          <w:szCs w:val="22"/>
        </w:rPr>
        <w:t xml:space="preserve">actual </w:t>
      </w:r>
      <w:r w:rsidR="00211FC5" w:rsidRPr="00C60F8A">
        <w:rPr>
          <w:szCs w:val="22"/>
        </w:rPr>
        <w:t>buildout</w:t>
      </w:r>
      <w:r w:rsidR="004910A5" w:rsidRPr="00C60F8A">
        <w:rPr>
          <w:szCs w:val="22"/>
        </w:rPr>
        <w:t xml:space="preserve">, </w:t>
      </w:r>
      <w:r w:rsidR="00AF1BAC" w:rsidRPr="00C60F8A">
        <w:rPr>
          <w:szCs w:val="22"/>
        </w:rPr>
        <w:t xml:space="preserve">TerreStar </w:t>
      </w:r>
      <w:r w:rsidR="00730D54" w:rsidRPr="00C60F8A">
        <w:rPr>
          <w:szCs w:val="22"/>
        </w:rPr>
        <w:t xml:space="preserve">asserts </w:t>
      </w:r>
      <w:r w:rsidR="00A21006" w:rsidRPr="00C60F8A">
        <w:rPr>
          <w:szCs w:val="22"/>
        </w:rPr>
        <w:t xml:space="preserve">that it </w:t>
      </w:r>
      <w:r w:rsidR="00AF1BAC" w:rsidRPr="00C60F8A">
        <w:rPr>
          <w:szCs w:val="22"/>
        </w:rPr>
        <w:t>spent the better part of two years</w:t>
      </w:r>
      <w:r w:rsidR="00F37A3D" w:rsidRPr="00C60F8A">
        <w:rPr>
          <w:szCs w:val="22"/>
        </w:rPr>
        <w:t xml:space="preserve"> late in its license</w:t>
      </w:r>
      <w:r w:rsidR="00A21006" w:rsidRPr="00C60F8A">
        <w:rPr>
          <w:szCs w:val="22"/>
        </w:rPr>
        <w:t xml:space="preserve"> terms</w:t>
      </w:r>
      <w:r w:rsidR="00AF1BAC" w:rsidRPr="00C60F8A">
        <w:rPr>
          <w:szCs w:val="22"/>
        </w:rPr>
        <w:t xml:space="preserve"> in talks with the WMTS community about </w:t>
      </w:r>
      <w:r w:rsidR="008F1010" w:rsidRPr="00C60F8A">
        <w:rPr>
          <w:szCs w:val="22"/>
        </w:rPr>
        <w:t>its</w:t>
      </w:r>
      <w:r w:rsidR="00AF1BAC" w:rsidRPr="00C60F8A">
        <w:rPr>
          <w:szCs w:val="22"/>
        </w:rPr>
        <w:t xml:space="preserve"> concerns over the potential interference from WiMAX deployment</w:t>
      </w:r>
      <w:r w:rsidR="00C60F8A">
        <w:rPr>
          <w:szCs w:val="22"/>
        </w:rPr>
        <w:t xml:space="preserve"> as well as exploring the possibility of acquiring other spectrum</w:t>
      </w:r>
      <w:r w:rsidR="00A21006" w:rsidRPr="00C60F8A">
        <w:rPr>
          <w:szCs w:val="22"/>
        </w:rPr>
        <w:t>.</w:t>
      </w:r>
      <w:r w:rsidR="00AF1BAC" w:rsidRPr="00C60F8A">
        <w:rPr>
          <w:szCs w:val="22"/>
        </w:rPr>
        <w:t xml:space="preserve">  </w:t>
      </w:r>
      <w:r w:rsidR="00EA75AE" w:rsidRPr="00C60F8A">
        <w:rPr>
          <w:szCs w:val="22"/>
        </w:rPr>
        <w:t>Finally</w:t>
      </w:r>
      <w:r w:rsidR="00C478F4" w:rsidRPr="00C60F8A">
        <w:rPr>
          <w:szCs w:val="22"/>
        </w:rPr>
        <w:t xml:space="preserve">, </w:t>
      </w:r>
      <w:r w:rsidR="008F1010" w:rsidRPr="00C60F8A">
        <w:rPr>
          <w:szCs w:val="22"/>
        </w:rPr>
        <w:t>according to TerreStar, it was not until</w:t>
      </w:r>
      <w:r w:rsidR="00C478F4" w:rsidRPr="00C60F8A">
        <w:rPr>
          <w:szCs w:val="22"/>
        </w:rPr>
        <w:t xml:space="preserve"> 2016</w:t>
      </w:r>
      <w:r w:rsidR="008F1010" w:rsidRPr="00C60F8A">
        <w:rPr>
          <w:szCs w:val="22"/>
        </w:rPr>
        <w:t xml:space="preserve"> that it</w:t>
      </w:r>
      <w:r w:rsidR="00C478F4" w:rsidRPr="00C60F8A">
        <w:rPr>
          <w:szCs w:val="22"/>
        </w:rPr>
        <w:t xml:space="preserve"> determined that </w:t>
      </w:r>
      <w:r w:rsidR="00385BD0" w:rsidRPr="00C60F8A">
        <w:rPr>
          <w:szCs w:val="22"/>
        </w:rPr>
        <w:t xml:space="preserve">allowing </w:t>
      </w:r>
      <w:r w:rsidR="00C478F4" w:rsidRPr="00C60F8A">
        <w:rPr>
          <w:szCs w:val="22"/>
        </w:rPr>
        <w:t>commercial medical telemetry operation</w:t>
      </w:r>
      <w:r w:rsidR="00385BD0" w:rsidRPr="00C60F8A">
        <w:rPr>
          <w:szCs w:val="22"/>
        </w:rPr>
        <w:t>s</w:t>
      </w:r>
      <w:r w:rsidR="00F96950" w:rsidRPr="00C60F8A">
        <w:rPr>
          <w:szCs w:val="22"/>
        </w:rPr>
        <w:t xml:space="preserve"> w</w:t>
      </w:r>
      <w:r w:rsidR="00AF1BAC" w:rsidRPr="00C60F8A">
        <w:rPr>
          <w:szCs w:val="22"/>
        </w:rPr>
        <w:t xml:space="preserve">ould </w:t>
      </w:r>
      <w:r w:rsidR="001B29DB" w:rsidRPr="00C60F8A">
        <w:rPr>
          <w:szCs w:val="22"/>
        </w:rPr>
        <w:t>permit use</w:t>
      </w:r>
      <w:r w:rsidR="00F96950" w:rsidRPr="00C60F8A">
        <w:rPr>
          <w:szCs w:val="22"/>
        </w:rPr>
        <w:t xml:space="preserve"> of</w:t>
      </w:r>
      <w:r w:rsidR="001B29DB" w:rsidRPr="00C60F8A">
        <w:rPr>
          <w:szCs w:val="22"/>
        </w:rPr>
        <w:t xml:space="preserve"> its</w:t>
      </w:r>
      <w:r w:rsidR="00AF1BAC" w:rsidRPr="00C60F8A">
        <w:rPr>
          <w:szCs w:val="22"/>
        </w:rPr>
        <w:t xml:space="preserve"> 1.4 GHz spectrum</w:t>
      </w:r>
      <w:r w:rsidR="001B29DB" w:rsidRPr="00C60F8A">
        <w:rPr>
          <w:szCs w:val="22"/>
        </w:rPr>
        <w:t xml:space="preserve"> </w:t>
      </w:r>
      <w:r w:rsidR="00A21006" w:rsidRPr="00C60F8A">
        <w:rPr>
          <w:szCs w:val="22"/>
        </w:rPr>
        <w:t>without causing</w:t>
      </w:r>
      <w:r w:rsidR="00F96950" w:rsidRPr="00C60F8A">
        <w:rPr>
          <w:szCs w:val="22"/>
        </w:rPr>
        <w:t xml:space="preserve"> interference to</w:t>
      </w:r>
      <w:r w:rsidR="001B29DB" w:rsidRPr="00C60F8A">
        <w:rPr>
          <w:szCs w:val="22"/>
        </w:rPr>
        <w:t xml:space="preserve"> </w:t>
      </w:r>
      <w:r w:rsidR="005D36D7" w:rsidRPr="00C60F8A">
        <w:rPr>
          <w:szCs w:val="22"/>
        </w:rPr>
        <w:t>adjacent band operations</w:t>
      </w:r>
      <w:r w:rsidR="00EA75AE" w:rsidRPr="00C60F8A">
        <w:rPr>
          <w:szCs w:val="22"/>
        </w:rPr>
        <w:t>, and</w:t>
      </w:r>
      <w:r w:rsidR="005D36D7" w:rsidRPr="00C60F8A">
        <w:rPr>
          <w:szCs w:val="22"/>
        </w:rPr>
        <w:t xml:space="preserve"> </w:t>
      </w:r>
      <w:r w:rsidR="0085435E" w:rsidRPr="00C60F8A">
        <w:rPr>
          <w:szCs w:val="22"/>
        </w:rPr>
        <w:t>filed the instant request</w:t>
      </w:r>
      <w:r w:rsidR="0085435E" w:rsidRPr="00385BD0">
        <w:rPr>
          <w:szCs w:val="22"/>
        </w:rPr>
        <w:t xml:space="preserve"> for additional time</w:t>
      </w:r>
      <w:r w:rsidR="00385BD0">
        <w:rPr>
          <w:szCs w:val="22"/>
        </w:rPr>
        <w:t xml:space="preserve"> to enable WMTS operations on its spectrum</w:t>
      </w:r>
      <w:r w:rsidR="0085435E" w:rsidRPr="00EA75AE">
        <w:rPr>
          <w:szCs w:val="22"/>
        </w:rPr>
        <w:t>.</w:t>
      </w:r>
      <w:r w:rsidR="00B22636">
        <w:rPr>
          <w:rStyle w:val="FootnoteReference"/>
          <w:szCs w:val="22"/>
        </w:rPr>
        <w:footnoteReference w:id="50"/>
      </w:r>
      <w:r w:rsidR="00EA75AE" w:rsidRPr="00EA75AE">
        <w:rPr>
          <w:szCs w:val="22"/>
        </w:rPr>
        <w:t xml:space="preserve">  </w:t>
      </w:r>
      <w:r w:rsidR="00644A57">
        <w:rPr>
          <w:szCs w:val="22"/>
        </w:rPr>
        <w:t>It appears that</w:t>
      </w:r>
      <w:r w:rsidR="008F1010">
        <w:rPr>
          <w:szCs w:val="22"/>
        </w:rPr>
        <w:t>,</w:t>
      </w:r>
      <w:r w:rsidR="00644A57">
        <w:rPr>
          <w:szCs w:val="22"/>
        </w:rPr>
        <w:t xml:space="preserve"> for a significant portion of TerreStar’s license term</w:t>
      </w:r>
      <w:r w:rsidR="008F1010">
        <w:rPr>
          <w:szCs w:val="22"/>
        </w:rPr>
        <w:t>, it made</w:t>
      </w:r>
      <w:r w:rsidR="00644A57">
        <w:rPr>
          <w:szCs w:val="22"/>
        </w:rPr>
        <w:t xml:space="preserve"> little effort to </w:t>
      </w:r>
      <w:r w:rsidR="00C60F8A">
        <w:rPr>
          <w:szCs w:val="22"/>
        </w:rPr>
        <w:t xml:space="preserve">actually </w:t>
      </w:r>
      <w:r w:rsidR="00452A73">
        <w:rPr>
          <w:szCs w:val="22"/>
        </w:rPr>
        <w:t>implement</w:t>
      </w:r>
      <w:r w:rsidR="00C60F8A">
        <w:rPr>
          <w:szCs w:val="22"/>
        </w:rPr>
        <w:t xml:space="preserve"> and deploy</w:t>
      </w:r>
      <w:r w:rsidR="00452A73">
        <w:rPr>
          <w:szCs w:val="22"/>
        </w:rPr>
        <w:t xml:space="preserve"> a service</w:t>
      </w:r>
      <w:r w:rsidR="00C60F8A">
        <w:rPr>
          <w:szCs w:val="22"/>
        </w:rPr>
        <w:t xml:space="preserve">.  </w:t>
      </w:r>
      <w:r w:rsidR="00B239D9" w:rsidRPr="00EA75AE">
        <w:rPr>
          <w:szCs w:val="22"/>
        </w:rPr>
        <w:t>As discussed above</w:t>
      </w:r>
      <w:r w:rsidR="001B29DB" w:rsidRPr="00EA75AE">
        <w:rPr>
          <w:szCs w:val="22"/>
        </w:rPr>
        <w:t>, Ter</w:t>
      </w:r>
      <w:r w:rsidR="00011112" w:rsidRPr="00EA75AE">
        <w:rPr>
          <w:szCs w:val="22"/>
        </w:rPr>
        <w:t>r</w:t>
      </w:r>
      <w:r w:rsidR="001B29DB" w:rsidRPr="00EA75AE">
        <w:rPr>
          <w:szCs w:val="22"/>
        </w:rPr>
        <w:t xml:space="preserve">eStar should have been aware of the technical </w:t>
      </w:r>
      <w:r w:rsidR="00E42632" w:rsidRPr="00EA75AE">
        <w:rPr>
          <w:szCs w:val="22"/>
        </w:rPr>
        <w:t xml:space="preserve">rules and restrictions </w:t>
      </w:r>
      <w:r w:rsidR="001B29DB" w:rsidRPr="00EA75AE">
        <w:rPr>
          <w:szCs w:val="22"/>
        </w:rPr>
        <w:t>under</w:t>
      </w:r>
      <w:r w:rsidR="00B239D9" w:rsidRPr="00EA75AE">
        <w:rPr>
          <w:szCs w:val="22"/>
        </w:rPr>
        <w:t xml:space="preserve"> </w:t>
      </w:r>
      <w:r w:rsidR="001B29DB" w:rsidRPr="00EA75AE">
        <w:rPr>
          <w:szCs w:val="22"/>
        </w:rPr>
        <w:t>which it acquired its spectrum</w:t>
      </w:r>
      <w:r w:rsidR="00A9227B">
        <w:rPr>
          <w:szCs w:val="22"/>
        </w:rPr>
        <w:t>, and should have been more proactive in resolving any potential issues and putting its spectrum into use earlier in its license terms</w:t>
      </w:r>
      <w:r w:rsidR="00C25160" w:rsidRPr="00EA75AE">
        <w:rPr>
          <w:szCs w:val="22"/>
        </w:rPr>
        <w:t xml:space="preserve">.  </w:t>
      </w:r>
      <w:r w:rsidR="00644A57">
        <w:rPr>
          <w:szCs w:val="22"/>
        </w:rPr>
        <w:t>We find that</w:t>
      </w:r>
      <w:r w:rsidR="001B29DB" w:rsidRPr="00EA75AE">
        <w:rPr>
          <w:szCs w:val="22"/>
        </w:rPr>
        <w:t xml:space="preserve"> </w:t>
      </w:r>
      <w:r w:rsidR="008F1010">
        <w:rPr>
          <w:szCs w:val="22"/>
        </w:rPr>
        <w:t xml:space="preserve">its </w:t>
      </w:r>
      <w:r w:rsidR="001B29DB" w:rsidRPr="00EA75AE">
        <w:rPr>
          <w:szCs w:val="22"/>
        </w:rPr>
        <w:t xml:space="preserve">inactivity </w:t>
      </w:r>
      <w:r w:rsidR="00690A9D">
        <w:rPr>
          <w:szCs w:val="22"/>
        </w:rPr>
        <w:t>and lack of progress in pursuing</w:t>
      </w:r>
      <w:r w:rsidR="00211FC5">
        <w:rPr>
          <w:szCs w:val="22"/>
        </w:rPr>
        <w:t xml:space="preserve"> buildout</w:t>
      </w:r>
      <w:r w:rsidR="00690A9D">
        <w:rPr>
          <w:szCs w:val="22"/>
        </w:rPr>
        <w:t xml:space="preserve"> </w:t>
      </w:r>
      <w:r w:rsidR="00F4602C" w:rsidRPr="00EA75AE">
        <w:rPr>
          <w:szCs w:val="22"/>
        </w:rPr>
        <w:t xml:space="preserve">during the lifespan of its licenses </w:t>
      </w:r>
      <w:r w:rsidR="009A3E38" w:rsidRPr="00EA75AE">
        <w:rPr>
          <w:szCs w:val="22"/>
        </w:rPr>
        <w:t xml:space="preserve">gave rise to TerreStar’s </w:t>
      </w:r>
      <w:r w:rsidR="00011112" w:rsidRPr="00EA75AE">
        <w:rPr>
          <w:szCs w:val="22"/>
        </w:rPr>
        <w:t xml:space="preserve">present circumstances and </w:t>
      </w:r>
      <w:r w:rsidR="00644A57">
        <w:rPr>
          <w:szCs w:val="22"/>
        </w:rPr>
        <w:t>its</w:t>
      </w:r>
      <w:r w:rsidR="00644A57" w:rsidRPr="00EA75AE">
        <w:rPr>
          <w:szCs w:val="22"/>
        </w:rPr>
        <w:t xml:space="preserve"> </w:t>
      </w:r>
      <w:r w:rsidR="009A3E38" w:rsidRPr="00EA75AE">
        <w:rPr>
          <w:szCs w:val="22"/>
        </w:rPr>
        <w:t xml:space="preserve">need for </w:t>
      </w:r>
      <w:r w:rsidR="006929E0" w:rsidRPr="00EA75AE">
        <w:rPr>
          <w:szCs w:val="22"/>
        </w:rPr>
        <w:t xml:space="preserve">additional </w:t>
      </w:r>
      <w:r w:rsidR="009A3E38" w:rsidRPr="00EA75AE">
        <w:rPr>
          <w:szCs w:val="22"/>
        </w:rPr>
        <w:t>time to construct</w:t>
      </w:r>
      <w:r w:rsidR="006929E0" w:rsidRPr="00EA75AE">
        <w:rPr>
          <w:szCs w:val="22"/>
        </w:rPr>
        <w:t xml:space="preserve"> </w:t>
      </w:r>
      <w:r w:rsidR="00644A57">
        <w:rPr>
          <w:szCs w:val="22"/>
        </w:rPr>
        <w:t>its</w:t>
      </w:r>
      <w:r w:rsidR="006929E0" w:rsidRPr="00EA75AE">
        <w:rPr>
          <w:szCs w:val="22"/>
        </w:rPr>
        <w:t xml:space="preserve"> licenses</w:t>
      </w:r>
      <w:r w:rsidR="009A3E38" w:rsidRPr="00EA75AE">
        <w:rPr>
          <w:szCs w:val="22"/>
        </w:rPr>
        <w:t>.</w:t>
      </w:r>
      <w:r w:rsidR="00B3399E">
        <w:rPr>
          <w:rStyle w:val="FootnoteReference"/>
          <w:szCs w:val="22"/>
        </w:rPr>
        <w:footnoteReference w:id="51"/>
      </w:r>
    </w:p>
    <w:p w14:paraId="781A1C7D" w14:textId="0F586D4E" w:rsidR="00A9227B" w:rsidRPr="00EA75AE" w:rsidRDefault="00A9227B" w:rsidP="00EA75AE">
      <w:pPr>
        <w:pStyle w:val="ParaNum"/>
        <w:rPr>
          <w:szCs w:val="22"/>
        </w:rPr>
      </w:pPr>
      <w:r w:rsidRPr="00D32B9D">
        <w:rPr>
          <w:szCs w:val="22"/>
        </w:rPr>
        <w:t xml:space="preserve">Based on </w:t>
      </w:r>
      <w:r>
        <w:rPr>
          <w:szCs w:val="22"/>
        </w:rPr>
        <w:t>the factual circumstances described above</w:t>
      </w:r>
      <w:r w:rsidRPr="00D32B9D">
        <w:rPr>
          <w:szCs w:val="22"/>
        </w:rPr>
        <w:t xml:space="preserve">, we conclude that </w:t>
      </w:r>
      <w:r>
        <w:rPr>
          <w:szCs w:val="22"/>
        </w:rPr>
        <w:t xml:space="preserve">TerreStar has </w:t>
      </w:r>
      <w:r w:rsidR="00B61CA5">
        <w:rPr>
          <w:szCs w:val="22"/>
        </w:rPr>
        <w:t>failed to</w:t>
      </w:r>
      <w:r>
        <w:rPr>
          <w:szCs w:val="22"/>
        </w:rPr>
        <w:t xml:space="preserve"> demonstrate that there were unique or unusual circumstances that made application </w:t>
      </w:r>
      <w:r w:rsidRPr="00D32B9D">
        <w:rPr>
          <w:szCs w:val="22"/>
        </w:rPr>
        <w:t>of Section 27.14(a)</w:t>
      </w:r>
      <w:r>
        <w:rPr>
          <w:szCs w:val="22"/>
        </w:rPr>
        <w:t xml:space="preserve"> inequitable,</w:t>
      </w:r>
      <w:r w:rsidRPr="00D32B9D">
        <w:rPr>
          <w:szCs w:val="22"/>
        </w:rPr>
        <w:t xml:space="preserve"> </w:t>
      </w:r>
      <w:r>
        <w:rPr>
          <w:szCs w:val="22"/>
        </w:rPr>
        <w:t>unduly burdensome or contrary to the public interest</w:t>
      </w:r>
      <w:r w:rsidRPr="00D32B9D">
        <w:rPr>
          <w:szCs w:val="22"/>
        </w:rPr>
        <w:t>.</w:t>
      </w:r>
      <w:r>
        <w:rPr>
          <w:rStyle w:val="FootnoteReference"/>
          <w:szCs w:val="22"/>
        </w:rPr>
        <w:footnoteReference w:id="52"/>
      </w:r>
      <w:r w:rsidRPr="00D32B9D">
        <w:rPr>
          <w:szCs w:val="22"/>
        </w:rPr>
        <w:t xml:space="preserve"> </w:t>
      </w:r>
      <w:r w:rsidR="006C4E53">
        <w:rPr>
          <w:szCs w:val="22"/>
        </w:rPr>
        <w:t xml:space="preserve"> TerreStar was already subject to rules designed to protect WMTS and other adjacent band licensees regardless of the type of service it chose to deploy, and </w:t>
      </w:r>
      <w:r w:rsidR="00FC779D">
        <w:rPr>
          <w:szCs w:val="22"/>
        </w:rPr>
        <w:t xml:space="preserve">it </w:t>
      </w:r>
      <w:r w:rsidR="005771A3">
        <w:rPr>
          <w:szCs w:val="22"/>
        </w:rPr>
        <w:t>faile</w:t>
      </w:r>
      <w:r w:rsidR="005539F7">
        <w:rPr>
          <w:szCs w:val="22"/>
        </w:rPr>
        <w:t>d</w:t>
      </w:r>
      <w:r w:rsidR="005771A3">
        <w:rPr>
          <w:szCs w:val="22"/>
        </w:rPr>
        <w:t xml:space="preserve"> to </w:t>
      </w:r>
      <w:r w:rsidR="00FC779D">
        <w:rPr>
          <w:szCs w:val="22"/>
        </w:rPr>
        <w:t xml:space="preserve">demonstrate that it would have caused interference if it operated in compliance with </w:t>
      </w:r>
      <w:r w:rsidR="006D45A5">
        <w:rPr>
          <w:szCs w:val="22"/>
        </w:rPr>
        <w:t>those rules</w:t>
      </w:r>
      <w:r w:rsidR="002C60E9">
        <w:rPr>
          <w:szCs w:val="22"/>
        </w:rPr>
        <w:t>, or that it was</w:t>
      </w:r>
      <w:r w:rsidR="00F720BD">
        <w:rPr>
          <w:szCs w:val="22"/>
        </w:rPr>
        <w:t xml:space="preserve"> otherwise</w:t>
      </w:r>
      <w:r w:rsidR="002C60E9">
        <w:rPr>
          <w:szCs w:val="22"/>
        </w:rPr>
        <w:t xml:space="preserve"> unable to develop a technical solution</w:t>
      </w:r>
      <w:r w:rsidR="006C4E53">
        <w:rPr>
          <w:szCs w:val="22"/>
        </w:rPr>
        <w:t>.</w:t>
      </w:r>
      <w:r w:rsidRPr="00D32B9D">
        <w:rPr>
          <w:szCs w:val="22"/>
        </w:rPr>
        <w:t xml:space="preserve"> </w:t>
      </w:r>
      <w:r w:rsidR="002C60E9">
        <w:rPr>
          <w:szCs w:val="22"/>
        </w:rPr>
        <w:t xml:space="preserve"> </w:t>
      </w:r>
      <w:r>
        <w:rPr>
          <w:szCs w:val="22"/>
        </w:rPr>
        <w:t>TerreStar was</w:t>
      </w:r>
      <w:r w:rsidR="006C4E53">
        <w:rPr>
          <w:szCs w:val="22"/>
        </w:rPr>
        <w:t xml:space="preserve"> also</w:t>
      </w:r>
      <w:r>
        <w:rPr>
          <w:szCs w:val="22"/>
        </w:rPr>
        <w:t xml:space="preserve"> on notice of </w:t>
      </w:r>
      <w:r w:rsidR="00F720BD">
        <w:rPr>
          <w:szCs w:val="22"/>
        </w:rPr>
        <w:t xml:space="preserve">the </w:t>
      </w:r>
      <w:r w:rsidR="00FC779D">
        <w:rPr>
          <w:szCs w:val="22"/>
        </w:rPr>
        <w:t>power</w:t>
      </w:r>
      <w:r w:rsidR="0003429D">
        <w:rPr>
          <w:szCs w:val="22"/>
        </w:rPr>
        <w:t xml:space="preserve"> and field strength</w:t>
      </w:r>
      <w:r w:rsidR="00FC779D">
        <w:rPr>
          <w:szCs w:val="22"/>
        </w:rPr>
        <w:t xml:space="preserve"> restrictions</w:t>
      </w:r>
      <w:r>
        <w:rPr>
          <w:szCs w:val="22"/>
        </w:rPr>
        <w:t xml:space="preserve"> and coordination requirements in our rules</w:t>
      </w:r>
      <w:r w:rsidR="005771A3">
        <w:rPr>
          <w:szCs w:val="22"/>
        </w:rPr>
        <w:t>, which were</w:t>
      </w:r>
      <w:r w:rsidR="00FC779D">
        <w:rPr>
          <w:szCs w:val="22"/>
        </w:rPr>
        <w:t xml:space="preserve"> designed to protect WMTS </w:t>
      </w:r>
      <w:r w:rsidR="00F720BD">
        <w:rPr>
          <w:szCs w:val="22"/>
        </w:rPr>
        <w:t xml:space="preserve">and other adjacent band operations </w:t>
      </w:r>
      <w:r w:rsidR="00FC779D">
        <w:rPr>
          <w:szCs w:val="22"/>
        </w:rPr>
        <w:t>prior to acquiring its licenses</w:t>
      </w:r>
      <w:r>
        <w:rPr>
          <w:szCs w:val="22"/>
        </w:rPr>
        <w:t xml:space="preserve">.  </w:t>
      </w:r>
      <w:r w:rsidR="006C4E53">
        <w:rPr>
          <w:szCs w:val="22"/>
        </w:rPr>
        <w:t>Further, o</w:t>
      </w:r>
      <w:r>
        <w:rPr>
          <w:szCs w:val="22"/>
        </w:rPr>
        <w:t xml:space="preserve">ur review of the record </w:t>
      </w:r>
      <w:r w:rsidR="0003429D">
        <w:rPr>
          <w:szCs w:val="22"/>
        </w:rPr>
        <w:t>leads us to conclude</w:t>
      </w:r>
      <w:r>
        <w:rPr>
          <w:szCs w:val="22"/>
        </w:rPr>
        <w:t xml:space="preserve"> that TerreStar’s failure</w:t>
      </w:r>
      <w:r w:rsidRPr="00D32B9D">
        <w:rPr>
          <w:szCs w:val="22"/>
        </w:rPr>
        <w:t xml:space="preserve"> to develop and deploy a non-interfering solution </w:t>
      </w:r>
      <w:r w:rsidR="00360534">
        <w:rPr>
          <w:szCs w:val="22"/>
        </w:rPr>
        <w:t xml:space="preserve">in a timely manner </w:t>
      </w:r>
      <w:r>
        <w:rPr>
          <w:szCs w:val="22"/>
        </w:rPr>
        <w:t>result</w:t>
      </w:r>
      <w:r w:rsidR="00C739C9">
        <w:rPr>
          <w:szCs w:val="22"/>
        </w:rPr>
        <w:t>ed</w:t>
      </w:r>
      <w:r>
        <w:rPr>
          <w:szCs w:val="22"/>
        </w:rPr>
        <w:t xml:space="preserve"> </w:t>
      </w:r>
      <w:r w:rsidR="0003429D">
        <w:rPr>
          <w:szCs w:val="22"/>
        </w:rPr>
        <w:t>in the need to request the instant relief</w:t>
      </w:r>
      <w:r>
        <w:rPr>
          <w:szCs w:val="22"/>
        </w:rPr>
        <w:t xml:space="preserve">.  </w:t>
      </w:r>
      <w:r w:rsidR="0003429D">
        <w:rPr>
          <w:szCs w:val="22"/>
        </w:rPr>
        <w:t>We conclude therefore that TerreStar has failed to show that relief is warranted under Section 1.925(b)(3)(ii).</w:t>
      </w:r>
    </w:p>
    <w:p w14:paraId="017F71F6" w14:textId="23354575" w:rsidR="00433136" w:rsidRDefault="00433136" w:rsidP="00433136">
      <w:pPr>
        <w:pStyle w:val="ParaNum"/>
      </w:pPr>
      <w:r w:rsidRPr="00433136">
        <w:t>We are also not persuaded that relief should be granted for good cause shown pursuant to Section 1.3 of the Commission’s rules.</w:t>
      </w:r>
      <w:r w:rsidR="00106B96">
        <w:rPr>
          <w:rStyle w:val="FootnoteReference"/>
        </w:rPr>
        <w:footnoteReference w:id="53"/>
      </w:r>
      <w:r w:rsidRPr="00433136">
        <w:t xml:space="preserve">  First, the Commission has found that “the material provisions” of the waiver standards under Section 1.925 and 1.3 are “virtually identical.”</w:t>
      </w:r>
      <w:r>
        <w:rPr>
          <w:rStyle w:val="FootnoteReference"/>
        </w:rPr>
        <w:footnoteReference w:id="54"/>
      </w:r>
      <w:r>
        <w:t xml:space="preserve">  </w:t>
      </w:r>
      <w:r w:rsidRPr="00433136">
        <w:t xml:space="preserve">As noted above, we find that TerreStar has failed to meet its burden to justify a waiver under Section 1.925, and that reasoning applies equally to our determination under Section 1.3 of the rules.  Second, and in any event, TerreStar has not demonstrated that there currently exists a </w:t>
      </w:r>
      <w:r w:rsidR="00CF176C">
        <w:t xml:space="preserve">shortage </w:t>
      </w:r>
      <w:r w:rsidRPr="00433136">
        <w:t xml:space="preserve">of WMTS spectrum capacity </w:t>
      </w:r>
      <w:r w:rsidR="00CF176C">
        <w:t xml:space="preserve">sufficient to </w:t>
      </w:r>
      <w:r w:rsidRPr="00433136">
        <w:t xml:space="preserve">warrant good cause to grant its extensive request for relief.  In this regard, quite apart from the other inadequacies of TerreStar’s waiver showing described above, we </w:t>
      </w:r>
      <w:r w:rsidR="00CF176C">
        <w:t xml:space="preserve">note </w:t>
      </w:r>
      <w:r w:rsidRPr="00433136">
        <w:t>that whether there is a need to devote additional spectrum to WMTS, particularly on a nationwide basis, is an open question,</w:t>
      </w:r>
      <w:r>
        <w:rPr>
          <w:rStyle w:val="FootnoteReference"/>
        </w:rPr>
        <w:footnoteReference w:id="55"/>
      </w:r>
      <w:r>
        <w:t xml:space="preserve"> </w:t>
      </w:r>
      <w:r w:rsidRPr="00433136">
        <w:t>and the record of this proceeding provides an insufficient basis on which to address that issue.</w:t>
      </w:r>
    </w:p>
    <w:p w14:paraId="1358A434" w14:textId="03827B3D" w:rsidR="005103F4" w:rsidRPr="00772F41" w:rsidRDefault="003618B7" w:rsidP="00772F41">
      <w:pPr>
        <w:pStyle w:val="ParaNum"/>
        <w:rPr>
          <w:szCs w:val="22"/>
        </w:rPr>
      </w:pPr>
      <w:r>
        <w:t xml:space="preserve">Lastly, </w:t>
      </w:r>
      <w:r w:rsidRPr="0085481D">
        <w:t>TerreStar</w:t>
      </w:r>
      <w:r>
        <w:t xml:space="preserve"> fails to demonstrate how circumstances </w:t>
      </w:r>
      <w:r w:rsidR="00E24585">
        <w:t>o</w:t>
      </w:r>
      <w:r w:rsidRPr="0085481D">
        <w:t>utside its control</w:t>
      </w:r>
      <w:r w:rsidR="00E24585">
        <w:t xml:space="preserve"> prevented</w:t>
      </w:r>
      <w:r w:rsidR="00DE74E0">
        <w:t xml:space="preserve"> it from complying with its performance requirement</w:t>
      </w:r>
      <w:r w:rsidR="00197655">
        <w:t>.</w:t>
      </w:r>
      <w:r w:rsidRPr="0085481D">
        <w:t xml:space="preserve">  </w:t>
      </w:r>
      <w:r w:rsidR="00416349">
        <w:t>While</w:t>
      </w:r>
      <w:r w:rsidR="00FE6742">
        <w:t xml:space="preserve"> Section 1.946(e) permits us to</w:t>
      </w:r>
      <w:r w:rsidR="00416349">
        <w:t xml:space="preserve"> </w:t>
      </w:r>
      <w:r w:rsidR="00171FD0">
        <w:t>extend the construction deadline</w:t>
      </w:r>
      <w:r w:rsidR="00FE6742">
        <w:t xml:space="preserve"> to enable the deployment of WMTS</w:t>
      </w:r>
      <w:r w:rsidR="00416349">
        <w:t>,</w:t>
      </w:r>
      <w:r w:rsidR="0094709D">
        <w:rPr>
          <w:rStyle w:val="FootnoteReference"/>
        </w:rPr>
        <w:footnoteReference w:id="56"/>
      </w:r>
      <w:r w:rsidR="002F1DB2">
        <w:t xml:space="preserve"> </w:t>
      </w:r>
      <w:r w:rsidR="00DE74E0">
        <w:t>TerreStar</w:t>
      </w:r>
      <w:r w:rsidR="000B76C4">
        <w:t xml:space="preserve"> </w:t>
      </w:r>
      <w:r w:rsidR="00DD3384">
        <w:t xml:space="preserve">does not </w:t>
      </w:r>
      <w:r w:rsidR="000B76C4">
        <w:t>provide</w:t>
      </w:r>
      <w:r w:rsidR="00DD3384">
        <w:t xml:space="preserve"> </w:t>
      </w:r>
      <w:r w:rsidR="000B76C4">
        <w:t xml:space="preserve">support </w:t>
      </w:r>
      <w:r w:rsidR="006755FC">
        <w:t>that</w:t>
      </w:r>
      <w:r w:rsidR="002D4930">
        <w:t xml:space="preserve"> </w:t>
      </w:r>
      <w:r w:rsidR="000D2A02">
        <w:t xml:space="preserve">the </w:t>
      </w:r>
      <w:r w:rsidR="002D4930">
        <w:t xml:space="preserve">circumstances </w:t>
      </w:r>
      <w:r w:rsidR="0094709D">
        <w:t xml:space="preserve">at issue here were indeed </w:t>
      </w:r>
      <w:r w:rsidR="002D4930">
        <w:t>beyond its control</w:t>
      </w:r>
      <w:r w:rsidR="0094709D">
        <w:t>.</w:t>
      </w:r>
      <w:r w:rsidR="00FE6742">
        <w:rPr>
          <w:rStyle w:val="FootnoteReference"/>
          <w:szCs w:val="22"/>
        </w:rPr>
        <w:footnoteReference w:id="57"/>
      </w:r>
      <w:r w:rsidR="00FE6742">
        <w:t xml:space="preserve">  </w:t>
      </w:r>
      <w:r w:rsidR="00E44F37">
        <w:t xml:space="preserve">As noted, TerreStar was on notice of the possible </w:t>
      </w:r>
      <w:r w:rsidR="008101B0">
        <w:t xml:space="preserve">effects </w:t>
      </w:r>
      <w:r w:rsidR="00E44F37">
        <w:t>of adjacent band incumbency on 1.4 GHz operations</w:t>
      </w:r>
      <w:r w:rsidR="008101B0">
        <w:t>,</w:t>
      </w:r>
      <w:r w:rsidR="00E44F37">
        <w:t xml:space="preserve"> as well as </w:t>
      </w:r>
      <w:r w:rsidR="008101B0">
        <w:t xml:space="preserve">the </w:t>
      </w:r>
      <w:r w:rsidR="00E44F37">
        <w:t xml:space="preserve">technical </w:t>
      </w:r>
      <w:r w:rsidR="008101B0">
        <w:t xml:space="preserve">requirements </w:t>
      </w:r>
      <w:r w:rsidR="00CF176C">
        <w:t>with which</w:t>
      </w:r>
      <w:r w:rsidR="008101B0">
        <w:t xml:space="preserve"> it would be required to </w:t>
      </w:r>
      <w:r w:rsidR="00CF176C">
        <w:t>comply</w:t>
      </w:r>
      <w:r w:rsidR="008101B0">
        <w:t xml:space="preserve"> in order </w:t>
      </w:r>
      <w:r w:rsidR="00E44F37">
        <w:t xml:space="preserve">to accommodate </w:t>
      </w:r>
      <w:r w:rsidR="008101B0">
        <w:t>the operations of incumbent licensees in those adjacent bands</w:t>
      </w:r>
      <w:r w:rsidR="00E44F37">
        <w:t xml:space="preserve">.  </w:t>
      </w:r>
      <w:r w:rsidR="00CF176C">
        <w:t xml:space="preserve">From </w:t>
      </w:r>
      <w:r w:rsidR="008101B0">
        <w:t xml:space="preserve">the outset, </w:t>
      </w:r>
      <w:r w:rsidR="00E44F37">
        <w:t xml:space="preserve">TerreStar was obligated </w:t>
      </w:r>
      <w:r w:rsidR="00EF4F5F">
        <w:t xml:space="preserve">to investigate all factors that </w:t>
      </w:r>
      <w:r w:rsidR="0044453B">
        <w:t xml:space="preserve">might </w:t>
      </w:r>
      <w:r w:rsidR="00EF4F5F">
        <w:t>have a bearing on the licenses</w:t>
      </w:r>
      <w:r w:rsidR="0044453B">
        <w:t xml:space="preserve"> it sought</w:t>
      </w:r>
      <w:r w:rsidR="00EF4F5F">
        <w:t xml:space="preserve">, and </w:t>
      </w:r>
      <w:r w:rsidR="0044453B">
        <w:t xml:space="preserve">to </w:t>
      </w:r>
      <w:r w:rsidR="00EF4F5F">
        <w:t>determine the viability of any planned service offering prior to acquiring th</w:t>
      </w:r>
      <w:r w:rsidR="0044453B">
        <w:t xml:space="preserve">ose </w:t>
      </w:r>
      <w:r w:rsidR="00EF4F5F">
        <w:t xml:space="preserve">licenses. </w:t>
      </w:r>
      <w:r w:rsidR="00343ED4">
        <w:t xml:space="preserve"> </w:t>
      </w:r>
      <w:r w:rsidR="00DB5CEF">
        <w:t xml:space="preserve">TerreStar’s </w:t>
      </w:r>
      <w:r w:rsidR="00171FD0">
        <w:t xml:space="preserve">subsequent </w:t>
      </w:r>
      <w:r w:rsidR="00DB5CEF">
        <w:t xml:space="preserve">decision to move forward with </w:t>
      </w:r>
      <w:r w:rsidR="00CF176C">
        <w:t xml:space="preserve">the </w:t>
      </w:r>
      <w:r w:rsidR="00DB5CEF">
        <w:t xml:space="preserve">acquisition </w:t>
      </w:r>
      <w:r w:rsidR="00DB5CEF" w:rsidRPr="00D824C0">
        <w:t xml:space="preserve">of its licenses, </w:t>
      </w:r>
      <w:r w:rsidR="00343ED4">
        <w:t>as well as its decisions</w:t>
      </w:r>
      <w:r w:rsidR="00DB5CEF" w:rsidRPr="00D824C0">
        <w:t xml:space="preserve"> </w:t>
      </w:r>
      <w:r w:rsidR="00343ED4">
        <w:t xml:space="preserve">regarding </w:t>
      </w:r>
      <w:r w:rsidR="00553AD0">
        <w:t>choice</w:t>
      </w:r>
      <w:r w:rsidR="003263FB">
        <w:t xml:space="preserve"> and deployment</w:t>
      </w:r>
      <w:r w:rsidR="00553AD0">
        <w:t xml:space="preserve"> of </w:t>
      </w:r>
      <w:r w:rsidR="00DB5CEF" w:rsidRPr="00D824C0">
        <w:t>service offering</w:t>
      </w:r>
      <w:r w:rsidR="00343ED4">
        <w:t>s in light of such factors,</w:t>
      </w:r>
      <w:r w:rsidR="00DB5CEF" w:rsidRPr="00D824C0">
        <w:t xml:space="preserve"> were all voluntary business strategies.  </w:t>
      </w:r>
      <w:r w:rsidR="00D824C0" w:rsidRPr="00D824C0">
        <w:t>It is well established that</w:t>
      </w:r>
      <w:r w:rsidR="009B37CC" w:rsidRPr="00D824C0">
        <w:t xml:space="preserve"> voluntary business decisions are not circumstances beyond the licensee's control within the meaning of Section 1.946 and, as such, do not constitute a valid basis for regulatory relief.</w:t>
      </w:r>
      <w:r w:rsidR="00C35076" w:rsidRPr="00D824C0">
        <w:rPr>
          <w:rStyle w:val="FootnoteReference"/>
        </w:rPr>
        <w:footnoteReference w:id="58"/>
      </w:r>
      <w:r w:rsidR="009B37CC" w:rsidRPr="00D824C0">
        <w:t xml:space="preserve">  </w:t>
      </w:r>
    </w:p>
    <w:p w14:paraId="0DA6AA23" w14:textId="77777777" w:rsidR="004F0A81" w:rsidRPr="00661A46" w:rsidRDefault="004F0A81" w:rsidP="004F0A81">
      <w:pPr>
        <w:pStyle w:val="Heading1"/>
        <w:rPr>
          <w:szCs w:val="22"/>
        </w:rPr>
      </w:pPr>
      <w:r>
        <w:rPr>
          <w:szCs w:val="22"/>
        </w:rPr>
        <w:t>conclusion</w:t>
      </w:r>
    </w:p>
    <w:p w14:paraId="4DD9AD12" w14:textId="61CCBCDC" w:rsidR="004F0A81" w:rsidRDefault="00E67688" w:rsidP="00E67688">
      <w:pPr>
        <w:pStyle w:val="ParaNum"/>
        <w:rPr>
          <w:szCs w:val="22"/>
        </w:rPr>
      </w:pPr>
      <w:r w:rsidRPr="00E67688">
        <w:t xml:space="preserve">Based </w:t>
      </w:r>
      <w:r>
        <w:t>on the totality of the factors presented by TerreStar</w:t>
      </w:r>
      <w:r w:rsidRPr="00E67688">
        <w:t xml:space="preserve">, </w:t>
      </w:r>
      <w:r w:rsidR="009549CB">
        <w:t xml:space="preserve">we decline to grant </w:t>
      </w:r>
      <w:r w:rsidR="007D3844">
        <w:t>the Waiver Request</w:t>
      </w:r>
      <w:r w:rsidRPr="00E67688">
        <w:t xml:space="preserve">.  </w:t>
      </w:r>
      <w:r w:rsidR="00CF33E2">
        <w:t xml:space="preserve">As a result, all of TerreStar’s </w:t>
      </w:r>
      <w:r w:rsidR="00CF33E2" w:rsidRPr="009549CB">
        <w:t xml:space="preserve">licenses </w:t>
      </w:r>
      <w:r w:rsidR="00CF33E2">
        <w:t xml:space="preserve">automatically terminated </w:t>
      </w:r>
      <w:r w:rsidR="00C34ACE">
        <w:t xml:space="preserve">due to TerreStar’s </w:t>
      </w:r>
      <w:r w:rsidR="00CF33E2">
        <w:t xml:space="preserve">failure to </w:t>
      </w:r>
      <w:r w:rsidR="00D824C0">
        <w:t xml:space="preserve">demonstrate substantial service </w:t>
      </w:r>
      <w:r w:rsidR="00C34ACE">
        <w:t>by its</w:t>
      </w:r>
      <w:r w:rsidR="007541C6">
        <w:t xml:space="preserve"> </w:t>
      </w:r>
      <w:r w:rsidR="00CF33E2" w:rsidRPr="00A54FB0">
        <w:rPr>
          <w:szCs w:val="22"/>
        </w:rPr>
        <w:t>April 23, 20</w:t>
      </w:r>
      <w:r w:rsidR="009549CB">
        <w:rPr>
          <w:szCs w:val="22"/>
        </w:rPr>
        <w:t>17</w:t>
      </w:r>
      <w:r w:rsidR="00C34ACE">
        <w:rPr>
          <w:szCs w:val="22"/>
        </w:rPr>
        <w:t xml:space="preserve"> performance deadline</w:t>
      </w:r>
      <w:r w:rsidR="00CF33E2">
        <w:rPr>
          <w:szCs w:val="22"/>
        </w:rPr>
        <w:t>, pursuant to Section</w:t>
      </w:r>
      <w:r w:rsidR="00786592">
        <w:rPr>
          <w:szCs w:val="22"/>
        </w:rPr>
        <w:t>s</w:t>
      </w:r>
      <w:r w:rsidR="00CF33E2">
        <w:rPr>
          <w:szCs w:val="22"/>
        </w:rPr>
        <w:t xml:space="preserve"> 1.946(c) </w:t>
      </w:r>
      <w:r w:rsidR="00786592">
        <w:rPr>
          <w:szCs w:val="22"/>
        </w:rPr>
        <w:t xml:space="preserve">and 27.14(a) </w:t>
      </w:r>
      <w:r w:rsidR="00CF33E2">
        <w:rPr>
          <w:szCs w:val="22"/>
        </w:rPr>
        <w:t>of the Commission’s rules.</w:t>
      </w:r>
      <w:r w:rsidR="00CF33E2">
        <w:rPr>
          <w:rStyle w:val="FootnoteReference"/>
          <w:szCs w:val="22"/>
        </w:rPr>
        <w:footnoteReference w:id="59"/>
      </w:r>
    </w:p>
    <w:p w14:paraId="32D179C2" w14:textId="6C07BDD2" w:rsidR="004F0A81" w:rsidRPr="00661A46" w:rsidRDefault="004F0A81" w:rsidP="004F0A81">
      <w:pPr>
        <w:pStyle w:val="Heading1"/>
        <w:rPr>
          <w:szCs w:val="22"/>
        </w:rPr>
      </w:pPr>
      <w:r>
        <w:rPr>
          <w:szCs w:val="22"/>
        </w:rPr>
        <w:t xml:space="preserve">ordering </w:t>
      </w:r>
      <w:r w:rsidR="000E4DD9">
        <w:rPr>
          <w:szCs w:val="22"/>
        </w:rPr>
        <w:t>c</w:t>
      </w:r>
      <w:r>
        <w:rPr>
          <w:szCs w:val="22"/>
        </w:rPr>
        <w:t>lause</w:t>
      </w:r>
      <w:r w:rsidR="000E4DD9">
        <w:rPr>
          <w:szCs w:val="22"/>
        </w:rPr>
        <w:t>s</w:t>
      </w:r>
    </w:p>
    <w:p w14:paraId="2938E8BC" w14:textId="3F1A6713" w:rsidR="000D33EF" w:rsidRDefault="004F0A81" w:rsidP="007E3788">
      <w:pPr>
        <w:pStyle w:val="ParaNum"/>
        <w:rPr>
          <w:szCs w:val="22"/>
        </w:rPr>
      </w:pPr>
      <w:r w:rsidRPr="00F56EB8">
        <w:t>Accordingly, IT IS ORDERED</w:t>
      </w:r>
      <w:r>
        <w:t xml:space="preserve"> that, </w:t>
      </w:r>
      <w:r w:rsidRPr="00C10311">
        <w:t>pu</w:t>
      </w:r>
      <w:r>
        <w:t>rsuant to Section</w:t>
      </w:r>
      <w:r w:rsidR="00E56DFF">
        <w:t>s</w:t>
      </w:r>
      <w:r>
        <w:t xml:space="preserve"> 4(i) </w:t>
      </w:r>
      <w:r w:rsidR="00E56DFF">
        <w:t xml:space="preserve">and 309(j) </w:t>
      </w:r>
      <w:r w:rsidRPr="00C10311">
        <w:t>of the Communications Act of 1934, as ame</w:t>
      </w:r>
      <w:r>
        <w:t>nded, 47 U.S.C. §</w:t>
      </w:r>
      <w:r w:rsidR="00E56DFF">
        <w:t>§</w:t>
      </w:r>
      <w:r>
        <w:t xml:space="preserve"> 154(i),</w:t>
      </w:r>
      <w:r w:rsidR="00E56DFF">
        <w:t xml:space="preserve"> 309(j),</w:t>
      </w:r>
      <w:r w:rsidRPr="000D33EF">
        <w:rPr>
          <w:i/>
        </w:rPr>
        <w:t xml:space="preserve"> </w:t>
      </w:r>
      <w:r>
        <w:t xml:space="preserve">and </w:t>
      </w:r>
      <w:r w:rsidR="0019674A">
        <w:t>S</w:t>
      </w:r>
      <w:r>
        <w:t>ection</w:t>
      </w:r>
      <w:r w:rsidR="000E4DD9">
        <w:t>s</w:t>
      </w:r>
      <w:r>
        <w:t xml:space="preserve"> </w:t>
      </w:r>
      <w:r w:rsidR="000E4DD9">
        <w:t>1.3</w:t>
      </w:r>
      <w:r w:rsidR="0043666E">
        <w:t>,</w:t>
      </w:r>
      <w:r w:rsidR="000E4DD9">
        <w:t xml:space="preserve"> </w:t>
      </w:r>
      <w:r w:rsidR="0043666E">
        <w:t>1.925</w:t>
      </w:r>
      <w:r w:rsidR="000B5318">
        <w:t>(b)(3)(ii)</w:t>
      </w:r>
      <w:r w:rsidR="0043666E">
        <w:t>, 1.946</w:t>
      </w:r>
      <w:r w:rsidR="000B5318">
        <w:t>(e)</w:t>
      </w:r>
      <w:r w:rsidR="007E3788">
        <w:t>,</w:t>
      </w:r>
      <w:r w:rsidR="0043666E">
        <w:t xml:space="preserve"> </w:t>
      </w:r>
      <w:r w:rsidR="0013136D">
        <w:t xml:space="preserve">and 27.14(a) </w:t>
      </w:r>
      <w:r>
        <w:t xml:space="preserve">of the Commission’s rules, 47 </w:t>
      </w:r>
      <w:r w:rsidR="00A37A74">
        <w:t>CFR</w:t>
      </w:r>
      <w:r>
        <w:t xml:space="preserve"> §</w:t>
      </w:r>
      <w:r w:rsidR="000E4DD9">
        <w:t>§</w:t>
      </w:r>
      <w:r>
        <w:t xml:space="preserve"> </w:t>
      </w:r>
      <w:r w:rsidR="000E4DD9">
        <w:t xml:space="preserve">1.3, </w:t>
      </w:r>
      <w:r>
        <w:t>1.925</w:t>
      </w:r>
      <w:r w:rsidR="00197655">
        <w:t>(b)(3)(ii)</w:t>
      </w:r>
      <w:r>
        <w:t xml:space="preserve">, </w:t>
      </w:r>
      <w:r w:rsidR="0043666E">
        <w:t>1.946</w:t>
      </w:r>
      <w:r w:rsidR="00197655">
        <w:t>(e)</w:t>
      </w:r>
      <w:r w:rsidR="007E3788">
        <w:t>,</w:t>
      </w:r>
      <w:r w:rsidR="0013136D">
        <w:t xml:space="preserve"> and 27.14(a)</w:t>
      </w:r>
      <w:r w:rsidR="0043666E">
        <w:t xml:space="preserve">, </w:t>
      </w:r>
      <w:r w:rsidRPr="00F6534D">
        <w:t>the request</w:t>
      </w:r>
      <w:r w:rsidR="0013136D">
        <w:t>s</w:t>
      </w:r>
      <w:r w:rsidRPr="00F6534D">
        <w:t xml:space="preserve"> filed by </w:t>
      </w:r>
      <w:r>
        <w:t>TerreStar Corporation</w:t>
      </w:r>
      <w:r w:rsidR="0013136D">
        <w:t xml:space="preserve"> for Temporary Waiver of Substantial Service Requirements, ULS File Nos. </w:t>
      </w:r>
      <w:r w:rsidR="007E3788">
        <w:t>000</w:t>
      </w:r>
      <w:r w:rsidR="007E3788" w:rsidRPr="007E3788">
        <w:rPr>
          <w:color w:val="000000"/>
          <w:szCs w:val="22"/>
        </w:rPr>
        <w:t>7375830</w:t>
      </w:r>
      <w:r w:rsidR="0013136D">
        <w:rPr>
          <w:color w:val="000000"/>
          <w:szCs w:val="22"/>
        </w:rPr>
        <w:t>-</w:t>
      </w:r>
      <w:r w:rsidR="007E3788">
        <w:rPr>
          <w:color w:val="000000"/>
          <w:szCs w:val="22"/>
        </w:rPr>
        <w:t>000</w:t>
      </w:r>
      <w:r w:rsidR="007E3788" w:rsidRPr="007E3788">
        <w:rPr>
          <w:color w:val="000000"/>
          <w:szCs w:val="22"/>
        </w:rPr>
        <w:t>7375893</w:t>
      </w:r>
      <w:r w:rsidR="0013136D">
        <w:t xml:space="preserve">, filed </w:t>
      </w:r>
      <w:r w:rsidR="007E3788">
        <w:t>August 12</w:t>
      </w:r>
      <w:r w:rsidR="0013136D">
        <w:t>, 2016</w:t>
      </w:r>
      <w:r w:rsidRPr="00F6534D">
        <w:t>,</w:t>
      </w:r>
      <w:r>
        <w:t xml:space="preserve"> </w:t>
      </w:r>
      <w:r w:rsidR="0013136D">
        <w:t>ARE</w:t>
      </w:r>
      <w:r w:rsidRPr="00F56EB8">
        <w:t xml:space="preserve"> </w:t>
      </w:r>
      <w:r w:rsidR="000E4DD9">
        <w:t>DENIED</w:t>
      </w:r>
      <w:r>
        <w:t>.</w:t>
      </w:r>
      <w:r w:rsidR="009549CB">
        <w:t xml:space="preserve">  </w:t>
      </w:r>
      <w:r w:rsidR="009549CB" w:rsidRPr="009549CB">
        <w:t xml:space="preserve">Accordingly, all licenses listed in </w:t>
      </w:r>
      <w:r w:rsidR="001657A1">
        <w:t xml:space="preserve">the </w:t>
      </w:r>
      <w:r w:rsidR="009549CB" w:rsidRPr="009549CB">
        <w:t xml:space="preserve">Attachment to this Order TERMINATED AUTOMATICALLY AS OF </w:t>
      </w:r>
      <w:r w:rsidR="009549CB">
        <w:t>April 23, 2017</w:t>
      </w:r>
      <w:r w:rsidR="00C34ACE">
        <w:t>, pursuant to Section 1.946(c) of the Commission’s Rules. 47 CFR 1.946(c)</w:t>
      </w:r>
      <w:r w:rsidR="009549CB" w:rsidRPr="009549CB">
        <w:t>.</w:t>
      </w:r>
    </w:p>
    <w:p w14:paraId="0745454C" w14:textId="3FBE8896" w:rsidR="004F0A81" w:rsidRPr="000D33EF" w:rsidRDefault="004F0A81" w:rsidP="000D33EF">
      <w:pPr>
        <w:pStyle w:val="ParaNum"/>
        <w:rPr>
          <w:szCs w:val="22"/>
        </w:rPr>
      </w:pPr>
      <w:r w:rsidRPr="00F56EB8">
        <w:t>Th</w:t>
      </w:r>
      <w:r w:rsidR="0043666E">
        <w:t>is</w:t>
      </w:r>
      <w:r w:rsidRPr="00F56EB8">
        <w:t xml:space="preserve"> action </w:t>
      </w:r>
      <w:r w:rsidR="0043666E">
        <w:t>is</w:t>
      </w:r>
      <w:r w:rsidR="0043666E" w:rsidRPr="00F56EB8">
        <w:t xml:space="preserve"> </w:t>
      </w:r>
      <w:r w:rsidRPr="00F56EB8">
        <w:t xml:space="preserve">taken under delegated authority pursuant to </w:t>
      </w:r>
      <w:r w:rsidR="00136022">
        <w:t>S</w:t>
      </w:r>
      <w:r w:rsidR="00136022" w:rsidRPr="00F56EB8">
        <w:t xml:space="preserve">ections </w:t>
      </w:r>
      <w:r w:rsidRPr="00F56EB8">
        <w:t xml:space="preserve">0.131 and 0.331 of the Commission’s rules, 47 </w:t>
      </w:r>
      <w:r w:rsidR="00A37A74">
        <w:t>CFR</w:t>
      </w:r>
      <w:r w:rsidRPr="00F56EB8">
        <w:t xml:space="preserve"> §§ 0.131, 0.331.</w:t>
      </w:r>
    </w:p>
    <w:p w14:paraId="078035A7" w14:textId="77777777" w:rsidR="004F0A81" w:rsidRPr="00F56EB8" w:rsidRDefault="004F0A81" w:rsidP="004F0A81">
      <w:pPr>
        <w:ind w:left="4320"/>
        <w:rPr>
          <w:szCs w:val="22"/>
        </w:rPr>
      </w:pPr>
      <w:r w:rsidRPr="00F56EB8">
        <w:rPr>
          <w:szCs w:val="22"/>
        </w:rPr>
        <w:t>FEDERAL COMMUNICATIONS COMMISSION</w:t>
      </w:r>
    </w:p>
    <w:p w14:paraId="5C96EE41" w14:textId="77777777" w:rsidR="004F0A81" w:rsidRDefault="004F0A81" w:rsidP="004F0A81">
      <w:pPr>
        <w:keepNext/>
        <w:keepLines/>
        <w:tabs>
          <w:tab w:val="left" w:pos="-1440"/>
          <w:tab w:val="left" w:pos="-720"/>
          <w:tab w:val="left" w:pos="0"/>
          <w:tab w:val="left" w:pos="720"/>
          <w:tab w:val="left" w:pos="1080"/>
          <w:tab w:val="left" w:pos="1440"/>
        </w:tabs>
        <w:suppressAutoHyphens/>
        <w:ind w:left="720"/>
        <w:rPr>
          <w:szCs w:val="22"/>
        </w:rPr>
      </w:pPr>
      <w:r w:rsidRPr="00F56EB8">
        <w:rPr>
          <w:szCs w:val="22"/>
        </w:rPr>
        <w:tab/>
      </w:r>
      <w:r w:rsidRPr="00F56EB8">
        <w:rPr>
          <w:szCs w:val="22"/>
        </w:rPr>
        <w:tab/>
      </w:r>
      <w:r w:rsidRPr="00F56EB8">
        <w:rPr>
          <w:szCs w:val="22"/>
        </w:rPr>
        <w:tab/>
      </w:r>
      <w:r w:rsidRPr="00F56EB8">
        <w:rPr>
          <w:szCs w:val="22"/>
        </w:rPr>
        <w:tab/>
      </w:r>
    </w:p>
    <w:p w14:paraId="253F225C" w14:textId="77777777" w:rsidR="004F0A81" w:rsidRDefault="004F0A81" w:rsidP="004F0A81">
      <w:pPr>
        <w:keepNext/>
        <w:keepLines/>
        <w:tabs>
          <w:tab w:val="left" w:pos="-1440"/>
          <w:tab w:val="left" w:pos="-720"/>
          <w:tab w:val="left" w:pos="0"/>
          <w:tab w:val="left" w:pos="720"/>
          <w:tab w:val="left" w:pos="1080"/>
          <w:tab w:val="left" w:pos="1440"/>
        </w:tabs>
        <w:suppressAutoHyphens/>
        <w:ind w:left="720"/>
        <w:rPr>
          <w:szCs w:val="22"/>
        </w:rPr>
      </w:pPr>
    </w:p>
    <w:p w14:paraId="1D8E2873" w14:textId="77777777" w:rsidR="004F0A81" w:rsidRDefault="004F0A81" w:rsidP="001F62BC">
      <w:pPr>
        <w:keepNext/>
        <w:keepLines/>
        <w:tabs>
          <w:tab w:val="left" w:pos="-1440"/>
          <w:tab w:val="left" w:pos="-720"/>
          <w:tab w:val="left" w:pos="0"/>
          <w:tab w:val="left" w:pos="720"/>
          <w:tab w:val="left" w:pos="1080"/>
          <w:tab w:val="left" w:pos="1440"/>
        </w:tabs>
        <w:suppressAutoHyphens/>
        <w:rPr>
          <w:szCs w:val="22"/>
        </w:rPr>
      </w:pPr>
    </w:p>
    <w:p w14:paraId="71B28770" w14:textId="77777777" w:rsidR="004F0A81" w:rsidRPr="00F56EB8" w:rsidRDefault="004F0A81" w:rsidP="004F0A81">
      <w:pPr>
        <w:keepNext/>
        <w:keepLines/>
        <w:tabs>
          <w:tab w:val="left" w:pos="-1440"/>
          <w:tab w:val="left" w:pos="-720"/>
          <w:tab w:val="left" w:pos="0"/>
          <w:tab w:val="left" w:pos="720"/>
          <w:tab w:val="left" w:pos="1080"/>
          <w:tab w:val="left" w:pos="1440"/>
        </w:tabs>
        <w:suppressAutoHyphens/>
        <w:ind w:left="720"/>
        <w:rPr>
          <w:szCs w:val="22"/>
        </w:rPr>
      </w:pPr>
      <w:r w:rsidRPr="00F56EB8">
        <w:rPr>
          <w:szCs w:val="22"/>
        </w:rPr>
        <w:tab/>
      </w:r>
      <w:r w:rsidRPr="00F56EB8">
        <w:rPr>
          <w:szCs w:val="22"/>
        </w:rPr>
        <w:tab/>
      </w:r>
      <w:r w:rsidRPr="00F56EB8">
        <w:rPr>
          <w:szCs w:val="22"/>
        </w:rPr>
        <w:tab/>
      </w:r>
      <w:r w:rsidRPr="00F56EB8">
        <w:rPr>
          <w:szCs w:val="22"/>
        </w:rPr>
        <w:tab/>
      </w:r>
      <w:r w:rsidRPr="00F56EB8">
        <w:rPr>
          <w:szCs w:val="22"/>
        </w:rPr>
        <w:tab/>
      </w:r>
      <w:r w:rsidRPr="00F56EB8">
        <w:rPr>
          <w:szCs w:val="22"/>
        </w:rPr>
        <w:tab/>
        <w:t xml:space="preserve">Roger </w:t>
      </w:r>
      <w:r>
        <w:rPr>
          <w:szCs w:val="22"/>
        </w:rPr>
        <w:t xml:space="preserve">S. </w:t>
      </w:r>
      <w:r w:rsidRPr="00F56EB8">
        <w:rPr>
          <w:szCs w:val="22"/>
        </w:rPr>
        <w:t>Noel</w:t>
      </w:r>
      <w:r w:rsidRPr="00F56EB8">
        <w:rPr>
          <w:szCs w:val="22"/>
        </w:rPr>
        <w:tab/>
      </w:r>
      <w:r w:rsidRPr="00F56EB8">
        <w:rPr>
          <w:szCs w:val="22"/>
        </w:rPr>
        <w:tab/>
      </w:r>
      <w:r w:rsidRPr="00F56EB8">
        <w:rPr>
          <w:szCs w:val="22"/>
        </w:rPr>
        <w:tab/>
      </w:r>
      <w:r w:rsidRPr="00F56EB8">
        <w:rPr>
          <w:szCs w:val="22"/>
        </w:rPr>
        <w:tab/>
      </w:r>
      <w:r w:rsidRPr="00F56EB8">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Chief, </w:t>
      </w:r>
      <w:r w:rsidRPr="00F56EB8">
        <w:rPr>
          <w:szCs w:val="22"/>
        </w:rPr>
        <w:t>Mobility Division</w:t>
      </w:r>
    </w:p>
    <w:p w14:paraId="6902C55A" w14:textId="77777777" w:rsidR="004F0A81" w:rsidRDefault="004F0A81" w:rsidP="004F0A81">
      <w:pPr>
        <w:keepNext/>
        <w:keepLines/>
        <w:tabs>
          <w:tab w:val="left" w:pos="-1440"/>
          <w:tab w:val="left" w:pos="-720"/>
          <w:tab w:val="left" w:pos="0"/>
          <w:tab w:val="left" w:pos="720"/>
          <w:tab w:val="left" w:pos="1080"/>
          <w:tab w:val="left" w:pos="1440"/>
        </w:tabs>
        <w:suppressAutoHyphens/>
        <w:ind w:left="720"/>
        <w:rPr>
          <w:szCs w:val="22"/>
        </w:rPr>
      </w:pPr>
      <w:r w:rsidRPr="00F56EB8">
        <w:rPr>
          <w:szCs w:val="22"/>
        </w:rPr>
        <w:tab/>
      </w:r>
      <w:r w:rsidRPr="00F56EB8">
        <w:rPr>
          <w:szCs w:val="22"/>
        </w:rPr>
        <w:tab/>
      </w:r>
      <w:r w:rsidRPr="00F56EB8">
        <w:rPr>
          <w:szCs w:val="22"/>
        </w:rPr>
        <w:tab/>
      </w:r>
      <w:r w:rsidRPr="00F56EB8">
        <w:rPr>
          <w:szCs w:val="22"/>
        </w:rPr>
        <w:tab/>
      </w:r>
      <w:r w:rsidRPr="00F56EB8">
        <w:rPr>
          <w:szCs w:val="22"/>
        </w:rPr>
        <w:tab/>
      </w:r>
      <w:r w:rsidRPr="00F56EB8">
        <w:rPr>
          <w:szCs w:val="22"/>
        </w:rPr>
        <w:tab/>
        <w:t>Wireless Telecommunications Bureau</w:t>
      </w:r>
    </w:p>
    <w:p w14:paraId="1C1800C0" w14:textId="77777777" w:rsidR="00AE1FFE" w:rsidRDefault="00AE1FFE" w:rsidP="004F0A81">
      <w:pPr>
        <w:keepNext/>
        <w:keepLines/>
        <w:tabs>
          <w:tab w:val="left" w:pos="-1440"/>
          <w:tab w:val="left" w:pos="-720"/>
          <w:tab w:val="left" w:pos="0"/>
          <w:tab w:val="left" w:pos="720"/>
          <w:tab w:val="left" w:pos="1080"/>
          <w:tab w:val="left" w:pos="1440"/>
        </w:tabs>
        <w:suppressAutoHyphens/>
        <w:ind w:left="720"/>
        <w:rPr>
          <w:szCs w:val="22"/>
        </w:rPr>
      </w:pPr>
    </w:p>
    <w:p w14:paraId="5FE178A0" w14:textId="7711A659" w:rsidR="00105639" w:rsidRDefault="00105639">
      <w:pPr>
        <w:widowControl/>
        <w:rPr>
          <w:szCs w:val="22"/>
        </w:rPr>
      </w:pPr>
      <w:r>
        <w:rPr>
          <w:szCs w:val="22"/>
        </w:rPr>
        <w:br w:type="page"/>
      </w:r>
    </w:p>
    <w:p w14:paraId="0AB63ABB" w14:textId="535CBCCB" w:rsidR="00EF1914" w:rsidRPr="008A3B97" w:rsidRDefault="00EF1914" w:rsidP="00EF1914">
      <w:pPr>
        <w:tabs>
          <w:tab w:val="center" w:pos="4680"/>
          <w:tab w:val="left" w:pos="8296"/>
        </w:tabs>
        <w:jc w:val="center"/>
        <w:rPr>
          <w:b/>
          <w:szCs w:val="22"/>
        </w:rPr>
      </w:pPr>
      <w:r>
        <w:rPr>
          <w:b/>
          <w:szCs w:val="22"/>
        </w:rPr>
        <w:t>APPENDIX</w:t>
      </w:r>
    </w:p>
    <w:tbl>
      <w:tblPr>
        <w:tblStyle w:val="TableGrid"/>
        <w:tblpPr w:leftFromText="180" w:rightFromText="180" w:horzAnchor="margin" w:tblpY="365"/>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45"/>
        <w:gridCol w:w="639"/>
        <w:gridCol w:w="1330"/>
        <w:gridCol w:w="657"/>
        <w:gridCol w:w="3779"/>
        <w:gridCol w:w="1597"/>
        <w:gridCol w:w="203"/>
      </w:tblGrid>
      <w:tr w:rsidR="00EF1914" w14:paraId="2452E4AD" w14:textId="77777777" w:rsidTr="00EF1914">
        <w:tc>
          <w:tcPr>
            <w:tcW w:w="1245" w:type="dxa"/>
          </w:tcPr>
          <w:p w14:paraId="0BF7BD5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b/>
                <w:szCs w:val="22"/>
              </w:rPr>
            </w:pPr>
            <w:r>
              <w:rPr>
                <w:b/>
                <w:szCs w:val="22"/>
              </w:rPr>
              <w:t>Call Sign</w:t>
            </w:r>
          </w:p>
        </w:tc>
        <w:tc>
          <w:tcPr>
            <w:tcW w:w="639" w:type="dxa"/>
          </w:tcPr>
          <w:p w14:paraId="3A26E521" w14:textId="77777777" w:rsidR="00EF1914" w:rsidRDefault="00EF1914" w:rsidP="00EF1914">
            <w:pPr>
              <w:keepNext/>
              <w:keepLines/>
              <w:tabs>
                <w:tab w:val="left" w:pos="-1440"/>
                <w:tab w:val="left" w:pos="-720"/>
                <w:tab w:val="left" w:pos="0"/>
                <w:tab w:val="left" w:pos="720"/>
                <w:tab w:val="left" w:pos="1080"/>
                <w:tab w:val="left" w:pos="1440"/>
              </w:tabs>
              <w:suppressAutoHyphens/>
              <w:rPr>
                <w:b/>
                <w:szCs w:val="22"/>
              </w:rPr>
            </w:pPr>
          </w:p>
        </w:tc>
        <w:tc>
          <w:tcPr>
            <w:tcW w:w="1330" w:type="dxa"/>
          </w:tcPr>
          <w:p w14:paraId="013103E0" w14:textId="42C1712E" w:rsidR="00EF1914" w:rsidRPr="00C5575E" w:rsidRDefault="00EF1914" w:rsidP="00EF1914">
            <w:pPr>
              <w:keepNext/>
              <w:keepLines/>
              <w:tabs>
                <w:tab w:val="left" w:pos="-1440"/>
                <w:tab w:val="left" w:pos="-720"/>
                <w:tab w:val="left" w:pos="0"/>
                <w:tab w:val="left" w:pos="720"/>
                <w:tab w:val="left" w:pos="1080"/>
                <w:tab w:val="left" w:pos="1440"/>
              </w:tabs>
              <w:suppressAutoHyphens/>
              <w:rPr>
                <w:b/>
                <w:szCs w:val="22"/>
              </w:rPr>
            </w:pPr>
            <w:r>
              <w:rPr>
                <w:b/>
                <w:szCs w:val="22"/>
              </w:rPr>
              <w:t xml:space="preserve">File No. </w:t>
            </w:r>
          </w:p>
        </w:tc>
        <w:tc>
          <w:tcPr>
            <w:tcW w:w="657" w:type="dxa"/>
          </w:tcPr>
          <w:p w14:paraId="506E5688" w14:textId="77777777" w:rsidR="00EF1914" w:rsidRDefault="00EF1914" w:rsidP="00EF1914">
            <w:pPr>
              <w:keepNext/>
              <w:keepLines/>
              <w:tabs>
                <w:tab w:val="left" w:pos="-1440"/>
                <w:tab w:val="left" w:pos="-720"/>
                <w:tab w:val="left" w:pos="0"/>
                <w:tab w:val="left" w:pos="720"/>
                <w:tab w:val="left" w:pos="1080"/>
                <w:tab w:val="left" w:pos="1440"/>
              </w:tabs>
              <w:suppressAutoHyphens/>
              <w:rPr>
                <w:b/>
                <w:szCs w:val="22"/>
              </w:rPr>
            </w:pPr>
          </w:p>
        </w:tc>
        <w:tc>
          <w:tcPr>
            <w:tcW w:w="3779" w:type="dxa"/>
          </w:tcPr>
          <w:p w14:paraId="33FA750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b/>
                <w:szCs w:val="22"/>
              </w:rPr>
            </w:pPr>
            <w:r>
              <w:rPr>
                <w:b/>
                <w:szCs w:val="22"/>
              </w:rPr>
              <w:t xml:space="preserve">Market </w:t>
            </w:r>
          </w:p>
        </w:tc>
        <w:tc>
          <w:tcPr>
            <w:tcW w:w="1800" w:type="dxa"/>
            <w:gridSpan w:val="2"/>
          </w:tcPr>
          <w:p w14:paraId="2A694A44" w14:textId="631DB7FE" w:rsidR="00EF1914" w:rsidRPr="00C5575E" w:rsidRDefault="00EF1914" w:rsidP="00EF1914">
            <w:pPr>
              <w:keepNext/>
              <w:keepLines/>
              <w:tabs>
                <w:tab w:val="left" w:pos="-1440"/>
                <w:tab w:val="left" w:pos="-720"/>
                <w:tab w:val="left" w:pos="0"/>
                <w:tab w:val="left" w:pos="720"/>
                <w:tab w:val="left" w:pos="1080"/>
                <w:tab w:val="left" w:pos="1440"/>
              </w:tabs>
              <w:suppressAutoHyphens/>
              <w:rPr>
                <w:b/>
                <w:szCs w:val="22"/>
              </w:rPr>
            </w:pPr>
            <w:r>
              <w:rPr>
                <w:b/>
                <w:szCs w:val="22"/>
              </w:rPr>
              <w:t>Spectrum Block</w:t>
            </w:r>
          </w:p>
        </w:tc>
      </w:tr>
      <w:tr w:rsidR="00EF1914" w14:paraId="075B60AB" w14:textId="77777777" w:rsidTr="00EF1914">
        <w:trPr>
          <w:gridAfter w:val="1"/>
          <w:wAfter w:w="203" w:type="dxa"/>
        </w:trPr>
        <w:tc>
          <w:tcPr>
            <w:tcW w:w="1245" w:type="dxa"/>
            <w:vAlign w:val="bottom"/>
          </w:tcPr>
          <w:p w14:paraId="1B1B8FC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639" w:type="dxa"/>
          </w:tcPr>
          <w:p w14:paraId="0B66767F"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74DC8D06"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657" w:type="dxa"/>
          </w:tcPr>
          <w:p w14:paraId="4C1B036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35F94A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597" w:type="dxa"/>
            <w:vAlign w:val="bottom"/>
          </w:tcPr>
          <w:p w14:paraId="44D7015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r>
      <w:tr w:rsidR="00EF1914" w14:paraId="182DB5CC" w14:textId="77777777" w:rsidTr="00EF1914">
        <w:trPr>
          <w:gridAfter w:val="1"/>
          <w:wAfter w:w="203" w:type="dxa"/>
        </w:trPr>
        <w:tc>
          <w:tcPr>
            <w:tcW w:w="3214" w:type="dxa"/>
            <w:gridSpan w:val="3"/>
            <w:vAlign w:val="bottom"/>
          </w:tcPr>
          <w:p w14:paraId="57982F7A" w14:textId="75D5402A" w:rsidR="00EF1914" w:rsidRDefault="00EF1914" w:rsidP="00EF1914">
            <w:pPr>
              <w:keepNext/>
              <w:keepLines/>
              <w:tabs>
                <w:tab w:val="left" w:pos="-1440"/>
                <w:tab w:val="left" w:pos="-720"/>
                <w:tab w:val="left" w:pos="0"/>
                <w:tab w:val="left" w:pos="720"/>
                <w:tab w:val="left" w:pos="1080"/>
                <w:tab w:val="left" w:pos="1440"/>
              </w:tabs>
              <w:suppressAutoHyphens/>
              <w:rPr>
                <w:color w:val="000000"/>
                <w:szCs w:val="22"/>
                <w:u w:val="single"/>
              </w:rPr>
            </w:pPr>
            <w:r w:rsidRPr="00E06CC0">
              <w:rPr>
                <w:color w:val="000000"/>
                <w:szCs w:val="22"/>
                <w:u w:val="single"/>
              </w:rPr>
              <w:t xml:space="preserve">1390-1392 </w:t>
            </w:r>
            <w:r>
              <w:rPr>
                <w:color w:val="000000"/>
                <w:szCs w:val="22"/>
                <w:u w:val="single"/>
              </w:rPr>
              <w:t>MHz Licenses</w:t>
            </w:r>
          </w:p>
          <w:p w14:paraId="04622D5F" w14:textId="77777777" w:rsidR="00EF1914" w:rsidRPr="00E06CC0" w:rsidRDefault="00EF1914" w:rsidP="00EF1914">
            <w:pPr>
              <w:keepNext/>
              <w:keepLines/>
              <w:tabs>
                <w:tab w:val="left" w:pos="-1440"/>
                <w:tab w:val="left" w:pos="-720"/>
                <w:tab w:val="left" w:pos="0"/>
                <w:tab w:val="left" w:pos="720"/>
                <w:tab w:val="left" w:pos="1080"/>
                <w:tab w:val="left" w:pos="1440"/>
              </w:tabs>
              <w:suppressAutoHyphens/>
              <w:rPr>
                <w:color w:val="000000"/>
                <w:szCs w:val="22"/>
                <w:u w:val="single"/>
              </w:rPr>
            </w:pPr>
          </w:p>
        </w:tc>
        <w:tc>
          <w:tcPr>
            <w:tcW w:w="657" w:type="dxa"/>
          </w:tcPr>
          <w:p w14:paraId="4573450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722B8A6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597" w:type="dxa"/>
            <w:vAlign w:val="bottom"/>
          </w:tcPr>
          <w:p w14:paraId="0B6AB85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r>
      <w:tr w:rsidR="00EF1914" w14:paraId="5ACAF447" w14:textId="77777777" w:rsidTr="00EF1914">
        <w:trPr>
          <w:gridAfter w:val="1"/>
          <w:wAfter w:w="203" w:type="dxa"/>
        </w:trPr>
        <w:tc>
          <w:tcPr>
            <w:tcW w:w="1245" w:type="dxa"/>
            <w:vAlign w:val="bottom"/>
          </w:tcPr>
          <w:p w14:paraId="2CA419B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WQGU891</w:t>
            </w:r>
          </w:p>
        </w:tc>
        <w:tc>
          <w:tcPr>
            <w:tcW w:w="639" w:type="dxa"/>
          </w:tcPr>
          <w:p w14:paraId="2E7A7930"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2B87F0C5"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7375836</w:t>
            </w:r>
          </w:p>
        </w:tc>
        <w:tc>
          <w:tcPr>
            <w:tcW w:w="657" w:type="dxa"/>
          </w:tcPr>
          <w:p w14:paraId="192C703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8DA904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Boston</w:t>
            </w:r>
          </w:p>
        </w:tc>
        <w:tc>
          <w:tcPr>
            <w:tcW w:w="1597" w:type="dxa"/>
            <w:vAlign w:val="bottom"/>
          </w:tcPr>
          <w:p w14:paraId="53DCDB0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465931F0" w14:textId="77777777" w:rsidTr="00EF1914">
        <w:trPr>
          <w:gridAfter w:val="1"/>
          <w:wAfter w:w="203" w:type="dxa"/>
        </w:trPr>
        <w:tc>
          <w:tcPr>
            <w:tcW w:w="1245" w:type="dxa"/>
            <w:vAlign w:val="bottom"/>
          </w:tcPr>
          <w:p w14:paraId="370A411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WQGU892</w:t>
            </w:r>
          </w:p>
        </w:tc>
        <w:tc>
          <w:tcPr>
            <w:tcW w:w="639" w:type="dxa"/>
          </w:tcPr>
          <w:p w14:paraId="1F705F35"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35014926"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7375837</w:t>
            </w:r>
          </w:p>
        </w:tc>
        <w:tc>
          <w:tcPr>
            <w:tcW w:w="657" w:type="dxa"/>
          </w:tcPr>
          <w:p w14:paraId="0D6008E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384348E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New York City</w:t>
            </w:r>
          </w:p>
        </w:tc>
        <w:tc>
          <w:tcPr>
            <w:tcW w:w="1597" w:type="dxa"/>
            <w:vAlign w:val="bottom"/>
          </w:tcPr>
          <w:p w14:paraId="0851D4B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1825EDE2" w14:textId="77777777" w:rsidTr="00EF1914">
        <w:trPr>
          <w:gridAfter w:val="1"/>
          <w:wAfter w:w="203" w:type="dxa"/>
        </w:trPr>
        <w:tc>
          <w:tcPr>
            <w:tcW w:w="1245" w:type="dxa"/>
            <w:vAlign w:val="bottom"/>
          </w:tcPr>
          <w:p w14:paraId="66DDA16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WQGU893</w:t>
            </w:r>
          </w:p>
        </w:tc>
        <w:tc>
          <w:tcPr>
            <w:tcW w:w="639" w:type="dxa"/>
          </w:tcPr>
          <w:p w14:paraId="5F859E65"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241A6874"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7375838</w:t>
            </w:r>
          </w:p>
        </w:tc>
        <w:tc>
          <w:tcPr>
            <w:tcW w:w="657" w:type="dxa"/>
          </w:tcPr>
          <w:p w14:paraId="2425E2D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C7CFF0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Buffalo</w:t>
            </w:r>
          </w:p>
        </w:tc>
        <w:tc>
          <w:tcPr>
            <w:tcW w:w="1597" w:type="dxa"/>
            <w:vAlign w:val="bottom"/>
          </w:tcPr>
          <w:p w14:paraId="4250284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55E6AF65" w14:textId="77777777" w:rsidTr="00EF1914">
        <w:trPr>
          <w:gridAfter w:val="1"/>
          <w:wAfter w:w="203" w:type="dxa"/>
        </w:trPr>
        <w:tc>
          <w:tcPr>
            <w:tcW w:w="1245" w:type="dxa"/>
            <w:vAlign w:val="bottom"/>
          </w:tcPr>
          <w:p w14:paraId="0223B28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WQGU894</w:t>
            </w:r>
          </w:p>
        </w:tc>
        <w:tc>
          <w:tcPr>
            <w:tcW w:w="639" w:type="dxa"/>
          </w:tcPr>
          <w:p w14:paraId="2E8473BB"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2A58977E"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7375839</w:t>
            </w:r>
          </w:p>
        </w:tc>
        <w:tc>
          <w:tcPr>
            <w:tcW w:w="657" w:type="dxa"/>
          </w:tcPr>
          <w:p w14:paraId="23B87CF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779FC2E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Philadelphia</w:t>
            </w:r>
          </w:p>
        </w:tc>
        <w:tc>
          <w:tcPr>
            <w:tcW w:w="1597" w:type="dxa"/>
            <w:vAlign w:val="bottom"/>
          </w:tcPr>
          <w:p w14:paraId="4706408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4F049CCB" w14:textId="77777777" w:rsidTr="00EF1914">
        <w:trPr>
          <w:gridAfter w:val="1"/>
          <w:wAfter w:w="203" w:type="dxa"/>
        </w:trPr>
        <w:tc>
          <w:tcPr>
            <w:tcW w:w="1245" w:type="dxa"/>
            <w:vAlign w:val="bottom"/>
          </w:tcPr>
          <w:p w14:paraId="0DE3978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WQGU895</w:t>
            </w:r>
          </w:p>
        </w:tc>
        <w:tc>
          <w:tcPr>
            <w:tcW w:w="639" w:type="dxa"/>
          </w:tcPr>
          <w:p w14:paraId="6F39B83D"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145DE8F6"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7375840</w:t>
            </w:r>
          </w:p>
        </w:tc>
        <w:tc>
          <w:tcPr>
            <w:tcW w:w="657" w:type="dxa"/>
          </w:tcPr>
          <w:p w14:paraId="71BECEF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016393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Washington</w:t>
            </w:r>
          </w:p>
        </w:tc>
        <w:tc>
          <w:tcPr>
            <w:tcW w:w="1597" w:type="dxa"/>
            <w:vAlign w:val="bottom"/>
          </w:tcPr>
          <w:p w14:paraId="2F9DAD0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4E420A29" w14:textId="77777777" w:rsidTr="00EF1914">
        <w:trPr>
          <w:gridAfter w:val="1"/>
          <w:wAfter w:w="203" w:type="dxa"/>
        </w:trPr>
        <w:tc>
          <w:tcPr>
            <w:tcW w:w="1245" w:type="dxa"/>
            <w:vAlign w:val="bottom"/>
          </w:tcPr>
          <w:p w14:paraId="7F00061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WQGU896</w:t>
            </w:r>
          </w:p>
        </w:tc>
        <w:tc>
          <w:tcPr>
            <w:tcW w:w="639" w:type="dxa"/>
          </w:tcPr>
          <w:p w14:paraId="3EF775BB"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366C4FB1"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7375841</w:t>
            </w:r>
          </w:p>
        </w:tc>
        <w:tc>
          <w:tcPr>
            <w:tcW w:w="657" w:type="dxa"/>
          </w:tcPr>
          <w:p w14:paraId="7439FB1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6F62674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Richmond</w:t>
            </w:r>
          </w:p>
        </w:tc>
        <w:tc>
          <w:tcPr>
            <w:tcW w:w="1597" w:type="dxa"/>
            <w:vAlign w:val="bottom"/>
          </w:tcPr>
          <w:p w14:paraId="2D20615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04A2E8C3" w14:textId="77777777" w:rsidTr="00EF1914">
        <w:trPr>
          <w:gridAfter w:val="1"/>
          <w:wAfter w:w="203" w:type="dxa"/>
        </w:trPr>
        <w:tc>
          <w:tcPr>
            <w:tcW w:w="1245" w:type="dxa"/>
            <w:vAlign w:val="bottom"/>
          </w:tcPr>
          <w:p w14:paraId="568CA76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WQGU897</w:t>
            </w:r>
          </w:p>
        </w:tc>
        <w:tc>
          <w:tcPr>
            <w:tcW w:w="639" w:type="dxa"/>
          </w:tcPr>
          <w:p w14:paraId="6CFEF275"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0BA85CC1"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7375842</w:t>
            </w:r>
          </w:p>
        </w:tc>
        <w:tc>
          <w:tcPr>
            <w:tcW w:w="657" w:type="dxa"/>
          </w:tcPr>
          <w:p w14:paraId="54FB217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13FCBC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Charlotte-Greensboro-Greenvill</w:t>
            </w:r>
            <w:r>
              <w:rPr>
                <w:color w:val="000000"/>
                <w:szCs w:val="22"/>
              </w:rPr>
              <w:t>e</w:t>
            </w:r>
          </w:p>
        </w:tc>
        <w:tc>
          <w:tcPr>
            <w:tcW w:w="1597" w:type="dxa"/>
            <w:vAlign w:val="bottom"/>
          </w:tcPr>
          <w:p w14:paraId="4778E98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1A16954E" w14:textId="77777777" w:rsidTr="00EF1914">
        <w:trPr>
          <w:gridAfter w:val="1"/>
          <w:wAfter w:w="203" w:type="dxa"/>
        </w:trPr>
        <w:tc>
          <w:tcPr>
            <w:tcW w:w="1245" w:type="dxa"/>
            <w:vAlign w:val="bottom"/>
          </w:tcPr>
          <w:p w14:paraId="78C82DB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WQGU898</w:t>
            </w:r>
          </w:p>
        </w:tc>
        <w:tc>
          <w:tcPr>
            <w:tcW w:w="639" w:type="dxa"/>
          </w:tcPr>
          <w:p w14:paraId="328EE47B"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2EE0073F"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7375843</w:t>
            </w:r>
          </w:p>
        </w:tc>
        <w:tc>
          <w:tcPr>
            <w:tcW w:w="657" w:type="dxa"/>
          </w:tcPr>
          <w:p w14:paraId="6382B71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8B6672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Atlanta</w:t>
            </w:r>
          </w:p>
        </w:tc>
        <w:tc>
          <w:tcPr>
            <w:tcW w:w="1597" w:type="dxa"/>
            <w:vAlign w:val="bottom"/>
          </w:tcPr>
          <w:p w14:paraId="789F80A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1E9BD82" w14:textId="77777777" w:rsidTr="00EF1914">
        <w:trPr>
          <w:gridAfter w:val="1"/>
          <w:wAfter w:w="203" w:type="dxa"/>
        </w:trPr>
        <w:tc>
          <w:tcPr>
            <w:tcW w:w="1245" w:type="dxa"/>
            <w:vAlign w:val="bottom"/>
          </w:tcPr>
          <w:p w14:paraId="6F6A8BB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WQGU899</w:t>
            </w:r>
          </w:p>
        </w:tc>
        <w:tc>
          <w:tcPr>
            <w:tcW w:w="639" w:type="dxa"/>
          </w:tcPr>
          <w:p w14:paraId="657E6556"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3D027247"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7375844</w:t>
            </w:r>
          </w:p>
        </w:tc>
        <w:tc>
          <w:tcPr>
            <w:tcW w:w="657" w:type="dxa"/>
          </w:tcPr>
          <w:p w14:paraId="21E6E61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3214A63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Jacksonville</w:t>
            </w:r>
          </w:p>
        </w:tc>
        <w:tc>
          <w:tcPr>
            <w:tcW w:w="1597" w:type="dxa"/>
            <w:vAlign w:val="bottom"/>
          </w:tcPr>
          <w:p w14:paraId="5D3A555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7F7A0EE9" w14:textId="77777777" w:rsidTr="00EF1914">
        <w:trPr>
          <w:gridAfter w:val="1"/>
          <w:wAfter w:w="203" w:type="dxa"/>
        </w:trPr>
        <w:tc>
          <w:tcPr>
            <w:tcW w:w="1245" w:type="dxa"/>
            <w:vAlign w:val="bottom"/>
          </w:tcPr>
          <w:p w14:paraId="1F17ED3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WQGU900</w:t>
            </w:r>
          </w:p>
        </w:tc>
        <w:tc>
          <w:tcPr>
            <w:tcW w:w="639" w:type="dxa"/>
          </w:tcPr>
          <w:p w14:paraId="73F3E0F1"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6E0983D2"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7375845</w:t>
            </w:r>
          </w:p>
        </w:tc>
        <w:tc>
          <w:tcPr>
            <w:tcW w:w="657" w:type="dxa"/>
          </w:tcPr>
          <w:p w14:paraId="7E12FC4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396647A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Tampa-St. Petersburg-Orlando</w:t>
            </w:r>
          </w:p>
        </w:tc>
        <w:tc>
          <w:tcPr>
            <w:tcW w:w="1597" w:type="dxa"/>
            <w:vAlign w:val="bottom"/>
          </w:tcPr>
          <w:p w14:paraId="23D6B8B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403F3320" w14:textId="77777777" w:rsidTr="00EF1914">
        <w:trPr>
          <w:gridAfter w:val="1"/>
          <w:wAfter w:w="203" w:type="dxa"/>
        </w:trPr>
        <w:tc>
          <w:tcPr>
            <w:tcW w:w="1245" w:type="dxa"/>
            <w:vAlign w:val="bottom"/>
          </w:tcPr>
          <w:p w14:paraId="089B023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WQGU901</w:t>
            </w:r>
          </w:p>
        </w:tc>
        <w:tc>
          <w:tcPr>
            <w:tcW w:w="639" w:type="dxa"/>
          </w:tcPr>
          <w:p w14:paraId="3DB01440"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2705BE28"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7375846</w:t>
            </w:r>
          </w:p>
        </w:tc>
        <w:tc>
          <w:tcPr>
            <w:tcW w:w="657" w:type="dxa"/>
          </w:tcPr>
          <w:p w14:paraId="225CD56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E72C3B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Miami</w:t>
            </w:r>
          </w:p>
        </w:tc>
        <w:tc>
          <w:tcPr>
            <w:tcW w:w="1597" w:type="dxa"/>
            <w:vAlign w:val="bottom"/>
          </w:tcPr>
          <w:p w14:paraId="73CAA59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D24F411" w14:textId="77777777" w:rsidTr="00EF1914">
        <w:trPr>
          <w:gridAfter w:val="1"/>
          <w:wAfter w:w="203" w:type="dxa"/>
        </w:trPr>
        <w:tc>
          <w:tcPr>
            <w:tcW w:w="1245" w:type="dxa"/>
            <w:vAlign w:val="bottom"/>
          </w:tcPr>
          <w:p w14:paraId="53991EF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WQGU902</w:t>
            </w:r>
          </w:p>
        </w:tc>
        <w:tc>
          <w:tcPr>
            <w:tcW w:w="639" w:type="dxa"/>
          </w:tcPr>
          <w:p w14:paraId="34463A2F"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0532DCFE"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7375847</w:t>
            </w:r>
          </w:p>
        </w:tc>
        <w:tc>
          <w:tcPr>
            <w:tcW w:w="657" w:type="dxa"/>
          </w:tcPr>
          <w:p w14:paraId="0B54AD6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A8E0E6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Pittsburgh</w:t>
            </w:r>
          </w:p>
        </w:tc>
        <w:tc>
          <w:tcPr>
            <w:tcW w:w="1597" w:type="dxa"/>
            <w:vAlign w:val="bottom"/>
          </w:tcPr>
          <w:p w14:paraId="46CC780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38314ABB" w14:textId="77777777" w:rsidTr="00EF1914">
        <w:trPr>
          <w:gridAfter w:val="1"/>
          <w:wAfter w:w="203" w:type="dxa"/>
        </w:trPr>
        <w:tc>
          <w:tcPr>
            <w:tcW w:w="1245" w:type="dxa"/>
            <w:vAlign w:val="bottom"/>
          </w:tcPr>
          <w:p w14:paraId="7DB3F60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WQGU903</w:t>
            </w:r>
          </w:p>
        </w:tc>
        <w:tc>
          <w:tcPr>
            <w:tcW w:w="639" w:type="dxa"/>
          </w:tcPr>
          <w:p w14:paraId="7BF18FA7"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7D20ED47"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7375848</w:t>
            </w:r>
          </w:p>
        </w:tc>
        <w:tc>
          <w:tcPr>
            <w:tcW w:w="657" w:type="dxa"/>
          </w:tcPr>
          <w:p w14:paraId="733BC77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760C24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Cincinnati-Dayton</w:t>
            </w:r>
          </w:p>
        </w:tc>
        <w:tc>
          <w:tcPr>
            <w:tcW w:w="1597" w:type="dxa"/>
            <w:vAlign w:val="bottom"/>
          </w:tcPr>
          <w:p w14:paraId="3609FCB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5DCC0F7D" w14:textId="77777777" w:rsidTr="00EF1914">
        <w:trPr>
          <w:gridAfter w:val="1"/>
          <w:wAfter w:w="203" w:type="dxa"/>
        </w:trPr>
        <w:tc>
          <w:tcPr>
            <w:tcW w:w="1245" w:type="dxa"/>
            <w:vAlign w:val="bottom"/>
          </w:tcPr>
          <w:p w14:paraId="560CB5A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WQGU904</w:t>
            </w:r>
          </w:p>
        </w:tc>
        <w:tc>
          <w:tcPr>
            <w:tcW w:w="639" w:type="dxa"/>
          </w:tcPr>
          <w:p w14:paraId="40A0EF8D"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7912DD0B"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7375849</w:t>
            </w:r>
          </w:p>
        </w:tc>
        <w:tc>
          <w:tcPr>
            <w:tcW w:w="657" w:type="dxa"/>
          </w:tcPr>
          <w:p w14:paraId="63B6F39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7CACE1B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Columbus</w:t>
            </w:r>
          </w:p>
        </w:tc>
        <w:tc>
          <w:tcPr>
            <w:tcW w:w="1597" w:type="dxa"/>
            <w:vAlign w:val="bottom"/>
          </w:tcPr>
          <w:p w14:paraId="0F5C2A3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504E1D48" w14:textId="77777777" w:rsidTr="00EF1914">
        <w:trPr>
          <w:gridAfter w:val="1"/>
          <w:wAfter w:w="203" w:type="dxa"/>
        </w:trPr>
        <w:tc>
          <w:tcPr>
            <w:tcW w:w="1245" w:type="dxa"/>
            <w:vAlign w:val="bottom"/>
          </w:tcPr>
          <w:p w14:paraId="787B1F4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WQGU905</w:t>
            </w:r>
          </w:p>
        </w:tc>
        <w:tc>
          <w:tcPr>
            <w:tcW w:w="639" w:type="dxa"/>
          </w:tcPr>
          <w:p w14:paraId="266AC938"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69B643A1"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7375850</w:t>
            </w:r>
          </w:p>
        </w:tc>
        <w:tc>
          <w:tcPr>
            <w:tcW w:w="657" w:type="dxa"/>
          </w:tcPr>
          <w:p w14:paraId="104D72F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06407B2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Knoxville</w:t>
            </w:r>
          </w:p>
        </w:tc>
        <w:tc>
          <w:tcPr>
            <w:tcW w:w="1597" w:type="dxa"/>
            <w:vAlign w:val="bottom"/>
          </w:tcPr>
          <w:p w14:paraId="72C024B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02903E35" w14:textId="77777777" w:rsidTr="00EF1914">
        <w:trPr>
          <w:gridAfter w:val="1"/>
          <w:wAfter w:w="203" w:type="dxa"/>
        </w:trPr>
        <w:tc>
          <w:tcPr>
            <w:tcW w:w="1245" w:type="dxa"/>
            <w:vAlign w:val="bottom"/>
          </w:tcPr>
          <w:p w14:paraId="5FC63D0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WQGU906</w:t>
            </w:r>
          </w:p>
        </w:tc>
        <w:tc>
          <w:tcPr>
            <w:tcW w:w="639" w:type="dxa"/>
          </w:tcPr>
          <w:p w14:paraId="532028A2"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13C3A8B2"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7375851</w:t>
            </w:r>
          </w:p>
        </w:tc>
        <w:tc>
          <w:tcPr>
            <w:tcW w:w="657" w:type="dxa"/>
          </w:tcPr>
          <w:p w14:paraId="542B5FF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1F0DACD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Louisville-Lexington-Evansvill</w:t>
            </w:r>
            <w:r>
              <w:rPr>
                <w:color w:val="000000"/>
                <w:szCs w:val="22"/>
              </w:rPr>
              <w:t>e</w:t>
            </w:r>
          </w:p>
        </w:tc>
        <w:tc>
          <w:tcPr>
            <w:tcW w:w="1597" w:type="dxa"/>
            <w:vAlign w:val="bottom"/>
          </w:tcPr>
          <w:p w14:paraId="6AACCF0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69B08E36" w14:textId="77777777" w:rsidTr="00EF1914">
        <w:trPr>
          <w:gridAfter w:val="1"/>
          <w:wAfter w:w="203" w:type="dxa"/>
        </w:trPr>
        <w:tc>
          <w:tcPr>
            <w:tcW w:w="1245" w:type="dxa"/>
            <w:vAlign w:val="bottom"/>
          </w:tcPr>
          <w:p w14:paraId="72AF1CD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WQGU907</w:t>
            </w:r>
          </w:p>
        </w:tc>
        <w:tc>
          <w:tcPr>
            <w:tcW w:w="639" w:type="dxa"/>
          </w:tcPr>
          <w:p w14:paraId="42F35189"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0B8BB9EF"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7375852</w:t>
            </w:r>
          </w:p>
        </w:tc>
        <w:tc>
          <w:tcPr>
            <w:tcW w:w="657" w:type="dxa"/>
          </w:tcPr>
          <w:p w14:paraId="0A68AC0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6C9CC78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Birmingham</w:t>
            </w:r>
          </w:p>
        </w:tc>
        <w:tc>
          <w:tcPr>
            <w:tcW w:w="1597" w:type="dxa"/>
            <w:vAlign w:val="bottom"/>
          </w:tcPr>
          <w:p w14:paraId="559FACA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7FB2D854" w14:textId="77777777" w:rsidTr="00EF1914">
        <w:trPr>
          <w:gridAfter w:val="1"/>
          <w:wAfter w:w="203" w:type="dxa"/>
        </w:trPr>
        <w:tc>
          <w:tcPr>
            <w:tcW w:w="1245" w:type="dxa"/>
            <w:vAlign w:val="bottom"/>
          </w:tcPr>
          <w:p w14:paraId="354CA94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WQGU908</w:t>
            </w:r>
          </w:p>
        </w:tc>
        <w:tc>
          <w:tcPr>
            <w:tcW w:w="639" w:type="dxa"/>
          </w:tcPr>
          <w:p w14:paraId="5905CAD9"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4E43D56D"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7375853</w:t>
            </w:r>
          </w:p>
        </w:tc>
        <w:tc>
          <w:tcPr>
            <w:tcW w:w="657" w:type="dxa"/>
          </w:tcPr>
          <w:p w14:paraId="1B5F945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3CCA63A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Nashville</w:t>
            </w:r>
          </w:p>
        </w:tc>
        <w:tc>
          <w:tcPr>
            <w:tcW w:w="1597" w:type="dxa"/>
            <w:vAlign w:val="bottom"/>
          </w:tcPr>
          <w:p w14:paraId="3B5D272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5E443000" w14:textId="77777777" w:rsidTr="00EF1914">
        <w:trPr>
          <w:gridAfter w:val="1"/>
          <w:wAfter w:w="203" w:type="dxa"/>
        </w:trPr>
        <w:tc>
          <w:tcPr>
            <w:tcW w:w="1245" w:type="dxa"/>
            <w:vAlign w:val="bottom"/>
          </w:tcPr>
          <w:p w14:paraId="0B22095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WQGU909</w:t>
            </w:r>
          </w:p>
        </w:tc>
        <w:tc>
          <w:tcPr>
            <w:tcW w:w="639" w:type="dxa"/>
          </w:tcPr>
          <w:p w14:paraId="33CC83E7"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47ED0B16"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7375854</w:t>
            </w:r>
          </w:p>
        </w:tc>
        <w:tc>
          <w:tcPr>
            <w:tcW w:w="657" w:type="dxa"/>
          </w:tcPr>
          <w:p w14:paraId="6BCF207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041E188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Memphis-Jackson</w:t>
            </w:r>
          </w:p>
        </w:tc>
        <w:tc>
          <w:tcPr>
            <w:tcW w:w="1597" w:type="dxa"/>
            <w:vAlign w:val="bottom"/>
          </w:tcPr>
          <w:p w14:paraId="11A0BB7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11CD12C" w14:textId="77777777" w:rsidTr="00EF1914">
        <w:trPr>
          <w:gridAfter w:val="1"/>
          <w:wAfter w:w="203" w:type="dxa"/>
        </w:trPr>
        <w:tc>
          <w:tcPr>
            <w:tcW w:w="1245" w:type="dxa"/>
            <w:vAlign w:val="bottom"/>
          </w:tcPr>
          <w:p w14:paraId="78F2483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WQGU910</w:t>
            </w:r>
          </w:p>
        </w:tc>
        <w:tc>
          <w:tcPr>
            <w:tcW w:w="639" w:type="dxa"/>
          </w:tcPr>
          <w:p w14:paraId="01C851A0"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7CF02816"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7375855</w:t>
            </w:r>
          </w:p>
        </w:tc>
        <w:tc>
          <w:tcPr>
            <w:tcW w:w="657" w:type="dxa"/>
          </w:tcPr>
          <w:p w14:paraId="243EC05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1665AD3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New Orleans-Baton Rouge</w:t>
            </w:r>
          </w:p>
        </w:tc>
        <w:tc>
          <w:tcPr>
            <w:tcW w:w="1597" w:type="dxa"/>
            <w:vAlign w:val="bottom"/>
          </w:tcPr>
          <w:p w14:paraId="55B1CD4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5A773453" w14:textId="77777777" w:rsidTr="00EF1914">
        <w:trPr>
          <w:gridAfter w:val="1"/>
          <w:wAfter w:w="203" w:type="dxa"/>
        </w:trPr>
        <w:tc>
          <w:tcPr>
            <w:tcW w:w="1245" w:type="dxa"/>
            <w:vAlign w:val="bottom"/>
          </w:tcPr>
          <w:p w14:paraId="6991372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WQGU911</w:t>
            </w:r>
          </w:p>
        </w:tc>
        <w:tc>
          <w:tcPr>
            <w:tcW w:w="639" w:type="dxa"/>
          </w:tcPr>
          <w:p w14:paraId="02FEFABE"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0AE5F762"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7375856</w:t>
            </w:r>
          </w:p>
        </w:tc>
        <w:tc>
          <w:tcPr>
            <w:tcW w:w="657" w:type="dxa"/>
          </w:tcPr>
          <w:p w14:paraId="3350327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6ACAAC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St. Louis</w:t>
            </w:r>
          </w:p>
        </w:tc>
        <w:tc>
          <w:tcPr>
            <w:tcW w:w="1597" w:type="dxa"/>
            <w:vAlign w:val="bottom"/>
          </w:tcPr>
          <w:p w14:paraId="491F8D2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3607183" w14:textId="77777777" w:rsidTr="00EF1914">
        <w:trPr>
          <w:gridAfter w:val="1"/>
          <w:wAfter w:w="203" w:type="dxa"/>
        </w:trPr>
        <w:tc>
          <w:tcPr>
            <w:tcW w:w="1245" w:type="dxa"/>
            <w:vAlign w:val="bottom"/>
          </w:tcPr>
          <w:p w14:paraId="2A1F2ED1"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r w:rsidRPr="007E3788">
              <w:rPr>
                <w:color w:val="000000"/>
                <w:szCs w:val="22"/>
              </w:rPr>
              <w:t>WQGU912</w:t>
            </w:r>
          </w:p>
        </w:tc>
        <w:tc>
          <w:tcPr>
            <w:tcW w:w="639" w:type="dxa"/>
          </w:tcPr>
          <w:p w14:paraId="0953D987"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70CCBC19"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1F641C">
              <w:rPr>
                <w:color w:val="000000"/>
                <w:szCs w:val="22"/>
              </w:rPr>
              <w:t>7375857</w:t>
            </w:r>
          </w:p>
        </w:tc>
        <w:tc>
          <w:tcPr>
            <w:tcW w:w="657" w:type="dxa"/>
          </w:tcPr>
          <w:p w14:paraId="795903C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66F34E3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Puerto Rico</w:t>
            </w:r>
          </w:p>
        </w:tc>
        <w:tc>
          <w:tcPr>
            <w:tcW w:w="1597" w:type="dxa"/>
            <w:vAlign w:val="bottom"/>
          </w:tcPr>
          <w:p w14:paraId="1F0BD11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7661246F" w14:textId="77777777" w:rsidTr="00EF1914">
        <w:trPr>
          <w:gridAfter w:val="1"/>
          <w:wAfter w:w="203" w:type="dxa"/>
        </w:trPr>
        <w:tc>
          <w:tcPr>
            <w:tcW w:w="1245" w:type="dxa"/>
            <w:vAlign w:val="bottom"/>
          </w:tcPr>
          <w:p w14:paraId="45EF7D7D"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color w:val="000000"/>
                <w:szCs w:val="22"/>
              </w:rPr>
            </w:pPr>
            <w:r w:rsidRPr="007E3788">
              <w:rPr>
                <w:color w:val="000000"/>
                <w:szCs w:val="22"/>
              </w:rPr>
              <w:t>WQGU913</w:t>
            </w:r>
          </w:p>
        </w:tc>
        <w:tc>
          <w:tcPr>
            <w:tcW w:w="639" w:type="dxa"/>
          </w:tcPr>
          <w:p w14:paraId="0FAE0885"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1330" w:type="dxa"/>
            <w:vAlign w:val="bottom"/>
          </w:tcPr>
          <w:p w14:paraId="22897D35" w14:textId="77777777" w:rsidR="00EF1914" w:rsidRPr="001F641C" w:rsidRDefault="00EF1914" w:rsidP="00EF1914">
            <w:pPr>
              <w:keepNext/>
              <w:keepLines/>
              <w:tabs>
                <w:tab w:val="left" w:pos="-1440"/>
                <w:tab w:val="left" w:pos="-720"/>
                <w:tab w:val="left" w:pos="0"/>
                <w:tab w:val="left" w:pos="720"/>
                <w:tab w:val="left" w:pos="1080"/>
                <w:tab w:val="left" w:pos="1440"/>
              </w:tabs>
              <w:suppressAutoHyphens/>
              <w:rPr>
                <w:color w:val="000000"/>
                <w:szCs w:val="22"/>
              </w:rPr>
            </w:pPr>
            <w:r>
              <w:rPr>
                <w:color w:val="000000"/>
                <w:szCs w:val="22"/>
              </w:rPr>
              <w:t>000</w:t>
            </w:r>
            <w:r w:rsidRPr="001F641C">
              <w:rPr>
                <w:color w:val="000000"/>
                <w:szCs w:val="22"/>
              </w:rPr>
              <w:t>7375858</w:t>
            </w:r>
          </w:p>
        </w:tc>
        <w:tc>
          <w:tcPr>
            <w:tcW w:w="657" w:type="dxa"/>
          </w:tcPr>
          <w:p w14:paraId="0F951826" w14:textId="77777777" w:rsidR="00EF1914"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65CC1EA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r>
              <w:rPr>
                <w:color w:val="000000"/>
                <w:szCs w:val="22"/>
              </w:rPr>
              <w:t>Gulf of Mexico</w:t>
            </w:r>
          </w:p>
        </w:tc>
        <w:tc>
          <w:tcPr>
            <w:tcW w:w="1597" w:type="dxa"/>
            <w:vAlign w:val="bottom"/>
          </w:tcPr>
          <w:p w14:paraId="62BFE28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r>
              <w:rPr>
                <w:color w:val="000000"/>
                <w:szCs w:val="22"/>
              </w:rPr>
              <w:t xml:space="preserve">    </w:t>
            </w:r>
          </w:p>
        </w:tc>
      </w:tr>
      <w:tr w:rsidR="00EF1914" w14:paraId="6A844733" w14:textId="77777777" w:rsidTr="007E3788">
        <w:trPr>
          <w:gridAfter w:val="1"/>
          <w:wAfter w:w="203" w:type="dxa"/>
        </w:trPr>
        <w:tc>
          <w:tcPr>
            <w:tcW w:w="1245" w:type="dxa"/>
            <w:shd w:val="clear" w:color="auto" w:fill="auto"/>
            <w:vAlign w:val="bottom"/>
          </w:tcPr>
          <w:p w14:paraId="07BFB1A9"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r w:rsidRPr="007E3788">
              <w:rPr>
                <w:color w:val="000000"/>
                <w:szCs w:val="22"/>
              </w:rPr>
              <w:t>WQGU920</w:t>
            </w:r>
          </w:p>
        </w:tc>
        <w:tc>
          <w:tcPr>
            <w:tcW w:w="639" w:type="dxa"/>
          </w:tcPr>
          <w:p w14:paraId="600F5345"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46FA64B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7375865</w:t>
            </w:r>
          </w:p>
        </w:tc>
        <w:tc>
          <w:tcPr>
            <w:tcW w:w="657" w:type="dxa"/>
          </w:tcPr>
          <w:p w14:paraId="0EF6BAD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A6A955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Cleveland</w:t>
            </w:r>
          </w:p>
        </w:tc>
        <w:tc>
          <w:tcPr>
            <w:tcW w:w="1597" w:type="dxa"/>
            <w:vAlign w:val="bottom"/>
          </w:tcPr>
          <w:p w14:paraId="55EFC5C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48015122" w14:textId="77777777" w:rsidTr="00EF1914">
        <w:trPr>
          <w:gridAfter w:val="1"/>
          <w:wAfter w:w="203" w:type="dxa"/>
        </w:trPr>
        <w:tc>
          <w:tcPr>
            <w:tcW w:w="1245" w:type="dxa"/>
            <w:vAlign w:val="bottom"/>
          </w:tcPr>
          <w:p w14:paraId="6FAC67C9"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r w:rsidRPr="007E3788">
              <w:rPr>
                <w:color w:val="000000"/>
                <w:szCs w:val="22"/>
              </w:rPr>
              <w:t>WQGU921</w:t>
            </w:r>
          </w:p>
        </w:tc>
        <w:tc>
          <w:tcPr>
            <w:tcW w:w="639" w:type="dxa"/>
          </w:tcPr>
          <w:p w14:paraId="44167850"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2D127D4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7375866</w:t>
            </w:r>
          </w:p>
        </w:tc>
        <w:tc>
          <w:tcPr>
            <w:tcW w:w="657" w:type="dxa"/>
          </w:tcPr>
          <w:p w14:paraId="395D4CC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B56964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Detroit</w:t>
            </w:r>
          </w:p>
        </w:tc>
        <w:tc>
          <w:tcPr>
            <w:tcW w:w="1597" w:type="dxa"/>
            <w:vAlign w:val="bottom"/>
          </w:tcPr>
          <w:p w14:paraId="53CF050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0DDD6406" w14:textId="77777777" w:rsidTr="00EF1914">
        <w:trPr>
          <w:gridAfter w:val="1"/>
          <w:wAfter w:w="203" w:type="dxa"/>
        </w:trPr>
        <w:tc>
          <w:tcPr>
            <w:tcW w:w="1245" w:type="dxa"/>
            <w:vAlign w:val="bottom"/>
          </w:tcPr>
          <w:p w14:paraId="759272E5"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r w:rsidRPr="007E3788">
              <w:rPr>
                <w:color w:val="000000"/>
                <w:szCs w:val="22"/>
              </w:rPr>
              <w:t>WQGU922</w:t>
            </w:r>
          </w:p>
        </w:tc>
        <w:tc>
          <w:tcPr>
            <w:tcW w:w="639" w:type="dxa"/>
          </w:tcPr>
          <w:p w14:paraId="0E4EAA77"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7AEE40A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7375867</w:t>
            </w:r>
          </w:p>
        </w:tc>
        <w:tc>
          <w:tcPr>
            <w:tcW w:w="657" w:type="dxa"/>
          </w:tcPr>
          <w:p w14:paraId="2133A4C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54468A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Milwaukee</w:t>
            </w:r>
          </w:p>
        </w:tc>
        <w:tc>
          <w:tcPr>
            <w:tcW w:w="1597" w:type="dxa"/>
            <w:vAlign w:val="bottom"/>
          </w:tcPr>
          <w:p w14:paraId="3C6F1DF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7B4A7CF6" w14:textId="77777777" w:rsidTr="00EF1914">
        <w:trPr>
          <w:gridAfter w:val="1"/>
          <w:wAfter w:w="203" w:type="dxa"/>
        </w:trPr>
        <w:tc>
          <w:tcPr>
            <w:tcW w:w="1245" w:type="dxa"/>
            <w:vAlign w:val="bottom"/>
          </w:tcPr>
          <w:p w14:paraId="0153051D"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r w:rsidRPr="007E3788">
              <w:rPr>
                <w:color w:val="000000"/>
                <w:szCs w:val="22"/>
              </w:rPr>
              <w:t>WQGU923</w:t>
            </w:r>
          </w:p>
        </w:tc>
        <w:tc>
          <w:tcPr>
            <w:tcW w:w="639" w:type="dxa"/>
          </w:tcPr>
          <w:p w14:paraId="68F7CF39"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05D5A59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792FC2">
              <w:t>000</w:t>
            </w:r>
            <w:r w:rsidRPr="00FE6EB3">
              <w:t>7375868</w:t>
            </w:r>
          </w:p>
        </w:tc>
        <w:tc>
          <w:tcPr>
            <w:tcW w:w="657" w:type="dxa"/>
          </w:tcPr>
          <w:p w14:paraId="703D3AC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78060B8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Chicago</w:t>
            </w:r>
          </w:p>
        </w:tc>
        <w:tc>
          <w:tcPr>
            <w:tcW w:w="1597" w:type="dxa"/>
            <w:vAlign w:val="bottom"/>
          </w:tcPr>
          <w:p w14:paraId="1AF6709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D1200D1" w14:textId="77777777" w:rsidTr="00EF1914">
        <w:trPr>
          <w:gridAfter w:val="1"/>
          <w:wAfter w:w="203" w:type="dxa"/>
        </w:trPr>
        <w:tc>
          <w:tcPr>
            <w:tcW w:w="1245" w:type="dxa"/>
            <w:vAlign w:val="bottom"/>
          </w:tcPr>
          <w:p w14:paraId="73A8F255"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r w:rsidRPr="007E3788">
              <w:rPr>
                <w:color w:val="000000"/>
                <w:szCs w:val="22"/>
              </w:rPr>
              <w:t>WQGU924</w:t>
            </w:r>
          </w:p>
        </w:tc>
        <w:tc>
          <w:tcPr>
            <w:tcW w:w="639" w:type="dxa"/>
          </w:tcPr>
          <w:p w14:paraId="3365A895"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5E011FC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7375869</w:t>
            </w:r>
          </w:p>
        </w:tc>
        <w:tc>
          <w:tcPr>
            <w:tcW w:w="657" w:type="dxa"/>
          </w:tcPr>
          <w:p w14:paraId="6C2D630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43D94F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Indianapolis</w:t>
            </w:r>
          </w:p>
        </w:tc>
        <w:tc>
          <w:tcPr>
            <w:tcW w:w="1597" w:type="dxa"/>
            <w:vAlign w:val="bottom"/>
          </w:tcPr>
          <w:p w14:paraId="69884D7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7E947F4" w14:textId="77777777" w:rsidTr="00EF1914">
        <w:trPr>
          <w:gridAfter w:val="1"/>
          <w:wAfter w:w="203" w:type="dxa"/>
        </w:trPr>
        <w:tc>
          <w:tcPr>
            <w:tcW w:w="1245" w:type="dxa"/>
            <w:vAlign w:val="bottom"/>
          </w:tcPr>
          <w:p w14:paraId="26B6192F"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r w:rsidRPr="007E3788">
              <w:rPr>
                <w:color w:val="000000"/>
                <w:szCs w:val="22"/>
              </w:rPr>
              <w:t>WQGU925</w:t>
            </w:r>
          </w:p>
        </w:tc>
        <w:tc>
          <w:tcPr>
            <w:tcW w:w="639" w:type="dxa"/>
          </w:tcPr>
          <w:p w14:paraId="32F0EFF3" w14:textId="77777777" w:rsidR="00EF1914" w:rsidRPr="007E3788"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603208E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7375870</w:t>
            </w:r>
          </w:p>
        </w:tc>
        <w:tc>
          <w:tcPr>
            <w:tcW w:w="657" w:type="dxa"/>
          </w:tcPr>
          <w:p w14:paraId="7A8B842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559423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Minneapolis-St. Paul</w:t>
            </w:r>
          </w:p>
        </w:tc>
        <w:tc>
          <w:tcPr>
            <w:tcW w:w="1597" w:type="dxa"/>
            <w:vAlign w:val="bottom"/>
          </w:tcPr>
          <w:p w14:paraId="5C4D98B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FC49034" w14:textId="77777777" w:rsidTr="00EF1914">
        <w:trPr>
          <w:gridAfter w:val="1"/>
          <w:wAfter w:w="203" w:type="dxa"/>
          <w:trHeight w:val="74"/>
        </w:trPr>
        <w:tc>
          <w:tcPr>
            <w:tcW w:w="1245" w:type="dxa"/>
            <w:vAlign w:val="bottom"/>
          </w:tcPr>
          <w:p w14:paraId="3B7A257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WQGU926</w:t>
            </w:r>
          </w:p>
        </w:tc>
        <w:tc>
          <w:tcPr>
            <w:tcW w:w="639" w:type="dxa"/>
          </w:tcPr>
          <w:p w14:paraId="57FB5D0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612CD4D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7375871</w:t>
            </w:r>
          </w:p>
        </w:tc>
        <w:tc>
          <w:tcPr>
            <w:tcW w:w="657" w:type="dxa"/>
          </w:tcPr>
          <w:p w14:paraId="0FEE539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50A6C2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Des Moines-Quad Cities</w:t>
            </w:r>
          </w:p>
        </w:tc>
        <w:tc>
          <w:tcPr>
            <w:tcW w:w="1597" w:type="dxa"/>
            <w:vAlign w:val="bottom"/>
          </w:tcPr>
          <w:p w14:paraId="3BE3DDE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6FE22525" w14:textId="77777777" w:rsidTr="00EF1914">
        <w:trPr>
          <w:gridAfter w:val="1"/>
          <w:wAfter w:w="203" w:type="dxa"/>
        </w:trPr>
        <w:tc>
          <w:tcPr>
            <w:tcW w:w="1245" w:type="dxa"/>
            <w:vAlign w:val="bottom"/>
          </w:tcPr>
          <w:p w14:paraId="22DCF7F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WQGU927</w:t>
            </w:r>
          </w:p>
        </w:tc>
        <w:tc>
          <w:tcPr>
            <w:tcW w:w="639" w:type="dxa"/>
          </w:tcPr>
          <w:p w14:paraId="1221160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1A578C0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7375872</w:t>
            </w:r>
          </w:p>
        </w:tc>
        <w:tc>
          <w:tcPr>
            <w:tcW w:w="657" w:type="dxa"/>
          </w:tcPr>
          <w:p w14:paraId="2BA293F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1713853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Little Rock</w:t>
            </w:r>
          </w:p>
        </w:tc>
        <w:tc>
          <w:tcPr>
            <w:tcW w:w="1597" w:type="dxa"/>
            <w:vAlign w:val="bottom"/>
          </w:tcPr>
          <w:p w14:paraId="62EB171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6F601126" w14:textId="77777777" w:rsidTr="00EF1914">
        <w:trPr>
          <w:gridAfter w:val="1"/>
          <w:wAfter w:w="203" w:type="dxa"/>
        </w:trPr>
        <w:tc>
          <w:tcPr>
            <w:tcW w:w="1245" w:type="dxa"/>
            <w:vAlign w:val="bottom"/>
          </w:tcPr>
          <w:p w14:paraId="51B8017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WQGU928</w:t>
            </w:r>
          </w:p>
        </w:tc>
        <w:tc>
          <w:tcPr>
            <w:tcW w:w="639" w:type="dxa"/>
          </w:tcPr>
          <w:p w14:paraId="1B1C0F6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1E88144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7375873</w:t>
            </w:r>
          </w:p>
        </w:tc>
        <w:tc>
          <w:tcPr>
            <w:tcW w:w="657" w:type="dxa"/>
          </w:tcPr>
          <w:p w14:paraId="657F89B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68D21C3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Kansas City</w:t>
            </w:r>
          </w:p>
        </w:tc>
        <w:tc>
          <w:tcPr>
            <w:tcW w:w="1597" w:type="dxa"/>
            <w:vAlign w:val="bottom"/>
          </w:tcPr>
          <w:p w14:paraId="5F91972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5D4777B" w14:textId="77777777" w:rsidTr="00EF1914">
        <w:trPr>
          <w:gridAfter w:val="1"/>
          <w:wAfter w:w="203" w:type="dxa"/>
        </w:trPr>
        <w:tc>
          <w:tcPr>
            <w:tcW w:w="1245" w:type="dxa"/>
            <w:vAlign w:val="bottom"/>
          </w:tcPr>
          <w:p w14:paraId="537ECD2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WQGU929</w:t>
            </w:r>
          </w:p>
        </w:tc>
        <w:tc>
          <w:tcPr>
            <w:tcW w:w="639" w:type="dxa"/>
          </w:tcPr>
          <w:p w14:paraId="4292004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76208D5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7375874</w:t>
            </w:r>
          </w:p>
        </w:tc>
        <w:tc>
          <w:tcPr>
            <w:tcW w:w="657" w:type="dxa"/>
          </w:tcPr>
          <w:p w14:paraId="59DB004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1A643C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Houston</w:t>
            </w:r>
          </w:p>
        </w:tc>
        <w:tc>
          <w:tcPr>
            <w:tcW w:w="1597" w:type="dxa"/>
            <w:vAlign w:val="bottom"/>
          </w:tcPr>
          <w:p w14:paraId="2283655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C3BDE2B" w14:textId="77777777" w:rsidTr="00EF1914">
        <w:trPr>
          <w:gridAfter w:val="1"/>
          <w:wAfter w:w="203" w:type="dxa"/>
        </w:trPr>
        <w:tc>
          <w:tcPr>
            <w:tcW w:w="1245" w:type="dxa"/>
            <w:vAlign w:val="bottom"/>
          </w:tcPr>
          <w:p w14:paraId="62F8633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WQGU930</w:t>
            </w:r>
          </w:p>
        </w:tc>
        <w:tc>
          <w:tcPr>
            <w:tcW w:w="639" w:type="dxa"/>
          </w:tcPr>
          <w:p w14:paraId="6E03951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1A7B783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7375875</w:t>
            </w:r>
          </w:p>
        </w:tc>
        <w:tc>
          <w:tcPr>
            <w:tcW w:w="657" w:type="dxa"/>
          </w:tcPr>
          <w:p w14:paraId="0DBF75F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051DC0C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Dallas-Fort Worth</w:t>
            </w:r>
          </w:p>
        </w:tc>
        <w:tc>
          <w:tcPr>
            <w:tcW w:w="1597" w:type="dxa"/>
            <w:vAlign w:val="bottom"/>
          </w:tcPr>
          <w:p w14:paraId="617A4F2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3FFE553A" w14:textId="77777777" w:rsidTr="00EF1914">
        <w:trPr>
          <w:gridAfter w:val="1"/>
          <w:wAfter w:w="203" w:type="dxa"/>
        </w:trPr>
        <w:tc>
          <w:tcPr>
            <w:tcW w:w="1245" w:type="dxa"/>
            <w:vAlign w:val="bottom"/>
          </w:tcPr>
          <w:p w14:paraId="0FC6DE4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WQGU931</w:t>
            </w:r>
          </w:p>
        </w:tc>
        <w:tc>
          <w:tcPr>
            <w:tcW w:w="639" w:type="dxa"/>
          </w:tcPr>
          <w:p w14:paraId="5B4A2EA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47EC5C8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7375876</w:t>
            </w:r>
          </w:p>
        </w:tc>
        <w:tc>
          <w:tcPr>
            <w:tcW w:w="657" w:type="dxa"/>
          </w:tcPr>
          <w:p w14:paraId="51A5EEF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65CE8B9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Denver</w:t>
            </w:r>
          </w:p>
        </w:tc>
        <w:tc>
          <w:tcPr>
            <w:tcW w:w="1597" w:type="dxa"/>
            <w:vAlign w:val="bottom"/>
          </w:tcPr>
          <w:p w14:paraId="3FCD3F3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56EEBE93" w14:textId="77777777" w:rsidTr="00EF1914">
        <w:trPr>
          <w:gridAfter w:val="1"/>
          <w:wAfter w:w="203" w:type="dxa"/>
        </w:trPr>
        <w:tc>
          <w:tcPr>
            <w:tcW w:w="1245" w:type="dxa"/>
            <w:vAlign w:val="bottom"/>
          </w:tcPr>
          <w:p w14:paraId="1B1879C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WQGU932</w:t>
            </w:r>
          </w:p>
        </w:tc>
        <w:tc>
          <w:tcPr>
            <w:tcW w:w="639" w:type="dxa"/>
          </w:tcPr>
          <w:p w14:paraId="1504636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6465D19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7375877</w:t>
            </w:r>
          </w:p>
        </w:tc>
        <w:tc>
          <w:tcPr>
            <w:tcW w:w="657" w:type="dxa"/>
          </w:tcPr>
          <w:p w14:paraId="312654A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68ACA3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Omaha</w:t>
            </w:r>
          </w:p>
        </w:tc>
        <w:tc>
          <w:tcPr>
            <w:tcW w:w="1597" w:type="dxa"/>
            <w:vAlign w:val="bottom"/>
          </w:tcPr>
          <w:p w14:paraId="357B516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648F7948" w14:textId="77777777" w:rsidTr="00EF1914">
        <w:trPr>
          <w:gridAfter w:val="1"/>
          <w:wAfter w:w="203" w:type="dxa"/>
        </w:trPr>
        <w:tc>
          <w:tcPr>
            <w:tcW w:w="1245" w:type="dxa"/>
            <w:vAlign w:val="bottom"/>
          </w:tcPr>
          <w:p w14:paraId="2011E54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WQGU933</w:t>
            </w:r>
          </w:p>
        </w:tc>
        <w:tc>
          <w:tcPr>
            <w:tcW w:w="639" w:type="dxa"/>
          </w:tcPr>
          <w:p w14:paraId="69964A8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45B7216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7375878</w:t>
            </w:r>
          </w:p>
        </w:tc>
        <w:tc>
          <w:tcPr>
            <w:tcW w:w="657" w:type="dxa"/>
          </w:tcPr>
          <w:p w14:paraId="1D890A8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D662AB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Wichita</w:t>
            </w:r>
          </w:p>
        </w:tc>
        <w:tc>
          <w:tcPr>
            <w:tcW w:w="1597" w:type="dxa"/>
            <w:vAlign w:val="bottom"/>
          </w:tcPr>
          <w:p w14:paraId="4381C5D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AA76796" w14:textId="77777777" w:rsidTr="00EF1914">
        <w:trPr>
          <w:gridAfter w:val="1"/>
          <w:wAfter w:w="203" w:type="dxa"/>
        </w:trPr>
        <w:tc>
          <w:tcPr>
            <w:tcW w:w="1245" w:type="dxa"/>
            <w:vAlign w:val="bottom"/>
          </w:tcPr>
          <w:p w14:paraId="6F2CB77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WQGU934</w:t>
            </w:r>
          </w:p>
        </w:tc>
        <w:tc>
          <w:tcPr>
            <w:tcW w:w="639" w:type="dxa"/>
          </w:tcPr>
          <w:p w14:paraId="21882BA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000049A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7375879</w:t>
            </w:r>
          </w:p>
        </w:tc>
        <w:tc>
          <w:tcPr>
            <w:tcW w:w="657" w:type="dxa"/>
          </w:tcPr>
          <w:p w14:paraId="2616D2F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4A8A0F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Tulsa</w:t>
            </w:r>
          </w:p>
        </w:tc>
        <w:tc>
          <w:tcPr>
            <w:tcW w:w="1597" w:type="dxa"/>
            <w:vAlign w:val="bottom"/>
          </w:tcPr>
          <w:p w14:paraId="643399F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32CE4B4D" w14:textId="77777777" w:rsidTr="00EF1914">
        <w:trPr>
          <w:gridAfter w:val="1"/>
          <w:wAfter w:w="203" w:type="dxa"/>
        </w:trPr>
        <w:tc>
          <w:tcPr>
            <w:tcW w:w="1245" w:type="dxa"/>
            <w:vAlign w:val="bottom"/>
          </w:tcPr>
          <w:p w14:paraId="733DB5D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WQGU935</w:t>
            </w:r>
          </w:p>
        </w:tc>
        <w:tc>
          <w:tcPr>
            <w:tcW w:w="639" w:type="dxa"/>
          </w:tcPr>
          <w:p w14:paraId="2174E1F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1C0DFF9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7375880</w:t>
            </w:r>
          </w:p>
        </w:tc>
        <w:tc>
          <w:tcPr>
            <w:tcW w:w="657" w:type="dxa"/>
          </w:tcPr>
          <w:p w14:paraId="6012766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3F54481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Oklahoma City</w:t>
            </w:r>
          </w:p>
        </w:tc>
        <w:tc>
          <w:tcPr>
            <w:tcW w:w="1597" w:type="dxa"/>
            <w:vAlign w:val="bottom"/>
          </w:tcPr>
          <w:p w14:paraId="1F5FA1C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5A771021" w14:textId="77777777" w:rsidTr="00EF1914">
        <w:trPr>
          <w:gridAfter w:val="1"/>
          <w:wAfter w:w="203" w:type="dxa"/>
        </w:trPr>
        <w:tc>
          <w:tcPr>
            <w:tcW w:w="1245" w:type="dxa"/>
            <w:vAlign w:val="bottom"/>
          </w:tcPr>
          <w:p w14:paraId="2F2B940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WQGU936</w:t>
            </w:r>
          </w:p>
        </w:tc>
        <w:tc>
          <w:tcPr>
            <w:tcW w:w="639" w:type="dxa"/>
          </w:tcPr>
          <w:p w14:paraId="35DB90B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434B75B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7375881</w:t>
            </w:r>
          </w:p>
        </w:tc>
        <w:tc>
          <w:tcPr>
            <w:tcW w:w="657" w:type="dxa"/>
          </w:tcPr>
          <w:p w14:paraId="40F031B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9B02ED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San Antonio</w:t>
            </w:r>
          </w:p>
        </w:tc>
        <w:tc>
          <w:tcPr>
            <w:tcW w:w="1597" w:type="dxa"/>
            <w:vAlign w:val="bottom"/>
          </w:tcPr>
          <w:p w14:paraId="5700F2F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72435048" w14:textId="77777777" w:rsidTr="00EF1914">
        <w:trPr>
          <w:gridAfter w:val="1"/>
          <w:wAfter w:w="203" w:type="dxa"/>
        </w:trPr>
        <w:tc>
          <w:tcPr>
            <w:tcW w:w="1245" w:type="dxa"/>
            <w:vAlign w:val="bottom"/>
          </w:tcPr>
          <w:p w14:paraId="24B2A69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WQGU937</w:t>
            </w:r>
          </w:p>
        </w:tc>
        <w:tc>
          <w:tcPr>
            <w:tcW w:w="639" w:type="dxa"/>
          </w:tcPr>
          <w:p w14:paraId="74AED31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71E3FA9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7375882</w:t>
            </w:r>
          </w:p>
        </w:tc>
        <w:tc>
          <w:tcPr>
            <w:tcW w:w="657" w:type="dxa"/>
          </w:tcPr>
          <w:p w14:paraId="5211040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71D3D7D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El Paso-Albuquerque</w:t>
            </w:r>
          </w:p>
        </w:tc>
        <w:tc>
          <w:tcPr>
            <w:tcW w:w="1597" w:type="dxa"/>
            <w:vAlign w:val="bottom"/>
          </w:tcPr>
          <w:p w14:paraId="670CD48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6551C82C" w14:textId="77777777" w:rsidTr="00EF1914">
        <w:trPr>
          <w:gridAfter w:val="1"/>
          <w:wAfter w:w="203" w:type="dxa"/>
        </w:trPr>
        <w:tc>
          <w:tcPr>
            <w:tcW w:w="1245" w:type="dxa"/>
            <w:vAlign w:val="bottom"/>
          </w:tcPr>
          <w:p w14:paraId="1B6BCE4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WQGU938</w:t>
            </w:r>
          </w:p>
        </w:tc>
        <w:tc>
          <w:tcPr>
            <w:tcW w:w="639" w:type="dxa"/>
          </w:tcPr>
          <w:p w14:paraId="11D6021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5A1A127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7375883</w:t>
            </w:r>
          </w:p>
        </w:tc>
        <w:tc>
          <w:tcPr>
            <w:tcW w:w="657" w:type="dxa"/>
          </w:tcPr>
          <w:p w14:paraId="3542C28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D2DC5C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Phoenix</w:t>
            </w:r>
          </w:p>
        </w:tc>
        <w:tc>
          <w:tcPr>
            <w:tcW w:w="1597" w:type="dxa"/>
            <w:vAlign w:val="bottom"/>
          </w:tcPr>
          <w:p w14:paraId="400A46F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090E11B6" w14:textId="77777777" w:rsidTr="00EF1914">
        <w:trPr>
          <w:gridAfter w:val="1"/>
          <w:wAfter w:w="203" w:type="dxa"/>
        </w:trPr>
        <w:tc>
          <w:tcPr>
            <w:tcW w:w="1245" w:type="dxa"/>
            <w:vAlign w:val="bottom"/>
          </w:tcPr>
          <w:p w14:paraId="0D793AA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WQGU939</w:t>
            </w:r>
          </w:p>
        </w:tc>
        <w:tc>
          <w:tcPr>
            <w:tcW w:w="639" w:type="dxa"/>
          </w:tcPr>
          <w:p w14:paraId="7ECB8CA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61E0C6A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7375884</w:t>
            </w:r>
          </w:p>
        </w:tc>
        <w:tc>
          <w:tcPr>
            <w:tcW w:w="657" w:type="dxa"/>
          </w:tcPr>
          <w:p w14:paraId="0731CD9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1CA9A47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Spokane-Billings</w:t>
            </w:r>
          </w:p>
        </w:tc>
        <w:tc>
          <w:tcPr>
            <w:tcW w:w="1597" w:type="dxa"/>
            <w:vAlign w:val="bottom"/>
          </w:tcPr>
          <w:p w14:paraId="3316B44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35ACBA9A" w14:textId="77777777" w:rsidTr="00EF1914">
        <w:trPr>
          <w:gridAfter w:val="1"/>
          <w:wAfter w:w="203" w:type="dxa"/>
        </w:trPr>
        <w:tc>
          <w:tcPr>
            <w:tcW w:w="1245" w:type="dxa"/>
            <w:vAlign w:val="bottom"/>
          </w:tcPr>
          <w:p w14:paraId="7BCA1C6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WQGU940</w:t>
            </w:r>
          </w:p>
        </w:tc>
        <w:tc>
          <w:tcPr>
            <w:tcW w:w="639" w:type="dxa"/>
          </w:tcPr>
          <w:p w14:paraId="13B0787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740AD13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7375885</w:t>
            </w:r>
          </w:p>
        </w:tc>
        <w:tc>
          <w:tcPr>
            <w:tcW w:w="657" w:type="dxa"/>
          </w:tcPr>
          <w:p w14:paraId="5E09E0B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3BFF628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Salt Lake City</w:t>
            </w:r>
          </w:p>
        </w:tc>
        <w:tc>
          <w:tcPr>
            <w:tcW w:w="1597" w:type="dxa"/>
            <w:vAlign w:val="bottom"/>
          </w:tcPr>
          <w:p w14:paraId="4F74249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E02A4F3" w14:textId="77777777" w:rsidTr="00EF1914">
        <w:trPr>
          <w:gridAfter w:val="1"/>
          <w:wAfter w:w="203" w:type="dxa"/>
        </w:trPr>
        <w:tc>
          <w:tcPr>
            <w:tcW w:w="1245" w:type="dxa"/>
            <w:vAlign w:val="bottom"/>
          </w:tcPr>
          <w:p w14:paraId="3E7F888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WQGU941</w:t>
            </w:r>
          </w:p>
        </w:tc>
        <w:tc>
          <w:tcPr>
            <w:tcW w:w="639" w:type="dxa"/>
          </w:tcPr>
          <w:p w14:paraId="3DA6649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336CABE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7375886</w:t>
            </w:r>
          </w:p>
        </w:tc>
        <w:tc>
          <w:tcPr>
            <w:tcW w:w="657" w:type="dxa"/>
          </w:tcPr>
          <w:p w14:paraId="6B0B6A3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FF7EEF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San Francisco-Oakland-San Jose</w:t>
            </w:r>
          </w:p>
        </w:tc>
        <w:tc>
          <w:tcPr>
            <w:tcW w:w="1597" w:type="dxa"/>
            <w:vAlign w:val="bottom"/>
          </w:tcPr>
          <w:p w14:paraId="5597722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bl>
    <w:p w14:paraId="570C5796" w14:textId="77777777" w:rsidR="00EF1914" w:rsidRDefault="00EF1914">
      <w:r>
        <w:br w:type="page"/>
      </w:r>
    </w:p>
    <w:tbl>
      <w:tblPr>
        <w:tblStyle w:val="TableGrid"/>
        <w:tblpPr w:leftFromText="180" w:rightFromText="180" w:horzAnchor="margin" w:tblpY="3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45"/>
        <w:gridCol w:w="639"/>
        <w:gridCol w:w="1330"/>
        <w:gridCol w:w="657"/>
        <w:gridCol w:w="3779"/>
        <w:gridCol w:w="2070"/>
      </w:tblGrid>
      <w:tr w:rsidR="00EF1914" w14:paraId="53D48D5C" w14:textId="77777777" w:rsidTr="00EF1914">
        <w:tc>
          <w:tcPr>
            <w:tcW w:w="1245" w:type="dxa"/>
          </w:tcPr>
          <w:p w14:paraId="489BEA6F" w14:textId="7928D6D6" w:rsidR="00EF1914" w:rsidRPr="00EF1914" w:rsidRDefault="00EF1914" w:rsidP="00EF1914">
            <w:pPr>
              <w:keepNext/>
              <w:keepLines/>
              <w:tabs>
                <w:tab w:val="left" w:pos="-1440"/>
                <w:tab w:val="left" w:pos="-720"/>
                <w:tab w:val="left" w:pos="0"/>
                <w:tab w:val="left" w:pos="720"/>
                <w:tab w:val="left" w:pos="1080"/>
                <w:tab w:val="left" w:pos="1440"/>
              </w:tabs>
              <w:suppressAutoHyphens/>
              <w:rPr>
                <w:b/>
                <w:color w:val="000000"/>
                <w:szCs w:val="22"/>
              </w:rPr>
            </w:pPr>
            <w:r w:rsidRPr="00EF1914">
              <w:rPr>
                <w:b/>
              </w:rPr>
              <w:t>Call Sign</w:t>
            </w:r>
          </w:p>
        </w:tc>
        <w:tc>
          <w:tcPr>
            <w:tcW w:w="639" w:type="dxa"/>
          </w:tcPr>
          <w:p w14:paraId="207D9000" w14:textId="77777777" w:rsidR="00EF1914" w:rsidRPr="00EF1914" w:rsidRDefault="00EF1914" w:rsidP="00EF1914">
            <w:pPr>
              <w:keepNext/>
              <w:keepLines/>
              <w:tabs>
                <w:tab w:val="left" w:pos="-1440"/>
                <w:tab w:val="left" w:pos="-720"/>
                <w:tab w:val="left" w:pos="0"/>
                <w:tab w:val="left" w:pos="720"/>
                <w:tab w:val="left" w:pos="1080"/>
                <w:tab w:val="left" w:pos="1440"/>
              </w:tabs>
              <w:suppressAutoHyphens/>
              <w:rPr>
                <w:b/>
                <w:szCs w:val="22"/>
              </w:rPr>
            </w:pPr>
          </w:p>
        </w:tc>
        <w:tc>
          <w:tcPr>
            <w:tcW w:w="1330" w:type="dxa"/>
          </w:tcPr>
          <w:p w14:paraId="0C0A0427" w14:textId="2EC6BCFD" w:rsidR="00EF1914" w:rsidRPr="00EF1914" w:rsidRDefault="00EF1914" w:rsidP="00EF1914">
            <w:pPr>
              <w:keepNext/>
              <w:keepLines/>
              <w:tabs>
                <w:tab w:val="left" w:pos="-1440"/>
                <w:tab w:val="left" w:pos="-720"/>
                <w:tab w:val="left" w:pos="0"/>
                <w:tab w:val="left" w:pos="720"/>
                <w:tab w:val="left" w:pos="1080"/>
                <w:tab w:val="left" w:pos="1440"/>
              </w:tabs>
              <w:suppressAutoHyphens/>
              <w:rPr>
                <w:b/>
                <w:color w:val="000000"/>
                <w:szCs w:val="22"/>
              </w:rPr>
            </w:pPr>
            <w:r w:rsidRPr="00EF1914">
              <w:rPr>
                <w:b/>
              </w:rPr>
              <w:t xml:space="preserve">File No. </w:t>
            </w:r>
          </w:p>
        </w:tc>
        <w:tc>
          <w:tcPr>
            <w:tcW w:w="657" w:type="dxa"/>
          </w:tcPr>
          <w:p w14:paraId="774E0FD3" w14:textId="77777777" w:rsidR="00EF1914" w:rsidRPr="00EF1914" w:rsidRDefault="00EF1914" w:rsidP="00EF1914">
            <w:pPr>
              <w:keepNext/>
              <w:keepLines/>
              <w:tabs>
                <w:tab w:val="left" w:pos="-1440"/>
                <w:tab w:val="left" w:pos="-720"/>
                <w:tab w:val="left" w:pos="0"/>
                <w:tab w:val="left" w:pos="720"/>
                <w:tab w:val="left" w:pos="1080"/>
                <w:tab w:val="left" w:pos="1440"/>
              </w:tabs>
              <w:suppressAutoHyphens/>
              <w:rPr>
                <w:b/>
                <w:color w:val="000000"/>
                <w:szCs w:val="22"/>
              </w:rPr>
            </w:pPr>
          </w:p>
        </w:tc>
        <w:tc>
          <w:tcPr>
            <w:tcW w:w="3779" w:type="dxa"/>
          </w:tcPr>
          <w:p w14:paraId="08C212AF" w14:textId="194D0975" w:rsidR="00EF1914" w:rsidRPr="00EF1914" w:rsidRDefault="00EF1914" w:rsidP="00EF1914">
            <w:pPr>
              <w:keepNext/>
              <w:keepLines/>
              <w:tabs>
                <w:tab w:val="left" w:pos="-1440"/>
                <w:tab w:val="left" w:pos="-720"/>
                <w:tab w:val="left" w:pos="0"/>
                <w:tab w:val="left" w:pos="720"/>
                <w:tab w:val="left" w:pos="1080"/>
                <w:tab w:val="left" w:pos="1440"/>
              </w:tabs>
              <w:suppressAutoHyphens/>
              <w:rPr>
                <w:b/>
                <w:color w:val="000000"/>
                <w:szCs w:val="22"/>
              </w:rPr>
            </w:pPr>
            <w:r w:rsidRPr="00EF1914">
              <w:rPr>
                <w:b/>
              </w:rPr>
              <w:t xml:space="preserve">Market </w:t>
            </w:r>
          </w:p>
        </w:tc>
        <w:tc>
          <w:tcPr>
            <w:tcW w:w="2070" w:type="dxa"/>
          </w:tcPr>
          <w:p w14:paraId="18536EF6" w14:textId="3B709549" w:rsidR="00EF1914" w:rsidRPr="00EF1914" w:rsidRDefault="00EF1914" w:rsidP="00EF1914">
            <w:pPr>
              <w:keepNext/>
              <w:keepLines/>
              <w:tabs>
                <w:tab w:val="left" w:pos="-1440"/>
                <w:tab w:val="left" w:pos="-720"/>
                <w:tab w:val="left" w:pos="0"/>
                <w:tab w:val="left" w:pos="720"/>
                <w:tab w:val="left" w:pos="1080"/>
                <w:tab w:val="left" w:pos="1440"/>
              </w:tabs>
              <w:suppressAutoHyphens/>
              <w:rPr>
                <w:b/>
                <w:color w:val="000000"/>
                <w:szCs w:val="22"/>
              </w:rPr>
            </w:pPr>
            <w:r w:rsidRPr="00EF1914">
              <w:rPr>
                <w:b/>
              </w:rPr>
              <w:t>Spectrum Block</w:t>
            </w:r>
          </w:p>
        </w:tc>
      </w:tr>
      <w:tr w:rsidR="00EF1914" w14:paraId="05AAABDE" w14:textId="77777777" w:rsidTr="00EF1914">
        <w:tc>
          <w:tcPr>
            <w:tcW w:w="1245" w:type="dxa"/>
            <w:vAlign w:val="bottom"/>
          </w:tcPr>
          <w:p w14:paraId="09A2FF4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639" w:type="dxa"/>
          </w:tcPr>
          <w:p w14:paraId="4D27151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6F5FE658" w14:textId="77777777" w:rsidR="00EF1914"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657" w:type="dxa"/>
          </w:tcPr>
          <w:p w14:paraId="4D14AE8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D77AAD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2070" w:type="dxa"/>
            <w:vAlign w:val="bottom"/>
          </w:tcPr>
          <w:p w14:paraId="62E1A60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r>
      <w:tr w:rsidR="00EF1914" w14:paraId="008CA0A2" w14:textId="77777777" w:rsidTr="00EF1914">
        <w:tc>
          <w:tcPr>
            <w:tcW w:w="1245" w:type="dxa"/>
            <w:vAlign w:val="bottom"/>
          </w:tcPr>
          <w:p w14:paraId="367EB7E6" w14:textId="0628673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WQGU942</w:t>
            </w:r>
          </w:p>
        </w:tc>
        <w:tc>
          <w:tcPr>
            <w:tcW w:w="639" w:type="dxa"/>
          </w:tcPr>
          <w:p w14:paraId="3661C02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5F16857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7375887</w:t>
            </w:r>
          </w:p>
        </w:tc>
        <w:tc>
          <w:tcPr>
            <w:tcW w:w="657" w:type="dxa"/>
          </w:tcPr>
          <w:p w14:paraId="7E0A2CF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676D108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Los Angeles-San Diego</w:t>
            </w:r>
          </w:p>
        </w:tc>
        <w:tc>
          <w:tcPr>
            <w:tcW w:w="2070" w:type="dxa"/>
            <w:vAlign w:val="bottom"/>
          </w:tcPr>
          <w:p w14:paraId="5E1FAF1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55D23BCD" w14:textId="77777777" w:rsidTr="00EF1914">
        <w:tc>
          <w:tcPr>
            <w:tcW w:w="1245" w:type="dxa"/>
            <w:vAlign w:val="bottom"/>
          </w:tcPr>
          <w:p w14:paraId="2DFB1ED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WQGU943</w:t>
            </w:r>
          </w:p>
        </w:tc>
        <w:tc>
          <w:tcPr>
            <w:tcW w:w="639" w:type="dxa"/>
          </w:tcPr>
          <w:p w14:paraId="15DA526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739919C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7375888</w:t>
            </w:r>
          </w:p>
        </w:tc>
        <w:tc>
          <w:tcPr>
            <w:tcW w:w="657" w:type="dxa"/>
          </w:tcPr>
          <w:p w14:paraId="537E678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335791A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Portland</w:t>
            </w:r>
          </w:p>
        </w:tc>
        <w:tc>
          <w:tcPr>
            <w:tcW w:w="2070" w:type="dxa"/>
            <w:vAlign w:val="bottom"/>
          </w:tcPr>
          <w:p w14:paraId="417C3A3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2F685E8C" w14:textId="77777777" w:rsidTr="00EF1914">
        <w:tc>
          <w:tcPr>
            <w:tcW w:w="1245" w:type="dxa"/>
            <w:vAlign w:val="bottom"/>
          </w:tcPr>
          <w:p w14:paraId="7D4D0FE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WQGU944</w:t>
            </w:r>
          </w:p>
        </w:tc>
        <w:tc>
          <w:tcPr>
            <w:tcW w:w="639" w:type="dxa"/>
          </w:tcPr>
          <w:p w14:paraId="1068B28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1B954D7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7375889</w:t>
            </w:r>
          </w:p>
        </w:tc>
        <w:tc>
          <w:tcPr>
            <w:tcW w:w="657" w:type="dxa"/>
          </w:tcPr>
          <w:p w14:paraId="49C8B99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348407D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Seattle</w:t>
            </w:r>
          </w:p>
        </w:tc>
        <w:tc>
          <w:tcPr>
            <w:tcW w:w="2070" w:type="dxa"/>
            <w:vAlign w:val="bottom"/>
          </w:tcPr>
          <w:p w14:paraId="482E330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60094F08" w14:textId="77777777" w:rsidTr="00EF1914">
        <w:tc>
          <w:tcPr>
            <w:tcW w:w="1245" w:type="dxa"/>
            <w:vAlign w:val="bottom"/>
          </w:tcPr>
          <w:p w14:paraId="38745EE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WQGU945</w:t>
            </w:r>
          </w:p>
        </w:tc>
        <w:tc>
          <w:tcPr>
            <w:tcW w:w="639" w:type="dxa"/>
          </w:tcPr>
          <w:p w14:paraId="636983E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61F639C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7375890</w:t>
            </w:r>
          </w:p>
        </w:tc>
        <w:tc>
          <w:tcPr>
            <w:tcW w:w="657" w:type="dxa"/>
          </w:tcPr>
          <w:p w14:paraId="3E12EFE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778ACA6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Alaska</w:t>
            </w:r>
          </w:p>
        </w:tc>
        <w:tc>
          <w:tcPr>
            <w:tcW w:w="2070" w:type="dxa"/>
            <w:vAlign w:val="bottom"/>
          </w:tcPr>
          <w:p w14:paraId="2284E9C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680C292A" w14:textId="77777777" w:rsidTr="00EF1914">
        <w:tc>
          <w:tcPr>
            <w:tcW w:w="1245" w:type="dxa"/>
            <w:vAlign w:val="bottom"/>
          </w:tcPr>
          <w:p w14:paraId="6029DAA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WQGU946</w:t>
            </w:r>
          </w:p>
        </w:tc>
        <w:tc>
          <w:tcPr>
            <w:tcW w:w="639" w:type="dxa"/>
          </w:tcPr>
          <w:p w14:paraId="40B5C5A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186B9B9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7375891</w:t>
            </w:r>
          </w:p>
        </w:tc>
        <w:tc>
          <w:tcPr>
            <w:tcW w:w="657" w:type="dxa"/>
          </w:tcPr>
          <w:p w14:paraId="733CAB1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797DB81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Hawaii</w:t>
            </w:r>
          </w:p>
        </w:tc>
        <w:tc>
          <w:tcPr>
            <w:tcW w:w="2070" w:type="dxa"/>
            <w:vAlign w:val="bottom"/>
          </w:tcPr>
          <w:p w14:paraId="670C906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55A998DB" w14:textId="77777777" w:rsidTr="00EF1914">
        <w:tc>
          <w:tcPr>
            <w:tcW w:w="1245" w:type="dxa"/>
            <w:vAlign w:val="bottom"/>
          </w:tcPr>
          <w:p w14:paraId="35940C1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WQGU947</w:t>
            </w:r>
          </w:p>
        </w:tc>
        <w:tc>
          <w:tcPr>
            <w:tcW w:w="639" w:type="dxa"/>
          </w:tcPr>
          <w:p w14:paraId="0BA1CF4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59991A8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7375892</w:t>
            </w:r>
          </w:p>
        </w:tc>
        <w:tc>
          <w:tcPr>
            <w:tcW w:w="657" w:type="dxa"/>
          </w:tcPr>
          <w:p w14:paraId="619C6B9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8D7531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Guam and the Northern Mariana</w:t>
            </w:r>
          </w:p>
        </w:tc>
        <w:tc>
          <w:tcPr>
            <w:tcW w:w="2070" w:type="dxa"/>
            <w:vAlign w:val="bottom"/>
          </w:tcPr>
          <w:p w14:paraId="079AB8A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02CF4248" w14:textId="77777777" w:rsidTr="00EF1914">
        <w:tc>
          <w:tcPr>
            <w:tcW w:w="1245" w:type="dxa"/>
            <w:vAlign w:val="bottom"/>
          </w:tcPr>
          <w:p w14:paraId="6659F56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WQGU948</w:t>
            </w:r>
          </w:p>
        </w:tc>
        <w:tc>
          <w:tcPr>
            <w:tcW w:w="639" w:type="dxa"/>
          </w:tcPr>
          <w:p w14:paraId="242772B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vAlign w:val="bottom"/>
          </w:tcPr>
          <w:p w14:paraId="1867ABB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FE6EB3">
              <w:t>7375893</w:t>
            </w:r>
          </w:p>
        </w:tc>
        <w:tc>
          <w:tcPr>
            <w:tcW w:w="657" w:type="dxa"/>
          </w:tcPr>
          <w:p w14:paraId="5C338D4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0BEE78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American Samoa</w:t>
            </w:r>
          </w:p>
        </w:tc>
        <w:tc>
          <w:tcPr>
            <w:tcW w:w="2070" w:type="dxa"/>
            <w:vAlign w:val="bottom"/>
          </w:tcPr>
          <w:p w14:paraId="76C51BF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 xml:space="preserve">    </w:t>
            </w:r>
          </w:p>
        </w:tc>
      </w:tr>
      <w:tr w:rsidR="00EF1914" w14:paraId="49740641" w14:textId="77777777" w:rsidTr="00EF1914">
        <w:tc>
          <w:tcPr>
            <w:tcW w:w="1245" w:type="dxa"/>
            <w:vAlign w:val="bottom"/>
          </w:tcPr>
          <w:p w14:paraId="642E6C6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639" w:type="dxa"/>
          </w:tcPr>
          <w:p w14:paraId="640126E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1B3F207A" w14:textId="77777777" w:rsidR="00EF1914"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657" w:type="dxa"/>
          </w:tcPr>
          <w:p w14:paraId="5FCD9BA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6DD8F30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2070" w:type="dxa"/>
            <w:vAlign w:val="bottom"/>
          </w:tcPr>
          <w:p w14:paraId="36F0A84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r>
      <w:tr w:rsidR="00EF1914" w14:paraId="239BCF11" w14:textId="77777777" w:rsidTr="00EF1914">
        <w:tc>
          <w:tcPr>
            <w:tcW w:w="9720" w:type="dxa"/>
            <w:gridSpan w:val="6"/>
            <w:vAlign w:val="bottom"/>
          </w:tcPr>
          <w:p w14:paraId="0320C562" w14:textId="77777777" w:rsidR="00EF1914" w:rsidRDefault="00EF1914" w:rsidP="00EF1914">
            <w:pPr>
              <w:keepNext/>
              <w:keepLines/>
              <w:tabs>
                <w:tab w:val="left" w:pos="-1440"/>
                <w:tab w:val="left" w:pos="-720"/>
                <w:tab w:val="left" w:pos="0"/>
                <w:tab w:val="left" w:pos="720"/>
                <w:tab w:val="left" w:pos="1080"/>
                <w:tab w:val="left" w:pos="1440"/>
              </w:tabs>
              <w:suppressAutoHyphens/>
              <w:rPr>
                <w:color w:val="000000"/>
                <w:szCs w:val="22"/>
                <w:u w:val="single"/>
              </w:rPr>
            </w:pPr>
            <w:r w:rsidRPr="00E06CC0">
              <w:rPr>
                <w:color w:val="000000"/>
                <w:szCs w:val="22"/>
                <w:u w:val="single"/>
              </w:rPr>
              <w:t>1392-1395/1432-1435 MHz Licenses</w:t>
            </w:r>
          </w:p>
          <w:p w14:paraId="1B40E4F2" w14:textId="77777777" w:rsidR="00EF1914" w:rsidRPr="00E06CC0" w:rsidRDefault="00EF1914" w:rsidP="00EF1914">
            <w:pPr>
              <w:keepNext/>
              <w:keepLines/>
              <w:tabs>
                <w:tab w:val="left" w:pos="-1440"/>
                <w:tab w:val="left" w:pos="-720"/>
                <w:tab w:val="left" w:pos="0"/>
                <w:tab w:val="left" w:pos="720"/>
                <w:tab w:val="left" w:pos="1080"/>
                <w:tab w:val="left" w:pos="1440"/>
              </w:tabs>
              <w:suppressAutoHyphens/>
              <w:rPr>
                <w:color w:val="000000"/>
                <w:szCs w:val="22"/>
                <w:u w:val="single"/>
              </w:rPr>
            </w:pPr>
          </w:p>
        </w:tc>
      </w:tr>
      <w:tr w:rsidR="00EF1914" w14:paraId="75A4AB26" w14:textId="77777777" w:rsidTr="00EF1914">
        <w:tc>
          <w:tcPr>
            <w:tcW w:w="1245" w:type="dxa"/>
            <w:vAlign w:val="bottom"/>
          </w:tcPr>
          <w:p w14:paraId="2B637DA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WQGU885</w:t>
            </w:r>
          </w:p>
        </w:tc>
        <w:tc>
          <w:tcPr>
            <w:tcW w:w="639" w:type="dxa"/>
          </w:tcPr>
          <w:p w14:paraId="22D8CF5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7296AAE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7375830</w:t>
            </w:r>
          </w:p>
        </w:tc>
        <w:tc>
          <w:tcPr>
            <w:tcW w:w="657" w:type="dxa"/>
          </w:tcPr>
          <w:p w14:paraId="1927FEA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E61C55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Northeast</w:t>
            </w:r>
          </w:p>
        </w:tc>
        <w:tc>
          <w:tcPr>
            <w:tcW w:w="2070" w:type="dxa"/>
            <w:vAlign w:val="bottom"/>
          </w:tcPr>
          <w:p w14:paraId="77DD08B9" w14:textId="17D385CA"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A</w:t>
            </w:r>
          </w:p>
        </w:tc>
      </w:tr>
      <w:tr w:rsidR="00EF1914" w14:paraId="353764D3" w14:textId="77777777" w:rsidTr="00EF1914">
        <w:tc>
          <w:tcPr>
            <w:tcW w:w="1245" w:type="dxa"/>
            <w:vAlign w:val="bottom"/>
          </w:tcPr>
          <w:p w14:paraId="4946BA1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WQGU886</w:t>
            </w:r>
          </w:p>
        </w:tc>
        <w:tc>
          <w:tcPr>
            <w:tcW w:w="639" w:type="dxa"/>
          </w:tcPr>
          <w:p w14:paraId="395D730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51136EC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7375831</w:t>
            </w:r>
          </w:p>
        </w:tc>
        <w:tc>
          <w:tcPr>
            <w:tcW w:w="657" w:type="dxa"/>
          </w:tcPr>
          <w:p w14:paraId="718D6C7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5987A09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Northeast</w:t>
            </w:r>
          </w:p>
        </w:tc>
        <w:tc>
          <w:tcPr>
            <w:tcW w:w="2070" w:type="dxa"/>
            <w:vAlign w:val="bottom"/>
          </w:tcPr>
          <w:p w14:paraId="4329CA01" w14:textId="28C052B4"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B</w:t>
            </w:r>
          </w:p>
        </w:tc>
      </w:tr>
      <w:tr w:rsidR="00EF1914" w14:paraId="5C7ABFC3" w14:textId="77777777" w:rsidTr="00EF1914">
        <w:tc>
          <w:tcPr>
            <w:tcW w:w="1245" w:type="dxa"/>
            <w:vAlign w:val="bottom"/>
          </w:tcPr>
          <w:p w14:paraId="2923D20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WQGU887</w:t>
            </w:r>
          </w:p>
        </w:tc>
        <w:tc>
          <w:tcPr>
            <w:tcW w:w="639" w:type="dxa"/>
          </w:tcPr>
          <w:p w14:paraId="5E3D85E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7945BDB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7375832</w:t>
            </w:r>
          </w:p>
        </w:tc>
        <w:tc>
          <w:tcPr>
            <w:tcW w:w="657" w:type="dxa"/>
          </w:tcPr>
          <w:p w14:paraId="038BD912"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713350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Mid-Atlantic</w:t>
            </w:r>
          </w:p>
        </w:tc>
        <w:tc>
          <w:tcPr>
            <w:tcW w:w="2070" w:type="dxa"/>
            <w:vAlign w:val="bottom"/>
          </w:tcPr>
          <w:p w14:paraId="26E5E479" w14:textId="75317F55"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A</w:t>
            </w:r>
          </w:p>
        </w:tc>
      </w:tr>
      <w:tr w:rsidR="00EF1914" w14:paraId="32FB86E9" w14:textId="77777777" w:rsidTr="00EF1914">
        <w:tc>
          <w:tcPr>
            <w:tcW w:w="1245" w:type="dxa"/>
            <w:vAlign w:val="bottom"/>
          </w:tcPr>
          <w:p w14:paraId="6C1B727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WQGU888</w:t>
            </w:r>
          </w:p>
        </w:tc>
        <w:tc>
          <w:tcPr>
            <w:tcW w:w="639" w:type="dxa"/>
          </w:tcPr>
          <w:p w14:paraId="7402CB7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2A439F4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7375833</w:t>
            </w:r>
          </w:p>
        </w:tc>
        <w:tc>
          <w:tcPr>
            <w:tcW w:w="657" w:type="dxa"/>
          </w:tcPr>
          <w:p w14:paraId="7F41DF3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1D1D80A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Mid-Atlantic</w:t>
            </w:r>
          </w:p>
        </w:tc>
        <w:tc>
          <w:tcPr>
            <w:tcW w:w="2070" w:type="dxa"/>
            <w:vAlign w:val="bottom"/>
          </w:tcPr>
          <w:p w14:paraId="0FDD2C5C" w14:textId="06EEC5B6"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B</w:t>
            </w:r>
          </w:p>
        </w:tc>
      </w:tr>
      <w:tr w:rsidR="00EF1914" w14:paraId="405362E5" w14:textId="77777777" w:rsidTr="00EF1914">
        <w:tc>
          <w:tcPr>
            <w:tcW w:w="1245" w:type="dxa"/>
            <w:vAlign w:val="bottom"/>
          </w:tcPr>
          <w:p w14:paraId="7673690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WQGU889</w:t>
            </w:r>
          </w:p>
        </w:tc>
        <w:tc>
          <w:tcPr>
            <w:tcW w:w="639" w:type="dxa"/>
          </w:tcPr>
          <w:p w14:paraId="4491A10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21DADE0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7375834</w:t>
            </w:r>
          </w:p>
        </w:tc>
        <w:tc>
          <w:tcPr>
            <w:tcW w:w="657" w:type="dxa"/>
          </w:tcPr>
          <w:p w14:paraId="6483DE7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31FAA97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Southeast</w:t>
            </w:r>
          </w:p>
        </w:tc>
        <w:tc>
          <w:tcPr>
            <w:tcW w:w="2070" w:type="dxa"/>
            <w:vAlign w:val="bottom"/>
          </w:tcPr>
          <w:p w14:paraId="78431396" w14:textId="112384E7"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A</w:t>
            </w:r>
          </w:p>
        </w:tc>
      </w:tr>
      <w:tr w:rsidR="00EF1914" w14:paraId="62FCADEE" w14:textId="77777777" w:rsidTr="00EF1914">
        <w:tc>
          <w:tcPr>
            <w:tcW w:w="1245" w:type="dxa"/>
            <w:vAlign w:val="bottom"/>
          </w:tcPr>
          <w:p w14:paraId="5A05B95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WQGU890</w:t>
            </w:r>
          </w:p>
        </w:tc>
        <w:tc>
          <w:tcPr>
            <w:tcW w:w="639" w:type="dxa"/>
          </w:tcPr>
          <w:p w14:paraId="28A429C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3CE2A13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7375835</w:t>
            </w:r>
          </w:p>
        </w:tc>
        <w:tc>
          <w:tcPr>
            <w:tcW w:w="657" w:type="dxa"/>
          </w:tcPr>
          <w:p w14:paraId="5D4F752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C4D24A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Southeast</w:t>
            </w:r>
          </w:p>
        </w:tc>
        <w:tc>
          <w:tcPr>
            <w:tcW w:w="2070" w:type="dxa"/>
            <w:vAlign w:val="bottom"/>
          </w:tcPr>
          <w:p w14:paraId="46847802" w14:textId="1AAE44B9"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B</w:t>
            </w:r>
          </w:p>
        </w:tc>
      </w:tr>
      <w:tr w:rsidR="00EF1914" w14:paraId="6162995F" w14:textId="77777777" w:rsidTr="00EF1914">
        <w:tc>
          <w:tcPr>
            <w:tcW w:w="1245" w:type="dxa"/>
            <w:vAlign w:val="bottom"/>
          </w:tcPr>
          <w:p w14:paraId="12A96F1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WQGU914</w:t>
            </w:r>
          </w:p>
        </w:tc>
        <w:tc>
          <w:tcPr>
            <w:tcW w:w="639" w:type="dxa"/>
          </w:tcPr>
          <w:p w14:paraId="091665F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3B53AF6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7375859</w:t>
            </w:r>
          </w:p>
        </w:tc>
        <w:tc>
          <w:tcPr>
            <w:tcW w:w="657" w:type="dxa"/>
          </w:tcPr>
          <w:p w14:paraId="147D762A"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C2AD804"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Great Lakes</w:t>
            </w:r>
          </w:p>
        </w:tc>
        <w:tc>
          <w:tcPr>
            <w:tcW w:w="2070" w:type="dxa"/>
            <w:vAlign w:val="bottom"/>
          </w:tcPr>
          <w:p w14:paraId="02ADD21F" w14:textId="2A8F2687"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A</w:t>
            </w:r>
          </w:p>
        </w:tc>
      </w:tr>
      <w:tr w:rsidR="00EF1914" w14:paraId="16BAA6CD" w14:textId="77777777" w:rsidTr="00EF1914">
        <w:tc>
          <w:tcPr>
            <w:tcW w:w="1245" w:type="dxa"/>
            <w:vAlign w:val="bottom"/>
          </w:tcPr>
          <w:p w14:paraId="1EA2AE8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WQGU915</w:t>
            </w:r>
          </w:p>
        </w:tc>
        <w:tc>
          <w:tcPr>
            <w:tcW w:w="639" w:type="dxa"/>
          </w:tcPr>
          <w:p w14:paraId="620D3EF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3134603E"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7375860</w:t>
            </w:r>
          </w:p>
        </w:tc>
        <w:tc>
          <w:tcPr>
            <w:tcW w:w="657" w:type="dxa"/>
          </w:tcPr>
          <w:p w14:paraId="415D094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293AECEC"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Great Lakes</w:t>
            </w:r>
          </w:p>
        </w:tc>
        <w:tc>
          <w:tcPr>
            <w:tcW w:w="2070" w:type="dxa"/>
            <w:vAlign w:val="bottom"/>
          </w:tcPr>
          <w:p w14:paraId="549FEFAD" w14:textId="50C5E128"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B</w:t>
            </w:r>
          </w:p>
        </w:tc>
      </w:tr>
      <w:tr w:rsidR="00EF1914" w14:paraId="27AF9E97" w14:textId="77777777" w:rsidTr="00EF1914">
        <w:tc>
          <w:tcPr>
            <w:tcW w:w="1245" w:type="dxa"/>
            <w:vAlign w:val="bottom"/>
          </w:tcPr>
          <w:p w14:paraId="119DCFF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WQGU916</w:t>
            </w:r>
          </w:p>
        </w:tc>
        <w:tc>
          <w:tcPr>
            <w:tcW w:w="639" w:type="dxa"/>
          </w:tcPr>
          <w:p w14:paraId="6E408AE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3D1E8F86"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7375861</w:t>
            </w:r>
          </w:p>
        </w:tc>
        <w:tc>
          <w:tcPr>
            <w:tcW w:w="657" w:type="dxa"/>
          </w:tcPr>
          <w:p w14:paraId="5874D10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1484197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Central/Mountain</w:t>
            </w:r>
          </w:p>
        </w:tc>
        <w:tc>
          <w:tcPr>
            <w:tcW w:w="2070" w:type="dxa"/>
            <w:vAlign w:val="bottom"/>
          </w:tcPr>
          <w:p w14:paraId="2AD0CF5B" w14:textId="525BACBF"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A</w:t>
            </w:r>
          </w:p>
        </w:tc>
      </w:tr>
      <w:tr w:rsidR="00EF1914" w14:paraId="63C8DC3D" w14:textId="77777777" w:rsidTr="00EF1914">
        <w:tc>
          <w:tcPr>
            <w:tcW w:w="1245" w:type="dxa"/>
            <w:vAlign w:val="bottom"/>
          </w:tcPr>
          <w:p w14:paraId="1763DA1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WQGU917</w:t>
            </w:r>
          </w:p>
        </w:tc>
        <w:tc>
          <w:tcPr>
            <w:tcW w:w="639" w:type="dxa"/>
          </w:tcPr>
          <w:p w14:paraId="6CB2E9B7"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26BCFC4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7375862</w:t>
            </w:r>
          </w:p>
        </w:tc>
        <w:tc>
          <w:tcPr>
            <w:tcW w:w="657" w:type="dxa"/>
          </w:tcPr>
          <w:p w14:paraId="3B261D4F"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403F356B"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Central/Mountain</w:t>
            </w:r>
          </w:p>
        </w:tc>
        <w:tc>
          <w:tcPr>
            <w:tcW w:w="2070" w:type="dxa"/>
            <w:vAlign w:val="bottom"/>
          </w:tcPr>
          <w:p w14:paraId="53F11BEB" w14:textId="21FF06D6"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B</w:t>
            </w:r>
          </w:p>
        </w:tc>
      </w:tr>
      <w:tr w:rsidR="00EF1914" w14:paraId="40A8BF1D" w14:textId="77777777" w:rsidTr="00EF1914">
        <w:tc>
          <w:tcPr>
            <w:tcW w:w="1245" w:type="dxa"/>
            <w:vAlign w:val="bottom"/>
          </w:tcPr>
          <w:p w14:paraId="2BB5F025"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WQGU918</w:t>
            </w:r>
          </w:p>
        </w:tc>
        <w:tc>
          <w:tcPr>
            <w:tcW w:w="639" w:type="dxa"/>
          </w:tcPr>
          <w:p w14:paraId="7DCA891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5DF931E8"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7375863</w:t>
            </w:r>
          </w:p>
        </w:tc>
        <w:tc>
          <w:tcPr>
            <w:tcW w:w="657" w:type="dxa"/>
          </w:tcPr>
          <w:p w14:paraId="3BFC7E4D"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608634D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Pacific</w:t>
            </w:r>
          </w:p>
        </w:tc>
        <w:tc>
          <w:tcPr>
            <w:tcW w:w="2070" w:type="dxa"/>
            <w:vAlign w:val="bottom"/>
          </w:tcPr>
          <w:p w14:paraId="17A56F3A" w14:textId="4FB6055A"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A</w:t>
            </w:r>
          </w:p>
        </w:tc>
      </w:tr>
      <w:tr w:rsidR="00EF1914" w14:paraId="079AA947" w14:textId="77777777" w:rsidTr="00EF1914">
        <w:tc>
          <w:tcPr>
            <w:tcW w:w="1245" w:type="dxa"/>
            <w:vAlign w:val="bottom"/>
          </w:tcPr>
          <w:p w14:paraId="24B89A7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WQGU919</w:t>
            </w:r>
          </w:p>
        </w:tc>
        <w:tc>
          <w:tcPr>
            <w:tcW w:w="639" w:type="dxa"/>
          </w:tcPr>
          <w:p w14:paraId="590ACCC0"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p>
        </w:tc>
        <w:tc>
          <w:tcPr>
            <w:tcW w:w="1330" w:type="dxa"/>
          </w:tcPr>
          <w:p w14:paraId="0E5DD5D1"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Pr>
                <w:color w:val="000000"/>
                <w:szCs w:val="22"/>
              </w:rPr>
              <w:t>000</w:t>
            </w:r>
            <w:r w:rsidRPr="005E0C56">
              <w:t>7375864</w:t>
            </w:r>
          </w:p>
        </w:tc>
        <w:tc>
          <w:tcPr>
            <w:tcW w:w="657" w:type="dxa"/>
          </w:tcPr>
          <w:p w14:paraId="40E07443"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color w:val="000000"/>
                <w:szCs w:val="22"/>
              </w:rPr>
            </w:pPr>
          </w:p>
        </w:tc>
        <w:tc>
          <w:tcPr>
            <w:tcW w:w="3779" w:type="dxa"/>
            <w:vAlign w:val="bottom"/>
          </w:tcPr>
          <w:p w14:paraId="7DD91729" w14:textId="77777777" w:rsidR="00EF1914" w:rsidRPr="00C5575E" w:rsidRDefault="00EF1914" w:rsidP="00EF1914">
            <w:pPr>
              <w:keepNext/>
              <w:keepLines/>
              <w:tabs>
                <w:tab w:val="left" w:pos="-1440"/>
                <w:tab w:val="left" w:pos="-720"/>
                <w:tab w:val="left" w:pos="0"/>
                <w:tab w:val="left" w:pos="720"/>
                <w:tab w:val="left" w:pos="1080"/>
                <w:tab w:val="left" w:pos="1440"/>
              </w:tabs>
              <w:suppressAutoHyphens/>
              <w:rPr>
                <w:szCs w:val="22"/>
              </w:rPr>
            </w:pPr>
            <w:r w:rsidRPr="00C5575E">
              <w:rPr>
                <w:color w:val="000000"/>
                <w:szCs w:val="22"/>
              </w:rPr>
              <w:t>Pacific</w:t>
            </w:r>
          </w:p>
        </w:tc>
        <w:tc>
          <w:tcPr>
            <w:tcW w:w="2070" w:type="dxa"/>
            <w:vAlign w:val="bottom"/>
          </w:tcPr>
          <w:p w14:paraId="0C5A8485" w14:textId="14F81DB9" w:rsidR="00EF1914" w:rsidRPr="00C5575E" w:rsidRDefault="00EF1914" w:rsidP="00EF1914">
            <w:pPr>
              <w:keepNext/>
              <w:keepLines/>
              <w:tabs>
                <w:tab w:val="left" w:pos="-1440"/>
                <w:tab w:val="left" w:pos="-720"/>
                <w:tab w:val="left" w:pos="0"/>
                <w:tab w:val="left" w:pos="720"/>
                <w:tab w:val="left" w:pos="1080"/>
                <w:tab w:val="left" w:pos="1440"/>
              </w:tabs>
              <w:suppressAutoHyphens/>
              <w:jc w:val="center"/>
              <w:rPr>
                <w:szCs w:val="22"/>
              </w:rPr>
            </w:pPr>
            <w:r w:rsidRPr="00C5575E">
              <w:rPr>
                <w:color w:val="000000"/>
                <w:szCs w:val="22"/>
              </w:rPr>
              <w:t>B</w:t>
            </w:r>
          </w:p>
        </w:tc>
      </w:tr>
    </w:tbl>
    <w:p w14:paraId="7B27AD26" w14:textId="77777777" w:rsidR="00AE1FFE" w:rsidRDefault="00AE1FFE" w:rsidP="00942440">
      <w:pPr>
        <w:keepNext/>
        <w:keepLines/>
        <w:tabs>
          <w:tab w:val="left" w:pos="-1440"/>
          <w:tab w:val="left" w:pos="-720"/>
          <w:tab w:val="left" w:pos="0"/>
          <w:tab w:val="left" w:pos="720"/>
          <w:tab w:val="left" w:pos="1080"/>
          <w:tab w:val="left" w:pos="1440"/>
        </w:tabs>
        <w:suppressAutoHyphens/>
        <w:jc w:val="center"/>
        <w:rPr>
          <w:szCs w:val="22"/>
        </w:rPr>
      </w:pPr>
    </w:p>
    <w:p w14:paraId="366F3E4A" w14:textId="77777777" w:rsidR="00AE1FFE" w:rsidRDefault="00AE1FFE" w:rsidP="00AE1FFE">
      <w:pPr>
        <w:keepNext/>
        <w:keepLines/>
        <w:tabs>
          <w:tab w:val="left" w:pos="-1440"/>
          <w:tab w:val="left" w:pos="-720"/>
          <w:tab w:val="left" w:pos="0"/>
          <w:tab w:val="left" w:pos="720"/>
          <w:tab w:val="left" w:pos="1080"/>
          <w:tab w:val="left" w:pos="1440"/>
        </w:tabs>
        <w:suppressAutoHyphens/>
        <w:rPr>
          <w:szCs w:val="22"/>
        </w:rPr>
      </w:pPr>
    </w:p>
    <w:sectPr w:rsidR="00AE1FFE" w:rsidSect="00BC65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622D1" w14:textId="77777777" w:rsidR="00D16BF8" w:rsidRDefault="00D16BF8">
      <w:r>
        <w:separator/>
      </w:r>
    </w:p>
  </w:endnote>
  <w:endnote w:type="continuationSeparator" w:id="0">
    <w:p w14:paraId="4229B280" w14:textId="77777777" w:rsidR="00D16BF8" w:rsidRDefault="00D16BF8">
      <w:r>
        <w:continuationSeparator/>
      </w:r>
    </w:p>
  </w:endnote>
  <w:endnote w:type="continuationNotice" w:id="1">
    <w:p w14:paraId="42412C30" w14:textId="77777777" w:rsidR="00D16BF8" w:rsidRDefault="00D16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FC66A" w14:textId="77777777" w:rsidR="005E31AB" w:rsidRDefault="005E3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029669"/>
      <w:docPartObj>
        <w:docPartGallery w:val="Page Numbers (Bottom of Page)"/>
        <w:docPartUnique/>
      </w:docPartObj>
    </w:sdtPr>
    <w:sdtEndPr>
      <w:rPr>
        <w:noProof/>
      </w:rPr>
    </w:sdtEndPr>
    <w:sdtContent>
      <w:p w14:paraId="271019D4" w14:textId="2834D4CF" w:rsidR="00D16BF8" w:rsidRDefault="00D16BF8">
        <w:pPr>
          <w:pStyle w:val="Footer"/>
          <w:jc w:val="center"/>
        </w:pPr>
        <w:r>
          <w:fldChar w:fldCharType="begin"/>
        </w:r>
        <w:r>
          <w:instrText xml:space="preserve"> PAGE   \* MERGEFORMAT </w:instrText>
        </w:r>
        <w:r>
          <w:fldChar w:fldCharType="separate"/>
        </w:r>
        <w:r w:rsidR="00A274EB">
          <w:rPr>
            <w:noProof/>
          </w:rPr>
          <w:t>2</w:t>
        </w:r>
        <w:r>
          <w:rPr>
            <w:noProof/>
          </w:rPr>
          <w:fldChar w:fldCharType="end"/>
        </w:r>
      </w:p>
    </w:sdtContent>
  </w:sdt>
  <w:p w14:paraId="468BB21B" w14:textId="23F48FAC" w:rsidR="00D16BF8" w:rsidRDefault="00D16BF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799758"/>
      <w:docPartObj>
        <w:docPartGallery w:val="Page Numbers (Bottom of Page)"/>
        <w:docPartUnique/>
      </w:docPartObj>
    </w:sdtPr>
    <w:sdtEndPr>
      <w:rPr>
        <w:noProof/>
      </w:rPr>
    </w:sdtEndPr>
    <w:sdtContent>
      <w:p w14:paraId="545F4961" w14:textId="0A859ACD" w:rsidR="00D16BF8" w:rsidRDefault="00D16BF8">
        <w:pPr>
          <w:pStyle w:val="Footer"/>
          <w:jc w:val="center"/>
        </w:pPr>
        <w:r>
          <w:fldChar w:fldCharType="begin"/>
        </w:r>
        <w:r>
          <w:instrText xml:space="preserve"> PAGE   \* MERGEFORMAT </w:instrText>
        </w:r>
        <w:r>
          <w:fldChar w:fldCharType="separate"/>
        </w:r>
        <w:r w:rsidR="00A274EB">
          <w:rPr>
            <w:noProof/>
          </w:rPr>
          <w:t>1</w:t>
        </w:r>
        <w:r>
          <w:rPr>
            <w:noProof/>
          </w:rPr>
          <w:fldChar w:fldCharType="end"/>
        </w:r>
      </w:p>
    </w:sdtContent>
  </w:sdt>
  <w:p w14:paraId="4C1B74DE" w14:textId="77777777" w:rsidR="00D16BF8" w:rsidRDefault="00D1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00B5" w14:textId="77777777" w:rsidR="00D16BF8" w:rsidRDefault="00D16BF8">
      <w:pPr>
        <w:rPr>
          <w:sz w:val="20"/>
        </w:rPr>
      </w:pPr>
      <w:r>
        <w:rPr>
          <w:sz w:val="20"/>
        </w:rPr>
        <w:separator/>
      </w:r>
    </w:p>
  </w:footnote>
  <w:footnote w:type="continuationSeparator" w:id="0">
    <w:p w14:paraId="50AF44E5" w14:textId="77777777" w:rsidR="00D16BF8" w:rsidRDefault="00D16BF8">
      <w:pPr>
        <w:rPr>
          <w:sz w:val="20"/>
        </w:rPr>
      </w:pPr>
      <w:r>
        <w:rPr>
          <w:sz w:val="20"/>
        </w:rPr>
        <w:separator/>
      </w:r>
    </w:p>
    <w:p w14:paraId="6EF2DC8E" w14:textId="77777777" w:rsidR="00D16BF8" w:rsidRDefault="00D16BF8">
      <w:pPr>
        <w:rPr>
          <w:sz w:val="20"/>
        </w:rPr>
      </w:pPr>
      <w:r>
        <w:rPr>
          <w:sz w:val="20"/>
        </w:rPr>
        <w:t>(...continued from previous page)</w:t>
      </w:r>
    </w:p>
  </w:footnote>
  <w:footnote w:type="continuationNotice" w:id="1">
    <w:p w14:paraId="1912EBD7" w14:textId="77777777" w:rsidR="00D16BF8" w:rsidRDefault="00D16BF8">
      <w:pPr>
        <w:jc w:val="right"/>
        <w:rPr>
          <w:sz w:val="20"/>
        </w:rPr>
      </w:pPr>
      <w:r>
        <w:rPr>
          <w:sz w:val="20"/>
        </w:rPr>
        <w:t>(continued....)</w:t>
      </w:r>
    </w:p>
  </w:footnote>
  <w:footnote w:id="2">
    <w:p w14:paraId="39595164" w14:textId="6BB42E67" w:rsidR="00D16BF8" w:rsidRPr="00A16AC3" w:rsidRDefault="00D16BF8" w:rsidP="007E029E">
      <w:pPr>
        <w:pStyle w:val="FootnoteText"/>
      </w:pPr>
      <w:r w:rsidRPr="00A27C55">
        <w:rPr>
          <w:rStyle w:val="FootnoteReference"/>
        </w:rPr>
        <w:footnoteRef/>
      </w:r>
      <w:r w:rsidRPr="00A27C55">
        <w:t xml:space="preserve"> Request </w:t>
      </w:r>
      <w:r>
        <w:t xml:space="preserve">of </w:t>
      </w:r>
      <w:r w:rsidRPr="00A27C55">
        <w:t xml:space="preserve">TerreStar Corporation for Temporary Waiver of Substantial Service Requirements, WT Docket No. </w:t>
      </w:r>
      <w:r>
        <w:t xml:space="preserve">16-290 (filed Aug. 12, 2016) </w:t>
      </w:r>
      <w:r w:rsidRPr="00661A46">
        <w:rPr>
          <w:szCs w:val="22"/>
        </w:rPr>
        <w:t>(Waiver Request</w:t>
      </w:r>
      <w:r w:rsidRPr="00514BA5">
        <w:rPr>
          <w:szCs w:val="22"/>
        </w:rPr>
        <w:t>)</w:t>
      </w:r>
      <w:r w:rsidRPr="00514BA5">
        <w:t xml:space="preserve">.  </w:t>
      </w:r>
      <w:r w:rsidRPr="00514BA5">
        <w:rPr>
          <w:i/>
        </w:rPr>
        <w:t xml:space="preserve">See </w:t>
      </w:r>
      <w:r w:rsidRPr="00514BA5">
        <w:t>Appendix for applicable call signs and associated applications.</w:t>
      </w:r>
    </w:p>
  </w:footnote>
  <w:footnote w:id="3">
    <w:p w14:paraId="6435CC9E" w14:textId="77777777" w:rsidR="00D16BF8" w:rsidRPr="00A27C55" w:rsidRDefault="00D16BF8" w:rsidP="00D759D5">
      <w:pPr>
        <w:pStyle w:val="FootnoteText"/>
      </w:pPr>
      <w:r w:rsidRPr="00A27C55">
        <w:rPr>
          <w:rStyle w:val="FootnoteReference"/>
        </w:rPr>
        <w:footnoteRef/>
      </w:r>
      <w:r>
        <w:t xml:space="preserve"> 47 CF</w:t>
      </w:r>
      <w:r w:rsidRPr="00A27C55">
        <w:t>R § 27.14(a).</w:t>
      </w:r>
    </w:p>
  </w:footnote>
  <w:footnote w:id="4">
    <w:p w14:paraId="06C7C252" w14:textId="4C51D85A" w:rsidR="00D16BF8" w:rsidRDefault="00D16BF8">
      <w:pPr>
        <w:pStyle w:val="FootnoteText"/>
      </w:pPr>
      <w:r>
        <w:rPr>
          <w:rStyle w:val="FootnoteReference"/>
        </w:rPr>
        <w:footnoteRef/>
      </w:r>
      <w:r>
        <w:t xml:space="preserve"> </w:t>
      </w:r>
      <w:r w:rsidRPr="004A6D39">
        <w:rPr>
          <w:i/>
        </w:rPr>
        <w:t xml:space="preserve">See Reallocation of the 216-220 MHz, 1390-1395 MHz, 1427-1429 MHz, 1429-1432 MHz, </w:t>
      </w:r>
      <w:r>
        <w:rPr>
          <w:i/>
        </w:rPr>
        <w:t xml:space="preserve">1432-1435 MHz, 1670-1675 MHz, </w:t>
      </w:r>
      <w:r w:rsidRPr="004A6D39">
        <w:rPr>
          <w:i/>
        </w:rPr>
        <w:t>and 2385-2390 MHz Government Transfer Bands, et al</w:t>
      </w:r>
      <w:r w:rsidRPr="004A6D39">
        <w:t>., Report and Order and Memorandum Opinion and Order, 17 FCC Rcd 368 (2002) (allocating the 1.4 GHz Band to Fixed and Mobile Services (with the exception of aeronautical mobile) on a primary basis</w:t>
      </w:r>
      <w:r>
        <w:t>).</w:t>
      </w:r>
    </w:p>
  </w:footnote>
  <w:footnote w:id="5">
    <w:p w14:paraId="7DDBAF0A" w14:textId="0B8AA987" w:rsidR="00D16BF8" w:rsidRPr="00A27C55" w:rsidRDefault="00D16BF8" w:rsidP="007E029E">
      <w:pPr>
        <w:pStyle w:val="FootnoteText"/>
      </w:pPr>
      <w:r w:rsidRPr="00A27C55">
        <w:rPr>
          <w:rStyle w:val="FootnoteReference"/>
        </w:rPr>
        <w:footnoteRef/>
      </w:r>
      <w:r w:rsidRPr="00A27C55">
        <w:t xml:space="preserve"> </w:t>
      </w:r>
      <w:r w:rsidRPr="00A27C55">
        <w:rPr>
          <w:i/>
        </w:rPr>
        <w:t>See</w:t>
      </w:r>
      <w:r>
        <w:rPr>
          <w:i/>
        </w:rPr>
        <w:t xml:space="preserve"> id.  See</w:t>
      </w:r>
      <w:r w:rsidRPr="00A27C55">
        <w:rPr>
          <w:i/>
        </w:rPr>
        <w:t xml:space="preserve"> </w:t>
      </w:r>
      <w:r>
        <w:rPr>
          <w:i/>
        </w:rPr>
        <w:t xml:space="preserve">also </w:t>
      </w:r>
      <w:r w:rsidRPr="00C73331">
        <w:rPr>
          <w:i/>
        </w:rPr>
        <w:t>Amendments to Parts 1, 2, 27 and 90 of the Commission’s Rules to License Services in the 216-220 MHz, 1390-1395 MHz, 1427-1429 MHz, 1429-1432 MHz,</w:t>
      </w:r>
      <w:r w:rsidRPr="008611B6">
        <w:rPr>
          <w:i/>
        </w:rPr>
        <w:t xml:space="preserve"> </w:t>
      </w:r>
      <w:r>
        <w:rPr>
          <w:i/>
        </w:rPr>
        <w:t>1432-1435 MHz, 1670-1675 MHz,</w:t>
      </w:r>
      <w:r w:rsidRPr="00C73331">
        <w:rPr>
          <w:i/>
        </w:rPr>
        <w:t xml:space="preserve"> and 2385-2390 MHz Government Transfer Bands</w:t>
      </w:r>
      <w:r w:rsidRPr="00A27C55">
        <w:t xml:space="preserve">, </w:t>
      </w:r>
      <w:r w:rsidRPr="00C73331">
        <w:t>Report and Order,</w:t>
      </w:r>
      <w:r>
        <w:t xml:space="preserve"> 17 FCC Rcd</w:t>
      </w:r>
      <w:r w:rsidRPr="00A27C55">
        <w:t xml:space="preserve"> 9980 (2002) (</w:t>
      </w:r>
      <w:r w:rsidRPr="00A27C55">
        <w:rPr>
          <w:i/>
        </w:rPr>
        <w:t>1.4 GHz Service Rules Order</w:t>
      </w:r>
      <w:r w:rsidRPr="00A27C55">
        <w:t>)</w:t>
      </w:r>
      <w:r>
        <w:t xml:space="preserve"> (adopting 1.4 GHz service rules)</w:t>
      </w:r>
      <w:r w:rsidRPr="00A27C55">
        <w:t>.</w:t>
      </w:r>
    </w:p>
  </w:footnote>
  <w:footnote w:id="6">
    <w:p w14:paraId="4327BAFB" w14:textId="61965B03" w:rsidR="00D16BF8" w:rsidRPr="00CC3E36" w:rsidRDefault="00D16BF8" w:rsidP="00C96040">
      <w:pPr>
        <w:pStyle w:val="FootnoteText"/>
      </w:pPr>
      <w:r>
        <w:rPr>
          <w:rStyle w:val="FootnoteReference"/>
        </w:rPr>
        <w:footnoteRef/>
      </w:r>
      <w:r>
        <w:t xml:space="preserve"> </w:t>
      </w:r>
      <w:r w:rsidRPr="009462E1">
        <w:rPr>
          <w:i/>
        </w:rPr>
        <w:t>1.4 GHz Service Rules Order</w:t>
      </w:r>
      <w:r>
        <w:t xml:space="preserve">, 17 FCC Rcd at 9998, para. 40 (noting that the rules adopted for the 1.4 GHz Band, while containing certain technical restrictions, remain consistent with the Commission’s “goal of providing the licensees with optimal flexibility and will accommodate a variety of business plans”).  </w:t>
      </w:r>
    </w:p>
  </w:footnote>
  <w:footnote w:id="7">
    <w:p w14:paraId="55EEA2FB" w14:textId="7E13BA76" w:rsidR="00D16BF8" w:rsidRPr="00A27C55" w:rsidRDefault="00D16BF8" w:rsidP="007E029E">
      <w:pPr>
        <w:pStyle w:val="FootnoteText"/>
      </w:pPr>
      <w:r w:rsidRPr="00A27C55">
        <w:rPr>
          <w:rStyle w:val="FootnoteReference"/>
        </w:rPr>
        <w:footnoteRef/>
      </w:r>
      <w:r w:rsidRPr="00A27C55">
        <w:t xml:space="preserve"> </w:t>
      </w:r>
      <w:r w:rsidRPr="00A27C55">
        <w:rPr>
          <w:i/>
        </w:rPr>
        <w:t>Auction of 1.4 G</w:t>
      </w:r>
      <w:r>
        <w:rPr>
          <w:i/>
        </w:rPr>
        <w:t>Hz Band Licenses Closes:  Winning</w:t>
      </w:r>
      <w:r w:rsidRPr="00A27C55">
        <w:rPr>
          <w:i/>
        </w:rPr>
        <w:t xml:space="preserve"> Bidde</w:t>
      </w:r>
      <w:r>
        <w:rPr>
          <w:i/>
        </w:rPr>
        <w:t>rs Announced for Auction No. 69</w:t>
      </w:r>
      <w:r>
        <w:t xml:space="preserve">, </w:t>
      </w:r>
      <w:r w:rsidRPr="00A27C55">
        <w:t>Public Notice,</w:t>
      </w:r>
      <w:r>
        <w:t xml:space="preserve"> 22 FCC Rcd 4714</w:t>
      </w:r>
      <w:r w:rsidRPr="00A27C55">
        <w:t xml:space="preserve"> (</w:t>
      </w:r>
      <w:r>
        <w:t>WTB</w:t>
      </w:r>
      <w:r w:rsidRPr="00A27C55">
        <w:t xml:space="preserve"> 2007). </w:t>
      </w:r>
    </w:p>
  </w:footnote>
  <w:footnote w:id="8">
    <w:p w14:paraId="3EEF548B" w14:textId="05B36315" w:rsidR="00D16BF8" w:rsidRPr="00A27C55" w:rsidRDefault="00D16BF8" w:rsidP="007E029E">
      <w:pPr>
        <w:pStyle w:val="FootnoteText"/>
      </w:pPr>
      <w:r w:rsidRPr="00A27C55">
        <w:rPr>
          <w:rStyle w:val="FootnoteReference"/>
        </w:rPr>
        <w:footnoteRef/>
      </w:r>
      <w:r w:rsidRPr="00A27C55">
        <w:t xml:space="preserve"> </w:t>
      </w:r>
      <w:r w:rsidRPr="00A27C55">
        <w:rPr>
          <w:i/>
        </w:rPr>
        <w:t>See 1.4 GHz Service Rules Order</w:t>
      </w:r>
      <w:r>
        <w:t xml:space="preserve">, 17 FCC Rcd </w:t>
      </w:r>
      <w:r w:rsidRPr="00A27C55">
        <w:t>at 9989</w:t>
      </w:r>
      <w:r>
        <w:t>-90,</w:t>
      </w:r>
      <w:r w:rsidRPr="00A27C55">
        <w:t xml:space="preserve"> para</w:t>
      </w:r>
      <w:r>
        <w:t>s.</w:t>
      </w:r>
      <w:r w:rsidRPr="00A27C55">
        <w:t xml:space="preserve"> 14</w:t>
      </w:r>
      <w:r>
        <w:t>-15</w:t>
      </w:r>
      <w:r w:rsidRPr="00A27C55">
        <w:t xml:space="preserve"> (explaining that smaller economic areas would help to alleviate spectrum access concerns of user with smaller and/or more localized spectrum needs).</w:t>
      </w:r>
    </w:p>
  </w:footnote>
  <w:footnote w:id="9">
    <w:p w14:paraId="7E8B3EC5" w14:textId="602E5A0E" w:rsidR="00D16BF8" w:rsidRPr="00A27C55" w:rsidRDefault="00D16BF8" w:rsidP="007E029E">
      <w:pPr>
        <w:pStyle w:val="FootnoteText"/>
      </w:pPr>
      <w:r w:rsidRPr="00A27C55">
        <w:rPr>
          <w:rStyle w:val="FootnoteReference"/>
        </w:rPr>
        <w:footnoteRef/>
      </w:r>
      <w:r w:rsidRPr="00A27C55">
        <w:t xml:space="preserve"> </w:t>
      </w:r>
      <w:r w:rsidRPr="00A27C55">
        <w:rPr>
          <w:i/>
        </w:rPr>
        <w:t xml:space="preserve">See </w:t>
      </w:r>
      <w:r>
        <w:rPr>
          <w:i/>
        </w:rPr>
        <w:t>id.</w:t>
      </w:r>
      <w:r>
        <w:t xml:space="preserve"> </w:t>
      </w:r>
      <w:r w:rsidRPr="00AB1416">
        <w:t xml:space="preserve">at </w:t>
      </w:r>
      <w:r w:rsidRPr="00A27C55">
        <w:t>999</w:t>
      </w:r>
      <w:r>
        <w:t>0,</w:t>
      </w:r>
      <w:r w:rsidRPr="00A27C55">
        <w:t xml:space="preserve"> para</w:t>
      </w:r>
      <w:r>
        <w:t>s.</w:t>
      </w:r>
      <w:r w:rsidRPr="00A27C55">
        <w:t xml:space="preserve"> </w:t>
      </w:r>
      <w:r>
        <w:t>16-</w:t>
      </w:r>
      <w:r w:rsidRPr="00A27C55">
        <w:t>17 (explaining that larger geographic areas like EAGs would, among other benefits, facilitate flexibility for nascent operations to allocate resources according to demand, permitting them to rollout service quickly).</w:t>
      </w:r>
    </w:p>
  </w:footnote>
  <w:footnote w:id="10">
    <w:p w14:paraId="27FBE509" w14:textId="4B914FAE" w:rsidR="00D16BF8" w:rsidRPr="00D545CA" w:rsidRDefault="00D16BF8">
      <w:pPr>
        <w:pStyle w:val="FootnoteText"/>
      </w:pPr>
      <w:r>
        <w:rPr>
          <w:rStyle w:val="FootnoteReference"/>
        </w:rPr>
        <w:footnoteRef/>
      </w:r>
      <w:r>
        <w:t xml:space="preserve"> 47 CFR § 27.14(a); </w:t>
      </w:r>
      <w:r>
        <w:rPr>
          <w:i/>
        </w:rPr>
        <w:t>see also</w:t>
      </w:r>
      <w:r>
        <w:t xml:space="preserve"> </w:t>
      </w:r>
      <w:r w:rsidRPr="00FE2C44">
        <w:rPr>
          <w:i/>
        </w:rPr>
        <w:t>id</w:t>
      </w:r>
      <w:r w:rsidRPr="00FE2C44">
        <w:t>. §§ 27</w:t>
      </w:r>
      <w:r>
        <w:t>.</w:t>
      </w:r>
      <w:r w:rsidRPr="00FE2C44">
        <w:t>13(c)</w:t>
      </w:r>
      <w:r>
        <w:t>-</w:t>
      </w:r>
      <w:r w:rsidRPr="00FE2C44">
        <w:t>(d) (specifying a license term of no more than ten years for the subject licenses)</w:t>
      </w:r>
      <w:r>
        <w:t xml:space="preserve">.  In setting out this performance requirement, Section 27.14(a) defines “substantial service” as “service which is sound, favorable and substantially above a level of mediocre service which just might minimally warrant renewal.”  </w:t>
      </w:r>
      <w:r>
        <w:rPr>
          <w:i/>
        </w:rPr>
        <w:t>Id</w:t>
      </w:r>
      <w:r>
        <w:t xml:space="preserve">. § 27.14(a); </w:t>
      </w:r>
      <w:r>
        <w:rPr>
          <w:i/>
        </w:rPr>
        <w:t>see also</w:t>
      </w:r>
      <w:r w:rsidRPr="003D0D58">
        <w:rPr>
          <w:i/>
          <w:kern w:val="28"/>
          <w:sz w:val="22"/>
        </w:rPr>
        <w:t xml:space="preserve"> </w:t>
      </w:r>
      <w:r w:rsidRPr="00162A93">
        <w:rPr>
          <w:i/>
        </w:rPr>
        <w:t>1.4 GHz Service Rules Order</w:t>
      </w:r>
      <w:r w:rsidRPr="00162A93">
        <w:t>, 17 FCC Rcd at 10011, para. 7</w:t>
      </w:r>
      <w:r>
        <w:t>5</w:t>
      </w:r>
      <w:r w:rsidRPr="00162A93">
        <w:t xml:space="preserve"> (explaining the rationale underlying the substantial performance showing as an approach that “furthers the public interest and is consistent with our renewal requirements, […] ensuring efficient use of the spectrum, and expeditious service to the public”).</w:t>
      </w:r>
      <w:r>
        <w:t xml:space="preserve"> </w:t>
      </w:r>
    </w:p>
  </w:footnote>
  <w:footnote w:id="11">
    <w:p w14:paraId="3EF40972" w14:textId="20AA9EB4" w:rsidR="00D16BF8" w:rsidRPr="00A27C55" w:rsidRDefault="00D16BF8" w:rsidP="007E029E">
      <w:pPr>
        <w:pStyle w:val="FootnoteText"/>
      </w:pPr>
      <w:r w:rsidRPr="00A27C55">
        <w:rPr>
          <w:rStyle w:val="FootnoteReference"/>
        </w:rPr>
        <w:footnoteRef/>
      </w:r>
      <w:r w:rsidRPr="00A27C55">
        <w:t xml:space="preserve"> </w:t>
      </w:r>
      <w:r>
        <w:rPr>
          <w:i/>
        </w:rPr>
        <w:t xml:space="preserve">See </w:t>
      </w:r>
      <w:r w:rsidRPr="00BE300F">
        <w:rPr>
          <w:i/>
        </w:rPr>
        <w:t>Wireless Telecommunications Bureau Grants 1.4 GHz Band Licenses</w:t>
      </w:r>
      <w:r>
        <w:t xml:space="preserve">, Public Notice, </w:t>
      </w:r>
      <w:r w:rsidRPr="00BE300F">
        <w:t>22 FCC Rcd 7537</w:t>
      </w:r>
      <w:r>
        <w:t xml:space="preserve"> (WTB 2007) (granting ten-year license terms on April 23, 2007).</w:t>
      </w:r>
    </w:p>
  </w:footnote>
  <w:footnote w:id="12">
    <w:p w14:paraId="53D487A4" w14:textId="7C29907B" w:rsidR="00D16BF8" w:rsidRDefault="00D16BF8">
      <w:pPr>
        <w:pStyle w:val="FootnoteText"/>
      </w:pPr>
      <w:r>
        <w:rPr>
          <w:rStyle w:val="FootnoteReference"/>
        </w:rPr>
        <w:footnoteRef/>
      </w:r>
      <w:r>
        <w:t xml:space="preserve"> </w:t>
      </w:r>
      <w:r w:rsidRPr="00031B57">
        <w:t>WMTS syst</w:t>
      </w:r>
      <w:r>
        <w:t>ems operate on the 608–</w:t>
      </w:r>
      <w:r w:rsidRPr="00031B57">
        <w:t>614, 1395–1400, and 1427</w:t>
      </w:r>
      <w:r>
        <w:t xml:space="preserve">–1432 MHz frequencies and are </w:t>
      </w:r>
      <w:r w:rsidRPr="00031B57">
        <w:t xml:space="preserve">used for </w:t>
      </w:r>
      <w:r>
        <w:t>remote monitoring of patients’</w:t>
      </w:r>
      <w:r w:rsidRPr="00031B57">
        <w:t xml:space="preserve"> health</w:t>
      </w:r>
      <w:r>
        <w:t xml:space="preserve"> in medical facilities</w:t>
      </w:r>
      <w:r w:rsidRPr="00031B57">
        <w:t>. Wireless medical telemetry systems include devices to measure patients' vital signs and other important health parameters (e.g., pulse and respiration rates) and devices that transport the data via a radio link to a remote location, such as a nurses' station, equipped with a specialized radio receiver.</w:t>
      </w:r>
    </w:p>
  </w:footnote>
  <w:footnote w:id="13">
    <w:p w14:paraId="4AE7F9B8" w14:textId="440AB52F" w:rsidR="00D16BF8" w:rsidRDefault="00D16BF8" w:rsidP="000D1269">
      <w:pPr>
        <w:pStyle w:val="FootnoteText"/>
      </w:pPr>
      <w:r>
        <w:rPr>
          <w:rStyle w:val="FootnoteReference"/>
        </w:rPr>
        <w:footnoteRef/>
      </w:r>
      <w:r>
        <w:t xml:space="preserve"> </w:t>
      </w:r>
      <w:r w:rsidRPr="00836DE3">
        <w:t>Waiver Request</w:t>
      </w:r>
      <w:r>
        <w:t xml:space="preserve"> at 7.</w:t>
      </w:r>
    </w:p>
  </w:footnote>
  <w:footnote w:id="14">
    <w:p w14:paraId="5094023D" w14:textId="5DB55E0C" w:rsidR="00D16BF8" w:rsidRDefault="00D16BF8" w:rsidP="000D1269">
      <w:pPr>
        <w:pStyle w:val="FootnoteText"/>
      </w:pPr>
      <w:r>
        <w:rPr>
          <w:rStyle w:val="FootnoteReference"/>
        </w:rPr>
        <w:footnoteRef/>
      </w:r>
      <w:r>
        <w:t xml:space="preserve"> </w:t>
      </w:r>
      <w:r>
        <w:rPr>
          <w:i/>
        </w:rPr>
        <w:t>Id.</w:t>
      </w:r>
      <w:r>
        <w:t xml:space="preserve"> at 19.</w:t>
      </w:r>
    </w:p>
  </w:footnote>
  <w:footnote w:id="15">
    <w:p w14:paraId="3686C06F" w14:textId="11E5E035" w:rsidR="00D16BF8" w:rsidRDefault="00D16BF8">
      <w:pPr>
        <w:pStyle w:val="FootnoteText"/>
      </w:pPr>
      <w:r>
        <w:rPr>
          <w:rStyle w:val="FootnoteReference"/>
        </w:rPr>
        <w:footnoteRef/>
      </w:r>
      <w:r>
        <w:t xml:space="preserve"> </w:t>
      </w:r>
      <w:r>
        <w:rPr>
          <w:i/>
        </w:rPr>
        <w:t>Id.</w:t>
      </w:r>
      <w:r>
        <w:t xml:space="preserve"> at 13 n.28.</w:t>
      </w:r>
    </w:p>
  </w:footnote>
  <w:footnote w:id="16">
    <w:p w14:paraId="268710E2" w14:textId="7963070A" w:rsidR="00D16BF8" w:rsidRPr="00510D22" w:rsidRDefault="00D16BF8">
      <w:pPr>
        <w:pStyle w:val="FootnoteText"/>
      </w:pPr>
      <w:r>
        <w:rPr>
          <w:rStyle w:val="FootnoteReference"/>
        </w:rPr>
        <w:footnoteRef/>
      </w:r>
      <w:r>
        <w:t xml:space="preserve"> ASHE was designated by the Bureau to serve as the frequency coordinator for WMTS.  </w:t>
      </w:r>
      <w:r>
        <w:rPr>
          <w:i/>
        </w:rPr>
        <w:t xml:space="preserve">Amendments of Parts 2 and 95 of the Commission’s Rules to Create a Wireless Medical Telemetry Service, </w:t>
      </w:r>
      <w:r>
        <w:t>Order, 16 FCC Rcd 4543 (WTB PSPWD 2001).</w:t>
      </w:r>
    </w:p>
  </w:footnote>
  <w:footnote w:id="17">
    <w:p w14:paraId="2E275B5B" w14:textId="552FCF4D" w:rsidR="00D16BF8" w:rsidRPr="007E029E" w:rsidRDefault="00D16BF8" w:rsidP="003D1D67">
      <w:pPr>
        <w:pStyle w:val="FootnoteText"/>
      </w:pPr>
      <w:r>
        <w:rPr>
          <w:rStyle w:val="FootnoteReference"/>
        </w:rPr>
        <w:footnoteRef/>
      </w:r>
      <w:r>
        <w:t xml:space="preserve"> </w:t>
      </w:r>
      <w:r w:rsidRPr="004B4D3C">
        <w:rPr>
          <w:i/>
        </w:rPr>
        <w:t>See Wireless Telecommunications Bureau Seeks Comment Regarding TerreStar Corporation’s Request for Relief of Certain 1.4</w:t>
      </w:r>
      <w:r>
        <w:t xml:space="preserve"> </w:t>
      </w:r>
      <w:r w:rsidRPr="004B4D3C">
        <w:rPr>
          <w:i/>
        </w:rPr>
        <w:t>GHz Construction Requirements</w:t>
      </w:r>
      <w:r>
        <w:t xml:space="preserve">, </w:t>
      </w:r>
      <w:r w:rsidRPr="004B4D3C">
        <w:t>Public Notice</w:t>
      </w:r>
      <w:r>
        <w:t>, 31 FCC Rcd 9798 (WTB 2016) (</w:t>
      </w:r>
      <w:r>
        <w:rPr>
          <w:i/>
        </w:rPr>
        <w:t>TerreStar Public Notice</w:t>
      </w:r>
      <w:r>
        <w:t xml:space="preserve">).  Comments and reply comments were due October 4, 2016, and October 14, 2016, respectively.  </w:t>
      </w:r>
      <w:r>
        <w:rPr>
          <w:i/>
        </w:rPr>
        <w:t>See id</w:t>
      </w:r>
      <w:r>
        <w:t>.</w:t>
      </w:r>
    </w:p>
  </w:footnote>
  <w:footnote w:id="18">
    <w:p w14:paraId="1AFAD85D" w14:textId="789F1EB1" w:rsidR="00D16BF8" w:rsidRPr="00FA01CC" w:rsidRDefault="00D16BF8" w:rsidP="00A70CAE">
      <w:pPr>
        <w:pStyle w:val="FootnoteText"/>
      </w:pPr>
      <w:r>
        <w:rPr>
          <w:rStyle w:val="FootnoteReference"/>
        </w:rPr>
        <w:footnoteRef/>
      </w:r>
      <w:r>
        <w:t xml:space="preserve"> </w:t>
      </w:r>
      <w:r>
        <w:rPr>
          <w:i/>
        </w:rPr>
        <w:t xml:space="preserve">See </w:t>
      </w:r>
      <w:r>
        <w:t>GE Healthcare Comments at 1; Philips Healthcare Comments at 1.</w:t>
      </w:r>
    </w:p>
  </w:footnote>
  <w:footnote w:id="19">
    <w:p w14:paraId="53279148" w14:textId="6CD42C9D" w:rsidR="00D16BF8" w:rsidRDefault="00D16BF8" w:rsidP="007E029E">
      <w:pPr>
        <w:pStyle w:val="FootnoteText"/>
      </w:pPr>
      <w:r>
        <w:rPr>
          <w:rStyle w:val="FootnoteReference"/>
        </w:rPr>
        <w:footnoteRef/>
      </w:r>
      <w:r>
        <w:t xml:space="preserve"> ASHE Comments at 2-3 (positing </w:t>
      </w:r>
      <w:r w:rsidRPr="00A70CAE">
        <w:rPr>
          <w:szCs w:val="22"/>
        </w:rPr>
        <w:t>that TerreStar’s plan would create a “dual licensing system” for wireless medical telemetry users</w:t>
      </w:r>
      <w:r>
        <w:t xml:space="preserve"> and </w:t>
      </w:r>
      <w:r>
        <w:rPr>
          <w:szCs w:val="22"/>
        </w:rPr>
        <w:t>questioning</w:t>
      </w:r>
      <w:r w:rsidRPr="00A70CAE">
        <w:rPr>
          <w:szCs w:val="22"/>
        </w:rPr>
        <w:t xml:space="preserve"> whether the possibility of TerreStar spectrum being leased to WMTS manufacturers in a given city or larger geographic area would create a “monopoly authority” over access to spectrum for any particular health care facility</w:t>
      </w:r>
      <w:r>
        <w:rPr>
          <w:szCs w:val="22"/>
        </w:rPr>
        <w:t>)</w:t>
      </w:r>
      <w:r>
        <w:t>.</w:t>
      </w:r>
    </w:p>
  </w:footnote>
  <w:footnote w:id="20">
    <w:p w14:paraId="38CBDDA2" w14:textId="71613C3D" w:rsidR="00D16BF8" w:rsidRDefault="00D16BF8">
      <w:pPr>
        <w:pStyle w:val="FootnoteText"/>
      </w:pPr>
      <w:r>
        <w:rPr>
          <w:rStyle w:val="FootnoteReference"/>
        </w:rPr>
        <w:footnoteRef/>
      </w:r>
      <w:r>
        <w:t xml:space="preserve"> TerreStar Reply Comments at 5-11 (stating </w:t>
      </w:r>
      <w:r w:rsidRPr="00A21DDC">
        <w:rPr>
          <w:szCs w:val="22"/>
        </w:rPr>
        <w:t xml:space="preserve">all commercial spectrum leases for WMTS service would be non-exclusive and conditioned on the lessee coordinating its use with other WMTS lessees in </w:t>
      </w:r>
      <w:r w:rsidRPr="00C60F8A">
        <w:rPr>
          <w:szCs w:val="22"/>
        </w:rPr>
        <w:t xml:space="preserve">the area to assure that each lessee could use the spectrum without interfering with other lessees).  TerreStar, in subsequent </w:t>
      </w:r>
      <w:r w:rsidRPr="00C60F8A">
        <w:rPr>
          <w:i/>
          <w:szCs w:val="22"/>
        </w:rPr>
        <w:t xml:space="preserve">ex parte </w:t>
      </w:r>
      <w:r w:rsidRPr="00C60F8A">
        <w:rPr>
          <w:szCs w:val="22"/>
        </w:rPr>
        <w:t>filings, provided additional clarification of various issues, including spectrum leasing,</w:t>
      </w:r>
      <w:r w:rsidRPr="00C60F8A" w:rsidDel="00DF7F47">
        <w:rPr>
          <w:szCs w:val="22"/>
        </w:rPr>
        <w:t xml:space="preserve"> </w:t>
      </w:r>
      <w:r w:rsidRPr="00C60F8A">
        <w:rPr>
          <w:szCs w:val="22"/>
        </w:rPr>
        <w:t>the deployment timeline, and public interest benefits.</w:t>
      </w:r>
      <w:r w:rsidRPr="00C60F8A">
        <w:t xml:space="preserve">  </w:t>
      </w:r>
      <w:r w:rsidRPr="00C60F8A">
        <w:rPr>
          <w:i/>
        </w:rPr>
        <w:t xml:space="preserve">See, e.g., </w:t>
      </w:r>
      <w:r w:rsidRPr="00C60F8A">
        <w:t xml:space="preserve">Letter from Regina M. Keeney, Counsel for TerreStar Corp., to Marlene H. Dortch, Secretary, FCC, WT Docket No. 16-290, at 1-2 (filed Nov. 15, 2016); Letter from Regina M. Keeney, Counsel for TerreStar Corp., to Marlene H. Dortch, Secretary, FCC, WT Docket No. 16-290 (filed Sept. 20, 2017) (September 20, 2017 </w:t>
      </w:r>
      <w:r w:rsidRPr="00C60F8A">
        <w:rPr>
          <w:i/>
        </w:rPr>
        <w:t>Ex Parte</w:t>
      </w:r>
      <w:r w:rsidRPr="00C60F8A">
        <w:t xml:space="preserve"> Letter).  TerreStar has filed multiple </w:t>
      </w:r>
      <w:r w:rsidRPr="00C60F8A">
        <w:rPr>
          <w:i/>
        </w:rPr>
        <w:t xml:space="preserve">ex parte </w:t>
      </w:r>
      <w:r w:rsidRPr="00C60F8A">
        <w:t xml:space="preserve">letters in the docket memorializing similar discussions.  </w:t>
      </w:r>
      <w:r w:rsidRPr="00C60F8A">
        <w:rPr>
          <w:i/>
        </w:rPr>
        <w:t xml:space="preserve">See, e.g., </w:t>
      </w:r>
      <w:r w:rsidRPr="00C60F8A">
        <w:t>Letter from Regina M. Keeney, Counsel for TerreStar Corp., to Marlene H. Dortch, Secretary, FCC, WT Docket No. 16-290 (filed Mar. 30, 2017); Letter from Regina M. Keeney, Counsel for TerreStar Corp., to Marlene H. Dortch, Secretary, FCC, WT Docket No. 16-290 (filed Apr. 4, 2017).</w:t>
      </w:r>
    </w:p>
  </w:footnote>
  <w:footnote w:id="21">
    <w:p w14:paraId="00026A98" w14:textId="49A7050F" w:rsidR="00D16BF8" w:rsidRPr="00320B7D" w:rsidRDefault="00D16BF8">
      <w:pPr>
        <w:pStyle w:val="FootnoteText"/>
        <w:rPr>
          <w:i/>
        </w:rPr>
      </w:pPr>
      <w:r>
        <w:rPr>
          <w:rStyle w:val="FootnoteReference"/>
        </w:rPr>
        <w:footnoteRef/>
      </w:r>
      <w:r>
        <w:t xml:space="preserve"> Letter from Lawrence J. Movshin, Counsel for ASHE, to Amanda Huetinck, Mobility Division, WTB, FCC, WT Docket No. 16-290 (filed Nov. 10, 2016).</w:t>
      </w:r>
      <w:r w:rsidRPr="00A310F7">
        <w:rPr>
          <w:szCs w:val="22"/>
        </w:rPr>
        <w:t xml:space="preserve"> </w:t>
      </w:r>
      <w:r>
        <w:rPr>
          <w:szCs w:val="22"/>
        </w:rPr>
        <w:t xml:space="preserve"> </w:t>
      </w:r>
      <w:r>
        <w:t xml:space="preserve">Both ASHE and TerreStar have provided several other </w:t>
      </w:r>
      <w:r>
        <w:rPr>
          <w:i/>
        </w:rPr>
        <w:t xml:space="preserve">ex parte </w:t>
      </w:r>
      <w:r>
        <w:t xml:space="preserve">filings in this docket to reiterate their level of support for TerreStar’s WMTS deployment business model.  </w:t>
      </w:r>
      <w:r>
        <w:rPr>
          <w:i/>
        </w:rPr>
        <w:t xml:space="preserve">See, e.g., </w:t>
      </w:r>
      <w:r>
        <w:t xml:space="preserve">Letter from Timothy J. Cooney and Patrick R. Halley on behalf of ASHE, to Ajit Pai, Chairman, FCC, WT Docket No. 16-290 (filed July 14, 2017); Letter from Regina M. Keeney, Counsel for TerreStar Corp., to Marlene H. Dortch, Secretary, FCC, WT Docket No. 16-290 (filed Aug. 1, 2017).  We also note that TerreStar filed a pleading styled as a supplemental comment outside of the pleading cycle established in the </w:t>
      </w:r>
      <w:r>
        <w:rPr>
          <w:i/>
        </w:rPr>
        <w:t>TerreStar Public Notice</w:t>
      </w:r>
      <w:r>
        <w:t xml:space="preserve">; we therefore treat it as an </w:t>
      </w:r>
      <w:r>
        <w:rPr>
          <w:i/>
        </w:rPr>
        <w:t xml:space="preserve">ex parte </w:t>
      </w:r>
      <w:r>
        <w:t>filing</w:t>
      </w:r>
      <w:r>
        <w:rPr>
          <w:i/>
        </w:rPr>
        <w:t xml:space="preserve">.  See </w:t>
      </w:r>
      <w:r>
        <w:t xml:space="preserve">Supplemental Comments of TerreStar Corporation, WT Docket No. 16-290 (filed June 7, 2017) (reiterates TerreStar’s arguments in support of its request).  </w:t>
      </w:r>
    </w:p>
  </w:footnote>
  <w:footnote w:id="22">
    <w:p w14:paraId="3BE70AEC" w14:textId="2779E485" w:rsidR="00D16BF8" w:rsidRDefault="00D16BF8">
      <w:pPr>
        <w:pStyle w:val="FootnoteText"/>
      </w:pPr>
      <w:r>
        <w:rPr>
          <w:rStyle w:val="FootnoteReference"/>
        </w:rPr>
        <w:footnoteRef/>
      </w:r>
      <w:r>
        <w:t xml:space="preserve"> </w:t>
      </w:r>
      <w:r w:rsidRPr="00211FC5">
        <w:rPr>
          <w:i/>
        </w:rPr>
        <w:t>See</w:t>
      </w:r>
      <w:r>
        <w:t xml:space="preserve"> 47 CFR §§ 1.3, 1.925(b)(3), 1.946(e).</w:t>
      </w:r>
    </w:p>
  </w:footnote>
  <w:footnote w:id="23">
    <w:p w14:paraId="7E112AB3" w14:textId="0A409484" w:rsidR="00D16BF8" w:rsidRPr="00050C8A" w:rsidRDefault="00D16BF8" w:rsidP="00E4240B">
      <w:pPr>
        <w:pStyle w:val="FootnoteText"/>
      </w:pPr>
      <w:r>
        <w:rPr>
          <w:rStyle w:val="FootnoteReference"/>
        </w:rPr>
        <w:footnoteRef/>
      </w:r>
      <w:r>
        <w:t xml:space="preserve"> </w:t>
      </w:r>
      <w:r>
        <w:rPr>
          <w:i/>
        </w:rPr>
        <w:t>Id.</w:t>
      </w:r>
      <w:r>
        <w:t xml:space="preserve"> § 1.925(b)(3)(i)-(ii).  </w:t>
      </w:r>
    </w:p>
  </w:footnote>
  <w:footnote w:id="24">
    <w:p w14:paraId="777DC498" w14:textId="77777777" w:rsidR="00D16BF8" w:rsidRDefault="00D16BF8" w:rsidP="00E446D4">
      <w:pPr>
        <w:pStyle w:val="FootnoteText"/>
      </w:pPr>
      <w:r>
        <w:rPr>
          <w:rStyle w:val="FootnoteReference"/>
        </w:rPr>
        <w:footnoteRef/>
      </w:r>
      <w:r>
        <w:t xml:space="preserve"> </w:t>
      </w:r>
      <w:r w:rsidRPr="00AE7E2E">
        <w:rPr>
          <w:i/>
          <w:color w:val="000000"/>
        </w:rPr>
        <w:t xml:space="preserve">WAIT Radio v. FCC, </w:t>
      </w:r>
      <w:r w:rsidRPr="00AE7E2E">
        <w:rPr>
          <w:color w:val="000000"/>
        </w:rPr>
        <w:t>459 F.2d 1203, 1207 (D.C. Cir. 1972).</w:t>
      </w:r>
    </w:p>
  </w:footnote>
  <w:footnote w:id="25">
    <w:p w14:paraId="73A00B43" w14:textId="7BC8A06B" w:rsidR="00D16BF8" w:rsidRDefault="00D16BF8" w:rsidP="00E4240B">
      <w:pPr>
        <w:pStyle w:val="FootnoteText"/>
      </w:pPr>
      <w:r>
        <w:rPr>
          <w:rStyle w:val="FootnoteReference"/>
        </w:rPr>
        <w:footnoteRef/>
      </w:r>
      <w:r>
        <w:t xml:space="preserve"> </w:t>
      </w:r>
      <w:r>
        <w:rPr>
          <w:i/>
        </w:rPr>
        <w:t xml:space="preserve">See </w:t>
      </w:r>
      <w:r>
        <w:t xml:space="preserve">47 U.S.C. § 309(j).  </w:t>
      </w:r>
    </w:p>
  </w:footnote>
  <w:footnote w:id="26">
    <w:p w14:paraId="785BF8C1" w14:textId="77777777" w:rsidR="00D16BF8" w:rsidRPr="00191D9D" w:rsidRDefault="00D16BF8" w:rsidP="00BB3073">
      <w:pPr>
        <w:pStyle w:val="FootnoteText"/>
      </w:pPr>
      <w:r>
        <w:rPr>
          <w:rStyle w:val="FootnoteReference"/>
        </w:rPr>
        <w:footnoteRef/>
      </w:r>
      <w:r>
        <w:t xml:space="preserve"> </w:t>
      </w:r>
      <w:r>
        <w:rPr>
          <w:i/>
        </w:rPr>
        <w:t xml:space="preserve">See WAIT Radio v. FCC, </w:t>
      </w:r>
      <w:r>
        <w:t xml:space="preserve">418 F.2d 1153, 1157 (D.C. Cir. 1969), </w:t>
      </w:r>
      <w:r>
        <w:rPr>
          <w:i/>
        </w:rPr>
        <w:t>aff’d</w:t>
      </w:r>
      <w:r>
        <w:t xml:space="preserve">, 459 F.2d 1203 (D.C. Cir. 1972), </w:t>
      </w:r>
      <w:r>
        <w:rPr>
          <w:i/>
        </w:rPr>
        <w:t xml:space="preserve">cert. denied, </w:t>
      </w:r>
      <w:r>
        <w:t xml:space="preserve">93 S. Ct. 461 (1972).  </w:t>
      </w:r>
    </w:p>
  </w:footnote>
  <w:footnote w:id="27">
    <w:p w14:paraId="5DDCFB74" w14:textId="77777777" w:rsidR="00D16BF8" w:rsidRDefault="00D16BF8" w:rsidP="00E4240B">
      <w:pPr>
        <w:pStyle w:val="FootnoteText"/>
      </w:pPr>
      <w:r>
        <w:rPr>
          <w:rStyle w:val="FootnoteReference"/>
        </w:rPr>
        <w:footnoteRef/>
      </w:r>
      <w:r>
        <w:t xml:space="preserve"> 47 CFR § 1.3.</w:t>
      </w:r>
    </w:p>
  </w:footnote>
  <w:footnote w:id="28">
    <w:p w14:paraId="31FE25A3" w14:textId="6A8E4964" w:rsidR="00D16BF8" w:rsidRDefault="00D16BF8" w:rsidP="00A461C3">
      <w:pPr>
        <w:pStyle w:val="FootnoteText"/>
      </w:pPr>
      <w:r>
        <w:rPr>
          <w:rStyle w:val="FootnoteReference"/>
        </w:rPr>
        <w:footnoteRef/>
      </w:r>
      <w:r>
        <w:t xml:space="preserve"> </w:t>
      </w:r>
      <w:r>
        <w:rPr>
          <w:i/>
        </w:rPr>
        <w:t>Id.</w:t>
      </w:r>
      <w:r w:rsidRPr="00444C89">
        <w:t xml:space="preserve"> § </w:t>
      </w:r>
      <w:r>
        <w:t>1.946(e)(1).</w:t>
      </w:r>
    </w:p>
  </w:footnote>
  <w:footnote w:id="29">
    <w:p w14:paraId="038B3EC8" w14:textId="33370547" w:rsidR="00D16BF8" w:rsidRDefault="00D16BF8">
      <w:pPr>
        <w:pStyle w:val="FootnoteText"/>
      </w:pPr>
      <w:r>
        <w:rPr>
          <w:rStyle w:val="FootnoteReference"/>
        </w:rPr>
        <w:footnoteRef/>
      </w:r>
      <w:r>
        <w:t xml:space="preserve"> </w:t>
      </w:r>
      <w:r w:rsidRPr="00D42474">
        <w:rPr>
          <w:i/>
        </w:rPr>
        <w:t>See Auction of 1.4 GHz Band Licenses Scheduled for February 7, 2007</w:t>
      </w:r>
      <w:r>
        <w:t>, Public Notice, 21 FCC Rcd 12393, 12405-06, paras. 31-40 (WTB 2006) (</w:t>
      </w:r>
      <w:r w:rsidRPr="00034896">
        <w:rPr>
          <w:i/>
        </w:rPr>
        <w:t>1.4 GHz PN</w:t>
      </w:r>
      <w:r>
        <w:t>).</w:t>
      </w:r>
    </w:p>
  </w:footnote>
  <w:footnote w:id="30">
    <w:p w14:paraId="75BA0ADD" w14:textId="77777777" w:rsidR="00D16BF8" w:rsidRDefault="00D16BF8" w:rsidP="00D342BA">
      <w:pPr>
        <w:pStyle w:val="FootnoteText"/>
      </w:pPr>
      <w:r>
        <w:rPr>
          <w:rStyle w:val="FootnoteReference"/>
        </w:rPr>
        <w:footnoteRef/>
      </w:r>
      <w:r>
        <w:t xml:space="preserve"> </w:t>
      </w:r>
      <w:r>
        <w:rPr>
          <w:i/>
        </w:rPr>
        <w:t xml:space="preserve">See </w:t>
      </w:r>
      <w:r>
        <w:t xml:space="preserve">47 CFR § 27.14(a). </w:t>
      </w:r>
    </w:p>
  </w:footnote>
  <w:footnote w:id="31">
    <w:p w14:paraId="40B17A23" w14:textId="47FF93B3" w:rsidR="00D16BF8" w:rsidRPr="00D64B4B" w:rsidRDefault="00D16BF8" w:rsidP="00294EC2">
      <w:pPr>
        <w:pStyle w:val="FootnoteText"/>
      </w:pPr>
      <w:r>
        <w:rPr>
          <w:rStyle w:val="FootnoteReference"/>
        </w:rPr>
        <w:footnoteRef/>
      </w:r>
      <w:r>
        <w:t xml:space="preserve"> </w:t>
      </w:r>
      <w:r>
        <w:rPr>
          <w:i/>
        </w:rPr>
        <w:t>See, e.g., NTCH, Inc.,</w:t>
      </w:r>
      <w:r w:rsidRPr="00D64B4B">
        <w:t xml:space="preserve"> </w:t>
      </w:r>
      <w:r>
        <w:t xml:space="preserve">Memorandum Opinion and Order, 28 FCC Rcd 16108, 16144, para. 19 (WTB ASAD 2013) (“Prior to an auction, we consistently advise bidders that they are solely responsible for conducting due diligence to investigate and evaluate all technical and marketplace factors that may bear upon their decision to bid upon a license being offered”); </w:t>
      </w:r>
      <w:r w:rsidRPr="00502351">
        <w:rPr>
          <w:i/>
        </w:rPr>
        <w:t xml:space="preserve">Auction of Advanced Wireless Services (AWS-3) Licenses Scheduled for November 13, 2014; Notice and Filing Requirements, Reserve Prices, Minimum Opening Bids, Upfront Payments, and Other Procedures for Auction 97, </w:t>
      </w:r>
      <w:r w:rsidRPr="00502351">
        <w:t>Public Notice, 29 FCC Rcd 8386</w:t>
      </w:r>
      <w:r>
        <w:t>, 8403-8404, paras. 46-48</w:t>
      </w:r>
      <w:r w:rsidRPr="00502351">
        <w:t xml:space="preserve"> </w:t>
      </w:r>
      <w:r>
        <w:t xml:space="preserve">(WTB </w:t>
      </w:r>
      <w:r w:rsidRPr="00502351">
        <w:t>2014)</w:t>
      </w:r>
      <w:r>
        <w:t xml:space="preserve"> </w:t>
      </w:r>
      <w:r w:rsidRPr="00D64B4B">
        <w:t>(“</w:t>
      </w:r>
      <w:r>
        <w:t>A</w:t>
      </w:r>
      <w:r w:rsidRPr="00D64B4B">
        <w:t>s always, the burden is on the potential bidder to determine how much research to undertake, depending on specific facts and circumstances related to its interests”).</w:t>
      </w:r>
    </w:p>
  </w:footnote>
  <w:footnote w:id="32">
    <w:p w14:paraId="73A758F1" w14:textId="4050FD52" w:rsidR="00D16BF8" w:rsidRDefault="00D16BF8" w:rsidP="00294EC2">
      <w:pPr>
        <w:pStyle w:val="FootnoteText"/>
      </w:pPr>
      <w:r>
        <w:rPr>
          <w:rStyle w:val="FootnoteReference"/>
        </w:rPr>
        <w:footnoteRef/>
      </w:r>
      <w:r>
        <w:t xml:space="preserve"> </w:t>
      </w:r>
      <w:r w:rsidRPr="00D42474">
        <w:rPr>
          <w:i/>
        </w:rPr>
        <w:t xml:space="preserve">See 1.4 GHz </w:t>
      </w:r>
      <w:r>
        <w:rPr>
          <w:i/>
        </w:rPr>
        <w:t>PN</w:t>
      </w:r>
      <w:r>
        <w:t>, 21 FCC Rcd at 12405-06, paras. 31-40.</w:t>
      </w:r>
    </w:p>
  </w:footnote>
  <w:footnote w:id="33">
    <w:p w14:paraId="25DA8161" w14:textId="77777777" w:rsidR="00D16BF8" w:rsidRPr="004E3E2D" w:rsidRDefault="00D16BF8" w:rsidP="008D38C4">
      <w:pPr>
        <w:pStyle w:val="FootnoteText"/>
      </w:pPr>
      <w:r>
        <w:rPr>
          <w:rStyle w:val="FootnoteReference"/>
        </w:rPr>
        <w:footnoteRef/>
      </w:r>
      <w:r>
        <w:t xml:space="preserve"> </w:t>
      </w:r>
      <w:r>
        <w:rPr>
          <w:i/>
        </w:rPr>
        <w:t xml:space="preserve">Id. </w:t>
      </w:r>
      <w:r>
        <w:t>at 12405, para. 33 (emphasis in original removed).</w:t>
      </w:r>
    </w:p>
  </w:footnote>
  <w:footnote w:id="34">
    <w:p w14:paraId="1809EDB9" w14:textId="0F536188" w:rsidR="00D16BF8" w:rsidRDefault="00D16BF8" w:rsidP="0013243C">
      <w:pPr>
        <w:pStyle w:val="FootnoteText"/>
      </w:pPr>
      <w:r>
        <w:rPr>
          <w:rStyle w:val="FootnoteReference"/>
        </w:rPr>
        <w:footnoteRef/>
      </w:r>
      <w:r>
        <w:t xml:space="preserve"> </w:t>
      </w:r>
      <w:r>
        <w:rPr>
          <w:i/>
        </w:rPr>
        <w:t>See</w:t>
      </w:r>
      <w:r>
        <w:t xml:space="preserve"> </w:t>
      </w:r>
      <w:r>
        <w:rPr>
          <w:i/>
        </w:rPr>
        <w:t>1.4 GHz Service Rules Order</w:t>
      </w:r>
      <w:r>
        <w:t xml:space="preserve">, 17 FCC Rcd at 10034, para. 138; </w:t>
      </w:r>
      <w:r w:rsidRPr="0023272E">
        <w:rPr>
          <w:i/>
        </w:rPr>
        <w:t>id</w:t>
      </w:r>
      <w:r w:rsidRPr="0023272E">
        <w:t>. at 10054-55, paras. 20</w:t>
      </w:r>
      <w:r>
        <w:t>5</w:t>
      </w:r>
      <w:r w:rsidRPr="0023272E">
        <w:t>-20</w:t>
      </w:r>
      <w:r>
        <w:t>8</w:t>
      </w:r>
      <w:r w:rsidRPr="0023272E">
        <w:t xml:space="preserve"> (establishing field strength limits at the site of any WMTS operation); 47 CFR §§ 27.50(e)(1)-(2) and 27.804.</w:t>
      </w:r>
    </w:p>
  </w:footnote>
  <w:footnote w:id="35">
    <w:p w14:paraId="4FF1A23B" w14:textId="1B792B0B" w:rsidR="00D16BF8" w:rsidRDefault="00D16BF8" w:rsidP="0013243C">
      <w:pPr>
        <w:pStyle w:val="FootnoteText"/>
      </w:pPr>
      <w:r>
        <w:rPr>
          <w:rStyle w:val="FootnoteReference"/>
        </w:rPr>
        <w:footnoteRef/>
      </w:r>
      <w:r>
        <w:t xml:space="preserve"> In this regard, we observe that this situation differs from situations in which the Commission has found an adequate basis for broadly altering performance obligations.  </w:t>
      </w:r>
      <w:r w:rsidRPr="00B80DE7">
        <w:rPr>
          <w:i/>
        </w:rPr>
        <w:t>See</w:t>
      </w:r>
      <w:r>
        <w:t xml:space="preserve">, </w:t>
      </w:r>
      <w:r w:rsidRPr="00B80DE7">
        <w:rPr>
          <w:i/>
        </w:rPr>
        <w:t>e.g.</w:t>
      </w:r>
      <w:r>
        <w:t xml:space="preserve">, </w:t>
      </w:r>
      <w:r w:rsidRPr="00625EBD">
        <w:rPr>
          <w:i/>
        </w:rPr>
        <w:t xml:space="preserve">Amendment of Part 27 of the Commission’s Rules to Govern </w:t>
      </w:r>
      <w:r>
        <w:rPr>
          <w:i/>
        </w:rPr>
        <w:t xml:space="preserve">the </w:t>
      </w:r>
      <w:r w:rsidRPr="00625EBD">
        <w:rPr>
          <w:i/>
        </w:rPr>
        <w:t>Operation of Wireless Communications Services in the 2.3 GHz Band et al.</w:t>
      </w:r>
      <w:r w:rsidRPr="003B1054">
        <w:t xml:space="preserve">, </w:t>
      </w:r>
      <w:r w:rsidRPr="00625EBD">
        <w:t>Report and Order</w:t>
      </w:r>
      <w:r>
        <w:t>, 25 FCC Rcd 11710 (2010) (adopting revised technical rules and performance requirements for licensees in the 2.3 GHz band).</w:t>
      </w:r>
    </w:p>
  </w:footnote>
  <w:footnote w:id="36">
    <w:p w14:paraId="03E98AFA" w14:textId="5B761FF7" w:rsidR="00D16BF8" w:rsidRPr="00D64B4B" w:rsidRDefault="00D16BF8" w:rsidP="0013243C">
      <w:pPr>
        <w:pStyle w:val="FootnoteText"/>
      </w:pPr>
      <w:r>
        <w:rPr>
          <w:rStyle w:val="FootnoteReference"/>
        </w:rPr>
        <w:footnoteRef/>
      </w:r>
      <w:r>
        <w:t xml:space="preserve"> </w:t>
      </w:r>
      <w:r>
        <w:rPr>
          <w:i/>
        </w:rPr>
        <w:t xml:space="preserve">Cf. Requests for Waiver in the First Auction of Interactive Video and Data Service (IVDS) Licenses, </w:t>
      </w:r>
      <w:r>
        <w:t>Memorandum Opinion and Order, 11 FCC Rcd 8211, 8217, para. 12 (1996) (due diligence efforts should include factoring in of equipment market and build-out considerations).</w:t>
      </w:r>
    </w:p>
  </w:footnote>
  <w:footnote w:id="37">
    <w:p w14:paraId="254A1B62" w14:textId="03F1AB8D" w:rsidR="00D16BF8" w:rsidRPr="00E52492" w:rsidRDefault="00D16BF8">
      <w:pPr>
        <w:pStyle w:val="FootnoteText"/>
      </w:pPr>
      <w:r>
        <w:rPr>
          <w:rStyle w:val="FootnoteReference"/>
        </w:rPr>
        <w:footnoteRef/>
      </w:r>
      <w:r>
        <w:t xml:space="preserve"> </w:t>
      </w:r>
      <w:r>
        <w:rPr>
          <w:i/>
        </w:rPr>
        <w:t xml:space="preserve">See </w:t>
      </w:r>
      <w:r>
        <w:t xml:space="preserve">September 20 </w:t>
      </w:r>
      <w:r>
        <w:rPr>
          <w:i/>
        </w:rPr>
        <w:t>Ex Parte</w:t>
      </w:r>
      <w:r>
        <w:t xml:space="preserve"> Letter at 6.</w:t>
      </w:r>
    </w:p>
  </w:footnote>
  <w:footnote w:id="38">
    <w:p w14:paraId="7E84042B" w14:textId="12750C2E" w:rsidR="00D16BF8" w:rsidRPr="00167C9D" w:rsidRDefault="00D16BF8" w:rsidP="008D38C4">
      <w:pPr>
        <w:pStyle w:val="FootnoteText"/>
      </w:pPr>
      <w:r>
        <w:rPr>
          <w:rStyle w:val="FootnoteReference"/>
        </w:rPr>
        <w:footnoteRef/>
      </w:r>
      <w:r>
        <w:t xml:space="preserve"> </w:t>
      </w:r>
      <w:r>
        <w:rPr>
          <w:i/>
        </w:rPr>
        <w:t>See</w:t>
      </w:r>
      <w:r>
        <w:t xml:space="preserve"> </w:t>
      </w:r>
      <w:r>
        <w:rPr>
          <w:i/>
        </w:rPr>
        <w:t xml:space="preserve">1.4 GHz </w:t>
      </w:r>
      <w:r w:rsidRPr="005651F3">
        <w:rPr>
          <w:i/>
        </w:rPr>
        <w:t xml:space="preserve">Service </w:t>
      </w:r>
      <w:r w:rsidRPr="00167C9D">
        <w:rPr>
          <w:i/>
        </w:rPr>
        <w:t>Rules Order</w:t>
      </w:r>
      <w:r w:rsidRPr="00167C9D">
        <w:t>, 17 FCC Rcd at 10034, para. 138.</w:t>
      </w:r>
    </w:p>
  </w:footnote>
  <w:footnote w:id="39">
    <w:p w14:paraId="4D133D63" w14:textId="2CB947D9" w:rsidR="00D16BF8" w:rsidRPr="00167C9D" w:rsidRDefault="00D16BF8" w:rsidP="008D38C4">
      <w:pPr>
        <w:pStyle w:val="FootnoteText"/>
        <w:rPr>
          <w:i/>
        </w:rPr>
      </w:pPr>
      <w:r w:rsidRPr="00167C9D">
        <w:rPr>
          <w:rStyle w:val="FootnoteReference"/>
        </w:rPr>
        <w:footnoteRef/>
      </w:r>
      <w:r w:rsidRPr="00167C9D">
        <w:t xml:space="preserve"> </w:t>
      </w:r>
      <w:r w:rsidRPr="00167C9D">
        <w:rPr>
          <w:i/>
        </w:rPr>
        <w:t xml:space="preserve">See </w:t>
      </w:r>
      <w:r w:rsidRPr="00167C9D">
        <w:t>note 3533</w:t>
      </w:r>
      <w:r w:rsidRPr="00167C9D">
        <w:rPr>
          <w:i/>
        </w:rPr>
        <w:t>supra.</w:t>
      </w:r>
    </w:p>
  </w:footnote>
  <w:footnote w:id="40">
    <w:p w14:paraId="0EF7FD4C" w14:textId="08431F08" w:rsidR="00D16BF8" w:rsidRDefault="00D16BF8">
      <w:pPr>
        <w:pStyle w:val="FootnoteText"/>
      </w:pPr>
      <w:r w:rsidRPr="00167C9D">
        <w:rPr>
          <w:rStyle w:val="FootnoteReference"/>
        </w:rPr>
        <w:footnoteRef/>
      </w:r>
      <w:r w:rsidRPr="00167C9D">
        <w:t xml:space="preserve"> </w:t>
      </w:r>
      <w:r w:rsidRPr="00167C9D">
        <w:rPr>
          <w:i/>
        </w:rPr>
        <w:t>See 1.4 GHz Service Rules</w:t>
      </w:r>
      <w:r>
        <w:rPr>
          <w:i/>
        </w:rPr>
        <w:t xml:space="preserve"> Order</w:t>
      </w:r>
      <w:r>
        <w:t>, 17 FCC Rcd at 10054-10055, paras. 203-205.</w:t>
      </w:r>
    </w:p>
  </w:footnote>
  <w:footnote w:id="41">
    <w:p w14:paraId="043A495B" w14:textId="6FB6034A" w:rsidR="00D16BF8" w:rsidRDefault="00D16BF8">
      <w:pPr>
        <w:pStyle w:val="FootnoteText"/>
      </w:pPr>
      <w:r>
        <w:rPr>
          <w:rStyle w:val="FootnoteReference"/>
        </w:rPr>
        <w:footnoteRef/>
      </w:r>
      <w:r>
        <w:t xml:space="preserve"> </w:t>
      </w:r>
      <w:r>
        <w:rPr>
          <w:i/>
        </w:rPr>
        <w:t>See 1.4 GHz Service Rules Order</w:t>
      </w:r>
      <w:r>
        <w:t xml:space="preserve">, 17 FCC Rcd at 10031, paras. 126-128.  We note that the restrictions adopted reflected comments filed by WMTS interests in that proceeding.  </w:t>
      </w:r>
      <w:r>
        <w:rPr>
          <w:i/>
        </w:rPr>
        <w:t xml:space="preserve">See, e.g., </w:t>
      </w:r>
      <w:r>
        <w:t>Phillips Medical Systems Initial Comments, WT Docket No. 02-8 (filed Mar. 4, 2002) (Phillips WT Docket No. 02-8 Comments).</w:t>
      </w:r>
    </w:p>
  </w:footnote>
  <w:footnote w:id="42">
    <w:p w14:paraId="084CF6A0" w14:textId="525AD5D5" w:rsidR="00D16BF8" w:rsidRPr="002A1DF9" w:rsidRDefault="00D16BF8">
      <w:pPr>
        <w:pStyle w:val="FootnoteText"/>
      </w:pPr>
      <w:r>
        <w:rPr>
          <w:rStyle w:val="FootnoteReference"/>
        </w:rPr>
        <w:footnoteRef/>
      </w:r>
      <w:r>
        <w:t xml:space="preserve"> </w:t>
      </w:r>
      <w:r>
        <w:rPr>
          <w:i/>
        </w:rPr>
        <w:t xml:space="preserve">See e.g. </w:t>
      </w:r>
      <w:r>
        <w:t xml:space="preserve">September 20, 2017 </w:t>
      </w:r>
      <w:r>
        <w:rPr>
          <w:i/>
        </w:rPr>
        <w:t xml:space="preserve">Ex </w:t>
      </w:r>
      <w:r w:rsidRPr="00D16BF8">
        <w:rPr>
          <w:i/>
        </w:rPr>
        <w:t>Parte</w:t>
      </w:r>
      <w:r>
        <w:t xml:space="preserve"> Letter; </w:t>
      </w:r>
      <w:r w:rsidRPr="00D16BF8">
        <w:t>Waiver</w:t>
      </w:r>
      <w:r>
        <w:t xml:space="preserve"> Request, Exhibit B at 15. </w:t>
      </w:r>
      <w:r>
        <w:rPr>
          <w:i/>
        </w:rPr>
        <w:t xml:space="preserve">See also </w:t>
      </w:r>
      <w:r>
        <w:t>Phillips WT Docket No. 02-8 Comments at 5-6.  As noted, the field strength limits adopted for this band addressed the concerns regarding 1.4 GHz operations in close proximity to medical facilities.</w:t>
      </w:r>
    </w:p>
  </w:footnote>
  <w:footnote w:id="43">
    <w:p w14:paraId="188F6DE8" w14:textId="313D87D9" w:rsidR="00D16BF8" w:rsidRPr="00167C9D" w:rsidRDefault="00D16BF8">
      <w:pPr>
        <w:pStyle w:val="FootnoteText"/>
      </w:pPr>
      <w:r>
        <w:rPr>
          <w:rStyle w:val="FootnoteReference"/>
        </w:rPr>
        <w:footnoteRef/>
      </w:r>
      <w:r>
        <w:t xml:space="preserve"> </w:t>
      </w:r>
      <w:r>
        <w:rPr>
          <w:i/>
        </w:rPr>
        <w:t xml:space="preserve">See </w:t>
      </w:r>
      <w:r>
        <w:t xml:space="preserve">September 20, 2017 </w:t>
      </w:r>
      <w:r>
        <w:rPr>
          <w:i/>
        </w:rPr>
        <w:t xml:space="preserve">Ex Parte </w:t>
      </w:r>
      <w:r w:rsidR="00167C9D">
        <w:t>Letter.</w:t>
      </w:r>
    </w:p>
  </w:footnote>
  <w:footnote w:id="44">
    <w:p w14:paraId="470CD354" w14:textId="366F01A9" w:rsidR="00754259" w:rsidRPr="00754259" w:rsidRDefault="00754259">
      <w:pPr>
        <w:pStyle w:val="FootnoteText"/>
      </w:pPr>
      <w:r>
        <w:rPr>
          <w:rStyle w:val="FootnoteReference"/>
        </w:rPr>
        <w:footnoteRef/>
      </w:r>
      <w:r>
        <w:t xml:space="preserve"> </w:t>
      </w:r>
      <w:r>
        <w:rPr>
          <w:i/>
        </w:rPr>
        <w:t xml:space="preserve">See </w:t>
      </w:r>
      <w:r>
        <w:t xml:space="preserve">September 20, 2017 </w:t>
      </w:r>
      <w:r>
        <w:rPr>
          <w:i/>
        </w:rPr>
        <w:t xml:space="preserve">Ex Parte </w:t>
      </w:r>
      <w:r>
        <w:t xml:space="preserve">Letter at 7-8; TerreStar Supplemental Comments at 18-19. </w:t>
      </w:r>
    </w:p>
  </w:footnote>
  <w:footnote w:id="45">
    <w:p w14:paraId="753BBA42" w14:textId="648442CB" w:rsidR="00D16BF8" w:rsidRPr="00FF4754" w:rsidRDefault="00D16BF8">
      <w:pPr>
        <w:pStyle w:val="FootnoteText"/>
      </w:pPr>
      <w:r>
        <w:rPr>
          <w:rStyle w:val="FootnoteReference"/>
        </w:rPr>
        <w:footnoteRef/>
      </w:r>
      <w:r>
        <w:t xml:space="preserve"> </w:t>
      </w:r>
      <w:r w:rsidRPr="007007A7">
        <w:t>Further</w:t>
      </w:r>
      <w:r>
        <w:t xml:space="preserve">, the </w:t>
      </w:r>
      <w:r>
        <w:rPr>
          <w:i/>
        </w:rPr>
        <w:t xml:space="preserve">1.4 GHz Service Rules Order </w:t>
      </w:r>
      <w:r>
        <w:t xml:space="preserve">noted that while Radio Astronomy Service operations at 1350-1400 MHz are unprotected due to their secondary status, 1.4 GHz operators should be able to easily accommodate radioastronomy users given the small number and remote locations of observatories.  </w:t>
      </w:r>
      <w:r w:rsidRPr="00DC40BF">
        <w:rPr>
          <w:i/>
        </w:rPr>
        <w:t xml:space="preserve">See 1.4 GHz Service Rules Order, </w:t>
      </w:r>
      <w:r w:rsidRPr="00DC40BF">
        <w:t xml:space="preserve">17 FCC Rcd at </w:t>
      </w:r>
      <w:r>
        <w:t>10038</w:t>
      </w:r>
      <w:r w:rsidRPr="00DC40BF">
        <w:t>, para. 1</w:t>
      </w:r>
      <w:r>
        <w:t>51.  The Commission also noted that</w:t>
      </w:r>
      <w:r w:rsidRPr="00DC40BF">
        <w:t xml:space="preserve"> licensees </w:t>
      </w:r>
      <w:r>
        <w:t xml:space="preserve">are obligated under footnote US311 </w:t>
      </w:r>
      <w:r w:rsidRPr="00DC40BF">
        <w:t xml:space="preserve">to make “every practicable effort to avoid causing interference.” </w:t>
      </w:r>
      <w:r>
        <w:t xml:space="preserve"> </w:t>
      </w:r>
      <w:r>
        <w:rPr>
          <w:i/>
        </w:rPr>
        <w:t>Id.</w:t>
      </w:r>
      <w:r>
        <w:t>,</w:t>
      </w:r>
      <w:r>
        <w:rPr>
          <w:i/>
        </w:rPr>
        <w:t xml:space="preserve"> </w:t>
      </w:r>
      <w:r>
        <w:t>citing 47 CFR § 2.106, n.US311</w:t>
      </w:r>
      <w:r w:rsidRPr="00DC40BF">
        <w:t xml:space="preserve">. </w:t>
      </w:r>
    </w:p>
  </w:footnote>
  <w:footnote w:id="46">
    <w:p w14:paraId="686258A5" w14:textId="3703F423" w:rsidR="00D16BF8" w:rsidRPr="007E09F0" w:rsidRDefault="00D16BF8" w:rsidP="008B1A91">
      <w:pPr>
        <w:pStyle w:val="FootnoteText"/>
      </w:pPr>
      <w:r>
        <w:rPr>
          <w:rStyle w:val="FootnoteReference"/>
        </w:rPr>
        <w:footnoteRef/>
      </w:r>
      <w:r>
        <w:t xml:space="preserve"> </w:t>
      </w:r>
      <w:r>
        <w:rPr>
          <w:i/>
        </w:rPr>
        <w:t>See 1.4 GHz Service Rules Order</w:t>
      </w:r>
      <w:r>
        <w:t xml:space="preserve">, 17 FCC Rcd at 10037-10045, paras. 147-177; </w:t>
      </w:r>
      <w:r>
        <w:rPr>
          <w:i/>
        </w:rPr>
        <w:t xml:space="preserve">see, e.g., </w:t>
      </w:r>
      <w:r>
        <w:t>47 CFR § 27.803(b).</w:t>
      </w:r>
    </w:p>
  </w:footnote>
  <w:footnote w:id="47">
    <w:p w14:paraId="28DB4124" w14:textId="01A166BA" w:rsidR="00D16BF8" w:rsidRPr="00005CE5" w:rsidRDefault="00D16BF8">
      <w:pPr>
        <w:pStyle w:val="FootnoteText"/>
      </w:pPr>
      <w:r>
        <w:rPr>
          <w:rStyle w:val="FootnoteReference"/>
        </w:rPr>
        <w:footnoteRef/>
      </w:r>
      <w:r>
        <w:t xml:space="preserve"> Waiver Request at 3</w:t>
      </w:r>
      <w:r w:rsidRPr="00005CE5">
        <w:t>-4.</w:t>
      </w:r>
    </w:p>
  </w:footnote>
  <w:footnote w:id="48">
    <w:p w14:paraId="6EC2D9AB" w14:textId="46DA23E8" w:rsidR="00D16BF8" w:rsidRPr="00A52077" w:rsidRDefault="00D16BF8">
      <w:pPr>
        <w:pStyle w:val="FootnoteText"/>
      </w:pPr>
      <w:r w:rsidRPr="00005CE5">
        <w:rPr>
          <w:rStyle w:val="FootnoteReference"/>
        </w:rPr>
        <w:footnoteRef/>
      </w:r>
      <w:r w:rsidRPr="00005CE5">
        <w:t xml:space="preserve"> </w:t>
      </w:r>
      <w:r w:rsidRPr="00F42FD2">
        <w:rPr>
          <w:i/>
        </w:rPr>
        <w:t>See</w:t>
      </w:r>
      <w:r w:rsidRPr="00005CE5">
        <w:t xml:space="preserve"> </w:t>
      </w:r>
      <w:r>
        <w:rPr>
          <w:i/>
        </w:rPr>
        <w:t>id.</w:t>
      </w:r>
      <w:r w:rsidRPr="00005CE5">
        <w:t xml:space="preserve"> at 5-6.  The authorization of one of its lessees, One Dot Four Corp., was terminated in 2012 for non-payment.  </w:t>
      </w:r>
      <w:r>
        <w:rPr>
          <w:i/>
        </w:rPr>
        <w:t xml:space="preserve">See id.  </w:t>
      </w:r>
      <w:r w:rsidRPr="00005CE5">
        <w:t xml:space="preserve">The other lessee, FirstEnergy Service Company, was permitted to use </w:t>
      </w:r>
      <w:r w:rsidRPr="00005CE5">
        <w:rPr>
          <w:szCs w:val="22"/>
        </w:rPr>
        <w:t xml:space="preserve">spectrum for testing in two market areas, and its most recent leases expired in 2015.  </w:t>
      </w:r>
      <w:r w:rsidRPr="00005CE5">
        <w:rPr>
          <w:i/>
          <w:szCs w:val="22"/>
        </w:rPr>
        <w:t xml:space="preserve">See </w:t>
      </w:r>
      <w:r w:rsidRPr="00005CE5">
        <w:rPr>
          <w:szCs w:val="22"/>
        </w:rPr>
        <w:t xml:space="preserve">ULS L00010817-20 (authorization covers the A and B Blocks in EAG001 (Northeast) and EAG004 (Great Lakes); expired </w:t>
      </w:r>
      <w:r>
        <w:rPr>
          <w:szCs w:val="22"/>
        </w:rPr>
        <w:t xml:space="preserve">May 31, </w:t>
      </w:r>
      <w:r w:rsidRPr="00005CE5">
        <w:rPr>
          <w:szCs w:val="22"/>
        </w:rPr>
        <w:t>2015</w:t>
      </w:r>
      <w:r>
        <w:rPr>
          <w:szCs w:val="22"/>
        </w:rPr>
        <w:t>)</w:t>
      </w:r>
      <w:r w:rsidRPr="00005CE5">
        <w:rPr>
          <w:szCs w:val="22"/>
        </w:rPr>
        <w:t>.</w:t>
      </w:r>
    </w:p>
  </w:footnote>
  <w:footnote w:id="49">
    <w:p w14:paraId="5FF6D500" w14:textId="2E9286E3" w:rsidR="00D16BF8" w:rsidRDefault="00D16BF8">
      <w:pPr>
        <w:pStyle w:val="FootnoteText"/>
      </w:pPr>
      <w:r>
        <w:rPr>
          <w:rStyle w:val="FootnoteReference"/>
        </w:rPr>
        <w:footnoteRef/>
      </w:r>
      <w:r>
        <w:t xml:space="preserve"> With respect to the lease with One Dot Four Corp., it is not clear the extent to which the spectrum was actually used to provide service in individual markets.</w:t>
      </w:r>
    </w:p>
  </w:footnote>
  <w:footnote w:id="50">
    <w:p w14:paraId="1EBC964D" w14:textId="39A06648" w:rsidR="00D16BF8" w:rsidRDefault="00D16BF8">
      <w:pPr>
        <w:pStyle w:val="FootnoteText"/>
      </w:pPr>
      <w:r>
        <w:rPr>
          <w:rStyle w:val="FootnoteReference"/>
        </w:rPr>
        <w:footnoteRef/>
      </w:r>
      <w:r>
        <w:t xml:space="preserve"> </w:t>
      </w:r>
      <w:r>
        <w:rPr>
          <w:i/>
        </w:rPr>
        <w:t xml:space="preserve">Id. </w:t>
      </w:r>
      <w:r>
        <w:t>at 7.</w:t>
      </w:r>
    </w:p>
  </w:footnote>
  <w:footnote w:id="51">
    <w:p w14:paraId="4AAC84B9" w14:textId="489FDBA4" w:rsidR="00D16BF8" w:rsidRPr="00D64B4B" w:rsidRDefault="00D16BF8" w:rsidP="00B3399E">
      <w:pPr>
        <w:pStyle w:val="FootnoteText"/>
      </w:pPr>
      <w:r>
        <w:rPr>
          <w:rStyle w:val="FootnoteReference"/>
        </w:rPr>
        <w:footnoteRef/>
      </w:r>
      <w:r>
        <w:t xml:space="preserve"> </w:t>
      </w:r>
      <w:r>
        <w:rPr>
          <w:i/>
        </w:rPr>
        <w:t xml:space="preserve">See, e.g., Advance Communication Corp., </w:t>
      </w:r>
      <w:r>
        <w:t>Memorandum Opinion and Order, 11 FCC Rcd 3399, 3414, para. 36 (1995) (finding that lack of significant progress toward construction was due to licensee’s extended inaction and apparent lack of commitment to operating its own system);</w:t>
      </w:r>
      <w:r>
        <w:rPr>
          <w:i/>
        </w:rPr>
        <w:t xml:space="preserve"> Mr. Lee G. Petro, </w:t>
      </w:r>
      <w:r>
        <w:t>Letter Order, 25 FCC Rcd 9046, 9050 (WTB ASAD 2010) (concluding that licensee’s failure to take active steps at several points to confirm completion of payment constituted inaction that “indicates something well short of due diligence”).</w:t>
      </w:r>
    </w:p>
  </w:footnote>
  <w:footnote w:id="52">
    <w:p w14:paraId="0E930DDB" w14:textId="77777777" w:rsidR="00D16BF8" w:rsidRDefault="00D16BF8" w:rsidP="00A9227B">
      <w:pPr>
        <w:pStyle w:val="FootnoteText"/>
      </w:pPr>
      <w:r>
        <w:rPr>
          <w:rStyle w:val="FootnoteReference"/>
        </w:rPr>
        <w:footnoteRef/>
      </w:r>
      <w:r>
        <w:t xml:space="preserve"> </w:t>
      </w:r>
      <w:r w:rsidRPr="00852629">
        <w:t>47 CFR § 1.925(b)(3)(ii).</w:t>
      </w:r>
    </w:p>
  </w:footnote>
  <w:footnote w:id="53">
    <w:p w14:paraId="4DB667A7" w14:textId="70143A00" w:rsidR="00D16BF8" w:rsidRPr="00106B96" w:rsidRDefault="00D16BF8">
      <w:pPr>
        <w:pStyle w:val="FootnoteText"/>
      </w:pPr>
      <w:r>
        <w:rPr>
          <w:rStyle w:val="FootnoteReference"/>
        </w:rPr>
        <w:footnoteRef/>
      </w:r>
      <w:r>
        <w:t xml:space="preserve"> </w:t>
      </w:r>
      <w:r>
        <w:rPr>
          <w:i/>
        </w:rPr>
        <w:t xml:space="preserve">Id. </w:t>
      </w:r>
      <w:r w:rsidRPr="00852629">
        <w:t>§</w:t>
      </w:r>
      <w:r>
        <w:t xml:space="preserve"> 1.3.</w:t>
      </w:r>
    </w:p>
  </w:footnote>
  <w:footnote w:id="54">
    <w:p w14:paraId="251740AC" w14:textId="1A401EC3" w:rsidR="00D16BF8" w:rsidRDefault="00D16BF8">
      <w:pPr>
        <w:pStyle w:val="FootnoteText"/>
      </w:pPr>
      <w:r>
        <w:rPr>
          <w:rStyle w:val="FootnoteReference"/>
        </w:rPr>
        <w:footnoteRef/>
      </w:r>
      <w:r>
        <w:t xml:space="preserve"> </w:t>
      </w:r>
      <w:r w:rsidRPr="00433136">
        <w:rPr>
          <w:i/>
        </w:rPr>
        <w:t>See Delta Radio Inc</w:t>
      </w:r>
      <w:r w:rsidRPr="00433136">
        <w:t xml:space="preserve">., Memorandum Opinion and Order, 18 FCC Rcd 16889, 16891, para. 7 (2003) (affirming Bureau-level waiver denial) (citing </w:t>
      </w:r>
      <w:r w:rsidRPr="00433136">
        <w:rPr>
          <w:i/>
        </w:rPr>
        <w:t>BellSouth Corp. v. FCC</w:t>
      </w:r>
      <w:r w:rsidRPr="00433136">
        <w:t>, 162 F.3d 1215, 1225 n.10 (D.C. Cir. 1999)).</w:t>
      </w:r>
    </w:p>
  </w:footnote>
  <w:footnote w:id="55">
    <w:p w14:paraId="14341D2E" w14:textId="3ECC2819" w:rsidR="00D16BF8" w:rsidRDefault="00D16BF8">
      <w:pPr>
        <w:pStyle w:val="FootnoteText"/>
      </w:pPr>
      <w:r>
        <w:rPr>
          <w:rStyle w:val="FootnoteReference"/>
        </w:rPr>
        <w:footnoteRef/>
      </w:r>
      <w:r>
        <w:t xml:space="preserve"> </w:t>
      </w:r>
      <w:r w:rsidRPr="00433136">
        <w:t xml:space="preserve">The Commission recently released a Public Notice seeking comment on a variety of issues related to broadband-enabled health care solutions, including future spectrum and wireless infrastructure needs.  </w:t>
      </w:r>
      <w:r w:rsidRPr="00433136">
        <w:rPr>
          <w:i/>
        </w:rPr>
        <w:t>FCC Seeks Comment and Data on Actions to Accelerate Adoption and Accessibility of Broadband-Enabled Health Care Solutions and Advanced Technologies</w:t>
      </w:r>
      <w:r w:rsidRPr="00433136">
        <w:t>, Public Notice, 32 FCC Rcd 3660 (2017).  In light of the ongoing proceeding, we decline to address the question of whether, as a general matter, WMTS operators require access to additional spectrum in the 1.4 GHz Band or other bands.</w:t>
      </w:r>
    </w:p>
  </w:footnote>
  <w:footnote w:id="56">
    <w:p w14:paraId="729B0CD2" w14:textId="37B9ED82" w:rsidR="00D16BF8" w:rsidRDefault="00D16BF8">
      <w:pPr>
        <w:pStyle w:val="FootnoteText"/>
      </w:pPr>
      <w:r>
        <w:rPr>
          <w:rStyle w:val="FootnoteReference"/>
        </w:rPr>
        <w:footnoteRef/>
      </w:r>
      <w:r>
        <w:t xml:space="preserve"> 47 CFR § 1.946(e) (</w:t>
      </w:r>
      <w:r w:rsidRPr="0094709D">
        <w:t>“[a]n extension request may be granted if a licensee shows that failure to meet a construction or coverage deadline is due to involuntary loss of site or other causes beyond its control”</w:t>
      </w:r>
      <w:r>
        <w:t>).</w:t>
      </w:r>
    </w:p>
  </w:footnote>
  <w:footnote w:id="57">
    <w:p w14:paraId="6534FC03" w14:textId="72D96047" w:rsidR="00D16BF8" w:rsidRDefault="00D16BF8" w:rsidP="00FE6742">
      <w:pPr>
        <w:pStyle w:val="FootnoteText"/>
      </w:pPr>
      <w:r>
        <w:rPr>
          <w:rStyle w:val="FootnoteReference"/>
        </w:rPr>
        <w:footnoteRef/>
      </w:r>
      <w:r>
        <w:t xml:space="preserve"> TerreStar Comments at 13, n.28.</w:t>
      </w:r>
    </w:p>
  </w:footnote>
  <w:footnote w:id="58">
    <w:p w14:paraId="6E3DA058" w14:textId="63F78A7E" w:rsidR="00D16BF8" w:rsidRDefault="00D16BF8">
      <w:pPr>
        <w:pStyle w:val="FootnoteText"/>
      </w:pPr>
      <w:r>
        <w:rPr>
          <w:rStyle w:val="FootnoteReference"/>
        </w:rPr>
        <w:footnoteRef/>
      </w:r>
      <w:r>
        <w:t xml:space="preserve"> </w:t>
      </w:r>
      <w:r w:rsidRPr="00C35076">
        <w:rPr>
          <w:i/>
        </w:rPr>
        <w:t>See, e.g., Thomas K. Kurian</w:t>
      </w:r>
      <w:r>
        <w:t xml:space="preserve">, Letter Order, </w:t>
      </w:r>
      <w:r w:rsidRPr="003724B6">
        <w:t>32 FCC Rcd 6489</w:t>
      </w:r>
      <w:r>
        <w:t xml:space="preserve"> (WTB MD2017) (finding that request for extension of time to enable licensee to seek additional spectrum and conserve capital was a voluntary business decision that did not warrant relief); </w:t>
      </w:r>
      <w:r w:rsidRPr="0033497F">
        <w:rPr>
          <w:i/>
        </w:rPr>
        <w:t xml:space="preserve">PCS Partners, L.P., Applications for Waiver and Limited Extension of Time, </w:t>
      </w:r>
      <w:r w:rsidRPr="0033497F">
        <w:t>Order on Reconsideration</w:t>
      </w:r>
      <w:r>
        <w:t xml:space="preserve">, 32 FCC Rcd 556, 561-62, para. 15 (WTB MD 2017), </w:t>
      </w:r>
      <w:r>
        <w:rPr>
          <w:i/>
        </w:rPr>
        <w:t>apps. for review pending</w:t>
      </w:r>
      <w:r>
        <w:t xml:space="preserve"> (concluding that licensee’s request for additional time to pair Location and Monitoring Service licenses with other spectrum held by licensee was a business decision); </w:t>
      </w:r>
      <w:r>
        <w:rPr>
          <w:i/>
        </w:rPr>
        <w:t>Warren C. Havens, Applications for Waiver and/or Extension of the Five and Ten Year Construction Deadlines</w:t>
      </w:r>
      <w:r>
        <w:t>;</w:t>
      </w:r>
      <w:r>
        <w:rPr>
          <w:i/>
        </w:rPr>
        <w:t xml:space="preserve"> </w:t>
      </w:r>
      <w:r>
        <w:t xml:space="preserve">Order on Reconsideration, 29 FCC Rcd 1019, 1031, para. 28 (WTB MD 2014) (denying licensee’s request for extension in order to pursue new equipment as a voluntary business decision); </w:t>
      </w:r>
      <w:r>
        <w:rPr>
          <w:i/>
        </w:rPr>
        <w:t xml:space="preserve">Eldorado Communications, LLC, Request for a Waiver and Extension of the Broadband PCS Construction Requirements, </w:t>
      </w:r>
      <w:r>
        <w:t xml:space="preserve">Order, 17 FCC Rcd 24613, 24616-17, paras. 7-8 (WTB CWD 2002) (concluding that </w:t>
      </w:r>
      <w:r w:rsidRPr="009F3CEE">
        <w:t>decision to fore</w:t>
      </w:r>
      <w:r>
        <w:t>go deployment of</w:t>
      </w:r>
      <w:r w:rsidRPr="009F3CEE">
        <w:t xml:space="preserve"> </w:t>
      </w:r>
      <w:r>
        <w:t>time division multiple access (TDMA</w:t>
      </w:r>
      <w:r w:rsidRPr="009F3CEE">
        <w:t>) technology in favor of global sys</w:t>
      </w:r>
      <w:r>
        <w:t>tem for mobile communications (</w:t>
      </w:r>
      <w:r w:rsidRPr="009F3CEE">
        <w:t>GSM) technology</w:t>
      </w:r>
      <w:r>
        <w:t xml:space="preserve"> was </w:t>
      </w:r>
      <w:r w:rsidRPr="009D2E71">
        <w:t>exercise of busin</w:t>
      </w:r>
      <w:r>
        <w:t xml:space="preserve">ess judgment and </w:t>
      </w:r>
      <w:r w:rsidRPr="009D2E71">
        <w:t xml:space="preserve">within </w:t>
      </w:r>
      <w:r>
        <w:t xml:space="preserve">licensee’s </w:t>
      </w:r>
      <w:r w:rsidRPr="009D2E71">
        <w:t>control</w:t>
      </w:r>
      <w:r>
        <w:t>).</w:t>
      </w:r>
    </w:p>
  </w:footnote>
  <w:footnote w:id="59">
    <w:p w14:paraId="7822AB10" w14:textId="6978C7DE" w:rsidR="00D16BF8" w:rsidRDefault="00D16BF8">
      <w:pPr>
        <w:pStyle w:val="FootnoteText"/>
      </w:pPr>
      <w:r>
        <w:rPr>
          <w:rStyle w:val="FootnoteReference"/>
        </w:rPr>
        <w:footnoteRef/>
      </w:r>
      <w:r>
        <w:t xml:space="preserve"> 47 CFR </w:t>
      </w:r>
      <w:r w:rsidRPr="00852629">
        <w:t>§</w:t>
      </w:r>
      <w:r>
        <w:t xml:space="preserve">§ 1.946(c), 27.14(a).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0BC4" w14:textId="77777777" w:rsidR="005E31AB" w:rsidRDefault="005E3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3D42" w14:textId="23BB9E09" w:rsidR="00D16BF8" w:rsidRDefault="00D16BF8" w:rsidP="00F71E5C">
    <w:pPr>
      <w:pStyle w:val="Header"/>
      <w:pBdr>
        <w:bottom w:val="single" w:sz="12" w:space="1" w:color="auto"/>
      </w:pBdr>
      <w:rPr>
        <w:b w:val="0"/>
      </w:rPr>
    </w:pPr>
    <w:r>
      <w:tab/>
      <w:t>Federal Communications Commission</w:t>
    </w:r>
    <w:r>
      <w:tab/>
      <w:t>DA 17-</w:t>
    </w:r>
    <w:r w:rsidR="006E23EC">
      <w:t>995</w:t>
    </w:r>
  </w:p>
  <w:p w14:paraId="78BFD488" w14:textId="77777777" w:rsidR="00D16BF8" w:rsidRDefault="00D16BF8" w:rsidP="00F71E5C">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01BB26CE" wp14:editId="03CC5407">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5198837" w14:textId="77777777" w:rsidR="00D16BF8" w:rsidRDefault="00D16BF8" w:rsidP="00F71E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" o:allowincell="f" fillcolor="black" stroked="f" strokeweight=".05pt">
              <v:shadow color="black" opacity="49150f" offset=".74833mm,.74833mm"/>
              <v:textbox>
                <w:txbxContent>
                  <w:p w14:paraId="55198837" w14:textId="77777777" w:rsidR="00D16BF8" w:rsidRDefault="00D16BF8" w:rsidP="00F71E5C"/>
                </w:txbxContent>
              </v:textbox>
              <w10:wrap anchorx="margin"/>
            </v:rect>
          </w:pict>
        </mc:Fallback>
      </mc:AlternateContent>
    </w:r>
  </w:p>
  <w:p w14:paraId="5C90CBC4" w14:textId="34D1CB00" w:rsidR="00D16BF8" w:rsidRDefault="00D16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F28F3" w14:textId="14BEB3CA" w:rsidR="00D16BF8" w:rsidRDefault="00D16BF8" w:rsidP="00CB5782">
    <w:pPr>
      <w:pStyle w:val="Header"/>
      <w:pBdr>
        <w:bottom w:val="single" w:sz="12" w:space="1" w:color="auto"/>
      </w:pBdr>
      <w:rPr>
        <w:b w:val="0"/>
      </w:rPr>
    </w:pPr>
    <w:r>
      <w:tab/>
      <w:t>Federal Communications Commission</w:t>
    </w:r>
    <w:r>
      <w:tab/>
      <w:t>DA 17-</w:t>
    </w:r>
    <w:r w:rsidR="006E23EC">
      <w:t>995</w:t>
    </w:r>
  </w:p>
  <w:p w14:paraId="5002F33A" w14:textId="77777777" w:rsidR="00D16BF8" w:rsidRDefault="00D16BF8" w:rsidP="00CB5782">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14:anchorId="74B1C139" wp14:editId="624E9BEB">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BA862A9" w14:textId="77777777" w:rsidR="00D16BF8" w:rsidRDefault="00D16BF8" w:rsidP="00CB57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" o:allowincell="f" fillcolor="black" stroked="f" strokeweight=".05pt">
              <v:shadow color="black" opacity="49150f" offset=".74833mm,.74833mm"/>
              <v:textbox>
                <w:txbxContent>
                  <w:p w14:paraId="4BA862A9" w14:textId="77777777" w:rsidR="00D16BF8" w:rsidRDefault="00D16BF8" w:rsidP="00CB5782"/>
                </w:txbxContent>
              </v:textbox>
              <w10:wrap anchorx="margin"/>
            </v:rect>
          </w:pict>
        </mc:Fallback>
      </mc:AlternateContent>
    </w:r>
  </w:p>
  <w:p w14:paraId="132A4475" w14:textId="7CC07C14" w:rsidR="00D16BF8" w:rsidRDefault="00D16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EA0"/>
    <w:multiLevelType w:val="hybridMultilevel"/>
    <w:tmpl w:val="7B366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0EE238C"/>
    <w:multiLevelType w:val="hybridMultilevel"/>
    <w:tmpl w:val="CDAE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E61E1"/>
    <w:multiLevelType w:val="hybridMultilevel"/>
    <w:tmpl w:val="5CA0D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93917B2"/>
    <w:multiLevelType w:val="hybridMultilevel"/>
    <w:tmpl w:val="AB4CEEE6"/>
    <w:lvl w:ilvl="0" w:tplc="B16C010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9B40B24"/>
    <w:multiLevelType w:val="hybridMultilevel"/>
    <w:tmpl w:val="36A2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4D91369"/>
    <w:multiLevelType w:val="hybridMultilevel"/>
    <w:tmpl w:val="A0C4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3">
    <w:nsid w:val="7D5B4D89"/>
    <w:multiLevelType w:val="hybridMultilevel"/>
    <w:tmpl w:val="02DAE852"/>
    <w:lvl w:ilvl="0" w:tplc="BB9025B6">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7"/>
  </w:num>
  <w:num w:numId="4">
    <w:abstractNumId w:val="24"/>
  </w:num>
  <w:num w:numId="5">
    <w:abstractNumId w:val="12"/>
  </w:num>
  <w:num w:numId="6">
    <w:abstractNumId w:val="28"/>
  </w:num>
  <w:num w:numId="7">
    <w:abstractNumId w:val="20"/>
  </w:num>
  <w:num w:numId="8">
    <w:abstractNumId w:val="13"/>
  </w:num>
  <w:num w:numId="9">
    <w:abstractNumId w:val="27"/>
  </w:num>
  <w:num w:numId="10">
    <w:abstractNumId w:val="18"/>
  </w:num>
  <w:num w:numId="11">
    <w:abstractNumId w:val="17"/>
  </w:num>
  <w:num w:numId="12">
    <w:abstractNumId w:val="14"/>
  </w:num>
  <w:num w:numId="13">
    <w:abstractNumId w:val="19"/>
  </w:num>
  <w:num w:numId="14">
    <w:abstractNumId w:val="25"/>
  </w:num>
  <w:num w:numId="15">
    <w:abstractNumId w:val="5"/>
  </w:num>
  <w:num w:numId="16">
    <w:abstractNumId w:val="6"/>
  </w:num>
  <w:num w:numId="17">
    <w:abstractNumId w:val="15"/>
  </w:num>
  <w:num w:numId="18">
    <w:abstractNumId w:val="2"/>
  </w:num>
  <w:num w:numId="19">
    <w:abstractNumId w:val="16"/>
  </w:num>
  <w:num w:numId="20">
    <w:abstractNumId w:val="21"/>
  </w:num>
  <w:num w:numId="21">
    <w:abstractNumId w:val="23"/>
  </w:num>
  <w:num w:numId="22">
    <w:abstractNumId w:val="33"/>
  </w:num>
  <w:num w:numId="23">
    <w:abstractNumId w:val="29"/>
  </w:num>
  <w:num w:numId="24">
    <w:abstractNumId w:val="26"/>
  </w:num>
  <w:num w:numId="25">
    <w:abstractNumId w:val="8"/>
  </w:num>
  <w:num w:numId="26">
    <w:abstractNumId w:val="10"/>
  </w:num>
  <w:num w:numId="27">
    <w:abstractNumId w:val="22"/>
  </w:num>
  <w:num w:numId="28">
    <w:abstractNumId w:val="9"/>
  </w:num>
  <w:num w:numId="29">
    <w:abstractNumId w:val="1"/>
  </w:num>
  <w:num w:numId="30">
    <w:abstractNumId w:val="29"/>
  </w:num>
  <w:num w:numId="31">
    <w:abstractNumId w:val="29"/>
  </w:num>
  <w:num w:numId="32">
    <w:abstractNumId w:val="29"/>
  </w:num>
  <w:num w:numId="33">
    <w:abstractNumId w:val="4"/>
  </w:num>
  <w:num w:numId="34">
    <w:abstractNumId w:val="31"/>
  </w:num>
  <w:num w:numId="35">
    <w:abstractNumId w:val="0"/>
  </w:num>
  <w:num w:numId="36">
    <w:abstractNumId w:val="29"/>
    <w:lvlOverride w:ilvl="0">
      <w:startOverride w:val="1"/>
    </w:lvlOverride>
  </w:num>
  <w:num w:numId="37">
    <w:abstractNumId w:val="29"/>
  </w:num>
  <w:num w:numId="38">
    <w:abstractNumId w:val="11"/>
  </w:num>
  <w:num w:numId="39">
    <w:abstractNumId w:val="29"/>
    <w:lvlOverride w:ilvl="0">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E7"/>
    <w:rsid w:val="00000DDC"/>
    <w:rsid w:val="0000192C"/>
    <w:rsid w:val="00003788"/>
    <w:rsid w:val="00004B4F"/>
    <w:rsid w:val="00005CE5"/>
    <w:rsid w:val="00006461"/>
    <w:rsid w:val="00007B63"/>
    <w:rsid w:val="00011112"/>
    <w:rsid w:val="00012D7F"/>
    <w:rsid w:val="0002030F"/>
    <w:rsid w:val="00021C22"/>
    <w:rsid w:val="0002323F"/>
    <w:rsid w:val="000236F7"/>
    <w:rsid w:val="00026C71"/>
    <w:rsid w:val="00030340"/>
    <w:rsid w:val="00031B57"/>
    <w:rsid w:val="000329F6"/>
    <w:rsid w:val="0003429D"/>
    <w:rsid w:val="00034896"/>
    <w:rsid w:val="00035B69"/>
    <w:rsid w:val="00035DB5"/>
    <w:rsid w:val="00037C0C"/>
    <w:rsid w:val="00041196"/>
    <w:rsid w:val="000450CF"/>
    <w:rsid w:val="00046398"/>
    <w:rsid w:val="00047034"/>
    <w:rsid w:val="00050C8A"/>
    <w:rsid w:val="000532A5"/>
    <w:rsid w:val="00053467"/>
    <w:rsid w:val="000538FD"/>
    <w:rsid w:val="00053CD1"/>
    <w:rsid w:val="00057B93"/>
    <w:rsid w:val="00061236"/>
    <w:rsid w:val="0007064B"/>
    <w:rsid w:val="00075724"/>
    <w:rsid w:val="00076664"/>
    <w:rsid w:val="000777DA"/>
    <w:rsid w:val="00080E27"/>
    <w:rsid w:val="000818A3"/>
    <w:rsid w:val="00081B27"/>
    <w:rsid w:val="00081F44"/>
    <w:rsid w:val="00082B8C"/>
    <w:rsid w:val="000845A9"/>
    <w:rsid w:val="00085BDB"/>
    <w:rsid w:val="00086243"/>
    <w:rsid w:val="00086E60"/>
    <w:rsid w:val="00090114"/>
    <w:rsid w:val="00090233"/>
    <w:rsid w:val="00093ED3"/>
    <w:rsid w:val="00095AF4"/>
    <w:rsid w:val="00096E1C"/>
    <w:rsid w:val="000979F2"/>
    <w:rsid w:val="000A3888"/>
    <w:rsid w:val="000A3E35"/>
    <w:rsid w:val="000A45FF"/>
    <w:rsid w:val="000A58CE"/>
    <w:rsid w:val="000A5D89"/>
    <w:rsid w:val="000A67C7"/>
    <w:rsid w:val="000A6FC2"/>
    <w:rsid w:val="000B06F8"/>
    <w:rsid w:val="000B1B72"/>
    <w:rsid w:val="000B490A"/>
    <w:rsid w:val="000B4D0E"/>
    <w:rsid w:val="000B5318"/>
    <w:rsid w:val="000B647A"/>
    <w:rsid w:val="000B69D2"/>
    <w:rsid w:val="000B716F"/>
    <w:rsid w:val="000B76C4"/>
    <w:rsid w:val="000C1100"/>
    <w:rsid w:val="000C37DB"/>
    <w:rsid w:val="000C57E5"/>
    <w:rsid w:val="000C5DD6"/>
    <w:rsid w:val="000C7D12"/>
    <w:rsid w:val="000D1269"/>
    <w:rsid w:val="000D2A02"/>
    <w:rsid w:val="000D33EF"/>
    <w:rsid w:val="000D35F7"/>
    <w:rsid w:val="000D4299"/>
    <w:rsid w:val="000D457F"/>
    <w:rsid w:val="000D4677"/>
    <w:rsid w:val="000D5AC4"/>
    <w:rsid w:val="000D6FE5"/>
    <w:rsid w:val="000E0647"/>
    <w:rsid w:val="000E4DD9"/>
    <w:rsid w:val="000E61E8"/>
    <w:rsid w:val="000F53BF"/>
    <w:rsid w:val="000F7102"/>
    <w:rsid w:val="001037A6"/>
    <w:rsid w:val="00105639"/>
    <w:rsid w:val="00106B96"/>
    <w:rsid w:val="00106D9B"/>
    <w:rsid w:val="00107051"/>
    <w:rsid w:val="001102C4"/>
    <w:rsid w:val="00116142"/>
    <w:rsid w:val="00121B3B"/>
    <w:rsid w:val="00125623"/>
    <w:rsid w:val="0012619A"/>
    <w:rsid w:val="0013136D"/>
    <w:rsid w:val="00131F59"/>
    <w:rsid w:val="0013243C"/>
    <w:rsid w:val="0013587A"/>
    <w:rsid w:val="00135F47"/>
    <w:rsid w:val="00136022"/>
    <w:rsid w:val="00137161"/>
    <w:rsid w:val="0014117A"/>
    <w:rsid w:val="00142C58"/>
    <w:rsid w:val="00143888"/>
    <w:rsid w:val="001440C7"/>
    <w:rsid w:val="00147DE6"/>
    <w:rsid w:val="00151456"/>
    <w:rsid w:val="00151ADA"/>
    <w:rsid w:val="00152176"/>
    <w:rsid w:val="00152E38"/>
    <w:rsid w:val="0015301A"/>
    <w:rsid w:val="00153808"/>
    <w:rsid w:val="00155089"/>
    <w:rsid w:val="00156296"/>
    <w:rsid w:val="00157EE1"/>
    <w:rsid w:val="00162A93"/>
    <w:rsid w:val="00163D59"/>
    <w:rsid w:val="001657A1"/>
    <w:rsid w:val="00165F94"/>
    <w:rsid w:val="00167C9D"/>
    <w:rsid w:val="0017010F"/>
    <w:rsid w:val="00170F7D"/>
    <w:rsid w:val="00171FD0"/>
    <w:rsid w:val="001726FA"/>
    <w:rsid w:val="00172761"/>
    <w:rsid w:val="001760E9"/>
    <w:rsid w:val="00176450"/>
    <w:rsid w:val="0017737A"/>
    <w:rsid w:val="00180D0A"/>
    <w:rsid w:val="001824F5"/>
    <w:rsid w:val="00183709"/>
    <w:rsid w:val="001838B1"/>
    <w:rsid w:val="00185022"/>
    <w:rsid w:val="001906F8"/>
    <w:rsid w:val="00190FC6"/>
    <w:rsid w:val="001920D3"/>
    <w:rsid w:val="001960B5"/>
    <w:rsid w:val="0019632C"/>
    <w:rsid w:val="0019674A"/>
    <w:rsid w:val="00197655"/>
    <w:rsid w:val="001977C6"/>
    <w:rsid w:val="001A0F02"/>
    <w:rsid w:val="001A3626"/>
    <w:rsid w:val="001A3AC9"/>
    <w:rsid w:val="001A70A2"/>
    <w:rsid w:val="001B1C2E"/>
    <w:rsid w:val="001B1D2E"/>
    <w:rsid w:val="001B2492"/>
    <w:rsid w:val="001B29DB"/>
    <w:rsid w:val="001B4B03"/>
    <w:rsid w:val="001B6B55"/>
    <w:rsid w:val="001C0C43"/>
    <w:rsid w:val="001C252A"/>
    <w:rsid w:val="001C2F83"/>
    <w:rsid w:val="001C3103"/>
    <w:rsid w:val="001C4D6C"/>
    <w:rsid w:val="001C7D37"/>
    <w:rsid w:val="001D081E"/>
    <w:rsid w:val="001D1C37"/>
    <w:rsid w:val="001D27AD"/>
    <w:rsid w:val="001D67D2"/>
    <w:rsid w:val="001D6A91"/>
    <w:rsid w:val="001D6CAB"/>
    <w:rsid w:val="001E14C5"/>
    <w:rsid w:val="001E1606"/>
    <w:rsid w:val="001E291A"/>
    <w:rsid w:val="001E2FCE"/>
    <w:rsid w:val="001E3C31"/>
    <w:rsid w:val="001E4E00"/>
    <w:rsid w:val="001E5765"/>
    <w:rsid w:val="001E5986"/>
    <w:rsid w:val="001E71CE"/>
    <w:rsid w:val="001F2F29"/>
    <w:rsid w:val="001F62BC"/>
    <w:rsid w:val="001F6494"/>
    <w:rsid w:val="0020380D"/>
    <w:rsid w:val="00204345"/>
    <w:rsid w:val="00205A3D"/>
    <w:rsid w:val="00211FC5"/>
    <w:rsid w:val="002172C0"/>
    <w:rsid w:val="002236E1"/>
    <w:rsid w:val="00226AB3"/>
    <w:rsid w:val="00227FA5"/>
    <w:rsid w:val="0023272E"/>
    <w:rsid w:val="00232D40"/>
    <w:rsid w:val="00233644"/>
    <w:rsid w:val="0023549C"/>
    <w:rsid w:val="00236A2A"/>
    <w:rsid w:val="00237CFD"/>
    <w:rsid w:val="00244E87"/>
    <w:rsid w:val="00244F24"/>
    <w:rsid w:val="0024515F"/>
    <w:rsid w:val="00245652"/>
    <w:rsid w:val="00247C0D"/>
    <w:rsid w:val="00254BA4"/>
    <w:rsid w:val="00265669"/>
    <w:rsid w:val="00267552"/>
    <w:rsid w:val="00270C6C"/>
    <w:rsid w:val="00271E67"/>
    <w:rsid w:val="002727C7"/>
    <w:rsid w:val="00273DDC"/>
    <w:rsid w:val="00276FC8"/>
    <w:rsid w:val="00277A51"/>
    <w:rsid w:val="002815CC"/>
    <w:rsid w:val="00282CC6"/>
    <w:rsid w:val="00283679"/>
    <w:rsid w:val="00284063"/>
    <w:rsid w:val="00284F92"/>
    <w:rsid w:val="00285CE8"/>
    <w:rsid w:val="00285F49"/>
    <w:rsid w:val="00291FBE"/>
    <w:rsid w:val="00294EC2"/>
    <w:rsid w:val="002955AD"/>
    <w:rsid w:val="00295BFE"/>
    <w:rsid w:val="00296A87"/>
    <w:rsid w:val="00296BD0"/>
    <w:rsid w:val="002A00DE"/>
    <w:rsid w:val="002A1DF9"/>
    <w:rsid w:val="002A56A3"/>
    <w:rsid w:val="002A573B"/>
    <w:rsid w:val="002A596C"/>
    <w:rsid w:val="002A683E"/>
    <w:rsid w:val="002A77E4"/>
    <w:rsid w:val="002B085E"/>
    <w:rsid w:val="002B3409"/>
    <w:rsid w:val="002B380A"/>
    <w:rsid w:val="002B4208"/>
    <w:rsid w:val="002B5871"/>
    <w:rsid w:val="002B7825"/>
    <w:rsid w:val="002C0D90"/>
    <w:rsid w:val="002C3652"/>
    <w:rsid w:val="002C3A07"/>
    <w:rsid w:val="002C60E9"/>
    <w:rsid w:val="002D16E0"/>
    <w:rsid w:val="002D2864"/>
    <w:rsid w:val="002D317F"/>
    <w:rsid w:val="002D4930"/>
    <w:rsid w:val="002D61EB"/>
    <w:rsid w:val="002D7EDC"/>
    <w:rsid w:val="002E0B46"/>
    <w:rsid w:val="002E25EC"/>
    <w:rsid w:val="002E4674"/>
    <w:rsid w:val="002E5107"/>
    <w:rsid w:val="002E5479"/>
    <w:rsid w:val="002F1DB2"/>
    <w:rsid w:val="002F3400"/>
    <w:rsid w:val="002F37F3"/>
    <w:rsid w:val="002F3CE2"/>
    <w:rsid w:val="00302EB3"/>
    <w:rsid w:val="00303281"/>
    <w:rsid w:val="00304D3B"/>
    <w:rsid w:val="00305111"/>
    <w:rsid w:val="00310099"/>
    <w:rsid w:val="003107B1"/>
    <w:rsid w:val="003130C2"/>
    <w:rsid w:val="00313877"/>
    <w:rsid w:val="003139BE"/>
    <w:rsid w:val="00314BF7"/>
    <w:rsid w:val="003164BC"/>
    <w:rsid w:val="003200D0"/>
    <w:rsid w:val="00320B7D"/>
    <w:rsid w:val="00324726"/>
    <w:rsid w:val="003263FB"/>
    <w:rsid w:val="003279B7"/>
    <w:rsid w:val="00327C5E"/>
    <w:rsid w:val="0033066C"/>
    <w:rsid w:val="003322FA"/>
    <w:rsid w:val="00332ABF"/>
    <w:rsid w:val="0033497F"/>
    <w:rsid w:val="003434E9"/>
    <w:rsid w:val="00343E9E"/>
    <w:rsid w:val="00343ED4"/>
    <w:rsid w:val="00345C2B"/>
    <w:rsid w:val="003510DC"/>
    <w:rsid w:val="003549D3"/>
    <w:rsid w:val="00357E7D"/>
    <w:rsid w:val="00360534"/>
    <w:rsid w:val="00360ACA"/>
    <w:rsid w:val="003614C7"/>
    <w:rsid w:val="003618B7"/>
    <w:rsid w:val="00367075"/>
    <w:rsid w:val="0037118D"/>
    <w:rsid w:val="003724B6"/>
    <w:rsid w:val="00373063"/>
    <w:rsid w:val="00375AA9"/>
    <w:rsid w:val="003773FF"/>
    <w:rsid w:val="0037764A"/>
    <w:rsid w:val="00380FBD"/>
    <w:rsid w:val="00382517"/>
    <w:rsid w:val="003834BE"/>
    <w:rsid w:val="00385BD0"/>
    <w:rsid w:val="00386726"/>
    <w:rsid w:val="003916BF"/>
    <w:rsid w:val="003926D3"/>
    <w:rsid w:val="00392796"/>
    <w:rsid w:val="00392D4E"/>
    <w:rsid w:val="00393131"/>
    <w:rsid w:val="00393374"/>
    <w:rsid w:val="00395C6B"/>
    <w:rsid w:val="00395EF7"/>
    <w:rsid w:val="00396D62"/>
    <w:rsid w:val="00397492"/>
    <w:rsid w:val="00397734"/>
    <w:rsid w:val="00397D5D"/>
    <w:rsid w:val="003A68F3"/>
    <w:rsid w:val="003B28C8"/>
    <w:rsid w:val="003B2AAC"/>
    <w:rsid w:val="003B3B2C"/>
    <w:rsid w:val="003B5365"/>
    <w:rsid w:val="003C0461"/>
    <w:rsid w:val="003C146B"/>
    <w:rsid w:val="003C397B"/>
    <w:rsid w:val="003C3CFB"/>
    <w:rsid w:val="003C3DF6"/>
    <w:rsid w:val="003C527C"/>
    <w:rsid w:val="003C7E07"/>
    <w:rsid w:val="003D0A1C"/>
    <w:rsid w:val="003D0D58"/>
    <w:rsid w:val="003D1661"/>
    <w:rsid w:val="003D1D67"/>
    <w:rsid w:val="003D415F"/>
    <w:rsid w:val="003E5250"/>
    <w:rsid w:val="003E547E"/>
    <w:rsid w:val="003E59F9"/>
    <w:rsid w:val="003E7C3B"/>
    <w:rsid w:val="003F007F"/>
    <w:rsid w:val="003F0122"/>
    <w:rsid w:val="003F28AC"/>
    <w:rsid w:val="003F3630"/>
    <w:rsid w:val="00400F3A"/>
    <w:rsid w:val="00402F7D"/>
    <w:rsid w:val="00404EBF"/>
    <w:rsid w:val="00405337"/>
    <w:rsid w:val="00410B94"/>
    <w:rsid w:val="00414281"/>
    <w:rsid w:val="004151DA"/>
    <w:rsid w:val="00416349"/>
    <w:rsid w:val="00416B2F"/>
    <w:rsid w:val="00417DC8"/>
    <w:rsid w:val="00423D62"/>
    <w:rsid w:val="00424EDA"/>
    <w:rsid w:val="00427114"/>
    <w:rsid w:val="0042770D"/>
    <w:rsid w:val="00432D4F"/>
    <w:rsid w:val="00433136"/>
    <w:rsid w:val="0043464F"/>
    <w:rsid w:val="0043666E"/>
    <w:rsid w:val="0043798F"/>
    <w:rsid w:val="0044421A"/>
    <w:rsid w:val="0044453B"/>
    <w:rsid w:val="00444742"/>
    <w:rsid w:val="00444C89"/>
    <w:rsid w:val="00445E4C"/>
    <w:rsid w:val="004477AC"/>
    <w:rsid w:val="004509B9"/>
    <w:rsid w:val="0045100E"/>
    <w:rsid w:val="0045110D"/>
    <w:rsid w:val="00452A73"/>
    <w:rsid w:val="004554B7"/>
    <w:rsid w:val="00455954"/>
    <w:rsid w:val="00456FDF"/>
    <w:rsid w:val="004573BB"/>
    <w:rsid w:val="00457DBD"/>
    <w:rsid w:val="00462948"/>
    <w:rsid w:val="00463A1B"/>
    <w:rsid w:val="00466C72"/>
    <w:rsid w:val="004679C0"/>
    <w:rsid w:val="004711A8"/>
    <w:rsid w:val="00475704"/>
    <w:rsid w:val="00476313"/>
    <w:rsid w:val="004805C1"/>
    <w:rsid w:val="00480D7C"/>
    <w:rsid w:val="00483453"/>
    <w:rsid w:val="00484005"/>
    <w:rsid w:val="00484A69"/>
    <w:rsid w:val="00486199"/>
    <w:rsid w:val="0048631D"/>
    <w:rsid w:val="004868FE"/>
    <w:rsid w:val="00486B8A"/>
    <w:rsid w:val="004910A5"/>
    <w:rsid w:val="0049293B"/>
    <w:rsid w:val="00493485"/>
    <w:rsid w:val="00493A42"/>
    <w:rsid w:val="004961EF"/>
    <w:rsid w:val="00496394"/>
    <w:rsid w:val="004A2DA0"/>
    <w:rsid w:val="004A6D39"/>
    <w:rsid w:val="004A7880"/>
    <w:rsid w:val="004B1590"/>
    <w:rsid w:val="004B2EB9"/>
    <w:rsid w:val="004B4D3C"/>
    <w:rsid w:val="004B4FEF"/>
    <w:rsid w:val="004B71F4"/>
    <w:rsid w:val="004B7A56"/>
    <w:rsid w:val="004C2E32"/>
    <w:rsid w:val="004C70BE"/>
    <w:rsid w:val="004D2E12"/>
    <w:rsid w:val="004D3C8A"/>
    <w:rsid w:val="004D3CB4"/>
    <w:rsid w:val="004D5720"/>
    <w:rsid w:val="004D7CA4"/>
    <w:rsid w:val="004E24AB"/>
    <w:rsid w:val="004E3E2D"/>
    <w:rsid w:val="004E4698"/>
    <w:rsid w:val="004F0A81"/>
    <w:rsid w:val="004F3479"/>
    <w:rsid w:val="004F6539"/>
    <w:rsid w:val="00500FD9"/>
    <w:rsid w:val="00502351"/>
    <w:rsid w:val="005023C6"/>
    <w:rsid w:val="00503CB3"/>
    <w:rsid w:val="005046F9"/>
    <w:rsid w:val="00504B27"/>
    <w:rsid w:val="00506C5D"/>
    <w:rsid w:val="00507BC6"/>
    <w:rsid w:val="005103F4"/>
    <w:rsid w:val="00510D22"/>
    <w:rsid w:val="00513DF5"/>
    <w:rsid w:val="00514240"/>
    <w:rsid w:val="00514BA5"/>
    <w:rsid w:val="00517629"/>
    <w:rsid w:val="00521460"/>
    <w:rsid w:val="00526200"/>
    <w:rsid w:val="0052650B"/>
    <w:rsid w:val="00531CD9"/>
    <w:rsid w:val="00534350"/>
    <w:rsid w:val="005359AC"/>
    <w:rsid w:val="005363B3"/>
    <w:rsid w:val="00537022"/>
    <w:rsid w:val="005403DF"/>
    <w:rsid w:val="00543CA6"/>
    <w:rsid w:val="00544837"/>
    <w:rsid w:val="00545907"/>
    <w:rsid w:val="0054732D"/>
    <w:rsid w:val="00547AF6"/>
    <w:rsid w:val="005539F7"/>
    <w:rsid w:val="00553AD0"/>
    <w:rsid w:val="005560CB"/>
    <w:rsid w:val="00556A5E"/>
    <w:rsid w:val="005651F3"/>
    <w:rsid w:val="00565AD3"/>
    <w:rsid w:val="0056621F"/>
    <w:rsid w:val="0057313C"/>
    <w:rsid w:val="005770CA"/>
    <w:rsid w:val="005771A3"/>
    <w:rsid w:val="00584582"/>
    <w:rsid w:val="005851B5"/>
    <w:rsid w:val="00585827"/>
    <w:rsid w:val="0058625C"/>
    <w:rsid w:val="005904D1"/>
    <w:rsid w:val="00590AF5"/>
    <w:rsid w:val="0059360B"/>
    <w:rsid w:val="00594840"/>
    <w:rsid w:val="00594E58"/>
    <w:rsid w:val="00594E6B"/>
    <w:rsid w:val="0059699F"/>
    <w:rsid w:val="005A4382"/>
    <w:rsid w:val="005B0A9F"/>
    <w:rsid w:val="005B187F"/>
    <w:rsid w:val="005C0AA7"/>
    <w:rsid w:val="005C4030"/>
    <w:rsid w:val="005D025B"/>
    <w:rsid w:val="005D0A14"/>
    <w:rsid w:val="005D0C86"/>
    <w:rsid w:val="005D306B"/>
    <w:rsid w:val="005D36D7"/>
    <w:rsid w:val="005D55A9"/>
    <w:rsid w:val="005D6DFD"/>
    <w:rsid w:val="005D7E9E"/>
    <w:rsid w:val="005E1B72"/>
    <w:rsid w:val="005E31AB"/>
    <w:rsid w:val="005E78FC"/>
    <w:rsid w:val="005F5479"/>
    <w:rsid w:val="005F58D9"/>
    <w:rsid w:val="005F6AC6"/>
    <w:rsid w:val="005F72A7"/>
    <w:rsid w:val="005F7899"/>
    <w:rsid w:val="00606193"/>
    <w:rsid w:val="00606673"/>
    <w:rsid w:val="0060771D"/>
    <w:rsid w:val="0061036D"/>
    <w:rsid w:val="00610A36"/>
    <w:rsid w:val="00611E6F"/>
    <w:rsid w:val="00612D8E"/>
    <w:rsid w:val="006156CE"/>
    <w:rsid w:val="006277AF"/>
    <w:rsid w:val="00637F1B"/>
    <w:rsid w:val="00640C4B"/>
    <w:rsid w:val="0064428E"/>
    <w:rsid w:val="00644634"/>
    <w:rsid w:val="00644A57"/>
    <w:rsid w:val="00647FC8"/>
    <w:rsid w:val="00651CDC"/>
    <w:rsid w:val="00657665"/>
    <w:rsid w:val="00661A46"/>
    <w:rsid w:val="006626D8"/>
    <w:rsid w:val="006674B4"/>
    <w:rsid w:val="00670F21"/>
    <w:rsid w:val="006731A8"/>
    <w:rsid w:val="006755FC"/>
    <w:rsid w:val="006806D0"/>
    <w:rsid w:val="00680B9E"/>
    <w:rsid w:val="00682E05"/>
    <w:rsid w:val="00683972"/>
    <w:rsid w:val="00686C8E"/>
    <w:rsid w:val="00690A9D"/>
    <w:rsid w:val="00691DCF"/>
    <w:rsid w:val="006929E0"/>
    <w:rsid w:val="00694F7A"/>
    <w:rsid w:val="00696B55"/>
    <w:rsid w:val="006A1D25"/>
    <w:rsid w:val="006A2D12"/>
    <w:rsid w:val="006A4DAD"/>
    <w:rsid w:val="006A4E88"/>
    <w:rsid w:val="006A5B09"/>
    <w:rsid w:val="006A6A58"/>
    <w:rsid w:val="006A71F0"/>
    <w:rsid w:val="006B0D87"/>
    <w:rsid w:val="006B1AEB"/>
    <w:rsid w:val="006B206C"/>
    <w:rsid w:val="006B3CE4"/>
    <w:rsid w:val="006B700E"/>
    <w:rsid w:val="006C20A5"/>
    <w:rsid w:val="006C3FE2"/>
    <w:rsid w:val="006C4E53"/>
    <w:rsid w:val="006C5D6E"/>
    <w:rsid w:val="006C684C"/>
    <w:rsid w:val="006D324B"/>
    <w:rsid w:val="006D3EAB"/>
    <w:rsid w:val="006D45A5"/>
    <w:rsid w:val="006D699E"/>
    <w:rsid w:val="006D782F"/>
    <w:rsid w:val="006D7968"/>
    <w:rsid w:val="006E23EC"/>
    <w:rsid w:val="006E5623"/>
    <w:rsid w:val="006E57D5"/>
    <w:rsid w:val="006E63A4"/>
    <w:rsid w:val="006F2083"/>
    <w:rsid w:val="006F2443"/>
    <w:rsid w:val="006F75E0"/>
    <w:rsid w:val="006F78F6"/>
    <w:rsid w:val="006F7C2F"/>
    <w:rsid w:val="007007A7"/>
    <w:rsid w:val="00702F00"/>
    <w:rsid w:val="00706283"/>
    <w:rsid w:val="00707917"/>
    <w:rsid w:val="00710FA1"/>
    <w:rsid w:val="007130F2"/>
    <w:rsid w:val="00714538"/>
    <w:rsid w:val="00716B2D"/>
    <w:rsid w:val="00716D73"/>
    <w:rsid w:val="00723396"/>
    <w:rsid w:val="007251FC"/>
    <w:rsid w:val="00730D54"/>
    <w:rsid w:val="0073395D"/>
    <w:rsid w:val="0073703C"/>
    <w:rsid w:val="00737335"/>
    <w:rsid w:val="00743BC4"/>
    <w:rsid w:val="0075212F"/>
    <w:rsid w:val="00753CC3"/>
    <w:rsid w:val="007541C6"/>
    <w:rsid w:val="00754259"/>
    <w:rsid w:val="00761F97"/>
    <w:rsid w:val="00764333"/>
    <w:rsid w:val="00766F07"/>
    <w:rsid w:val="007710F2"/>
    <w:rsid w:val="00772F41"/>
    <w:rsid w:val="00773CA5"/>
    <w:rsid w:val="00775195"/>
    <w:rsid w:val="007761BB"/>
    <w:rsid w:val="00777E5F"/>
    <w:rsid w:val="007844A8"/>
    <w:rsid w:val="0078616B"/>
    <w:rsid w:val="00786592"/>
    <w:rsid w:val="00786E95"/>
    <w:rsid w:val="007915FC"/>
    <w:rsid w:val="0079198E"/>
    <w:rsid w:val="00792E80"/>
    <w:rsid w:val="007961EB"/>
    <w:rsid w:val="007A24BA"/>
    <w:rsid w:val="007A4D3F"/>
    <w:rsid w:val="007A6507"/>
    <w:rsid w:val="007A7E17"/>
    <w:rsid w:val="007B1FD3"/>
    <w:rsid w:val="007B36D0"/>
    <w:rsid w:val="007B41F2"/>
    <w:rsid w:val="007B5DA8"/>
    <w:rsid w:val="007B6A66"/>
    <w:rsid w:val="007B7C38"/>
    <w:rsid w:val="007C16F0"/>
    <w:rsid w:val="007C40E0"/>
    <w:rsid w:val="007C42AE"/>
    <w:rsid w:val="007C501D"/>
    <w:rsid w:val="007D0549"/>
    <w:rsid w:val="007D0BC2"/>
    <w:rsid w:val="007D3844"/>
    <w:rsid w:val="007D5B83"/>
    <w:rsid w:val="007E029E"/>
    <w:rsid w:val="007E09F0"/>
    <w:rsid w:val="007E3788"/>
    <w:rsid w:val="007E48A4"/>
    <w:rsid w:val="007E4EAB"/>
    <w:rsid w:val="007E7DB0"/>
    <w:rsid w:val="007F0E41"/>
    <w:rsid w:val="007F2BF1"/>
    <w:rsid w:val="007F2CB9"/>
    <w:rsid w:val="007F429E"/>
    <w:rsid w:val="007F567E"/>
    <w:rsid w:val="007F7712"/>
    <w:rsid w:val="008008CD"/>
    <w:rsid w:val="00802603"/>
    <w:rsid w:val="00803DA2"/>
    <w:rsid w:val="008101B0"/>
    <w:rsid w:val="00810D74"/>
    <w:rsid w:val="008113BB"/>
    <w:rsid w:val="00812B87"/>
    <w:rsid w:val="00812D2D"/>
    <w:rsid w:val="008145A9"/>
    <w:rsid w:val="00820189"/>
    <w:rsid w:val="00820591"/>
    <w:rsid w:val="008206DD"/>
    <w:rsid w:val="00820A32"/>
    <w:rsid w:val="00820FA7"/>
    <w:rsid w:val="0082481F"/>
    <w:rsid w:val="008320A2"/>
    <w:rsid w:val="0083266B"/>
    <w:rsid w:val="00836821"/>
    <w:rsid w:val="00836DE3"/>
    <w:rsid w:val="00837D64"/>
    <w:rsid w:val="00840118"/>
    <w:rsid w:val="00841E3C"/>
    <w:rsid w:val="008439C8"/>
    <w:rsid w:val="00844F40"/>
    <w:rsid w:val="00846028"/>
    <w:rsid w:val="00847584"/>
    <w:rsid w:val="008507BB"/>
    <w:rsid w:val="00851634"/>
    <w:rsid w:val="008516BB"/>
    <w:rsid w:val="008525B4"/>
    <w:rsid w:val="00852629"/>
    <w:rsid w:val="008526FF"/>
    <w:rsid w:val="008527D4"/>
    <w:rsid w:val="008538AE"/>
    <w:rsid w:val="0085435E"/>
    <w:rsid w:val="0085481D"/>
    <w:rsid w:val="00856FF8"/>
    <w:rsid w:val="008611B6"/>
    <w:rsid w:val="00861754"/>
    <w:rsid w:val="008617AB"/>
    <w:rsid w:val="008617B0"/>
    <w:rsid w:val="008621E8"/>
    <w:rsid w:val="008676F9"/>
    <w:rsid w:val="00870D1E"/>
    <w:rsid w:val="00871213"/>
    <w:rsid w:val="008718ED"/>
    <w:rsid w:val="00873D3F"/>
    <w:rsid w:val="00875927"/>
    <w:rsid w:val="00876F8C"/>
    <w:rsid w:val="008852D6"/>
    <w:rsid w:val="008852E8"/>
    <w:rsid w:val="0088592C"/>
    <w:rsid w:val="0088626C"/>
    <w:rsid w:val="00887FF5"/>
    <w:rsid w:val="008925B0"/>
    <w:rsid w:val="0089569A"/>
    <w:rsid w:val="00896ACE"/>
    <w:rsid w:val="00897742"/>
    <w:rsid w:val="008A12AC"/>
    <w:rsid w:val="008A25AB"/>
    <w:rsid w:val="008A36DB"/>
    <w:rsid w:val="008A5290"/>
    <w:rsid w:val="008A67C3"/>
    <w:rsid w:val="008B04F1"/>
    <w:rsid w:val="008B06F3"/>
    <w:rsid w:val="008B1A91"/>
    <w:rsid w:val="008B3147"/>
    <w:rsid w:val="008B3570"/>
    <w:rsid w:val="008B47DA"/>
    <w:rsid w:val="008B4B27"/>
    <w:rsid w:val="008B6012"/>
    <w:rsid w:val="008C1FAE"/>
    <w:rsid w:val="008C452A"/>
    <w:rsid w:val="008C6155"/>
    <w:rsid w:val="008C6B4D"/>
    <w:rsid w:val="008D0885"/>
    <w:rsid w:val="008D1890"/>
    <w:rsid w:val="008D38C4"/>
    <w:rsid w:val="008E0D2D"/>
    <w:rsid w:val="008E596E"/>
    <w:rsid w:val="008E64B6"/>
    <w:rsid w:val="008E7D75"/>
    <w:rsid w:val="008F0C89"/>
    <w:rsid w:val="008F1010"/>
    <w:rsid w:val="008F11A0"/>
    <w:rsid w:val="0090102F"/>
    <w:rsid w:val="009027B5"/>
    <w:rsid w:val="00904767"/>
    <w:rsid w:val="0090594B"/>
    <w:rsid w:val="00907CF1"/>
    <w:rsid w:val="00912800"/>
    <w:rsid w:val="00912B8C"/>
    <w:rsid w:val="009140EF"/>
    <w:rsid w:val="00914261"/>
    <w:rsid w:val="00914B0E"/>
    <w:rsid w:val="00915CC9"/>
    <w:rsid w:val="009168C2"/>
    <w:rsid w:val="009233D5"/>
    <w:rsid w:val="009262FF"/>
    <w:rsid w:val="009267D1"/>
    <w:rsid w:val="00926CAD"/>
    <w:rsid w:val="009311AC"/>
    <w:rsid w:val="0093136E"/>
    <w:rsid w:val="009324C5"/>
    <w:rsid w:val="00932960"/>
    <w:rsid w:val="0093319A"/>
    <w:rsid w:val="00935996"/>
    <w:rsid w:val="0093652E"/>
    <w:rsid w:val="00942440"/>
    <w:rsid w:val="009462E1"/>
    <w:rsid w:val="0094709D"/>
    <w:rsid w:val="00947CEC"/>
    <w:rsid w:val="00950739"/>
    <w:rsid w:val="00950DD9"/>
    <w:rsid w:val="009549CB"/>
    <w:rsid w:val="009564E0"/>
    <w:rsid w:val="00956957"/>
    <w:rsid w:val="00956A59"/>
    <w:rsid w:val="0096076A"/>
    <w:rsid w:val="00960DE6"/>
    <w:rsid w:val="009664BF"/>
    <w:rsid w:val="00967D20"/>
    <w:rsid w:val="009708B5"/>
    <w:rsid w:val="00970D5D"/>
    <w:rsid w:val="00975EAE"/>
    <w:rsid w:val="00977981"/>
    <w:rsid w:val="00980DC3"/>
    <w:rsid w:val="009844E5"/>
    <w:rsid w:val="009877BC"/>
    <w:rsid w:val="00991BD4"/>
    <w:rsid w:val="009928A7"/>
    <w:rsid w:val="00995C3F"/>
    <w:rsid w:val="0099649F"/>
    <w:rsid w:val="009A246D"/>
    <w:rsid w:val="009A336E"/>
    <w:rsid w:val="009A3E38"/>
    <w:rsid w:val="009A4796"/>
    <w:rsid w:val="009A5081"/>
    <w:rsid w:val="009A54A4"/>
    <w:rsid w:val="009A57F1"/>
    <w:rsid w:val="009A7070"/>
    <w:rsid w:val="009B0024"/>
    <w:rsid w:val="009B173D"/>
    <w:rsid w:val="009B285F"/>
    <w:rsid w:val="009B29D2"/>
    <w:rsid w:val="009B37CC"/>
    <w:rsid w:val="009B5952"/>
    <w:rsid w:val="009C1C26"/>
    <w:rsid w:val="009C1E6E"/>
    <w:rsid w:val="009C567A"/>
    <w:rsid w:val="009C709E"/>
    <w:rsid w:val="009D2E71"/>
    <w:rsid w:val="009D3C36"/>
    <w:rsid w:val="009E195B"/>
    <w:rsid w:val="009E40A7"/>
    <w:rsid w:val="009F104A"/>
    <w:rsid w:val="009F13EB"/>
    <w:rsid w:val="009F3CEE"/>
    <w:rsid w:val="00A00A37"/>
    <w:rsid w:val="00A0489B"/>
    <w:rsid w:val="00A06B12"/>
    <w:rsid w:val="00A06ECA"/>
    <w:rsid w:val="00A06F6C"/>
    <w:rsid w:val="00A07520"/>
    <w:rsid w:val="00A11116"/>
    <w:rsid w:val="00A11270"/>
    <w:rsid w:val="00A13D98"/>
    <w:rsid w:val="00A16AC3"/>
    <w:rsid w:val="00A21006"/>
    <w:rsid w:val="00A21DDC"/>
    <w:rsid w:val="00A234A9"/>
    <w:rsid w:val="00A26B5C"/>
    <w:rsid w:val="00A274EB"/>
    <w:rsid w:val="00A27C55"/>
    <w:rsid w:val="00A301D7"/>
    <w:rsid w:val="00A30EED"/>
    <w:rsid w:val="00A310F7"/>
    <w:rsid w:val="00A33192"/>
    <w:rsid w:val="00A33420"/>
    <w:rsid w:val="00A34C7D"/>
    <w:rsid w:val="00A3509F"/>
    <w:rsid w:val="00A37A74"/>
    <w:rsid w:val="00A4095A"/>
    <w:rsid w:val="00A4117C"/>
    <w:rsid w:val="00A4563B"/>
    <w:rsid w:val="00A461C3"/>
    <w:rsid w:val="00A46973"/>
    <w:rsid w:val="00A52077"/>
    <w:rsid w:val="00A54B9F"/>
    <w:rsid w:val="00A54FB0"/>
    <w:rsid w:val="00A55652"/>
    <w:rsid w:val="00A60C1D"/>
    <w:rsid w:val="00A63490"/>
    <w:rsid w:val="00A63495"/>
    <w:rsid w:val="00A64CBF"/>
    <w:rsid w:val="00A667AF"/>
    <w:rsid w:val="00A70CAE"/>
    <w:rsid w:val="00A70FF1"/>
    <w:rsid w:val="00A7150B"/>
    <w:rsid w:val="00A7335E"/>
    <w:rsid w:val="00A73BE7"/>
    <w:rsid w:val="00A74BC7"/>
    <w:rsid w:val="00A82D1C"/>
    <w:rsid w:val="00A84163"/>
    <w:rsid w:val="00A84C9B"/>
    <w:rsid w:val="00A8780D"/>
    <w:rsid w:val="00A906BF"/>
    <w:rsid w:val="00A90C59"/>
    <w:rsid w:val="00A91A4A"/>
    <w:rsid w:val="00A9215F"/>
    <w:rsid w:val="00A9227B"/>
    <w:rsid w:val="00A92B0F"/>
    <w:rsid w:val="00A972F2"/>
    <w:rsid w:val="00AA0DB5"/>
    <w:rsid w:val="00AA7705"/>
    <w:rsid w:val="00AB045B"/>
    <w:rsid w:val="00AB1416"/>
    <w:rsid w:val="00AB1AFC"/>
    <w:rsid w:val="00AB1E11"/>
    <w:rsid w:val="00AB1FB3"/>
    <w:rsid w:val="00AB33FC"/>
    <w:rsid w:val="00AB4D30"/>
    <w:rsid w:val="00AB5DD7"/>
    <w:rsid w:val="00AC0EB7"/>
    <w:rsid w:val="00AC1AAD"/>
    <w:rsid w:val="00AC3244"/>
    <w:rsid w:val="00AD1BB7"/>
    <w:rsid w:val="00AD2120"/>
    <w:rsid w:val="00AD3083"/>
    <w:rsid w:val="00AD3268"/>
    <w:rsid w:val="00AD5A97"/>
    <w:rsid w:val="00AD6030"/>
    <w:rsid w:val="00AE1C40"/>
    <w:rsid w:val="00AE1E24"/>
    <w:rsid w:val="00AE1FFE"/>
    <w:rsid w:val="00AE2431"/>
    <w:rsid w:val="00AE2459"/>
    <w:rsid w:val="00AE24BF"/>
    <w:rsid w:val="00AE56E7"/>
    <w:rsid w:val="00AF0B69"/>
    <w:rsid w:val="00AF199B"/>
    <w:rsid w:val="00AF1BAC"/>
    <w:rsid w:val="00AF31F1"/>
    <w:rsid w:val="00AF5B2C"/>
    <w:rsid w:val="00AF7A88"/>
    <w:rsid w:val="00B01735"/>
    <w:rsid w:val="00B06D71"/>
    <w:rsid w:val="00B107A5"/>
    <w:rsid w:val="00B11148"/>
    <w:rsid w:val="00B15F49"/>
    <w:rsid w:val="00B162CB"/>
    <w:rsid w:val="00B17794"/>
    <w:rsid w:val="00B22636"/>
    <w:rsid w:val="00B2325C"/>
    <w:rsid w:val="00B239D9"/>
    <w:rsid w:val="00B243DA"/>
    <w:rsid w:val="00B24F7F"/>
    <w:rsid w:val="00B25BF4"/>
    <w:rsid w:val="00B26E60"/>
    <w:rsid w:val="00B33811"/>
    <w:rsid w:val="00B3399E"/>
    <w:rsid w:val="00B3558E"/>
    <w:rsid w:val="00B40B0B"/>
    <w:rsid w:val="00B41029"/>
    <w:rsid w:val="00B420F1"/>
    <w:rsid w:val="00B45116"/>
    <w:rsid w:val="00B464EF"/>
    <w:rsid w:val="00B500FC"/>
    <w:rsid w:val="00B519D1"/>
    <w:rsid w:val="00B51CCE"/>
    <w:rsid w:val="00B521D0"/>
    <w:rsid w:val="00B522EA"/>
    <w:rsid w:val="00B52302"/>
    <w:rsid w:val="00B52B94"/>
    <w:rsid w:val="00B5558A"/>
    <w:rsid w:val="00B561CC"/>
    <w:rsid w:val="00B57228"/>
    <w:rsid w:val="00B601AD"/>
    <w:rsid w:val="00B61972"/>
    <w:rsid w:val="00B619C5"/>
    <w:rsid w:val="00B61CA5"/>
    <w:rsid w:val="00B6498A"/>
    <w:rsid w:val="00B65158"/>
    <w:rsid w:val="00B65D8B"/>
    <w:rsid w:val="00B70A28"/>
    <w:rsid w:val="00B71D41"/>
    <w:rsid w:val="00B740DB"/>
    <w:rsid w:val="00B80CC9"/>
    <w:rsid w:val="00B80DE7"/>
    <w:rsid w:val="00B850AD"/>
    <w:rsid w:val="00B92E90"/>
    <w:rsid w:val="00B94B78"/>
    <w:rsid w:val="00B95DCC"/>
    <w:rsid w:val="00B97B19"/>
    <w:rsid w:val="00BA14AA"/>
    <w:rsid w:val="00BA3B53"/>
    <w:rsid w:val="00BA625A"/>
    <w:rsid w:val="00BB1549"/>
    <w:rsid w:val="00BB3073"/>
    <w:rsid w:val="00BB3BAA"/>
    <w:rsid w:val="00BB54EE"/>
    <w:rsid w:val="00BC65B4"/>
    <w:rsid w:val="00BC71C3"/>
    <w:rsid w:val="00BC727F"/>
    <w:rsid w:val="00BD0532"/>
    <w:rsid w:val="00BD09C4"/>
    <w:rsid w:val="00BD1E6F"/>
    <w:rsid w:val="00BD4247"/>
    <w:rsid w:val="00BD44A4"/>
    <w:rsid w:val="00BD5254"/>
    <w:rsid w:val="00BD59E1"/>
    <w:rsid w:val="00BD6ABE"/>
    <w:rsid w:val="00BD7513"/>
    <w:rsid w:val="00BE0204"/>
    <w:rsid w:val="00BE058F"/>
    <w:rsid w:val="00BE07E3"/>
    <w:rsid w:val="00BE300F"/>
    <w:rsid w:val="00BE502F"/>
    <w:rsid w:val="00BE528A"/>
    <w:rsid w:val="00BE580A"/>
    <w:rsid w:val="00BF3838"/>
    <w:rsid w:val="00BF4531"/>
    <w:rsid w:val="00C00E5B"/>
    <w:rsid w:val="00C01710"/>
    <w:rsid w:val="00C0579F"/>
    <w:rsid w:val="00C05993"/>
    <w:rsid w:val="00C06910"/>
    <w:rsid w:val="00C10F5B"/>
    <w:rsid w:val="00C14DAF"/>
    <w:rsid w:val="00C177C4"/>
    <w:rsid w:val="00C21BFE"/>
    <w:rsid w:val="00C25160"/>
    <w:rsid w:val="00C258AB"/>
    <w:rsid w:val="00C25D83"/>
    <w:rsid w:val="00C26AF4"/>
    <w:rsid w:val="00C27A56"/>
    <w:rsid w:val="00C311D0"/>
    <w:rsid w:val="00C34657"/>
    <w:rsid w:val="00C34ACE"/>
    <w:rsid w:val="00C35076"/>
    <w:rsid w:val="00C441EE"/>
    <w:rsid w:val="00C456FA"/>
    <w:rsid w:val="00C478F4"/>
    <w:rsid w:val="00C50486"/>
    <w:rsid w:val="00C52353"/>
    <w:rsid w:val="00C53204"/>
    <w:rsid w:val="00C53205"/>
    <w:rsid w:val="00C60F8A"/>
    <w:rsid w:val="00C62636"/>
    <w:rsid w:val="00C62D5D"/>
    <w:rsid w:val="00C63A2E"/>
    <w:rsid w:val="00C64025"/>
    <w:rsid w:val="00C64801"/>
    <w:rsid w:val="00C71AC6"/>
    <w:rsid w:val="00C73331"/>
    <w:rsid w:val="00C739C9"/>
    <w:rsid w:val="00C74262"/>
    <w:rsid w:val="00C7434D"/>
    <w:rsid w:val="00C745E5"/>
    <w:rsid w:val="00C74D82"/>
    <w:rsid w:val="00C77211"/>
    <w:rsid w:val="00C773EE"/>
    <w:rsid w:val="00C82CF8"/>
    <w:rsid w:val="00C84495"/>
    <w:rsid w:val="00C849FB"/>
    <w:rsid w:val="00C84E72"/>
    <w:rsid w:val="00C8679B"/>
    <w:rsid w:val="00C86F9C"/>
    <w:rsid w:val="00C91C6B"/>
    <w:rsid w:val="00C938C9"/>
    <w:rsid w:val="00C96040"/>
    <w:rsid w:val="00CA0B7A"/>
    <w:rsid w:val="00CA2A0A"/>
    <w:rsid w:val="00CB1AEA"/>
    <w:rsid w:val="00CB2471"/>
    <w:rsid w:val="00CB2DDE"/>
    <w:rsid w:val="00CB5336"/>
    <w:rsid w:val="00CB5782"/>
    <w:rsid w:val="00CC0469"/>
    <w:rsid w:val="00CC065A"/>
    <w:rsid w:val="00CC3667"/>
    <w:rsid w:val="00CC3E36"/>
    <w:rsid w:val="00CC498F"/>
    <w:rsid w:val="00CC7821"/>
    <w:rsid w:val="00CD1409"/>
    <w:rsid w:val="00CD3E72"/>
    <w:rsid w:val="00CD49DB"/>
    <w:rsid w:val="00CD4C83"/>
    <w:rsid w:val="00CD4F97"/>
    <w:rsid w:val="00CD5228"/>
    <w:rsid w:val="00CE25FA"/>
    <w:rsid w:val="00CE2FF0"/>
    <w:rsid w:val="00CE560E"/>
    <w:rsid w:val="00CE6310"/>
    <w:rsid w:val="00CF1453"/>
    <w:rsid w:val="00CF16B8"/>
    <w:rsid w:val="00CF176C"/>
    <w:rsid w:val="00CF2D33"/>
    <w:rsid w:val="00CF33E2"/>
    <w:rsid w:val="00CF41C1"/>
    <w:rsid w:val="00CF5471"/>
    <w:rsid w:val="00CF57D3"/>
    <w:rsid w:val="00CF7745"/>
    <w:rsid w:val="00D10B48"/>
    <w:rsid w:val="00D120E9"/>
    <w:rsid w:val="00D14363"/>
    <w:rsid w:val="00D16489"/>
    <w:rsid w:val="00D16BF8"/>
    <w:rsid w:val="00D25013"/>
    <w:rsid w:val="00D25CDD"/>
    <w:rsid w:val="00D26058"/>
    <w:rsid w:val="00D266AC"/>
    <w:rsid w:val="00D32B9D"/>
    <w:rsid w:val="00D32DC5"/>
    <w:rsid w:val="00D32F20"/>
    <w:rsid w:val="00D334FF"/>
    <w:rsid w:val="00D342BA"/>
    <w:rsid w:val="00D349E5"/>
    <w:rsid w:val="00D34F8D"/>
    <w:rsid w:val="00D447CC"/>
    <w:rsid w:val="00D46D7B"/>
    <w:rsid w:val="00D51ACB"/>
    <w:rsid w:val="00D533F9"/>
    <w:rsid w:val="00D53B92"/>
    <w:rsid w:val="00D545CA"/>
    <w:rsid w:val="00D56EF3"/>
    <w:rsid w:val="00D6133A"/>
    <w:rsid w:val="00D6172E"/>
    <w:rsid w:val="00D630DE"/>
    <w:rsid w:val="00D64B4B"/>
    <w:rsid w:val="00D759D5"/>
    <w:rsid w:val="00D807EC"/>
    <w:rsid w:val="00D8178F"/>
    <w:rsid w:val="00D824C0"/>
    <w:rsid w:val="00D85103"/>
    <w:rsid w:val="00D87224"/>
    <w:rsid w:val="00D93AA6"/>
    <w:rsid w:val="00D97BC8"/>
    <w:rsid w:val="00DA34DC"/>
    <w:rsid w:val="00DA381F"/>
    <w:rsid w:val="00DA4B44"/>
    <w:rsid w:val="00DA4D92"/>
    <w:rsid w:val="00DB335E"/>
    <w:rsid w:val="00DB340F"/>
    <w:rsid w:val="00DB3C93"/>
    <w:rsid w:val="00DB5CEF"/>
    <w:rsid w:val="00DB6935"/>
    <w:rsid w:val="00DC259B"/>
    <w:rsid w:val="00DC285D"/>
    <w:rsid w:val="00DC40BF"/>
    <w:rsid w:val="00DC7031"/>
    <w:rsid w:val="00DC737D"/>
    <w:rsid w:val="00DC7D31"/>
    <w:rsid w:val="00DD0C00"/>
    <w:rsid w:val="00DD1365"/>
    <w:rsid w:val="00DD242C"/>
    <w:rsid w:val="00DD3384"/>
    <w:rsid w:val="00DD448B"/>
    <w:rsid w:val="00DE3578"/>
    <w:rsid w:val="00DE57A0"/>
    <w:rsid w:val="00DE5FFD"/>
    <w:rsid w:val="00DE69C1"/>
    <w:rsid w:val="00DE6A76"/>
    <w:rsid w:val="00DE6E47"/>
    <w:rsid w:val="00DE74E0"/>
    <w:rsid w:val="00DE757D"/>
    <w:rsid w:val="00DE7A28"/>
    <w:rsid w:val="00DF2475"/>
    <w:rsid w:val="00DF415F"/>
    <w:rsid w:val="00DF4D95"/>
    <w:rsid w:val="00DF6F53"/>
    <w:rsid w:val="00DF7B0C"/>
    <w:rsid w:val="00DF7F47"/>
    <w:rsid w:val="00E03436"/>
    <w:rsid w:val="00E07071"/>
    <w:rsid w:val="00E1008D"/>
    <w:rsid w:val="00E13B87"/>
    <w:rsid w:val="00E1403C"/>
    <w:rsid w:val="00E15E79"/>
    <w:rsid w:val="00E24585"/>
    <w:rsid w:val="00E267CF"/>
    <w:rsid w:val="00E26BDB"/>
    <w:rsid w:val="00E26E21"/>
    <w:rsid w:val="00E32754"/>
    <w:rsid w:val="00E327C4"/>
    <w:rsid w:val="00E32B49"/>
    <w:rsid w:val="00E4240B"/>
    <w:rsid w:val="00E42632"/>
    <w:rsid w:val="00E43439"/>
    <w:rsid w:val="00E446D4"/>
    <w:rsid w:val="00E44F37"/>
    <w:rsid w:val="00E45EF3"/>
    <w:rsid w:val="00E4654D"/>
    <w:rsid w:val="00E51678"/>
    <w:rsid w:val="00E51968"/>
    <w:rsid w:val="00E52492"/>
    <w:rsid w:val="00E5694D"/>
    <w:rsid w:val="00E56DFF"/>
    <w:rsid w:val="00E603F6"/>
    <w:rsid w:val="00E60638"/>
    <w:rsid w:val="00E60FA8"/>
    <w:rsid w:val="00E62AF3"/>
    <w:rsid w:val="00E64AE6"/>
    <w:rsid w:val="00E6537A"/>
    <w:rsid w:val="00E6639A"/>
    <w:rsid w:val="00E6661C"/>
    <w:rsid w:val="00E6710B"/>
    <w:rsid w:val="00E67688"/>
    <w:rsid w:val="00E76937"/>
    <w:rsid w:val="00E819D8"/>
    <w:rsid w:val="00E85AA8"/>
    <w:rsid w:val="00E90C3C"/>
    <w:rsid w:val="00E9557F"/>
    <w:rsid w:val="00EA1AB8"/>
    <w:rsid w:val="00EA2E46"/>
    <w:rsid w:val="00EA3C98"/>
    <w:rsid w:val="00EA6956"/>
    <w:rsid w:val="00EA69FE"/>
    <w:rsid w:val="00EA6BEA"/>
    <w:rsid w:val="00EA75AE"/>
    <w:rsid w:val="00EB3966"/>
    <w:rsid w:val="00EB5726"/>
    <w:rsid w:val="00EC3444"/>
    <w:rsid w:val="00EC3D3A"/>
    <w:rsid w:val="00EC56CA"/>
    <w:rsid w:val="00EC662E"/>
    <w:rsid w:val="00EC6699"/>
    <w:rsid w:val="00EC6CCD"/>
    <w:rsid w:val="00ED1917"/>
    <w:rsid w:val="00ED38AC"/>
    <w:rsid w:val="00ED4665"/>
    <w:rsid w:val="00ED497E"/>
    <w:rsid w:val="00ED4EA9"/>
    <w:rsid w:val="00ED56EE"/>
    <w:rsid w:val="00ED7307"/>
    <w:rsid w:val="00EE20AC"/>
    <w:rsid w:val="00EE3E73"/>
    <w:rsid w:val="00EE4161"/>
    <w:rsid w:val="00EE6D2C"/>
    <w:rsid w:val="00EE79B5"/>
    <w:rsid w:val="00EF0344"/>
    <w:rsid w:val="00EF03FC"/>
    <w:rsid w:val="00EF1914"/>
    <w:rsid w:val="00EF4F5F"/>
    <w:rsid w:val="00F00E85"/>
    <w:rsid w:val="00F01ED9"/>
    <w:rsid w:val="00F032E6"/>
    <w:rsid w:val="00F058D0"/>
    <w:rsid w:val="00F0756B"/>
    <w:rsid w:val="00F0785B"/>
    <w:rsid w:val="00F07F3F"/>
    <w:rsid w:val="00F12295"/>
    <w:rsid w:val="00F127FA"/>
    <w:rsid w:val="00F14432"/>
    <w:rsid w:val="00F1471A"/>
    <w:rsid w:val="00F235A2"/>
    <w:rsid w:val="00F23CE7"/>
    <w:rsid w:val="00F25FFC"/>
    <w:rsid w:val="00F325C3"/>
    <w:rsid w:val="00F327A6"/>
    <w:rsid w:val="00F32A11"/>
    <w:rsid w:val="00F352E5"/>
    <w:rsid w:val="00F35719"/>
    <w:rsid w:val="00F37A3D"/>
    <w:rsid w:val="00F40CB3"/>
    <w:rsid w:val="00F410FE"/>
    <w:rsid w:val="00F42FD2"/>
    <w:rsid w:val="00F44D34"/>
    <w:rsid w:val="00F4602C"/>
    <w:rsid w:val="00F46582"/>
    <w:rsid w:val="00F47971"/>
    <w:rsid w:val="00F512BF"/>
    <w:rsid w:val="00F54B21"/>
    <w:rsid w:val="00F55132"/>
    <w:rsid w:val="00F600FD"/>
    <w:rsid w:val="00F60F86"/>
    <w:rsid w:val="00F64AFA"/>
    <w:rsid w:val="00F70776"/>
    <w:rsid w:val="00F71E5C"/>
    <w:rsid w:val="00F720BD"/>
    <w:rsid w:val="00F76162"/>
    <w:rsid w:val="00F86026"/>
    <w:rsid w:val="00F86803"/>
    <w:rsid w:val="00F86CFB"/>
    <w:rsid w:val="00F91A1F"/>
    <w:rsid w:val="00F96950"/>
    <w:rsid w:val="00FA01CC"/>
    <w:rsid w:val="00FA0CCD"/>
    <w:rsid w:val="00FA1826"/>
    <w:rsid w:val="00FA2036"/>
    <w:rsid w:val="00FA23E5"/>
    <w:rsid w:val="00FA24A0"/>
    <w:rsid w:val="00FA2590"/>
    <w:rsid w:val="00FA4901"/>
    <w:rsid w:val="00FA707A"/>
    <w:rsid w:val="00FB4D88"/>
    <w:rsid w:val="00FB744B"/>
    <w:rsid w:val="00FB7FBA"/>
    <w:rsid w:val="00FC0050"/>
    <w:rsid w:val="00FC0448"/>
    <w:rsid w:val="00FC1220"/>
    <w:rsid w:val="00FC141F"/>
    <w:rsid w:val="00FC2BD3"/>
    <w:rsid w:val="00FC44F1"/>
    <w:rsid w:val="00FC653B"/>
    <w:rsid w:val="00FC779D"/>
    <w:rsid w:val="00FC7FA3"/>
    <w:rsid w:val="00FD09D6"/>
    <w:rsid w:val="00FD494C"/>
    <w:rsid w:val="00FE1A24"/>
    <w:rsid w:val="00FE23AC"/>
    <w:rsid w:val="00FE29AA"/>
    <w:rsid w:val="00FE2C44"/>
    <w:rsid w:val="00FE6742"/>
    <w:rsid w:val="00FF17DC"/>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8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semiHidden="0" w:uiPriority="0" w:unhideWhenUsed="0"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EB"/>
    <w:pPr>
      <w:widowControl w:val="0"/>
    </w:pPr>
    <w:rPr>
      <w:snapToGrid w:val="0"/>
      <w:kern w:val="28"/>
      <w:sz w:val="22"/>
    </w:rPr>
  </w:style>
  <w:style w:type="paragraph" w:styleId="Heading1">
    <w:name w:val="heading 1"/>
    <w:basedOn w:val="Normal"/>
    <w:next w:val="ParaNum"/>
    <w:qFormat/>
    <w:rsid w:val="00A274EB"/>
    <w:pPr>
      <w:keepNext/>
      <w:numPr>
        <w:numId w:val="2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74EB"/>
    <w:pPr>
      <w:keepNext/>
      <w:numPr>
        <w:ilvl w:val="1"/>
        <w:numId w:val="26"/>
      </w:numPr>
      <w:spacing w:after="120"/>
      <w:outlineLvl w:val="1"/>
    </w:pPr>
    <w:rPr>
      <w:b/>
    </w:rPr>
  </w:style>
  <w:style w:type="paragraph" w:styleId="Heading3">
    <w:name w:val="heading 3"/>
    <w:basedOn w:val="Normal"/>
    <w:next w:val="ParaNum"/>
    <w:qFormat/>
    <w:rsid w:val="00A274EB"/>
    <w:pPr>
      <w:keepNext/>
      <w:numPr>
        <w:ilvl w:val="2"/>
        <w:numId w:val="26"/>
      </w:numPr>
      <w:tabs>
        <w:tab w:val="left" w:pos="2160"/>
      </w:tabs>
      <w:spacing w:after="120"/>
      <w:outlineLvl w:val="2"/>
    </w:pPr>
    <w:rPr>
      <w:b/>
    </w:rPr>
  </w:style>
  <w:style w:type="paragraph" w:styleId="Heading4">
    <w:name w:val="heading 4"/>
    <w:basedOn w:val="Normal"/>
    <w:next w:val="ParaNum"/>
    <w:qFormat/>
    <w:rsid w:val="00A274EB"/>
    <w:pPr>
      <w:keepNext/>
      <w:numPr>
        <w:ilvl w:val="3"/>
        <w:numId w:val="26"/>
      </w:numPr>
      <w:tabs>
        <w:tab w:val="left" w:pos="2880"/>
      </w:tabs>
      <w:spacing w:after="120"/>
      <w:outlineLvl w:val="3"/>
    </w:pPr>
    <w:rPr>
      <w:b/>
    </w:rPr>
  </w:style>
  <w:style w:type="paragraph" w:styleId="Heading5">
    <w:name w:val="heading 5"/>
    <w:basedOn w:val="Normal"/>
    <w:next w:val="ParaNum"/>
    <w:qFormat/>
    <w:rsid w:val="00A274EB"/>
    <w:pPr>
      <w:keepNext/>
      <w:numPr>
        <w:ilvl w:val="4"/>
        <w:numId w:val="26"/>
      </w:numPr>
      <w:tabs>
        <w:tab w:val="left" w:pos="3600"/>
      </w:tabs>
      <w:suppressAutoHyphens/>
      <w:spacing w:after="120"/>
      <w:outlineLvl w:val="4"/>
    </w:pPr>
    <w:rPr>
      <w:b/>
    </w:rPr>
  </w:style>
  <w:style w:type="paragraph" w:styleId="Heading6">
    <w:name w:val="heading 6"/>
    <w:basedOn w:val="Normal"/>
    <w:next w:val="ParaNum"/>
    <w:qFormat/>
    <w:rsid w:val="00A274EB"/>
    <w:pPr>
      <w:numPr>
        <w:ilvl w:val="5"/>
        <w:numId w:val="26"/>
      </w:numPr>
      <w:tabs>
        <w:tab w:val="left" w:pos="4320"/>
      </w:tabs>
      <w:spacing w:after="120"/>
      <w:outlineLvl w:val="5"/>
    </w:pPr>
    <w:rPr>
      <w:b/>
    </w:rPr>
  </w:style>
  <w:style w:type="paragraph" w:styleId="Heading7">
    <w:name w:val="heading 7"/>
    <w:basedOn w:val="Normal"/>
    <w:next w:val="ParaNum"/>
    <w:qFormat/>
    <w:rsid w:val="00A274EB"/>
    <w:pPr>
      <w:numPr>
        <w:ilvl w:val="6"/>
        <w:numId w:val="26"/>
      </w:numPr>
      <w:tabs>
        <w:tab w:val="left" w:pos="5040"/>
      </w:tabs>
      <w:spacing w:after="120"/>
      <w:ind w:left="5040" w:hanging="720"/>
      <w:outlineLvl w:val="6"/>
    </w:pPr>
    <w:rPr>
      <w:b/>
    </w:rPr>
  </w:style>
  <w:style w:type="paragraph" w:styleId="Heading8">
    <w:name w:val="heading 8"/>
    <w:basedOn w:val="Normal"/>
    <w:next w:val="ParaNum"/>
    <w:qFormat/>
    <w:rsid w:val="00A274EB"/>
    <w:pPr>
      <w:numPr>
        <w:ilvl w:val="7"/>
        <w:numId w:val="26"/>
      </w:numPr>
      <w:tabs>
        <w:tab w:val="clear" w:pos="5400"/>
        <w:tab w:val="left" w:pos="5760"/>
      </w:tabs>
      <w:spacing w:after="120"/>
      <w:ind w:left="5760" w:hanging="720"/>
      <w:outlineLvl w:val="7"/>
    </w:pPr>
    <w:rPr>
      <w:b/>
    </w:rPr>
  </w:style>
  <w:style w:type="paragraph" w:styleId="Heading9">
    <w:name w:val="heading 9"/>
    <w:basedOn w:val="Normal"/>
    <w:next w:val="ParaNum"/>
    <w:qFormat/>
    <w:rsid w:val="00A274EB"/>
    <w:pPr>
      <w:numPr>
        <w:ilvl w:val="8"/>
        <w:numId w:val="2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74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4EB"/>
  </w:style>
  <w:style w:type="paragraph" w:styleId="Caption">
    <w:name w:val="caption"/>
    <w:basedOn w:val="Normal"/>
    <w:next w:val="Normal"/>
    <w:qFormat/>
    <w:pPr>
      <w:spacing w:before="120" w:after="120"/>
    </w:pPr>
    <w:rPr>
      <w:b/>
    </w:rPr>
  </w:style>
  <w:style w:type="paragraph" w:customStyle="1" w:styleId="ParaNum">
    <w:name w:val="ParaNum"/>
    <w:basedOn w:val="Normal"/>
    <w:rsid w:val="00A274EB"/>
    <w:pPr>
      <w:numPr>
        <w:numId w:val="23"/>
      </w:numPr>
      <w:tabs>
        <w:tab w:val="clear" w:pos="1080"/>
        <w:tab w:val="num" w:pos="1440"/>
      </w:tabs>
      <w:spacing w:after="120"/>
    </w:pPr>
  </w:style>
  <w:style w:type="paragraph" w:styleId="FootnoteText">
    <w:name w:val="footnote text"/>
    <w:aliases w:val="ALTS FOOTNOTE,fn,Footnote Text Char,Footnote Text Char1 Char1,Footnote Text Char3 Char Char1,Footnote Text Char2 Char Char Char1,Footnote Text Char Char1 Char Char Char,Footnote Text Char2 Char Char1 Char Char Char,Footnote Text Char2,f,ft"/>
    <w:link w:val="FootnoteTextChar1"/>
    <w:rsid w:val="00A274EB"/>
    <w:pPr>
      <w:spacing w:after="120"/>
    </w:pPr>
  </w:style>
  <w:style w:type="paragraph" w:customStyle="1" w:styleId="Bullet">
    <w:name w:val="Bullet"/>
    <w:basedOn w:val="Normal"/>
    <w:rsid w:val="00A274EB"/>
    <w:pPr>
      <w:tabs>
        <w:tab w:val="left" w:pos="2160"/>
      </w:tabs>
      <w:spacing w:after="220"/>
      <w:ind w:left="2160" w:hanging="720"/>
    </w:pPr>
  </w:style>
  <w:style w:type="paragraph" w:styleId="BlockText">
    <w:name w:val="Block Text"/>
    <w:basedOn w:val="Normal"/>
    <w:rsid w:val="00A274EB"/>
    <w:pPr>
      <w:spacing w:after="240"/>
      <w:ind w:left="1440" w:right="1440"/>
    </w:pPr>
  </w:style>
  <w:style w:type="paragraph" w:customStyle="1" w:styleId="TableFormat">
    <w:name w:val="TableFormat"/>
    <w:basedOn w:val="Bullet"/>
    <w:rsid w:val="00A274EB"/>
    <w:pPr>
      <w:tabs>
        <w:tab w:val="clear" w:pos="2160"/>
        <w:tab w:val="left" w:pos="5040"/>
      </w:tabs>
      <w:ind w:left="5040" w:hanging="3600"/>
    </w:pPr>
  </w:style>
  <w:style w:type="character" w:styleId="FootnoteReference">
    <w:name w:val="footnote reference"/>
    <w:aliases w:val="o,fr,Appel note de bas de p,Style 12,(NECG) Footnote Reference,Style 124,Style 3,Style 13,FR,Style 17,Style 4,Style 6,Footnote Reference/,Style 7,Footnote Reference1,Style 34,Style 9"/>
    <w:rsid w:val="00A274EB"/>
    <w:rPr>
      <w:rFonts w:ascii="Times New Roman" w:hAnsi="Times New Roman"/>
      <w:dstrike w:val="0"/>
      <w:color w:val="auto"/>
      <w:sz w:val="20"/>
      <w:vertAlign w:val="superscript"/>
    </w:rPr>
  </w:style>
  <w:style w:type="paragraph" w:styleId="Header">
    <w:name w:val="header"/>
    <w:basedOn w:val="Normal"/>
    <w:link w:val="HeaderChar"/>
    <w:autoRedefine/>
    <w:rsid w:val="00A274EB"/>
    <w:pPr>
      <w:tabs>
        <w:tab w:val="center" w:pos="4680"/>
        <w:tab w:val="right" w:pos="9360"/>
      </w:tabs>
    </w:pPr>
    <w:rPr>
      <w:b/>
    </w:rPr>
  </w:style>
  <w:style w:type="paragraph" w:styleId="Footer">
    <w:name w:val="footer"/>
    <w:basedOn w:val="Normal"/>
    <w:link w:val="FooterChar"/>
    <w:rsid w:val="00A274EB"/>
    <w:pPr>
      <w:tabs>
        <w:tab w:val="center" w:pos="4320"/>
        <w:tab w:val="right" w:pos="8640"/>
      </w:tabs>
    </w:pPr>
  </w:style>
  <w:style w:type="paragraph" w:styleId="TOC2">
    <w:name w:val="toc 2"/>
    <w:basedOn w:val="Normal"/>
    <w:next w:val="Normal"/>
    <w:semiHidden/>
    <w:rsid w:val="00A274E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274E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274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74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74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74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74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74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74EB"/>
    <w:pPr>
      <w:tabs>
        <w:tab w:val="left" w:pos="3240"/>
        <w:tab w:val="right" w:leader="dot" w:pos="9360"/>
      </w:tabs>
      <w:suppressAutoHyphens/>
      <w:ind w:left="3240" w:hanging="360"/>
    </w:pPr>
    <w:rPr>
      <w:noProof/>
    </w:rPr>
  </w:style>
  <w:style w:type="character" w:styleId="PageNumber">
    <w:name w:val="page number"/>
    <w:basedOn w:val="DefaultParagraphFont"/>
    <w:rsid w:val="00A274EB"/>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345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2B"/>
    <w:rPr>
      <w:rFonts w:ascii="Segoe UI" w:hAnsi="Segoe UI" w:cs="Segoe UI"/>
      <w:sz w:val="18"/>
      <w:szCs w:val="18"/>
    </w:rPr>
  </w:style>
  <w:style w:type="character" w:customStyle="1" w:styleId="FootnoteTextChar1">
    <w:name w:val="Footnote Text Char1"/>
    <w:aliases w:val="ALTS FOOTNOTE Char,fn Char,Footnote Text Char Char,Footnote Text Char1 Char1 Char,Footnote Text Char3 Char Char1 Char,Footnote Text Char2 Char Char Char1 Char,Footnote Text Char Char1 Char Char Char Char,Footnote Text Char2 Char"/>
    <w:link w:val="FootnoteText"/>
    <w:rsid w:val="003C527C"/>
  </w:style>
  <w:style w:type="character" w:styleId="Hyperlink">
    <w:name w:val="Hyperlink"/>
    <w:rsid w:val="00A274EB"/>
    <w:rPr>
      <w:color w:val="0000FF"/>
      <w:u w:val="single"/>
    </w:rPr>
  </w:style>
  <w:style w:type="character" w:styleId="CommentReference">
    <w:name w:val="annotation reference"/>
    <w:basedOn w:val="DefaultParagraphFont"/>
    <w:uiPriority w:val="99"/>
    <w:semiHidden/>
    <w:unhideWhenUsed/>
    <w:rsid w:val="001E1606"/>
    <w:rPr>
      <w:sz w:val="16"/>
      <w:szCs w:val="16"/>
    </w:rPr>
  </w:style>
  <w:style w:type="paragraph" w:styleId="CommentText">
    <w:name w:val="annotation text"/>
    <w:basedOn w:val="Normal"/>
    <w:link w:val="CommentTextChar"/>
    <w:uiPriority w:val="99"/>
    <w:semiHidden/>
    <w:unhideWhenUsed/>
    <w:rsid w:val="001E1606"/>
    <w:rPr>
      <w:sz w:val="20"/>
    </w:rPr>
  </w:style>
  <w:style w:type="character" w:customStyle="1" w:styleId="CommentTextChar">
    <w:name w:val="Comment Text Char"/>
    <w:basedOn w:val="DefaultParagraphFont"/>
    <w:link w:val="CommentText"/>
    <w:uiPriority w:val="99"/>
    <w:semiHidden/>
    <w:rsid w:val="001E1606"/>
  </w:style>
  <w:style w:type="paragraph" w:styleId="CommentSubject">
    <w:name w:val="annotation subject"/>
    <w:basedOn w:val="CommentText"/>
    <w:next w:val="CommentText"/>
    <w:link w:val="CommentSubjectChar"/>
    <w:uiPriority w:val="99"/>
    <w:semiHidden/>
    <w:unhideWhenUsed/>
    <w:rsid w:val="001E1606"/>
    <w:rPr>
      <w:b/>
      <w:bCs/>
    </w:rPr>
  </w:style>
  <w:style w:type="character" w:customStyle="1" w:styleId="CommentSubjectChar">
    <w:name w:val="Comment Subject Char"/>
    <w:basedOn w:val="CommentTextChar"/>
    <w:link w:val="CommentSubject"/>
    <w:uiPriority w:val="99"/>
    <w:semiHidden/>
    <w:rsid w:val="001E1606"/>
    <w:rPr>
      <w:b/>
      <w:bCs/>
    </w:rPr>
  </w:style>
  <w:style w:type="paragraph" w:styleId="EndnoteText">
    <w:name w:val="endnote text"/>
    <w:basedOn w:val="Normal"/>
    <w:link w:val="EndnoteTextChar"/>
    <w:semiHidden/>
    <w:rsid w:val="00A274EB"/>
    <w:rPr>
      <w:sz w:val="20"/>
    </w:rPr>
  </w:style>
  <w:style w:type="character" w:customStyle="1" w:styleId="EndnoteTextChar">
    <w:name w:val="Endnote Text Char"/>
    <w:basedOn w:val="DefaultParagraphFont"/>
    <w:link w:val="EndnoteText"/>
    <w:semiHidden/>
    <w:rsid w:val="00CE2FF0"/>
    <w:rPr>
      <w:snapToGrid w:val="0"/>
      <w:kern w:val="28"/>
    </w:rPr>
  </w:style>
  <w:style w:type="character" w:styleId="EndnoteReference">
    <w:name w:val="endnote reference"/>
    <w:semiHidden/>
    <w:rsid w:val="00A274EB"/>
    <w:rPr>
      <w:vertAlign w:val="superscript"/>
    </w:rPr>
  </w:style>
  <w:style w:type="paragraph" w:styleId="TOAHeading">
    <w:name w:val="toa heading"/>
    <w:basedOn w:val="Normal"/>
    <w:next w:val="Normal"/>
    <w:semiHidden/>
    <w:rsid w:val="00A274EB"/>
    <w:pPr>
      <w:tabs>
        <w:tab w:val="right" w:pos="9360"/>
      </w:tabs>
      <w:suppressAutoHyphens/>
    </w:pPr>
  </w:style>
  <w:style w:type="character" w:customStyle="1" w:styleId="EquationCaption">
    <w:name w:val="_Equation Caption"/>
    <w:rsid w:val="00A274EB"/>
  </w:style>
  <w:style w:type="paragraph" w:customStyle="1" w:styleId="Paratitle">
    <w:name w:val="Para title"/>
    <w:basedOn w:val="Normal"/>
    <w:rsid w:val="00A274EB"/>
    <w:pPr>
      <w:tabs>
        <w:tab w:val="center" w:pos="9270"/>
      </w:tabs>
      <w:spacing w:after="240"/>
    </w:pPr>
    <w:rPr>
      <w:spacing w:val="-2"/>
    </w:rPr>
  </w:style>
  <w:style w:type="paragraph" w:customStyle="1" w:styleId="TOCTitle">
    <w:name w:val="TOC Title"/>
    <w:basedOn w:val="Normal"/>
    <w:rsid w:val="00A274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74EB"/>
    <w:pPr>
      <w:jc w:val="center"/>
    </w:pPr>
    <w:rPr>
      <w:rFonts w:ascii="Times New Roman Bold" w:hAnsi="Times New Roman Bold"/>
      <w:b/>
      <w:bCs/>
      <w:caps/>
      <w:szCs w:val="22"/>
    </w:rPr>
  </w:style>
  <w:style w:type="paragraph" w:styleId="Revision">
    <w:name w:val="Revision"/>
    <w:hidden/>
    <w:uiPriority w:val="99"/>
    <w:semiHidden/>
    <w:rsid w:val="00EA3C98"/>
    <w:rPr>
      <w:snapToGrid w:val="0"/>
      <w:kern w:val="28"/>
      <w:sz w:val="22"/>
    </w:rPr>
  </w:style>
  <w:style w:type="table" w:styleId="TableGrid">
    <w:name w:val="Table Grid"/>
    <w:basedOn w:val="TableNormal"/>
    <w:uiPriority w:val="59"/>
    <w:rsid w:val="00AE1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04EBF"/>
    <w:rPr>
      <w:color w:val="800080" w:themeColor="followedHyperlink"/>
      <w:u w:val="single"/>
    </w:rPr>
  </w:style>
  <w:style w:type="paragraph" w:styleId="ListParagraph">
    <w:name w:val="List Paragraph"/>
    <w:basedOn w:val="Normal"/>
    <w:uiPriority w:val="34"/>
    <w:qFormat/>
    <w:rsid w:val="009324C5"/>
    <w:pPr>
      <w:ind w:left="720"/>
      <w:contextualSpacing/>
    </w:pPr>
  </w:style>
  <w:style w:type="character" w:customStyle="1" w:styleId="HeaderChar">
    <w:name w:val="Header Char"/>
    <w:link w:val="Header"/>
    <w:rsid w:val="00F71E5C"/>
    <w:rPr>
      <w:b/>
      <w:snapToGrid w:val="0"/>
      <w:kern w:val="28"/>
      <w:sz w:val="22"/>
    </w:rPr>
  </w:style>
  <w:style w:type="character" w:customStyle="1" w:styleId="FooterChar">
    <w:name w:val="Footer Char"/>
    <w:basedOn w:val="DefaultParagraphFont"/>
    <w:link w:val="Footer"/>
    <w:rsid w:val="00270C6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semiHidden="0" w:uiPriority="0" w:unhideWhenUsed="0"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EB"/>
    <w:pPr>
      <w:widowControl w:val="0"/>
    </w:pPr>
    <w:rPr>
      <w:snapToGrid w:val="0"/>
      <w:kern w:val="28"/>
      <w:sz w:val="22"/>
    </w:rPr>
  </w:style>
  <w:style w:type="paragraph" w:styleId="Heading1">
    <w:name w:val="heading 1"/>
    <w:basedOn w:val="Normal"/>
    <w:next w:val="ParaNum"/>
    <w:qFormat/>
    <w:rsid w:val="00A274EB"/>
    <w:pPr>
      <w:keepNext/>
      <w:numPr>
        <w:numId w:val="2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74EB"/>
    <w:pPr>
      <w:keepNext/>
      <w:numPr>
        <w:ilvl w:val="1"/>
        <w:numId w:val="26"/>
      </w:numPr>
      <w:spacing w:after="120"/>
      <w:outlineLvl w:val="1"/>
    </w:pPr>
    <w:rPr>
      <w:b/>
    </w:rPr>
  </w:style>
  <w:style w:type="paragraph" w:styleId="Heading3">
    <w:name w:val="heading 3"/>
    <w:basedOn w:val="Normal"/>
    <w:next w:val="ParaNum"/>
    <w:qFormat/>
    <w:rsid w:val="00A274EB"/>
    <w:pPr>
      <w:keepNext/>
      <w:numPr>
        <w:ilvl w:val="2"/>
        <w:numId w:val="26"/>
      </w:numPr>
      <w:tabs>
        <w:tab w:val="left" w:pos="2160"/>
      </w:tabs>
      <w:spacing w:after="120"/>
      <w:outlineLvl w:val="2"/>
    </w:pPr>
    <w:rPr>
      <w:b/>
    </w:rPr>
  </w:style>
  <w:style w:type="paragraph" w:styleId="Heading4">
    <w:name w:val="heading 4"/>
    <w:basedOn w:val="Normal"/>
    <w:next w:val="ParaNum"/>
    <w:qFormat/>
    <w:rsid w:val="00A274EB"/>
    <w:pPr>
      <w:keepNext/>
      <w:numPr>
        <w:ilvl w:val="3"/>
        <w:numId w:val="26"/>
      </w:numPr>
      <w:tabs>
        <w:tab w:val="left" w:pos="2880"/>
      </w:tabs>
      <w:spacing w:after="120"/>
      <w:outlineLvl w:val="3"/>
    </w:pPr>
    <w:rPr>
      <w:b/>
    </w:rPr>
  </w:style>
  <w:style w:type="paragraph" w:styleId="Heading5">
    <w:name w:val="heading 5"/>
    <w:basedOn w:val="Normal"/>
    <w:next w:val="ParaNum"/>
    <w:qFormat/>
    <w:rsid w:val="00A274EB"/>
    <w:pPr>
      <w:keepNext/>
      <w:numPr>
        <w:ilvl w:val="4"/>
        <w:numId w:val="26"/>
      </w:numPr>
      <w:tabs>
        <w:tab w:val="left" w:pos="3600"/>
      </w:tabs>
      <w:suppressAutoHyphens/>
      <w:spacing w:after="120"/>
      <w:outlineLvl w:val="4"/>
    </w:pPr>
    <w:rPr>
      <w:b/>
    </w:rPr>
  </w:style>
  <w:style w:type="paragraph" w:styleId="Heading6">
    <w:name w:val="heading 6"/>
    <w:basedOn w:val="Normal"/>
    <w:next w:val="ParaNum"/>
    <w:qFormat/>
    <w:rsid w:val="00A274EB"/>
    <w:pPr>
      <w:numPr>
        <w:ilvl w:val="5"/>
        <w:numId w:val="26"/>
      </w:numPr>
      <w:tabs>
        <w:tab w:val="left" w:pos="4320"/>
      </w:tabs>
      <w:spacing w:after="120"/>
      <w:outlineLvl w:val="5"/>
    </w:pPr>
    <w:rPr>
      <w:b/>
    </w:rPr>
  </w:style>
  <w:style w:type="paragraph" w:styleId="Heading7">
    <w:name w:val="heading 7"/>
    <w:basedOn w:val="Normal"/>
    <w:next w:val="ParaNum"/>
    <w:qFormat/>
    <w:rsid w:val="00A274EB"/>
    <w:pPr>
      <w:numPr>
        <w:ilvl w:val="6"/>
        <w:numId w:val="26"/>
      </w:numPr>
      <w:tabs>
        <w:tab w:val="left" w:pos="5040"/>
      </w:tabs>
      <w:spacing w:after="120"/>
      <w:ind w:left="5040" w:hanging="720"/>
      <w:outlineLvl w:val="6"/>
    </w:pPr>
    <w:rPr>
      <w:b/>
    </w:rPr>
  </w:style>
  <w:style w:type="paragraph" w:styleId="Heading8">
    <w:name w:val="heading 8"/>
    <w:basedOn w:val="Normal"/>
    <w:next w:val="ParaNum"/>
    <w:qFormat/>
    <w:rsid w:val="00A274EB"/>
    <w:pPr>
      <w:numPr>
        <w:ilvl w:val="7"/>
        <w:numId w:val="26"/>
      </w:numPr>
      <w:tabs>
        <w:tab w:val="clear" w:pos="5400"/>
        <w:tab w:val="left" w:pos="5760"/>
      </w:tabs>
      <w:spacing w:after="120"/>
      <w:ind w:left="5760" w:hanging="720"/>
      <w:outlineLvl w:val="7"/>
    </w:pPr>
    <w:rPr>
      <w:b/>
    </w:rPr>
  </w:style>
  <w:style w:type="paragraph" w:styleId="Heading9">
    <w:name w:val="heading 9"/>
    <w:basedOn w:val="Normal"/>
    <w:next w:val="ParaNum"/>
    <w:qFormat/>
    <w:rsid w:val="00A274EB"/>
    <w:pPr>
      <w:numPr>
        <w:ilvl w:val="8"/>
        <w:numId w:val="2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74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4EB"/>
  </w:style>
  <w:style w:type="paragraph" w:styleId="Caption">
    <w:name w:val="caption"/>
    <w:basedOn w:val="Normal"/>
    <w:next w:val="Normal"/>
    <w:qFormat/>
    <w:pPr>
      <w:spacing w:before="120" w:after="120"/>
    </w:pPr>
    <w:rPr>
      <w:b/>
    </w:rPr>
  </w:style>
  <w:style w:type="paragraph" w:customStyle="1" w:styleId="ParaNum">
    <w:name w:val="ParaNum"/>
    <w:basedOn w:val="Normal"/>
    <w:rsid w:val="00A274EB"/>
    <w:pPr>
      <w:numPr>
        <w:numId w:val="23"/>
      </w:numPr>
      <w:tabs>
        <w:tab w:val="clear" w:pos="1080"/>
        <w:tab w:val="num" w:pos="1440"/>
      </w:tabs>
      <w:spacing w:after="120"/>
    </w:pPr>
  </w:style>
  <w:style w:type="paragraph" w:styleId="FootnoteText">
    <w:name w:val="footnote text"/>
    <w:aliases w:val="ALTS FOOTNOTE,fn,Footnote Text Char,Footnote Text Char1 Char1,Footnote Text Char3 Char Char1,Footnote Text Char2 Char Char Char1,Footnote Text Char Char1 Char Char Char,Footnote Text Char2 Char Char1 Char Char Char,Footnote Text Char2,f,ft"/>
    <w:link w:val="FootnoteTextChar1"/>
    <w:rsid w:val="00A274EB"/>
    <w:pPr>
      <w:spacing w:after="120"/>
    </w:pPr>
  </w:style>
  <w:style w:type="paragraph" w:customStyle="1" w:styleId="Bullet">
    <w:name w:val="Bullet"/>
    <w:basedOn w:val="Normal"/>
    <w:rsid w:val="00A274EB"/>
    <w:pPr>
      <w:tabs>
        <w:tab w:val="left" w:pos="2160"/>
      </w:tabs>
      <w:spacing w:after="220"/>
      <w:ind w:left="2160" w:hanging="720"/>
    </w:pPr>
  </w:style>
  <w:style w:type="paragraph" w:styleId="BlockText">
    <w:name w:val="Block Text"/>
    <w:basedOn w:val="Normal"/>
    <w:rsid w:val="00A274EB"/>
    <w:pPr>
      <w:spacing w:after="240"/>
      <w:ind w:left="1440" w:right="1440"/>
    </w:pPr>
  </w:style>
  <w:style w:type="paragraph" w:customStyle="1" w:styleId="TableFormat">
    <w:name w:val="TableFormat"/>
    <w:basedOn w:val="Bullet"/>
    <w:rsid w:val="00A274EB"/>
    <w:pPr>
      <w:tabs>
        <w:tab w:val="clear" w:pos="2160"/>
        <w:tab w:val="left" w:pos="5040"/>
      </w:tabs>
      <w:ind w:left="5040" w:hanging="3600"/>
    </w:pPr>
  </w:style>
  <w:style w:type="character" w:styleId="FootnoteReference">
    <w:name w:val="footnote reference"/>
    <w:aliases w:val="o,fr,Appel note de bas de p,Style 12,(NECG) Footnote Reference,Style 124,Style 3,Style 13,FR,Style 17,Style 4,Style 6,Footnote Reference/,Style 7,Footnote Reference1,Style 34,Style 9"/>
    <w:rsid w:val="00A274EB"/>
    <w:rPr>
      <w:rFonts w:ascii="Times New Roman" w:hAnsi="Times New Roman"/>
      <w:dstrike w:val="0"/>
      <w:color w:val="auto"/>
      <w:sz w:val="20"/>
      <w:vertAlign w:val="superscript"/>
    </w:rPr>
  </w:style>
  <w:style w:type="paragraph" w:styleId="Header">
    <w:name w:val="header"/>
    <w:basedOn w:val="Normal"/>
    <w:link w:val="HeaderChar"/>
    <w:autoRedefine/>
    <w:rsid w:val="00A274EB"/>
    <w:pPr>
      <w:tabs>
        <w:tab w:val="center" w:pos="4680"/>
        <w:tab w:val="right" w:pos="9360"/>
      </w:tabs>
    </w:pPr>
    <w:rPr>
      <w:b/>
    </w:rPr>
  </w:style>
  <w:style w:type="paragraph" w:styleId="Footer">
    <w:name w:val="footer"/>
    <w:basedOn w:val="Normal"/>
    <w:link w:val="FooterChar"/>
    <w:rsid w:val="00A274EB"/>
    <w:pPr>
      <w:tabs>
        <w:tab w:val="center" w:pos="4320"/>
        <w:tab w:val="right" w:pos="8640"/>
      </w:tabs>
    </w:pPr>
  </w:style>
  <w:style w:type="paragraph" w:styleId="TOC2">
    <w:name w:val="toc 2"/>
    <w:basedOn w:val="Normal"/>
    <w:next w:val="Normal"/>
    <w:semiHidden/>
    <w:rsid w:val="00A274E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274E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274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74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74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74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74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74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74EB"/>
    <w:pPr>
      <w:tabs>
        <w:tab w:val="left" w:pos="3240"/>
        <w:tab w:val="right" w:leader="dot" w:pos="9360"/>
      </w:tabs>
      <w:suppressAutoHyphens/>
      <w:ind w:left="3240" w:hanging="360"/>
    </w:pPr>
    <w:rPr>
      <w:noProof/>
    </w:rPr>
  </w:style>
  <w:style w:type="character" w:styleId="PageNumber">
    <w:name w:val="page number"/>
    <w:basedOn w:val="DefaultParagraphFont"/>
    <w:rsid w:val="00A274EB"/>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345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2B"/>
    <w:rPr>
      <w:rFonts w:ascii="Segoe UI" w:hAnsi="Segoe UI" w:cs="Segoe UI"/>
      <w:sz w:val="18"/>
      <w:szCs w:val="18"/>
    </w:rPr>
  </w:style>
  <w:style w:type="character" w:customStyle="1" w:styleId="FootnoteTextChar1">
    <w:name w:val="Footnote Text Char1"/>
    <w:aliases w:val="ALTS FOOTNOTE Char,fn Char,Footnote Text Char Char,Footnote Text Char1 Char1 Char,Footnote Text Char3 Char Char1 Char,Footnote Text Char2 Char Char Char1 Char,Footnote Text Char Char1 Char Char Char Char,Footnote Text Char2 Char"/>
    <w:link w:val="FootnoteText"/>
    <w:rsid w:val="003C527C"/>
  </w:style>
  <w:style w:type="character" w:styleId="Hyperlink">
    <w:name w:val="Hyperlink"/>
    <w:rsid w:val="00A274EB"/>
    <w:rPr>
      <w:color w:val="0000FF"/>
      <w:u w:val="single"/>
    </w:rPr>
  </w:style>
  <w:style w:type="character" w:styleId="CommentReference">
    <w:name w:val="annotation reference"/>
    <w:basedOn w:val="DefaultParagraphFont"/>
    <w:uiPriority w:val="99"/>
    <w:semiHidden/>
    <w:unhideWhenUsed/>
    <w:rsid w:val="001E1606"/>
    <w:rPr>
      <w:sz w:val="16"/>
      <w:szCs w:val="16"/>
    </w:rPr>
  </w:style>
  <w:style w:type="paragraph" w:styleId="CommentText">
    <w:name w:val="annotation text"/>
    <w:basedOn w:val="Normal"/>
    <w:link w:val="CommentTextChar"/>
    <w:uiPriority w:val="99"/>
    <w:semiHidden/>
    <w:unhideWhenUsed/>
    <w:rsid w:val="001E1606"/>
    <w:rPr>
      <w:sz w:val="20"/>
    </w:rPr>
  </w:style>
  <w:style w:type="character" w:customStyle="1" w:styleId="CommentTextChar">
    <w:name w:val="Comment Text Char"/>
    <w:basedOn w:val="DefaultParagraphFont"/>
    <w:link w:val="CommentText"/>
    <w:uiPriority w:val="99"/>
    <w:semiHidden/>
    <w:rsid w:val="001E1606"/>
  </w:style>
  <w:style w:type="paragraph" w:styleId="CommentSubject">
    <w:name w:val="annotation subject"/>
    <w:basedOn w:val="CommentText"/>
    <w:next w:val="CommentText"/>
    <w:link w:val="CommentSubjectChar"/>
    <w:uiPriority w:val="99"/>
    <w:semiHidden/>
    <w:unhideWhenUsed/>
    <w:rsid w:val="001E1606"/>
    <w:rPr>
      <w:b/>
      <w:bCs/>
    </w:rPr>
  </w:style>
  <w:style w:type="character" w:customStyle="1" w:styleId="CommentSubjectChar">
    <w:name w:val="Comment Subject Char"/>
    <w:basedOn w:val="CommentTextChar"/>
    <w:link w:val="CommentSubject"/>
    <w:uiPriority w:val="99"/>
    <w:semiHidden/>
    <w:rsid w:val="001E1606"/>
    <w:rPr>
      <w:b/>
      <w:bCs/>
    </w:rPr>
  </w:style>
  <w:style w:type="paragraph" w:styleId="EndnoteText">
    <w:name w:val="endnote text"/>
    <w:basedOn w:val="Normal"/>
    <w:link w:val="EndnoteTextChar"/>
    <w:semiHidden/>
    <w:rsid w:val="00A274EB"/>
    <w:rPr>
      <w:sz w:val="20"/>
    </w:rPr>
  </w:style>
  <w:style w:type="character" w:customStyle="1" w:styleId="EndnoteTextChar">
    <w:name w:val="Endnote Text Char"/>
    <w:basedOn w:val="DefaultParagraphFont"/>
    <w:link w:val="EndnoteText"/>
    <w:semiHidden/>
    <w:rsid w:val="00CE2FF0"/>
    <w:rPr>
      <w:snapToGrid w:val="0"/>
      <w:kern w:val="28"/>
    </w:rPr>
  </w:style>
  <w:style w:type="character" w:styleId="EndnoteReference">
    <w:name w:val="endnote reference"/>
    <w:semiHidden/>
    <w:rsid w:val="00A274EB"/>
    <w:rPr>
      <w:vertAlign w:val="superscript"/>
    </w:rPr>
  </w:style>
  <w:style w:type="paragraph" w:styleId="TOAHeading">
    <w:name w:val="toa heading"/>
    <w:basedOn w:val="Normal"/>
    <w:next w:val="Normal"/>
    <w:semiHidden/>
    <w:rsid w:val="00A274EB"/>
    <w:pPr>
      <w:tabs>
        <w:tab w:val="right" w:pos="9360"/>
      </w:tabs>
      <w:suppressAutoHyphens/>
    </w:pPr>
  </w:style>
  <w:style w:type="character" w:customStyle="1" w:styleId="EquationCaption">
    <w:name w:val="_Equation Caption"/>
    <w:rsid w:val="00A274EB"/>
  </w:style>
  <w:style w:type="paragraph" w:customStyle="1" w:styleId="Paratitle">
    <w:name w:val="Para title"/>
    <w:basedOn w:val="Normal"/>
    <w:rsid w:val="00A274EB"/>
    <w:pPr>
      <w:tabs>
        <w:tab w:val="center" w:pos="9270"/>
      </w:tabs>
      <w:spacing w:after="240"/>
    </w:pPr>
    <w:rPr>
      <w:spacing w:val="-2"/>
    </w:rPr>
  </w:style>
  <w:style w:type="paragraph" w:customStyle="1" w:styleId="TOCTitle">
    <w:name w:val="TOC Title"/>
    <w:basedOn w:val="Normal"/>
    <w:rsid w:val="00A274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74EB"/>
    <w:pPr>
      <w:jc w:val="center"/>
    </w:pPr>
    <w:rPr>
      <w:rFonts w:ascii="Times New Roman Bold" w:hAnsi="Times New Roman Bold"/>
      <w:b/>
      <w:bCs/>
      <w:caps/>
      <w:szCs w:val="22"/>
    </w:rPr>
  </w:style>
  <w:style w:type="paragraph" w:styleId="Revision">
    <w:name w:val="Revision"/>
    <w:hidden/>
    <w:uiPriority w:val="99"/>
    <w:semiHidden/>
    <w:rsid w:val="00EA3C98"/>
    <w:rPr>
      <w:snapToGrid w:val="0"/>
      <w:kern w:val="28"/>
      <w:sz w:val="22"/>
    </w:rPr>
  </w:style>
  <w:style w:type="table" w:styleId="TableGrid">
    <w:name w:val="Table Grid"/>
    <w:basedOn w:val="TableNormal"/>
    <w:uiPriority w:val="59"/>
    <w:rsid w:val="00AE1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04EBF"/>
    <w:rPr>
      <w:color w:val="800080" w:themeColor="followedHyperlink"/>
      <w:u w:val="single"/>
    </w:rPr>
  </w:style>
  <w:style w:type="paragraph" w:styleId="ListParagraph">
    <w:name w:val="List Paragraph"/>
    <w:basedOn w:val="Normal"/>
    <w:uiPriority w:val="34"/>
    <w:qFormat/>
    <w:rsid w:val="009324C5"/>
    <w:pPr>
      <w:ind w:left="720"/>
      <w:contextualSpacing/>
    </w:pPr>
  </w:style>
  <w:style w:type="character" w:customStyle="1" w:styleId="HeaderChar">
    <w:name w:val="Header Char"/>
    <w:link w:val="Header"/>
    <w:rsid w:val="00F71E5C"/>
    <w:rPr>
      <w:b/>
      <w:snapToGrid w:val="0"/>
      <w:kern w:val="28"/>
      <w:sz w:val="22"/>
    </w:rPr>
  </w:style>
  <w:style w:type="character" w:customStyle="1" w:styleId="FooterChar">
    <w:name w:val="Footer Char"/>
    <w:basedOn w:val="DefaultParagraphFont"/>
    <w:link w:val="Footer"/>
    <w:rsid w:val="00270C6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361">
      <w:bodyDiv w:val="1"/>
      <w:marLeft w:val="0"/>
      <w:marRight w:val="0"/>
      <w:marTop w:val="0"/>
      <w:marBottom w:val="0"/>
      <w:divBdr>
        <w:top w:val="none" w:sz="0" w:space="0" w:color="auto"/>
        <w:left w:val="none" w:sz="0" w:space="0" w:color="auto"/>
        <w:bottom w:val="none" w:sz="0" w:space="0" w:color="auto"/>
        <w:right w:val="none" w:sz="0" w:space="0" w:color="auto"/>
      </w:divBdr>
    </w:div>
    <w:div w:id="577441767">
      <w:bodyDiv w:val="1"/>
      <w:marLeft w:val="0"/>
      <w:marRight w:val="0"/>
      <w:marTop w:val="0"/>
      <w:marBottom w:val="0"/>
      <w:divBdr>
        <w:top w:val="none" w:sz="0" w:space="0" w:color="auto"/>
        <w:left w:val="none" w:sz="0" w:space="0" w:color="auto"/>
        <w:bottom w:val="none" w:sz="0" w:space="0" w:color="auto"/>
        <w:right w:val="none" w:sz="0" w:space="0" w:color="auto"/>
      </w:divBdr>
    </w:div>
    <w:div w:id="15468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3759</Words>
  <Characters>21369</Characters>
  <Application>Microsoft Office Word</Application>
  <DocSecurity>0</DocSecurity>
  <Lines>693</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2017-10-10T20:11:00Z</dcterms:created>
  <dcterms:modified xsi:type="dcterms:W3CDTF">2017-10-10T20:11:00Z</dcterms:modified>
  <cp:category> </cp:category>
  <cp:contentStatus> </cp:contentStatus>
</cp:coreProperties>
</file>