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BE177D">
        <w:rPr>
          <w:rFonts w:ascii="Times New Roman" w:hAnsi="Times New Roman"/>
          <w:b/>
          <w:sz w:val="22"/>
          <w:szCs w:val="22"/>
        </w:rPr>
        <w:t>8</w:t>
      </w:r>
      <w:r w:rsidRPr="000C12B4" w:rsidR="000D78DF">
        <w:rPr>
          <w:rFonts w:ascii="Times New Roman" w:hAnsi="Times New Roman"/>
          <w:b/>
          <w:sz w:val="22"/>
          <w:szCs w:val="22"/>
        </w:rPr>
        <w:t>-</w:t>
      </w:r>
      <w:r w:rsidR="00F54DF2">
        <w:rPr>
          <w:rFonts w:ascii="Times New Roman" w:hAnsi="Times New Roman"/>
          <w:b/>
          <w:sz w:val="22"/>
          <w:szCs w:val="22"/>
        </w:rPr>
        <w:t>1002</w:t>
      </w:r>
      <w:bookmarkStart w:id="1" w:name="_GoBack"/>
      <w:bookmarkEnd w:id="1"/>
    </w:p>
    <w:p w:rsidR="009D0E9A" w:rsidRPr="000C12B4" w:rsidP="000C12B4">
      <w:pPr>
        <w:jc w:val="right"/>
        <w:rPr>
          <w:rFonts w:ascii="Times New Roman" w:hAnsi="Times New Roman"/>
          <w:b/>
          <w:sz w:val="22"/>
          <w:szCs w:val="22"/>
        </w:rPr>
      </w:pPr>
      <w:r>
        <w:rPr>
          <w:rFonts w:ascii="Times New Roman" w:hAnsi="Times New Roman"/>
          <w:b/>
          <w:sz w:val="22"/>
          <w:szCs w:val="22"/>
        </w:rPr>
        <w:t xml:space="preserve">October </w:t>
      </w:r>
      <w:r w:rsidR="00F54DF2">
        <w:rPr>
          <w:rFonts w:ascii="Times New Roman" w:hAnsi="Times New Roman"/>
          <w:b/>
          <w:sz w:val="22"/>
          <w:szCs w:val="22"/>
        </w:rPr>
        <w:t>1</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Pr>
          <w:rFonts w:ascii="Times New Roman" w:hAnsi="Times New Roman"/>
          <w:b/>
          <w:sz w:val="22"/>
          <w:szCs w:val="22"/>
        </w:rPr>
        <w:t>8</w:t>
      </w:r>
    </w:p>
    <w:p w:rsidR="00D152BB" w:rsidP="00D152BB"/>
    <w:p w:rsidR="005D11F9" w:rsidRPr="00F04201"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11905038"/>
      <w:r w:rsidRPr="00F04201">
        <w:rPr>
          <w:sz w:val="22"/>
        </w:rPr>
        <w:t>PUBLIC SAFETY AND HOMELAND SECURITY BUREAU ANNOUNCES</w:t>
      </w:r>
    </w:p>
    <w:p w:rsidR="005D11F9" w:rsidRPr="00F04201"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pPr>
        <w:rPr>
          <w:rFonts w:ascii="Times New Roman" w:hAnsi="Times New Roman"/>
          <w:sz w:val="22"/>
          <w:szCs w:val="22"/>
        </w:rPr>
      </w:pPr>
    </w:p>
    <w:p w:rsidR="005D11F9" w:rsidRPr="008E322C"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2"/>
    </w:p>
    <w:p w:rsidR="005D11F9" w:rsidRPr="008E322C" w:rsidP="005D11F9">
      <w:pPr>
        <w:pStyle w:val="Heading3"/>
        <w:rPr>
          <w:sz w:val="22"/>
          <w:szCs w:val="22"/>
        </w:rPr>
      </w:pPr>
    </w:p>
    <w:p w:rsidR="00290FCE"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Pr>
          <w:rFonts w:ascii="Times New Roman" w:hAnsi="Times New Roman"/>
          <w:sz w:val="22"/>
          <w:szCs w:val="22"/>
        </w:rPr>
        <w:t xml:space="preserve"> </w:t>
      </w:r>
      <w:r w:rsidRPr="00586317">
        <w:rPr>
          <w:rFonts w:ascii="Times New Roman" w:hAnsi="Times New Roman"/>
          <w:sz w:val="22"/>
          <w:szCs w:val="22"/>
        </w:rPr>
        <w:t>Tuesday, October 23, 2018</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700 MHz planning meeting will begin at 1:00 p.m. </w:t>
      </w:r>
      <w:r w:rsidRPr="00290FCE">
        <w:rPr>
          <w:rFonts w:ascii="Times New Roman" w:hAnsi="Times New Roman"/>
          <w:sz w:val="22"/>
          <w:szCs w:val="22"/>
        </w:rPr>
        <w:t xml:space="preserve">at the </w:t>
      </w:r>
      <w:r w:rsidRPr="00586317">
        <w:rPr>
          <w:rFonts w:ascii="Times New Roman" w:hAnsi="Times New Roman"/>
          <w:sz w:val="22"/>
          <w:szCs w:val="22"/>
        </w:rPr>
        <w:t>Hotel Roanoke and Conference Center</w:t>
      </w:r>
      <w:r>
        <w:rPr>
          <w:rFonts w:ascii="Times New Roman" w:hAnsi="Times New Roman"/>
          <w:sz w:val="22"/>
          <w:szCs w:val="22"/>
        </w:rPr>
        <w:t>,</w:t>
      </w:r>
      <w:r w:rsidRPr="00586317">
        <w:rPr>
          <w:rFonts w:ascii="Times New Roman" w:hAnsi="Times New Roman"/>
          <w:sz w:val="22"/>
          <w:szCs w:val="22"/>
        </w:rPr>
        <w:t xml:space="preserve"> Appalachian meeting room, 110 Shenandoah Ave NW, Roanoke, Virginia 24016</w:t>
      </w:r>
      <w:r w:rsidRPr="00290FCE">
        <w:rPr>
          <w:rFonts w:ascii="Times New Roman" w:hAnsi="Times New Roman"/>
          <w:sz w:val="22"/>
          <w:szCs w:val="22"/>
        </w:rPr>
        <w:t>.</w:t>
      </w:r>
    </w:p>
    <w:p w:rsidR="00290FCE" w:rsidP="005D11F9">
      <w:pPr>
        <w:ind w:firstLine="720"/>
        <w:rPr>
          <w:rFonts w:ascii="Times New Roman" w:hAnsi="Times New Roman"/>
          <w:sz w:val="22"/>
          <w:szCs w:val="22"/>
        </w:rPr>
      </w:pPr>
    </w:p>
    <w:p w:rsidR="005D11F9" w:rsidRPr="009A37FB"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rsidR="005D11F9" w:rsidRPr="00877E3A"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rsidR="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rsidR="00477C62" w:rsidRPr="00877E3A"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Approval of Minutes</w:t>
      </w:r>
    </w:p>
    <w:p w:rsidR="00D001DF"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rsidR="00BE177D" w:rsidP="00BE177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rsidR="00586317" w:rsidP="00BE177D">
      <w:pPr>
        <w:pStyle w:val="ListParagraph"/>
        <w:widowControl/>
        <w:numPr>
          <w:ilvl w:val="1"/>
          <w:numId w:val="22"/>
        </w:numPr>
        <w:ind w:right="-360"/>
        <w:rPr>
          <w:rFonts w:ascii="Times New Roman" w:hAnsi="Times New Roman"/>
          <w:snapToGrid/>
          <w:color w:val="000000"/>
          <w:sz w:val="22"/>
          <w:szCs w:val="22"/>
        </w:rPr>
      </w:pPr>
      <w:r>
        <w:rPr>
          <w:rFonts w:ascii="Times New Roman" w:hAnsi="Times New Roman"/>
          <w:snapToGrid/>
          <w:color w:val="000000"/>
          <w:sz w:val="22"/>
          <w:szCs w:val="22"/>
        </w:rPr>
        <w:t>City of Virginia Beach</w:t>
      </w:r>
    </w:p>
    <w:p w:rsidR="00BE177D" w:rsidP="00BE177D">
      <w:pPr>
        <w:pStyle w:val="ListParagraph"/>
        <w:widowControl/>
        <w:numPr>
          <w:ilvl w:val="1"/>
          <w:numId w:val="22"/>
        </w:numPr>
        <w:ind w:right="-360"/>
        <w:rPr>
          <w:rFonts w:ascii="Times New Roman" w:hAnsi="Times New Roman"/>
          <w:snapToGrid/>
          <w:color w:val="000000"/>
          <w:sz w:val="22"/>
          <w:szCs w:val="22"/>
        </w:rPr>
      </w:pPr>
      <w:r>
        <w:rPr>
          <w:rFonts w:ascii="Times New Roman" w:hAnsi="Times New Roman"/>
          <w:snapToGrid/>
          <w:color w:val="000000"/>
          <w:sz w:val="22"/>
          <w:szCs w:val="22"/>
        </w:rPr>
        <w:t>Orange County</w:t>
      </w:r>
    </w:p>
    <w:p w:rsidR="005D11F9" w:rsidRPr="00BE177D" w:rsidP="00BE177D">
      <w:pPr>
        <w:pStyle w:val="ListParagraph"/>
        <w:widowControl/>
        <w:numPr>
          <w:ilvl w:val="0"/>
          <w:numId w:val="22"/>
        </w:numPr>
        <w:ind w:left="1080" w:right="-360"/>
        <w:rPr>
          <w:rFonts w:ascii="Times New Roman" w:hAnsi="Times New Roman"/>
          <w:snapToGrid/>
          <w:color w:val="000000"/>
          <w:sz w:val="22"/>
          <w:szCs w:val="22"/>
        </w:rPr>
      </w:pPr>
      <w:r w:rsidRPr="00BE177D">
        <w:rPr>
          <w:rFonts w:ascii="Times New Roman" w:hAnsi="Times New Roman"/>
          <w:snapToGrid/>
          <w:color w:val="000000"/>
          <w:sz w:val="22"/>
          <w:szCs w:val="22"/>
        </w:rPr>
        <w:t xml:space="preserve">Other </w:t>
      </w:r>
      <w:r w:rsidRPr="00BE177D" w:rsidR="003B08B9">
        <w:rPr>
          <w:rFonts w:ascii="Times New Roman" w:hAnsi="Times New Roman"/>
          <w:snapToGrid/>
          <w:color w:val="000000"/>
          <w:sz w:val="22"/>
          <w:szCs w:val="22"/>
        </w:rPr>
        <w:t>B</w:t>
      </w:r>
      <w:r w:rsidRPr="00BE177D">
        <w:rPr>
          <w:rFonts w:ascii="Times New Roman" w:hAnsi="Times New Roman"/>
          <w:snapToGrid/>
          <w:color w:val="000000"/>
          <w:sz w:val="22"/>
          <w:szCs w:val="22"/>
        </w:rPr>
        <w:t>usiness</w:t>
      </w:r>
    </w:p>
    <w:p w:rsidR="005D11F9" w:rsidRPr="00877E3A"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rsidR="005D11F9" w:rsidP="005D11F9">
      <w:pPr>
        <w:ind w:left="720"/>
        <w:rPr>
          <w:rFonts w:ascii="Times New Roman" w:hAnsi="Times New Roman"/>
          <w:snapToGrid/>
          <w:color w:val="000000"/>
          <w:sz w:val="22"/>
          <w:szCs w:val="22"/>
        </w:rPr>
      </w:pPr>
    </w:p>
    <w:p w:rsidR="00D001DF"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rsidR="005D11F9" w:rsidRPr="00D001DF"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rsidR="005D11F9"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rsidR="00D001DF"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33EFD" w:rsidP="000B55D1">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BE177D" w:rsidP="00586317">
      <w:pPr>
        <w:pStyle w:val="ListParagraph"/>
        <w:widowControl/>
        <w:numPr>
          <w:ilvl w:val="1"/>
          <w:numId w:val="26"/>
        </w:numPr>
        <w:ind w:right="-360"/>
        <w:rPr>
          <w:rFonts w:ascii="Times New Roman" w:hAnsi="Times New Roman"/>
          <w:snapToGrid/>
          <w:color w:val="000000"/>
          <w:sz w:val="22"/>
          <w:szCs w:val="22"/>
        </w:rPr>
      </w:pPr>
      <w:r w:rsidRPr="00586317">
        <w:rPr>
          <w:rFonts w:ascii="Times New Roman" w:hAnsi="Times New Roman"/>
          <w:snapToGrid/>
          <w:color w:val="000000"/>
          <w:sz w:val="22"/>
          <w:szCs w:val="22"/>
        </w:rPr>
        <w:t>Charlottesville - UVA - Albemarle County ECC Modification</w:t>
      </w:r>
    </w:p>
    <w:p w:rsidR="005D11F9" w:rsidRPr="00533EFD" w:rsidP="00BE177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D11F9"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rsidR="005D11F9" w:rsidP="005D11F9">
      <w:pPr>
        <w:pStyle w:val="ListParagraph"/>
        <w:widowControl/>
        <w:ind w:left="1440" w:right="-360"/>
        <w:rPr>
          <w:rFonts w:ascii="Times New Roman" w:hAnsi="Times New Roman"/>
          <w:snapToGrid/>
          <w:color w:val="000000"/>
          <w:sz w:val="22"/>
          <w:szCs w:val="22"/>
        </w:rPr>
      </w:pPr>
    </w:p>
    <w:p w:rsidR="00586317" w:rsidRPr="00877E3A" w:rsidP="005D11F9">
      <w:pPr>
        <w:pStyle w:val="ListParagraph"/>
        <w:widowControl/>
        <w:ind w:left="1440" w:right="-360"/>
        <w:rPr>
          <w:rFonts w:ascii="Times New Roman" w:hAnsi="Times New Roman"/>
          <w:snapToGrid/>
          <w:color w:val="000000"/>
          <w:sz w:val="22"/>
          <w:szCs w:val="22"/>
        </w:rPr>
      </w:pPr>
    </w:p>
    <w:p w:rsidR="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w:t>
      </w:r>
      <w:r w:rsidRPr="008E322C">
        <w:rPr>
          <w:rFonts w:ascii="Times New Roman" w:hAnsi="Times New Roman"/>
          <w:color w:val="000000"/>
          <w:sz w:val="22"/>
          <w:szCs w:val="22"/>
        </w:rPr>
        <w:t>in order to</w:t>
      </w:r>
      <w:r w:rsidRPr="008E322C">
        <w:rPr>
          <w:rFonts w:ascii="Times New Roman" w:hAnsi="Times New Roman"/>
          <w:color w:val="000000"/>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P="00360A39">
      <w:pPr>
        <w:ind w:firstLine="720"/>
        <w:rPr>
          <w:rFonts w:ascii="Times New Roman" w:hAnsi="Times New Roman"/>
          <w:color w:val="000000"/>
          <w:sz w:val="22"/>
          <w:szCs w:val="22"/>
        </w:rPr>
      </w:pPr>
    </w:p>
    <w:p w:rsidR="005D11F9" w:rsidRPr="00360A3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rsidR="005D11F9" w:rsidP="005D11F9">
      <w:pPr>
        <w:widowControl/>
        <w:ind w:firstLine="720"/>
        <w:rPr>
          <w:rStyle w:val="Hyperlink"/>
          <w:rFonts w:ascii="Times New Roman" w:hAnsi="Times New Roman"/>
          <w:sz w:val="22"/>
          <w:szCs w:val="22"/>
        </w:rPr>
      </w:pPr>
      <w:r>
        <w:fldChar w:fldCharType="begin"/>
      </w:r>
      <w:r>
        <w:instrText xml:space="preserve"> HYPERLINK "mailto:cjshaffer@hanovercounty.gov" </w:instrText>
      </w:r>
      <w:r>
        <w:fldChar w:fldCharType="separate"/>
      </w:r>
      <w:r w:rsidRPr="00575D7F" w:rsidR="00586317">
        <w:rPr>
          <w:rStyle w:val="Hyperlink"/>
          <w:rFonts w:ascii="Times New Roman" w:hAnsi="Times New Roman"/>
          <w:sz w:val="22"/>
          <w:szCs w:val="22"/>
        </w:rPr>
        <w:t>cjshaffer@hanovercounty.gov</w:t>
      </w:r>
      <w:r>
        <w:fldChar w:fldCharType="end"/>
      </w:r>
    </w:p>
    <w:p w:rsidR="00196498" w:rsidP="005D11F9">
      <w:pPr>
        <w:widowControl/>
        <w:ind w:firstLine="720"/>
        <w:rPr>
          <w:rStyle w:val="Hyperlink"/>
          <w:rFonts w:ascii="Times New Roman" w:hAnsi="Times New Roman"/>
          <w:sz w:val="22"/>
          <w:szCs w:val="22"/>
        </w:rPr>
      </w:pPr>
    </w:p>
    <w:p w:rsidR="00196498" w:rsidRPr="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 xml:space="preserve">Roanoke County </w:t>
      </w:r>
      <w:r w:rsidRPr="00196498">
        <w:rPr>
          <w:rFonts w:ascii="Times New Roman" w:hAnsi="Times New Roman"/>
          <w:sz w:val="22"/>
          <w:szCs w:val="22"/>
          <w:lang w:val="en"/>
        </w:rPr>
        <w:t>Comm</w:t>
      </w:r>
      <w:r w:rsidRPr="00196498">
        <w:rPr>
          <w:rFonts w:ascii="Times New Roman" w:hAnsi="Times New Roman"/>
          <w:sz w:val="22"/>
          <w:szCs w:val="22"/>
          <w:lang w:val="en"/>
        </w:rPr>
        <w:t>-IT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t>phone: (540) 777-8556</w:t>
      </w:r>
      <w:r w:rsidRPr="00196498">
        <w:rPr>
          <w:rFonts w:ascii="Times New Roman" w:hAnsi="Times New Roman"/>
          <w:sz w:val="22"/>
          <w:szCs w:val="22"/>
          <w:lang w:val="en"/>
        </w:rPr>
        <w:br/>
        <w:t>fax: (540)777-9771</w:t>
      </w:r>
    </w:p>
    <w:p w:rsidR="00196498" w:rsidRPr="00196498" w:rsidP="005D11F9">
      <w:pPr>
        <w:widowControl/>
        <w:ind w:firstLine="720"/>
        <w:rPr>
          <w:rFonts w:ascii="Times New Roman" w:hAnsi="Times New Roman"/>
          <w:sz w:val="22"/>
          <w:szCs w:val="22"/>
        </w:rPr>
      </w:pPr>
      <w:r>
        <w:fldChar w:fldCharType="begin"/>
      </w:r>
      <w:r>
        <w:instrText xml:space="preserve"> HYPERLINK "mailto:rthompson@roanokecountyva.gov" </w:instrText>
      </w:r>
      <w:r>
        <w:fldChar w:fldCharType="separate"/>
      </w:r>
      <w:r w:rsidRPr="00196498" w:rsidR="00586317">
        <w:rPr>
          <w:rStyle w:val="Hyperlink"/>
          <w:rFonts w:ascii="Times New Roman" w:hAnsi="Times New Roman"/>
          <w:sz w:val="22"/>
          <w:szCs w:val="22"/>
        </w:rPr>
        <w:t>rthompson@roanokecountyva.gov</w:t>
      </w:r>
      <w:r>
        <w:fldChar w:fldCharType="end"/>
      </w:r>
    </w:p>
    <w:p w:rsidR="005D11F9" w:rsidP="005D11F9">
      <w:pPr>
        <w:widowControl/>
        <w:ind w:firstLine="720"/>
        <w:rPr>
          <w:rFonts w:ascii="Times New Roman" w:hAnsi="Times New Roman"/>
          <w:sz w:val="22"/>
          <w:szCs w:val="22"/>
        </w:rPr>
      </w:pPr>
    </w:p>
    <w:p w:rsidR="005D11F9" w:rsidP="005D11F9">
      <w:pPr>
        <w:jc w:val="center"/>
        <w:rPr>
          <w:rFonts w:ascii="Times New Roman" w:hAnsi="Times New Roman"/>
          <w:color w:val="000000"/>
          <w:sz w:val="22"/>
          <w:szCs w:val="22"/>
        </w:rPr>
      </w:pPr>
    </w:p>
    <w:p w:rsidR="00D152BB" w:rsidP="005D11F9">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r>
        <w:separator/>
      </w:r>
    </w:p>
  </w:footnote>
  <w:footnote w:type="continuationSeparator" w:id="1">
    <w:p w:rsidR="00330469">
      <w:r>
        <w:continuationSeparator/>
      </w:r>
    </w:p>
  </w:footnote>
  <w:footnote w:id="2">
    <w:p w:rsidR="005B4487" w:rsidRPr="00BD5FFB"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789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v:textbox>
            </v:shape>
          </w:pict>
        </mc:Fallback>
      </mc:AlternateContent>
    </w:r>
  </w:p>
  <w:p w:rsidR="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6">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7"/>
  </w:num>
  <w:num w:numId="2">
    <w:abstractNumId w:val="10"/>
  </w:num>
  <w:num w:numId="3">
    <w:abstractNumId w:val="6"/>
  </w:num>
  <w:num w:numId="4">
    <w:abstractNumId w:val="22"/>
  </w:num>
  <w:num w:numId="5">
    <w:abstractNumId w:val="5"/>
  </w:num>
  <w:num w:numId="6">
    <w:abstractNumId w:val="20"/>
  </w:num>
  <w:num w:numId="7">
    <w:abstractNumId w:val="13"/>
  </w:num>
  <w:num w:numId="8">
    <w:abstractNumId w:val="19"/>
  </w:num>
  <w:num w:numId="9">
    <w:abstractNumId w:val="19"/>
  </w:num>
  <w:num w:numId="10">
    <w:abstractNumId w:val="21"/>
  </w:num>
  <w:num w:numId="11">
    <w:abstractNumId w:val="7"/>
  </w:num>
  <w:num w:numId="12">
    <w:abstractNumId w:val="11"/>
  </w:num>
  <w:num w:numId="13">
    <w:abstractNumId w:val="15"/>
  </w:num>
  <w:num w:numId="14">
    <w:abstractNumId w:val="16"/>
  </w:num>
  <w:num w:numId="15">
    <w:abstractNumId w:val="25"/>
  </w:num>
  <w:num w:numId="16">
    <w:abstractNumId w:val="4"/>
  </w:num>
  <w:num w:numId="17">
    <w:abstractNumId w:val="23"/>
  </w:num>
  <w:num w:numId="18">
    <w:abstractNumId w:val="26"/>
  </w:num>
  <w:num w:numId="19">
    <w:abstractNumId w:val="14"/>
  </w:num>
  <w:num w:numId="20">
    <w:abstractNumId w:val="0"/>
  </w:num>
  <w:num w:numId="21">
    <w:abstractNumId w:val="8"/>
  </w:num>
  <w:num w:numId="22">
    <w:abstractNumId w:val="2"/>
  </w:num>
  <w:num w:numId="23">
    <w:abstractNumId w:val="3"/>
  </w:num>
  <w:num w:numId="24">
    <w:abstractNumId w:val="18"/>
  </w:num>
  <w:num w:numId="25">
    <w:abstractNumId w:val="12"/>
  </w:num>
  <w:num w:numId="26">
    <w:abstractNumId w:val="9"/>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