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E7817" w:rsidP="005E7817">
      <w:pPr>
        <w:pStyle w:val="Header"/>
      </w:pPr>
      <w:r>
        <w:rPr>
          <w:noProof/>
        </w:rPr>
        <mc:AlternateContent>
          <mc:Choice Requires="wps">
            <w:drawing>
              <wp:anchor distT="0" distB="0" distL="114300" distR="114300" simplePos="0" relativeHeight="25166438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CA410E" w:rsidP="005E7817">
                            <w:pPr>
                              <w:rPr>
                                <w:rFonts w:ascii="Arial" w:hAnsi="Arial"/>
                                <w:b/>
                              </w:rPr>
                            </w:pPr>
                            <w:r>
                              <w:rPr>
                                <w:rFonts w:ascii="Arial" w:hAnsi="Arial"/>
                                <w:b/>
                              </w:rPr>
                              <w:t>Federal Communications Commission</w:t>
                            </w:r>
                          </w:p>
                          <w:p w:rsidR="00CA410E" w:rsidP="005E78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410E" w:rsidP="005E78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5408" o:allowincell="f" stroked="f">
                <o:lock v:ext="edit" aspectratio="t" verticies="t" text="t" shapetype="t"/>
                <v:textbox>
                  <w:txbxContent>
                    <w:p w:rsidR="00CA410E" w:rsidP="005E7817">
                      <w:pPr>
                        <w:rPr>
                          <w:rFonts w:ascii="Arial" w:hAnsi="Arial"/>
                          <w:b/>
                        </w:rPr>
                      </w:pPr>
                      <w:r>
                        <w:rPr>
                          <w:rFonts w:ascii="Arial" w:hAnsi="Arial"/>
                          <w:b/>
                        </w:rPr>
                        <w:t>Federal Communications Commission</w:t>
                      </w:r>
                    </w:p>
                    <w:p w:rsidR="00CA410E" w:rsidP="005E78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410E" w:rsidP="005E78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205006" name="Picture 6" descr="fcc_logo"/>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817">
        <w:t>PUBLIC NOTICE</w:t>
      </w:r>
    </w:p>
    <w:p w:rsidR="00D537EF" w:rsidP="00297A2A">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-38100</wp:posOffset>
                </wp:positionH>
                <wp:positionV relativeFrom="paragraph">
                  <wp:posOffset>27940</wp:posOffset>
                </wp:positionV>
                <wp:extent cx="3108960" cy="640080"/>
                <wp:effectExtent l="0" t="0" r="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CA410E" w:rsidP="005E7817">
                            <w:pPr>
                              <w:rPr>
                                <w:rFonts w:ascii="Arial" w:hAnsi="Arial"/>
                                <w:sz w:val="24"/>
                              </w:rPr>
                            </w:pPr>
                          </w:p>
                          <w:p w:rsidR="00CA410E">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244.8pt;height:50.4pt;margin-top:2.2pt;margin-left:-3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CA410E" w:rsidP="005E7817">
                      <w:pPr>
                        <w:rPr>
                          <w:rFonts w:ascii="Arial" w:hAnsi="Arial"/>
                          <w:sz w:val="24"/>
                        </w:rPr>
                      </w:pPr>
                    </w:p>
                    <w:p w:rsidR="00CA410E">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CnPr>
                        <a:cxnSpLocks noChangeAspect="1" noEditPoints="1" noChangeArrowheads="1"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o:lock v:ext="edit" aspectratio="t" verticies="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wps:spPr>
                      <wps:txbx>
                        <w:txbxContent>
                          <w:p w:rsidR="00CA410E">
                            <w:pPr>
                              <w:spacing w:before="40"/>
                              <w:jc w:val="right"/>
                              <w:rPr>
                                <w:rFonts w:ascii="Arial" w:hAnsi="Arial"/>
                                <w:b/>
                                <w:sz w:val="16"/>
                              </w:rPr>
                            </w:pPr>
                            <w:r>
                              <w:rPr>
                                <w:rFonts w:ascii="Arial" w:hAnsi="Arial"/>
                                <w:b/>
                                <w:sz w:val="16"/>
                              </w:rPr>
                              <w:t>News Media Information 202 / 418-0500</w:t>
                            </w:r>
                          </w:p>
                          <w:p w:rsidR="00CA410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sidR="00037AB3">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CA410E">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o:lock v:ext="edit" aspectratio="t" verticies="t" text="t" shapetype="t"/>
                <v:textbox inset=",0,,0">
                  <w:txbxContent>
                    <w:p w:rsidR="00CA410E">
                      <w:pPr>
                        <w:spacing w:before="40"/>
                        <w:jc w:val="right"/>
                        <w:rPr>
                          <w:rFonts w:ascii="Arial" w:hAnsi="Arial"/>
                          <w:b/>
                          <w:sz w:val="16"/>
                        </w:rPr>
                      </w:pPr>
                      <w:r>
                        <w:rPr>
                          <w:rFonts w:ascii="Arial" w:hAnsi="Arial"/>
                          <w:b/>
                          <w:sz w:val="16"/>
                        </w:rPr>
                        <w:t>News Media Information 202 / 418-0500</w:t>
                      </w:r>
                    </w:p>
                    <w:p w:rsidR="00CA410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sidR="00037AB3">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CA410E">
                      <w:pPr>
                        <w:jc w:val="right"/>
                      </w:pPr>
                      <w:r>
                        <w:rPr>
                          <w:rFonts w:ascii="Arial" w:hAnsi="Arial"/>
                          <w:b/>
                          <w:sz w:val="16"/>
                        </w:rPr>
                        <w:t>TTY: 1-888-835-5322</w:t>
                      </w:r>
                    </w:p>
                  </w:txbxContent>
                </v:textbox>
              </v:shape>
            </w:pict>
          </mc:Fallback>
        </mc:AlternateContent>
      </w:r>
    </w:p>
    <w:p w:rsidR="00D537EF">
      <w:pPr>
        <w:jc w:val="right"/>
        <w:rPr>
          <w:b/>
          <w:sz w:val="24"/>
        </w:rPr>
      </w:pPr>
      <w:r>
        <w:rPr>
          <w:b/>
          <w:sz w:val="24"/>
        </w:rPr>
        <w:t>DA 1</w:t>
      </w:r>
      <w:r w:rsidR="00BF3BF2">
        <w:rPr>
          <w:b/>
          <w:sz w:val="24"/>
        </w:rPr>
        <w:t>8</w:t>
      </w:r>
      <w:r>
        <w:rPr>
          <w:b/>
          <w:sz w:val="24"/>
        </w:rPr>
        <w:t>-</w:t>
      </w:r>
      <w:r w:rsidR="00704F04">
        <w:rPr>
          <w:b/>
          <w:sz w:val="24"/>
        </w:rPr>
        <w:t>1014</w:t>
      </w:r>
      <w:bookmarkStart w:id="1" w:name="_GoBack"/>
      <w:bookmarkEnd w:id="1"/>
    </w:p>
    <w:p w:rsidR="00D537EF">
      <w:pPr>
        <w:spacing w:before="60"/>
        <w:jc w:val="right"/>
        <w:rPr>
          <w:b/>
          <w:sz w:val="24"/>
        </w:rPr>
      </w:pPr>
      <w:r>
        <w:rPr>
          <w:b/>
          <w:sz w:val="24"/>
        </w:rPr>
        <w:t xml:space="preserve">Released:  </w:t>
      </w:r>
      <w:r w:rsidR="007563B3">
        <w:rPr>
          <w:b/>
          <w:sz w:val="24"/>
        </w:rPr>
        <w:t>October</w:t>
      </w:r>
      <w:r w:rsidR="004E1BA7">
        <w:rPr>
          <w:b/>
          <w:sz w:val="24"/>
        </w:rPr>
        <w:t xml:space="preserve"> </w:t>
      </w:r>
      <w:r w:rsidR="0004390F">
        <w:rPr>
          <w:b/>
          <w:sz w:val="24"/>
        </w:rPr>
        <w:t>3</w:t>
      </w:r>
      <w:r w:rsidR="00F66028">
        <w:rPr>
          <w:b/>
          <w:sz w:val="24"/>
        </w:rPr>
        <w:t>, 201</w:t>
      </w:r>
      <w:r w:rsidR="00BF3BF2">
        <w:rPr>
          <w:b/>
          <w:sz w:val="24"/>
        </w:rPr>
        <w:t>8</w:t>
      </w:r>
    </w:p>
    <w:p w:rsidR="00D537EF">
      <w:pPr>
        <w:jc w:val="right"/>
        <w:rPr>
          <w:sz w:val="24"/>
        </w:rPr>
      </w:pPr>
    </w:p>
    <w:p w:rsidR="00D537EF" w:rsidP="0080683A">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w:t>
      </w:r>
      <w:r w:rsidRPr="00290783" w:rsidR="00520B81">
        <w:rPr>
          <w:rFonts w:ascii="Times New Roman Bold" w:hAnsi="Times New Roman Bold"/>
          <w:b/>
          <w:caps/>
          <w:sz w:val="24"/>
        </w:rPr>
        <w:t xml:space="preserve">FURTHER </w:t>
      </w:r>
      <w:r>
        <w:rPr>
          <w:rFonts w:ascii="Times New Roman Bold" w:hAnsi="Times New Roman Bold"/>
          <w:b/>
          <w:caps/>
          <w:sz w:val="24"/>
        </w:rPr>
        <w:t xml:space="preserve">COMMENT ON </w:t>
      </w:r>
      <w:r w:rsidR="004C2D36">
        <w:rPr>
          <w:rFonts w:ascii="Times New Roman Bold" w:hAnsi="Times New Roman Bold"/>
          <w:b/>
          <w:caps/>
          <w:sz w:val="24"/>
        </w:rPr>
        <w:t xml:space="preserve">INTERPRETATION OF </w:t>
      </w:r>
      <w:r>
        <w:rPr>
          <w:rFonts w:ascii="Times New Roman Bold" w:hAnsi="Times New Roman Bold"/>
          <w:b/>
          <w:caps/>
          <w:sz w:val="24"/>
        </w:rPr>
        <w:t xml:space="preserve">the telephone consumer protection act </w:t>
      </w:r>
      <w:r w:rsidR="00251B19">
        <w:rPr>
          <w:rFonts w:ascii="Times New Roman Bold" w:hAnsi="Times New Roman Bold"/>
          <w:b/>
          <w:caps/>
          <w:sz w:val="24"/>
        </w:rPr>
        <w:t xml:space="preserve">IN LIGHT OF THE </w:t>
      </w:r>
      <w:r w:rsidR="007563B3">
        <w:rPr>
          <w:rFonts w:ascii="Times New Roman Bold" w:hAnsi="Times New Roman Bold"/>
          <w:b/>
          <w:caps/>
          <w:sz w:val="24"/>
        </w:rPr>
        <w:t>ninth</w:t>
      </w:r>
      <w:r w:rsidR="0018577A">
        <w:rPr>
          <w:rFonts w:ascii="Times New Roman Bold" w:hAnsi="Times New Roman Bold"/>
          <w:b/>
          <w:caps/>
          <w:sz w:val="24"/>
        </w:rPr>
        <w:t xml:space="preserve"> CircuIt’S </w:t>
      </w:r>
      <w:r w:rsidR="001D727C">
        <w:rPr>
          <w:rFonts w:ascii="Times New Roman Bold" w:hAnsi="Times New Roman Bold"/>
          <w:b/>
          <w:caps/>
          <w:sz w:val="24"/>
        </w:rPr>
        <w:br/>
      </w:r>
      <w:r w:rsidRPr="007563B3" w:rsidR="007563B3">
        <w:rPr>
          <w:rFonts w:ascii="Times New Roman Bold" w:hAnsi="Times New Roman Bold"/>
          <w:b/>
          <w:i/>
          <w:caps/>
          <w:sz w:val="24"/>
        </w:rPr>
        <w:t>marks v. crunch san diego</w:t>
      </w:r>
      <w:r w:rsidR="00274A6B">
        <w:rPr>
          <w:rFonts w:ascii="Times New Roman Bold" w:hAnsi="Times New Roman Bold"/>
          <w:b/>
          <w:i/>
          <w:caps/>
          <w:sz w:val="24"/>
        </w:rPr>
        <w:t>, LLC</w:t>
      </w:r>
      <w:r w:rsidR="00251B19">
        <w:rPr>
          <w:rFonts w:ascii="Times New Roman Bold" w:hAnsi="Times New Roman Bold"/>
          <w:b/>
          <w:caps/>
          <w:sz w:val="24"/>
        </w:rPr>
        <w:t xml:space="preserve"> DECISION</w:t>
      </w:r>
    </w:p>
    <w:p w:rsidR="00D537EF">
      <w:pPr>
        <w:jc w:val="center"/>
        <w:rPr>
          <w:b/>
          <w:sz w:val="24"/>
        </w:rPr>
      </w:pPr>
      <w:r>
        <w:rPr>
          <w:b/>
          <w:sz w:val="24"/>
        </w:rPr>
        <w:t>CG Dock</w:t>
      </w:r>
      <w:r w:rsidR="00BF3BF2">
        <w:rPr>
          <w:b/>
          <w:sz w:val="24"/>
        </w:rPr>
        <w:t xml:space="preserve">et No. </w:t>
      </w:r>
      <w:r w:rsidRPr="00700AF7" w:rsidR="00814582">
        <w:rPr>
          <w:b/>
          <w:sz w:val="24"/>
        </w:rPr>
        <w:t>18</w:t>
      </w:r>
      <w:r w:rsidRPr="00700AF7" w:rsidR="00BF3BF2">
        <w:rPr>
          <w:b/>
          <w:sz w:val="24"/>
        </w:rPr>
        <w:t>-</w:t>
      </w:r>
      <w:r w:rsidR="00700AF7">
        <w:rPr>
          <w:b/>
          <w:sz w:val="24"/>
        </w:rPr>
        <w:t>152</w:t>
      </w:r>
    </w:p>
    <w:p w:rsidR="00814582">
      <w:pPr>
        <w:jc w:val="center"/>
        <w:rPr>
          <w:b/>
          <w:sz w:val="24"/>
        </w:rPr>
      </w:pPr>
      <w:r>
        <w:rPr>
          <w:b/>
          <w:sz w:val="24"/>
        </w:rPr>
        <w:t>CG Docket No. 02-278</w:t>
      </w:r>
    </w:p>
    <w:p w:rsidR="00D537EF">
      <w:pPr>
        <w:jc w:val="center"/>
        <w:rPr>
          <w:sz w:val="24"/>
        </w:rPr>
      </w:pPr>
    </w:p>
    <w:p w:rsidR="00D537EF" w:rsidRPr="006B092E">
      <w:pPr>
        <w:rPr>
          <w:b/>
          <w:szCs w:val="22"/>
        </w:rPr>
      </w:pPr>
      <w:r w:rsidRPr="006B092E">
        <w:rPr>
          <w:b/>
          <w:szCs w:val="22"/>
        </w:rPr>
        <w:t xml:space="preserve">Comment Date:  </w:t>
      </w:r>
      <w:r w:rsidR="0004390F">
        <w:rPr>
          <w:b/>
          <w:szCs w:val="22"/>
        </w:rPr>
        <w:t>October 17, 2018</w:t>
      </w:r>
    </w:p>
    <w:p w:rsidR="00D537EF" w:rsidRPr="006B092E">
      <w:pPr>
        <w:rPr>
          <w:b/>
          <w:szCs w:val="22"/>
        </w:rPr>
      </w:pPr>
      <w:r w:rsidRPr="006B092E">
        <w:rPr>
          <w:b/>
          <w:szCs w:val="22"/>
        </w:rPr>
        <w:t xml:space="preserve">Reply Comment Date:  </w:t>
      </w:r>
      <w:r w:rsidR="0004390F">
        <w:rPr>
          <w:b/>
          <w:szCs w:val="22"/>
        </w:rPr>
        <w:t>October 24, 2018</w:t>
      </w:r>
    </w:p>
    <w:p w:rsidR="00D537EF" w:rsidRPr="006B092E">
      <w:pPr>
        <w:rPr>
          <w:szCs w:val="22"/>
        </w:rPr>
      </w:pPr>
    </w:p>
    <w:p w:rsidR="00CA4144" w:rsidP="004833A2">
      <w:pPr>
        <w:spacing w:after="120"/>
        <w:ind w:firstLine="720"/>
        <w:rPr>
          <w:szCs w:val="22"/>
        </w:rPr>
      </w:pPr>
      <w:r w:rsidRPr="006B092E">
        <w:rPr>
          <w:szCs w:val="22"/>
        </w:rPr>
        <w:t xml:space="preserve">With this Public Notice, we seek </w:t>
      </w:r>
      <w:r w:rsidRPr="00080768" w:rsidR="00520B81">
        <w:rPr>
          <w:szCs w:val="22"/>
        </w:rPr>
        <w:t>further</w:t>
      </w:r>
      <w:r w:rsidR="00520B81">
        <w:rPr>
          <w:szCs w:val="22"/>
        </w:rPr>
        <w:t xml:space="preserve"> </w:t>
      </w:r>
      <w:r w:rsidRPr="006B092E">
        <w:rPr>
          <w:szCs w:val="22"/>
        </w:rPr>
        <w:t xml:space="preserve">comment </w:t>
      </w:r>
      <w:r w:rsidR="00A32BA5">
        <w:rPr>
          <w:szCs w:val="22"/>
        </w:rPr>
        <w:t>on one issue related to interpretation and implementation of the</w:t>
      </w:r>
      <w:r w:rsidRPr="00A32BA5" w:rsidR="00A32BA5">
        <w:rPr>
          <w:szCs w:val="22"/>
        </w:rPr>
        <w:t xml:space="preserve"> </w:t>
      </w:r>
      <w:r w:rsidRPr="006B092E" w:rsidR="00A32BA5">
        <w:rPr>
          <w:szCs w:val="22"/>
        </w:rPr>
        <w:t>Telephone Consumer Protection Act (TCPA)</w:t>
      </w:r>
      <w:r w:rsidR="00A32BA5">
        <w:rPr>
          <w:szCs w:val="22"/>
        </w:rPr>
        <w:t>,</w:t>
      </w:r>
      <w:r>
        <w:rPr>
          <w:rStyle w:val="FootnoteReference"/>
          <w:szCs w:val="22"/>
        </w:rPr>
        <w:footnoteReference w:id="3"/>
      </w:r>
      <w:r w:rsidR="00A32BA5">
        <w:rPr>
          <w:szCs w:val="22"/>
        </w:rPr>
        <w:t xml:space="preserve"> </w:t>
      </w:r>
      <w:r w:rsidR="00274A6B">
        <w:rPr>
          <w:szCs w:val="22"/>
        </w:rPr>
        <w:t>following</w:t>
      </w:r>
      <w:r w:rsidR="007563B3">
        <w:rPr>
          <w:szCs w:val="22"/>
        </w:rPr>
        <w:t xml:space="preserve"> </w:t>
      </w:r>
      <w:r w:rsidR="00A32BA5">
        <w:rPr>
          <w:szCs w:val="22"/>
        </w:rPr>
        <w:t>the</w:t>
      </w:r>
      <w:r w:rsidR="007563B3">
        <w:rPr>
          <w:szCs w:val="22"/>
        </w:rPr>
        <w:t xml:space="preserve"> recent decision of the U.S. Court of Appeals for the Ninth Circuit</w:t>
      </w:r>
      <w:r w:rsidR="00A32BA5">
        <w:rPr>
          <w:szCs w:val="22"/>
        </w:rPr>
        <w:t xml:space="preserve"> in</w:t>
      </w:r>
      <w:r w:rsidR="007563B3">
        <w:rPr>
          <w:szCs w:val="22"/>
        </w:rPr>
        <w:t xml:space="preserve"> </w:t>
      </w:r>
      <w:r w:rsidRPr="007563B3" w:rsidR="007563B3">
        <w:rPr>
          <w:i/>
          <w:szCs w:val="22"/>
        </w:rPr>
        <w:t>Marks v. Crunch San Diego</w:t>
      </w:r>
      <w:r w:rsidR="00294394">
        <w:rPr>
          <w:i/>
          <w:szCs w:val="22"/>
        </w:rPr>
        <w:t>,</w:t>
      </w:r>
      <w:r w:rsidRPr="007563B3" w:rsidR="007563B3">
        <w:rPr>
          <w:i/>
          <w:szCs w:val="22"/>
        </w:rPr>
        <w:t xml:space="preserve"> LLC</w:t>
      </w:r>
      <w:r w:rsidR="00274A6B">
        <w:rPr>
          <w:szCs w:val="22"/>
        </w:rPr>
        <w:t>.</w:t>
      </w:r>
      <w:r>
        <w:rPr>
          <w:rStyle w:val="FootnoteReference"/>
          <w:szCs w:val="22"/>
        </w:rPr>
        <w:footnoteReference w:id="4"/>
      </w:r>
      <w:r w:rsidR="007563B3">
        <w:rPr>
          <w:szCs w:val="22"/>
        </w:rPr>
        <w:t xml:space="preserve"> </w:t>
      </w:r>
      <w:r w:rsidR="00274A6B">
        <w:rPr>
          <w:szCs w:val="22"/>
        </w:rPr>
        <w:t xml:space="preserve"> </w:t>
      </w:r>
      <w:r w:rsidR="001810FB">
        <w:rPr>
          <w:szCs w:val="22"/>
        </w:rPr>
        <w:t xml:space="preserve">We seek comment </w:t>
      </w:r>
      <w:r w:rsidR="002B2678">
        <w:rPr>
          <w:szCs w:val="22"/>
        </w:rPr>
        <w:t xml:space="preserve">here </w:t>
      </w:r>
      <w:r w:rsidR="001810FB">
        <w:rPr>
          <w:szCs w:val="22"/>
        </w:rPr>
        <w:t xml:space="preserve">to supplement the record </w:t>
      </w:r>
      <w:r w:rsidR="00BD0C18">
        <w:rPr>
          <w:szCs w:val="22"/>
        </w:rPr>
        <w:t xml:space="preserve">developed </w:t>
      </w:r>
      <w:r w:rsidR="00334121">
        <w:rPr>
          <w:szCs w:val="22"/>
        </w:rPr>
        <w:t xml:space="preserve">in response to our </w:t>
      </w:r>
      <w:r w:rsidR="00DE6E2C">
        <w:rPr>
          <w:szCs w:val="22"/>
        </w:rPr>
        <w:t xml:space="preserve">prior </w:t>
      </w:r>
      <w:r w:rsidR="00334121">
        <w:rPr>
          <w:szCs w:val="22"/>
        </w:rPr>
        <w:t xml:space="preserve">Public Notice </w:t>
      </w:r>
      <w:r w:rsidR="00DE6E2C">
        <w:rPr>
          <w:szCs w:val="22"/>
        </w:rPr>
        <w:t>seeking</w:t>
      </w:r>
      <w:r w:rsidR="002B2678">
        <w:rPr>
          <w:szCs w:val="22"/>
        </w:rPr>
        <w:t xml:space="preserve"> </w:t>
      </w:r>
      <w:r w:rsidR="00334121">
        <w:rPr>
          <w:szCs w:val="22"/>
        </w:rPr>
        <w:t xml:space="preserve">comment on the </w:t>
      </w:r>
      <w:r w:rsidR="00294394">
        <w:rPr>
          <w:szCs w:val="22"/>
        </w:rPr>
        <w:t xml:space="preserve">U.S. Court of Appeals for the </w:t>
      </w:r>
      <w:r w:rsidR="00334121">
        <w:rPr>
          <w:szCs w:val="22"/>
        </w:rPr>
        <w:t>D.C. Circuit</w:t>
      </w:r>
      <w:r w:rsidR="00294394">
        <w:rPr>
          <w:szCs w:val="22"/>
        </w:rPr>
        <w:t>’s</w:t>
      </w:r>
      <w:r w:rsidR="00334121">
        <w:rPr>
          <w:szCs w:val="22"/>
        </w:rPr>
        <w:t xml:space="preserve"> opinion in </w:t>
      </w:r>
      <w:r w:rsidRPr="001810FB" w:rsidR="00334121">
        <w:rPr>
          <w:i/>
          <w:szCs w:val="22"/>
        </w:rPr>
        <w:t>ACA International v. FCC</w:t>
      </w:r>
      <w:r w:rsidR="00334121">
        <w:rPr>
          <w:szCs w:val="22"/>
        </w:rPr>
        <w:t>.</w:t>
      </w:r>
      <w:r>
        <w:rPr>
          <w:rStyle w:val="FootnoteReference"/>
          <w:szCs w:val="22"/>
        </w:rPr>
        <w:footnoteReference w:id="5"/>
      </w:r>
      <w:r w:rsidR="00334121">
        <w:rPr>
          <w:szCs w:val="22"/>
        </w:rPr>
        <w:t xml:space="preserve">  </w:t>
      </w:r>
    </w:p>
    <w:p w:rsidR="00E95C65" w:rsidP="004833A2">
      <w:pPr>
        <w:spacing w:after="120"/>
        <w:ind w:firstLine="720"/>
        <w:rPr>
          <w:szCs w:val="22"/>
        </w:rPr>
      </w:pPr>
      <w:r>
        <w:rPr>
          <w:szCs w:val="22"/>
        </w:rPr>
        <w:t>Specifically, w</w:t>
      </w:r>
      <w:r w:rsidR="00A32BA5">
        <w:rPr>
          <w:szCs w:val="22"/>
        </w:rPr>
        <w:t>e seek further comment on what constitutes an “automatic telephone dialing system.”</w:t>
      </w:r>
      <w:r>
        <w:rPr>
          <w:rStyle w:val="FootnoteReference"/>
          <w:szCs w:val="22"/>
        </w:rPr>
        <w:footnoteReference w:id="6"/>
      </w:r>
      <w:r w:rsidR="00A32BA5">
        <w:rPr>
          <w:szCs w:val="22"/>
        </w:rPr>
        <w:t xml:space="preserve">  </w:t>
      </w:r>
      <w:r w:rsidR="00114038">
        <w:rPr>
          <w:szCs w:val="22"/>
        </w:rPr>
        <w:t xml:space="preserve">The </w:t>
      </w:r>
      <w:r w:rsidRPr="006B092E" w:rsidR="00334121">
        <w:rPr>
          <w:szCs w:val="22"/>
        </w:rPr>
        <w:t>TCPA</w:t>
      </w:r>
      <w:r w:rsidR="00334121">
        <w:rPr>
          <w:szCs w:val="22"/>
        </w:rPr>
        <w:t xml:space="preserve"> </w:t>
      </w:r>
      <w:r w:rsidR="00114038">
        <w:rPr>
          <w:szCs w:val="22"/>
        </w:rPr>
        <w:t xml:space="preserve">defines an automatic telephone dialing system </w:t>
      </w:r>
      <w:r w:rsidRPr="006B092E" w:rsidR="00114038">
        <w:rPr>
          <w:szCs w:val="22"/>
        </w:rPr>
        <w:t xml:space="preserve">as “equipment which has the </w:t>
      </w:r>
      <w:r w:rsidRPr="003829F0" w:rsidR="00114038">
        <w:rPr>
          <w:szCs w:val="22"/>
        </w:rPr>
        <w:t>capacity</w:t>
      </w:r>
      <w:r w:rsidRPr="006B092E" w:rsidR="00114038">
        <w:rPr>
          <w:szCs w:val="22"/>
        </w:rPr>
        <w:t>—(A) to store or produce telephone numbers to be called</w:t>
      </w:r>
      <w:r w:rsidRPr="0067422B" w:rsidR="00114038">
        <w:rPr>
          <w:szCs w:val="22"/>
        </w:rPr>
        <w:t>,</w:t>
      </w:r>
      <w:r w:rsidRPr="003829F0" w:rsidR="00114038">
        <w:rPr>
          <w:i/>
          <w:szCs w:val="22"/>
        </w:rPr>
        <w:t xml:space="preserve"> using a random or sequential number generator</w:t>
      </w:r>
      <w:r w:rsidRPr="006B092E" w:rsidR="00114038">
        <w:rPr>
          <w:szCs w:val="22"/>
        </w:rPr>
        <w:t>; and (B) to dial such numbers.”</w:t>
      </w:r>
      <w:r>
        <w:rPr>
          <w:rStyle w:val="FootnoteReference"/>
          <w:szCs w:val="22"/>
        </w:rPr>
        <w:footnoteReference w:id="7"/>
      </w:r>
      <w:r w:rsidRPr="006B092E" w:rsidR="00114038">
        <w:rPr>
          <w:szCs w:val="22"/>
        </w:rPr>
        <w:t xml:space="preserve">  </w:t>
      </w:r>
      <w:r w:rsidR="00114038">
        <w:rPr>
          <w:szCs w:val="22"/>
        </w:rPr>
        <w:t xml:space="preserve">The </w:t>
      </w:r>
      <w:r w:rsidR="00114038">
        <w:rPr>
          <w:i/>
          <w:szCs w:val="22"/>
        </w:rPr>
        <w:t>Marks</w:t>
      </w:r>
      <w:r w:rsidR="00114038">
        <w:rPr>
          <w:szCs w:val="22"/>
        </w:rPr>
        <w:t xml:space="preserve"> </w:t>
      </w:r>
      <w:r w:rsidR="007A650F">
        <w:rPr>
          <w:szCs w:val="22"/>
        </w:rPr>
        <w:t xml:space="preserve">court </w:t>
      </w:r>
      <w:r>
        <w:rPr>
          <w:szCs w:val="22"/>
        </w:rPr>
        <w:t xml:space="preserve">declared </w:t>
      </w:r>
      <w:r w:rsidR="00A95146">
        <w:rPr>
          <w:szCs w:val="22"/>
        </w:rPr>
        <w:t>“the statutory language ambiguous on its face”</w:t>
      </w:r>
      <w:r w:rsidR="00A37104">
        <w:rPr>
          <w:szCs w:val="22"/>
        </w:rPr>
        <w:t xml:space="preserve"> as to </w:t>
      </w:r>
      <w:r>
        <w:rPr>
          <w:szCs w:val="22"/>
        </w:rPr>
        <w:t xml:space="preserve">the question of </w:t>
      </w:r>
      <w:r w:rsidR="00A37104">
        <w:rPr>
          <w:szCs w:val="22"/>
        </w:rPr>
        <w:t xml:space="preserve">whether the phrase “using a random or sequential number generator” </w:t>
      </w:r>
      <w:r w:rsidR="00A37104">
        <w:rPr>
          <w:szCs w:val="22"/>
        </w:rPr>
        <w:t>modifies both “store” and “produce.”</w:t>
      </w:r>
      <w:r>
        <w:rPr>
          <w:rStyle w:val="FootnoteReference"/>
          <w:szCs w:val="22"/>
        </w:rPr>
        <w:footnoteReference w:id="8"/>
      </w:r>
      <w:r w:rsidR="0005208B">
        <w:rPr>
          <w:szCs w:val="22"/>
        </w:rPr>
        <w:t xml:space="preserve">  </w:t>
      </w:r>
      <w:r w:rsidR="00A37104">
        <w:rPr>
          <w:szCs w:val="22"/>
        </w:rPr>
        <w:t xml:space="preserve">The </w:t>
      </w:r>
      <w:r w:rsidRPr="00A37104" w:rsidR="00A37104">
        <w:rPr>
          <w:i/>
          <w:szCs w:val="22"/>
        </w:rPr>
        <w:t>Marks</w:t>
      </w:r>
      <w:r w:rsidR="00A37104">
        <w:rPr>
          <w:szCs w:val="22"/>
        </w:rPr>
        <w:t xml:space="preserve"> court then </w:t>
      </w:r>
      <w:r w:rsidR="004D23BD">
        <w:rPr>
          <w:szCs w:val="22"/>
        </w:rPr>
        <w:t xml:space="preserve">read </w:t>
      </w:r>
      <w:r w:rsidR="00993976">
        <w:rPr>
          <w:szCs w:val="22"/>
        </w:rPr>
        <w:t>the phrase “using a random or sequential number</w:t>
      </w:r>
      <w:r w:rsidR="005B390D">
        <w:rPr>
          <w:szCs w:val="22"/>
        </w:rPr>
        <w:t xml:space="preserve"> generator</w:t>
      </w:r>
      <w:r w:rsidR="00993976">
        <w:rPr>
          <w:szCs w:val="22"/>
        </w:rPr>
        <w:t xml:space="preserve">” not </w:t>
      </w:r>
      <w:r w:rsidR="00A37104">
        <w:rPr>
          <w:szCs w:val="22"/>
        </w:rPr>
        <w:t xml:space="preserve">to </w:t>
      </w:r>
      <w:r w:rsidR="00993976">
        <w:rPr>
          <w:szCs w:val="22"/>
        </w:rPr>
        <w:t>apply to equipment that has the capacity “to store numbers to be called</w:t>
      </w:r>
      <w:r w:rsidR="00626C8B">
        <w:rPr>
          <w:szCs w:val="22"/>
        </w:rPr>
        <w:t>.</w:t>
      </w:r>
      <w:r w:rsidR="00993976">
        <w:rPr>
          <w:szCs w:val="22"/>
        </w:rPr>
        <w:t>”</w:t>
      </w:r>
      <w:r>
        <w:rPr>
          <w:rStyle w:val="FootnoteReference"/>
          <w:szCs w:val="22"/>
        </w:rPr>
        <w:footnoteReference w:id="9"/>
      </w:r>
      <w:r w:rsidR="00993976">
        <w:rPr>
          <w:szCs w:val="22"/>
        </w:rPr>
        <w:t xml:space="preserve">  </w:t>
      </w:r>
      <w:r w:rsidR="00626C8B">
        <w:rPr>
          <w:szCs w:val="22"/>
        </w:rPr>
        <w:t>In other words, th</w:t>
      </w:r>
      <w:r w:rsidR="008A4AF3">
        <w:rPr>
          <w:szCs w:val="22"/>
        </w:rPr>
        <w:t xml:space="preserve">e court </w:t>
      </w:r>
      <w:r w:rsidR="00860E62">
        <w:rPr>
          <w:szCs w:val="22"/>
        </w:rPr>
        <w:t xml:space="preserve">interpreted </w:t>
      </w:r>
      <w:r w:rsidR="00626C8B">
        <w:rPr>
          <w:szCs w:val="22"/>
        </w:rPr>
        <w:t>the</w:t>
      </w:r>
      <w:r w:rsidR="00CE1578">
        <w:rPr>
          <w:szCs w:val="22"/>
        </w:rPr>
        <w:t xml:space="preserve"> statutory</w:t>
      </w:r>
      <w:r w:rsidR="00626C8B">
        <w:rPr>
          <w:szCs w:val="22"/>
        </w:rPr>
        <w:t xml:space="preserve"> language expansively so that </w:t>
      </w:r>
      <w:r w:rsidR="00A37104">
        <w:rPr>
          <w:szCs w:val="22"/>
        </w:rPr>
        <w:t xml:space="preserve">an “automatic telephone dialing system” is </w:t>
      </w:r>
      <w:r w:rsidR="00626C8B">
        <w:rPr>
          <w:szCs w:val="22"/>
        </w:rPr>
        <w:t>“</w:t>
      </w:r>
      <w:r w:rsidR="008A4AF3">
        <w:rPr>
          <w:szCs w:val="22"/>
        </w:rPr>
        <w:t xml:space="preserve">not limited to devices with the capacity to call numbers produced by a ‘random or sequential number generator,’ but also includes devices with the capacity to </w:t>
      </w:r>
      <w:r w:rsidR="00F517D2">
        <w:rPr>
          <w:szCs w:val="22"/>
        </w:rPr>
        <w:t xml:space="preserve">store numbers and to </w:t>
      </w:r>
      <w:r w:rsidR="008A4AF3">
        <w:rPr>
          <w:szCs w:val="22"/>
        </w:rPr>
        <w:t>dial stored numbers automatically.”</w:t>
      </w:r>
      <w:r>
        <w:rPr>
          <w:rStyle w:val="FootnoteReference"/>
          <w:szCs w:val="22"/>
        </w:rPr>
        <w:footnoteReference w:id="10"/>
      </w:r>
      <w:r w:rsidR="00626C8B">
        <w:rPr>
          <w:szCs w:val="22"/>
        </w:rPr>
        <w:t xml:space="preserve">  </w:t>
      </w:r>
      <w:r w:rsidR="00F83A0B">
        <w:rPr>
          <w:szCs w:val="22"/>
        </w:rPr>
        <w:t xml:space="preserve">The </w:t>
      </w:r>
      <w:r w:rsidRPr="00860E62" w:rsidR="00F83A0B">
        <w:rPr>
          <w:i/>
          <w:szCs w:val="22"/>
        </w:rPr>
        <w:t>ACA</w:t>
      </w:r>
      <w:r w:rsidR="00F83A0B">
        <w:rPr>
          <w:szCs w:val="22"/>
        </w:rPr>
        <w:t xml:space="preserve"> court, however, held that the TCPA unambiguously foreclosed any interpretation that </w:t>
      </w:r>
      <w:r w:rsidRPr="001226F5" w:rsidR="00626C8B">
        <w:rPr>
          <w:szCs w:val="22"/>
        </w:rPr>
        <w:t>“would appear to subject ordinary calls from any conventional smartphone to the Act’s coverage</w:t>
      </w:r>
      <w:r w:rsidR="00F83A0B">
        <w:rPr>
          <w:szCs w:val="22"/>
        </w:rPr>
        <w:t>.</w:t>
      </w:r>
      <w:r w:rsidRPr="001226F5" w:rsidR="00626C8B">
        <w:rPr>
          <w:szCs w:val="22"/>
        </w:rPr>
        <w:t>”</w:t>
      </w:r>
      <w:r>
        <w:rPr>
          <w:rStyle w:val="FootnoteReference"/>
          <w:szCs w:val="22"/>
        </w:rPr>
        <w:footnoteReference w:id="11"/>
      </w:r>
      <w:r w:rsidRPr="001226F5" w:rsidR="00626C8B">
        <w:rPr>
          <w:szCs w:val="22"/>
        </w:rPr>
        <w:t xml:space="preserve">  </w:t>
      </w:r>
    </w:p>
    <w:p w:rsidR="00274A6B">
      <w:pPr>
        <w:spacing w:after="120"/>
        <w:ind w:firstLine="720"/>
        <w:rPr>
          <w:szCs w:val="22"/>
        </w:rPr>
      </w:pPr>
      <w:r>
        <w:rPr>
          <w:szCs w:val="22"/>
        </w:rPr>
        <w:t xml:space="preserve">We seek </w:t>
      </w:r>
      <w:r w:rsidRPr="00080768" w:rsidR="00520B81">
        <w:rPr>
          <w:szCs w:val="22"/>
        </w:rPr>
        <w:t>further</w:t>
      </w:r>
      <w:r w:rsidR="00520B81">
        <w:rPr>
          <w:szCs w:val="22"/>
        </w:rPr>
        <w:t xml:space="preserve"> </w:t>
      </w:r>
      <w:r>
        <w:rPr>
          <w:szCs w:val="22"/>
        </w:rPr>
        <w:t xml:space="preserve">comment on how to </w:t>
      </w:r>
      <w:r w:rsidR="005B390D">
        <w:rPr>
          <w:szCs w:val="22"/>
        </w:rPr>
        <w:t>interpret</w:t>
      </w:r>
      <w:r>
        <w:rPr>
          <w:szCs w:val="22"/>
        </w:rPr>
        <w:t xml:space="preserve"> and apply</w:t>
      </w:r>
      <w:r w:rsidR="00294394">
        <w:rPr>
          <w:szCs w:val="22"/>
        </w:rPr>
        <w:t xml:space="preserve"> the statutory definition of automatic telephone dialing system, including</w:t>
      </w:r>
      <w:r w:rsidRPr="00626C8B">
        <w:rPr>
          <w:szCs w:val="22"/>
        </w:rPr>
        <w:t xml:space="preserve"> </w:t>
      </w:r>
      <w:r>
        <w:rPr>
          <w:szCs w:val="22"/>
        </w:rPr>
        <w:t>the phrase “using a random or sequential number</w:t>
      </w:r>
      <w:r w:rsidR="005B390D">
        <w:rPr>
          <w:szCs w:val="22"/>
        </w:rPr>
        <w:t xml:space="preserve"> generator</w:t>
      </w:r>
      <w:r w:rsidR="00294394">
        <w:rPr>
          <w:szCs w:val="22"/>
        </w:rPr>
        <w:t>,</w:t>
      </w:r>
      <w:r>
        <w:rPr>
          <w:szCs w:val="22"/>
        </w:rPr>
        <w:t xml:space="preserve">” </w:t>
      </w:r>
      <w:r>
        <w:rPr>
          <w:szCs w:val="22"/>
        </w:rPr>
        <w:t>in light of</w:t>
      </w:r>
      <w:r>
        <w:rPr>
          <w:szCs w:val="22"/>
        </w:rPr>
        <w:t xml:space="preserve"> </w:t>
      </w:r>
      <w:r w:rsidR="00080768">
        <w:rPr>
          <w:szCs w:val="22"/>
        </w:rPr>
        <w:t>the</w:t>
      </w:r>
      <w:r w:rsidRPr="00080768" w:rsidR="00520B81">
        <w:rPr>
          <w:szCs w:val="22"/>
        </w:rPr>
        <w:t xml:space="preserve"> recent </w:t>
      </w:r>
      <w:r w:rsidR="00080768">
        <w:rPr>
          <w:szCs w:val="22"/>
        </w:rPr>
        <w:t xml:space="preserve">decision in </w:t>
      </w:r>
      <w:r w:rsidRPr="00080768" w:rsidR="00080768">
        <w:rPr>
          <w:i/>
          <w:szCs w:val="22"/>
        </w:rPr>
        <w:t>Marks</w:t>
      </w:r>
      <w:r w:rsidR="00080768">
        <w:rPr>
          <w:szCs w:val="22"/>
        </w:rPr>
        <w:t xml:space="preserve">, as well as how that decision might bear on the analysis set forth in </w:t>
      </w:r>
      <w:r w:rsidRPr="00080768" w:rsidR="00080768">
        <w:rPr>
          <w:i/>
          <w:szCs w:val="22"/>
        </w:rPr>
        <w:t>ACA International</w:t>
      </w:r>
      <w:r w:rsidR="005B390D">
        <w:rPr>
          <w:szCs w:val="22"/>
        </w:rPr>
        <w:t>.</w:t>
      </w:r>
      <w:r>
        <w:rPr>
          <w:szCs w:val="22"/>
        </w:rPr>
        <w:t xml:space="preserve">  To the extent </w:t>
      </w:r>
      <w:r w:rsidR="00F83A0B">
        <w:rPr>
          <w:szCs w:val="22"/>
        </w:rPr>
        <w:t xml:space="preserve">the statutory definition is ambiguous, </w:t>
      </w:r>
      <w:r>
        <w:rPr>
          <w:szCs w:val="22"/>
        </w:rPr>
        <w:t xml:space="preserve">how should </w:t>
      </w:r>
      <w:r w:rsidR="00860E62">
        <w:rPr>
          <w:szCs w:val="22"/>
        </w:rPr>
        <w:t xml:space="preserve">the Commission </w:t>
      </w:r>
      <w:r>
        <w:rPr>
          <w:szCs w:val="22"/>
        </w:rPr>
        <w:t xml:space="preserve">exercise </w:t>
      </w:r>
      <w:r w:rsidR="00F83A0B">
        <w:rPr>
          <w:szCs w:val="22"/>
        </w:rPr>
        <w:t xml:space="preserve">its </w:t>
      </w:r>
      <w:r>
        <w:rPr>
          <w:szCs w:val="22"/>
        </w:rPr>
        <w:t xml:space="preserve">discretion </w:t>
      </w:r>
      <w:r w:rsidR="00F83A0B">
        <w:rPr>
          <w:szCs w:val="22"/>
        </w:rPr>
        <w:t xml:space="preserve">to interpret such ambiguities </w:t>
      </w:r>
      <w:r>
        <w:rPr>
          <w:szCs w:val="22"/>
        </w:rPr>
        <w:t>here?</w:t>
      </w:r>
      <w:r>
        <w:rPr>
          <w:rStyle w:val="FootnoteReference"/>
          <w:szCs w:val="22"/>
        </w:rPr>
        <w:footnoteReference w:id="12"/>
      </w:r>
      <w:r>
        <w:rPr>
          <w:szCs w:val="22"/>
        </w:rPr>
        <w:t xml:space="preserve">  Does the interpretation of the </w:t>
      </w:r>
      <w:r>
        <w:rPr>
          <w:i/>
          <w:szCs w:val="22"/>
        </w:rPr>
        <w:t>Marks</w:t>
      </w:r>
      <w:r>
        <w:rPr>
          <w:szCs w:val="22"/>
        </w:rPr>
        <w:t xml:space="preserve"> court mean that any device with the capacity to dial stored numbers automatically is an automatic telephone dialing system?  What devices have the capacity to store numbers?  Do smartphones have such capacity?  What devices that can store number</w:t>
      </w:r>
      <w:r w:rsidR="0054306F">
        <w:rPr>
          <w:szCs w:val="22"/>
        </w:rPr>
        <w:t>s</w:t>
      </w:r>
      <w:r>
        <w:rPr>
          <w:szCs w:val="22"/>
        </w:rPr>
        <w:t xml:space="preserve"> also have the capacity to automatically dial such numbers?  Do smartphones have such capacity?  In short, how should the Commission </w:t>
      </w:r>
      <w:r w:rsidRPr="00080768" w:rsidR="00520B81">
        <w:rPr>
          <w:szCs w:val="22"/>
        </w:rPr>
        <w:t>address</w:t>
      </w:r>
      <w:r w:rsidR="00520B81">
        <w:rPr>
          <w:szCs w:val="22"/>
        </w:rPr>
        <w:t xml:space="preserve"> </w:t>
      </w:r>
      <w:r>
        <w:rPr>
          <w:szCs w:val="22"/>
        </w:rPr>
        <w:t xml:space="preserve">these two court holdings? </w:t>
      </w:r>
      <w:r w:rsidR="008A4AF3">
        <w:rPr>
          <w:szCs w:val="22"/>
        </w:rPr>
        <w:t xml:space="preserve"> </w:t>
      </w:r>
      <w:r w:rsidR="00334121">
        <w:rPr>
          <w:szCs w:val="22"/>
        </w:rPr>
        <w:t xml:space="preserve">We also seek comment on any other issues addressed in the </w:t>
      </w:r>
      <w:r w:rsidR="00334121">
        <w:rPr>
          <w:i/>
          <w:szCs w:val="22"/>
        </w:rPr>
        <w:t xml:space="preserve">Marks </w:t>
      </w:r>
      <w:r w:rsidR="00334121">
        <w:rPr>
          <w:szCs w:val="22"/>
        </w:rPr>
        <w:t xml:space="preserve">decision that the Commission should consider in interpreting the definition of </w:t>
      </w:r>
      <w:r>
        <w:rPr>
          <w:szCs w:val="22"/>
        </w:rPr>
        <w:t xml:space="preserve">an </w:t>
      </w:r>
      <w:r w:rsidR="00334121">
        <w:rPr>
          <w:szCs w:val="22"/>
        </w:rPr>
        <w:t>“automatic telephone dialing system.”</w:t>
      </w:r>
    </w:p>
    <w:p w:rsidR="00D537EF" w:rsidRPr="006B092E" w:rsidP="008A4AF3">
      <w:pPr>
        <w:spacing w:after="120"/>
        <w:ind w:firstLine="720"/>
        <w:rPr>
          <w:szCs w:val="22"/>
        </w:rPr>
      </w:pPr>
      <w:r w:rsidRPr="006B092E">
        <w:rPr>
          <w:szCs w:val="22"/>
        </w:rPr>
        <w:t>Pursuant to section</w:t>
      </w:r>
      <w:r w:rsidRPr="006B092E" w:rsidR="00B3599D">
        <w:rPr>
          <w:szCs w:val="22"/>
        </w:rPr>
        <w:t>s</w:t>
      </w:r>
      <w:r w:rsidRPr="006B092E">
        <w:rPr>
          <w:szCs w:val="22"/>
        </w:rPr>
        <w:t xml:space="preserve"> 1.2 </w:t>
      </w:r>
      <w:r w:rsidRPr="006B092E" w:rsidR="00434BF0">
        <w:rPr>
          <w:szCs w:val="22"/>
        </w:rPr>
        <w:t xml:space="preserve">and 1.429 </w:t>
      </w:r>
      <w:r w:rsidRPr="006B092E">
        <w:rPr>
          <w:szCs w:val="22"/>
        </w:rPr>
        <w:t>of the Commission’s rules,</w:t>
      </w:r>
      <w:r>
        <w:rPr>
          <w:rStyle w:val="FootnoteReference"/>
          <w:szCs w:val="22"/>
        </w:rPr>
        <w:footnoteReference w:id="13"/>
      </w:r>
      <w:r w:rsidRPr="006B092E">
        <w:rPr>
          <w:szCs w:val="22"/>
        </w:rPr>
        <w:t xml:space="preserve"> interested parties may file comments and reply comments on or before the dates indicated on the first page of this document.  Comments may be filed using the Commission’s Electronic Comment Filing System (ECFS).  </w:t>
      </w:r>
      <w:r w:rsidRPr="006B092E">
        <w:rPr>
          <w:i/>
          <w:szCs w:val="22"/>
        </w:rPr>
        <w:t>See Electronic Filing of Documents in Rulemaking Proceedings</w:t>
      </w:r>
      <w:r w:rsidRPr="006B092E">
        <w:rPr>
          <w:szCs w:val="22"/>
        </w:rPr>
        <w:t>, 63 FR 24121 (1998).</w:t>
      </w:r>
    </w:p>
    <w:p w:rsidR="00D537EF" w:rsidRPr="006B092E" w:rsidP="004833A2">
      <w:pPr>
        <w:widowControl/>
        <w:numPr>
          <w:ilvl w:val="0"/>
          <w:numId w:val="1"/>
        </w:numPr>
        <w:spacing w:after="120"/>
        <w:rPr>
          <w:szCs w:val="22"/>
        </w:rPr>
      </w:pPr>
      <w:r w:rsidRPr="006B092E">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sidRPr="006B092E">
        <w:rPr>
          <w:rStyle w:val="Hyperlink"/>
          <w:szCs w:val="22"/>
        </w:rPr>
        <w:t>http://www.fcc.gov/ecfs/</w:t>
      </w:r>
      <w:r>
        <w:fldChar w:fldCharType="end"/>
      </w:r>
      <w:r w:rsidRPr="006B092E">
        <w:rPr>
          <w:szCs w:val="22"/>
        </w:rPr>
        <w:t xml:space="preserve">.  </w:t>
      </w:r>
    </w:p>
    <w:p w:rsidR="00D537EF" w:rsidRPr="006B092E" w:rsidP="004833A2">
      <w:pPr>
        <w:widowControl/>
        <w:numPr>
          <w:ilvl w:val="0"/>
          <w:numId w:val="2"/>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rsidRPr="006B092E" w:rsidP="004833A2">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rsidRPr="006B092E" w:rsidP="004833A2">
      <w:pPr>
        <w:widowControl/>
        <w:numPr>
          <w:ilvl w:val="0"/>
          <w:numId w:val="3"/>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Washington, DC 20554.  The filing hours are 8:00 a.m. to 7:00 p.m.  All hand deliveries </w:t>
      </w:r>
      <w:r w:rsidRPr="006B092E">
        <w:rPr>
          <w:szCs w:val="22"/>
        </w:rPr>
        <w:t xml:space="preserve">must be held together with rubber bands or fasteners.  Any envelopes and boxes must be disposed of </w:t>
      </w:r>
      <w:r w:rsidRPr="006B092E">
        <w:rPr>
          <w:szCs w:val="22"/>
          <w:u w:val="single"/>
        </w:rPr>
        <w:t>before</w:t>
      </w:r>
      <w:r w:rsidRPr="006B092E">
        <w:rPr>
          <w:szCs w:val="22"/>
        </w:rPr>
        <w:t xml:space="preserve"> entering the building.  </w:t>
      </w:r>
    </w:p>
    <w:p w:rsidR="00D537EF" w:rsidRPr="006B092E" w:rsidP="004833A2">
      <w:pPr>
        <w:widowControl/>
        <w:numPr>
          <w:ilvl w:val="0"/>
          <w:numId w:val="3"/>
        </w:numPr>
        <w:spacing w:after="120"/>
        <w:rPr>
          <w:szCs w:val="22"/>
        </w:rPr>
      </w:pPr>
      <w:r w:rsidRPr="006B092E">
        <w:rPr>
          <w:szCs w:val="22"/>
        </w:rPr>
        <w:t>Commercial overnight mail (other than U.S. Postal Service Express Mail and Priority Mail) must be sent to 9050 Junction Drive, Annapolis Junction, MD 20701.</w:t>
      </w:r>
    </w:p>
    <w:p w:rsidR="00D537EF" w:rsidRPr="006B092E" w:rsidP="004833A2">
      <w:pPr>
        <w:widowControl/>
        <w:numPr>
          <w:ilvl w:val="0"/>
          <w:numId w:val="3"/>
        </w:numPr>
        <w:spacing w:after="120"/>
        <w:rPr>
          <w:szCs w:val="22"/>
        </w:rPr>
      </w:pPr>
      <w:r w:rsidRPr="006B092E">
        <w:rPr>
          <w:szCs w:val="22"/>
        </w:rPr>
        <w:t>U.S. Postal Service first-class, Express, and Priority mail must be addressed to 445 12</w:t>
      </w:r>
      <w:r w:rsidRPr="006B092E">
        <w:rPr>
          <w:szCs w:val="22"/>
          <w:vertAlign w:val="superscript"/>
        </w:rPr>
        <w:t>th</w:t>
      </w:r>
      <w:r w:rsidRPr="006B092E">
        <w:rPr>
          <w:szCs w:val="22"/>
        </w:rPr>
        <w:t xml:space="preserve"> Street, SW, Washington, DC 20554.</w:t>
      </w:r>
    </w:p>
    <w:p w:rsidR="00D537EF" w:rsidRPr="006B092E" w:rsidP="004833A2">
      <w:pPr>
        <w:spacing w:after="120"/>
        <w:rPr>
          <w:szCs w:val="22"/>
        </w:rPr>
      </w:pPr>
      <w:r w:rsidRPr="006B092E">
        <w:rPr>
          <w:szCs w:val="22"/>
        </w:rPr>
        <w:t>People with Disabilities:  To request materials in accessible formats for people with disabilities (</w:t>
      </w:r>
      <w:r w:rsidRPr="006B092E" w:rsidR="00814582">
        <w:rPr>
          <w:szCs w:val="22"/>
        </w:rPr>
        <w:t>B</w:t>
      </w:r>
      <w:r w:rsidRPr="006B092E">
        <w:rPr>
          <w:szCs w:val="22"/>
        </w:rPr>
        <w:t xml:space="preserve">raille, large print, electronic files, audio format), send an e-mail to </w:t>
      </w:r>
      <w:r>
        <w:fldChar w:fldCharType="begin"/>
      </w:r>
      <w:r>
        <w:instrText xml:space="preserve"> HYPERLINK "mailto:fcc504@fcc.gov" </w:instrText>
      </w:r>
      <w:r>
        <w:fldChar w:fldCharType="separate"/>
      </w:r>
      <w:r w:rsidRPr="006B092E">
        <w:rPr>
          <w:color w:val="0000FF"/>
          <w:szCs w:val="22"/>
          <w:u w:val="single"/>
        </w:rPr>
        <w:t>fcc504@fcc.gov</w:t>
      </w:r>
      <w:r>
        <w:fldChar w:fldCharType="end"/>
      </w:r>
      <w:r w:rsidRPr="006B092E">
        <w:rPr>
          <w:szCs w:val="22"/>
        </w:rPr>
        <w:t xml:space="preserve"> or call the Consumer &amp; Governmental Affairs Bureau at 202-418-0530 (voice), 202-418-0432 (</w:t>
      </w:r>
      <w:r w:rsidRPr="006B092E">
        <w:rPr>
          <w:szCs w:val="22"/>
        </w:rPr>
        <w:t>tty</w:t>
      </w:r>
      <w:r w:rsidRPr="006B092E">
        <w:rPr>
          <w:szCs w:val="22"/>
        </w:rPr>
        <w:t>).</w:t>
      </w:r>
    </w:p>
    <w:p w:rsidR="00D537EF" w:rsidRPr="006B092E" w:rsidP="004833A2">
      <w:pPr>
        <w:widowControl/>
        <w:autoSpaceDE w:val="0"/>
        <w:autoSpaceDN w:val="0"/>
        <w:adjustRightInd w:val="0"/>
        <w:spacing w:after="120"/>
        <w:ind w:firstLine="720"/>
        <w:rPr>
          <w:snapToGrid/>
          <w:kern w:val="0"/>
          <w:szCs w:val="22"/>
        </w:rPr>
      </w:pPr>
      <w:r w:rsidRPr="006B092E">
        <w:rPr>
          <w:i/>
          <w:iCs/>
          <w:snapToGrid/>
          <w:kern w:val="0"/>
          <w:szCs w:val="22"/>
        </w:rPr>
        <w:t>Ex Parte Rules</w:t>
      </w:r>
      <w:r w:rsidRPr="006B092E">
        <w:rPr>
          <w:snapToGrid/>
          <w:kern w:val="0"/>
          <w:szCs w:val="22"/>
        </w:rPr>
        <w:t xml:space="preserve">.  This proceeding </w:t>
      </w:r>
      <w:r w:rsidR="00080768">
        <w:rPr>
          <w:snapToGrid/>
          <w:kern w:val="0"/>
          <w:szCs w:val="22"/>
        </w:rPr>
        <w:t>has been designated</w:t>
      </w:r>
      <w:r w:rsidRPr="006B092E">
        <w:rPr>
          <w:snapToGrid/>
          <w:kern w:val="0"/>
          <w:szCs w:val="22"/>
        </w:rPr>
        <w:t xml:space="preserve"> as a “permit-but-disclose” proceeding in accordance with the Commission’s </w:t>
      </w:r>
      <w:r w:rsidRPr="006B092E">
        <w:rPr>
          <w:i/>
          <w:iCs/>
          <w:snapToGrid/>
          <w:kern w:val="0"/>
          <w:szCs w:val="22"/>
        </w:rPr>
        <w:t xml:space="preserve">ex parte </w:t>
      </w:r>
      <w:r w:rsidRPr="006B092E">
        <w:rPr>
          <w:snapToGrid/>
          <w:kern w:val="0"/>
          <w:szCs w:val="22"/>
        </w:rPr>
        <w:t>rules.</w:t>
      </w:r>
      <w:r>
        <w:rPr>
          <w:snapToGrid/>
          <w:kern w:val="0"/>
          <w:szCs w:val="22"/>
          <w:vertAlign w:val="superscript"/>
        </w:rPr>
        <w:footnoteReference w:id="14"/>
      </w:r>
      <w:r w:rsidRPr="006B092E">
        <w:rPr>
          <w:snapToGrid/>
          <w:kern w:val="0"/>
          <w:szCs w:val="22"/>
        </w:rPr>
        <w:t xml:space="preserve">  Persons making </w:t>
      </w:r>
      <w:r w:rsidRPr="006B092E">
        <w:rPr>
          <w:i/>
          <w:iCs/>
          <w:snapToGrid/>
          <w:kern w:val="0"/>
          <w:szCs w:val="22"/>
        </w:rPr>
        <w:t xml:space="preserve">ex parte </w:t>
      </w:r>
      <w:r w:rsidRPr="006B092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092E">
        <w:rPr>
          <w:i/>
          <w:iCs/>
          <w:snapToGrid/>
          <w:kern w:val="0"/>
          <w:szCs w:val="22"/>
        </w:rPr>
        <w:t xml:space="preserve">ex parte </w:t>
      </w:r>
      <w:r w:rsidRPr="006B092E">
        <w:rPr>
          <w:snapToGrid/>
          <w:kern w:val="0"/>
          <w:szCs w:val="22"/>
        </w:rPr>
        <w:t xml:space="preserve">presentations are reminded that memoranda summarizing the presentation must: (1) list all persons attending or otherwise participating in the meeting at which the </w:t>
      </w:r>
      <w:r w:rsidRPr="006B092E">
        <w:rPr>
          <w:i/>
          <w:iCs/>
          <w:snapToGrid/>
          <w:kern w:val="0"/>
          <w:szCs w:val="22"/>
        </w:rPr>
        <w:t xml:space="preserve">ex parte </w:t>
      </w:r>
      <w:r w:rsidRPr="006B092E">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napToGrid/>
          <w:kern w:val="0"/>
          <w:szCs w:val="22"/>
        </w:rPr>
        <w:t xml:space="preserve">ex parte </w:t>
      </w:r>
      <w:r w:rsidRPr="006B092E">
        <w:rPr>
          <w:snapToGrid/>
          <w:kern w:val="0"/>
          <w:szCs w:val="22"/>
        </w:rPr>
        <w:t xml:space="preserve">meetings are deemed to be written </w:t>
      </w:r>
      <w:r w:rsidRPr="006B092E">
        <w:rPr>
          <w:i/>
          <w:iCs/>
          <w:snapToGrid/>
          <w:kern w:val="0"/>
          <w:szCs w:val="22"/>
        </w:rPr>
        <w:t xml:space="preserve">ex parte </w:t>
      </w:r>
      <w:r w:rsidRPr="006B092E">
        <w:rPr>
          <w:snapToGrid/>
          <w:kern w:val="0"/>
          <w:szCs w:val="22"/>
        </w:rPr>
        <w:t>presentations and must be filed consistent with section 1.1206(b) of the Commission’s rules.</w:t>
      </w:r>
      <w:r>
        <w:rPr>
          <w:snapToGrid/>
          <w:kern w:val="0"/>
          <w:szCs w:val="22"/>
          <w:vertAlign w:val="superscript"/>
        </w:rPr>
        <w:footnoteReference w:id="15"/>
      </w:r>
      <w:r w:rsidRPr="006B092E">
        <w:rPr>
          <w:snapToGrid/>
          <w:kern w:val="0"/>
          <w:szCs w:val="22"/>
        </w:rPr>
        <w:t xml:space="preserve">  In proceedings governed by section 1.49(f) of the rules or for which the Commission has made available a method of electronic filing, written </w:t>
      </w:r>
      <w:r w:rsidRPr="006B092E">
        <w:rPr>
          <w:i/>
          <w:iCs/>
          <w:snapToGrid/>
          <w:kern w:val="0"/>
          <w:szCs w:val="22"/>
        </w:rPr>
        <w:t xml:space="preserve">ex parte </w:t>
      </w:r>
      <w:r w:rsidRPr="006B092E">
        <w:rPr>
          <w:snapToGrid/>
          <w:kern w:val="0"/>
          <w:szCs w:val="22"/>
        </w:rPr>
        <w:t xml:space="preserve">presentations and memoranda summarizing oral </w:t>
      </w:r>
      <w:r w:rsidRPr="006B092E">
        <w:rPr>
          <w:i/>
          <w:iCs/>
          <w:snapToGrid/>
          <w:kern w:val="0"/>
          <w:szCs w:val="22"/>
        </w:rPr>
        <w:t xml:space="preserve">ex parte </w:t>
      </w:r>
      <w:r w:rsidRPr="006B092E">
        <w:rPr>
          <w:snapToGrid/>
          <w:kern w:val="0"/>
          <w:szCs w:val="22"/>
        </w:rPr>
        <w:t>presentations, and all attachments thereto, must be filed through the electronic comment filing system available for that proceeding, and must be filed in their native format (</w:t>
      </w:r>
      <w:r w:rsidRPr="006B092E">
        <w:rPr>
          <w:i/>
          <w:iCs/>
          <w:snapToGrid/>
          <w:kern w:val="0"/>
          <w:szCs w:val="22"/>
        </w:rPr>
        <w:t>e.g.</w:t>
      </w:r>
      <w:r w:rsidRPr="006B092E">
        <w:rPr>
          <w:snapToGrid/>
          <w:kern w:val="0"/>
          <w:szCs w:val="22"/>
        </w:rPr>
        <w:t>, .doc, .xml, .ppt, searchable .pdf).</w:t>
      </w:r>
      <w:r>
        <w:rPr>
          <w:snapToGrid/>
          <w:kern w:val="0"/>
          <w:szCs w:val="22"/>
          <w:vertAlign w:val="superscript"/>
        </w:rPr>
        <w:footnoteReference w:id="16"/>
      </w:r>
      <w:r w:rsidRPr="006B092E">
        <w:rPr>
          <w:snapToGrid/>
          <w:kern w:val="0"/>
          <w:szCs w:val="22"/>
        </w:rPr>
        <w:t xml:space="preserve">  Participants in this proceeding should familiarize themselves with the Commission’s </w:t>
      </w:r>
      <w:r w:rsidRPr="006B092E">
        <w:rPr>
          <w:i/>
          <w:iCs/>
          <w:snapToGrid/>
          <w:kern w:val="0"/>
          <w:szCs w:val="22"/>
        </w:rPr>
        <w:t xml:space="preserve">ex parte </w:t>
      </w:r>
      <w:r w:rsidRPr="006B092E">
        <w:rPr>
          <w:snapToGrid/>
          <w:kern w:val="0"/>
          <w:szCs w:val="22"/>
        </w:rPr>
        <w:t>rules.</w:t>
      </w:r>
    </w:p>
    <w:p w:rsidR="00D537EF" w:rsidRPr="006B092E" w:rsidP="004833A2">
      <w:pPr>
        <w:widowControl/>
        <w:spacing w:after="120"/>
        <w:rPr>
          <w:szCs w:val="22"/>
        </w:rPr>
      </w:pPr>
      <w:r w:rsidRPr="006B092E">
        <w:rPr>
          <w:i/>
          <w:szCs w:val="22"/>
        </w:rPr>
        <w:t>Additional Information.</w:t>
      </w:r>
      <w:r w:rsidRPr="006B092E">
        <w:rPr>
          <w:szCs w:val="22"/>
        </w:rPr>
        <w:t xml:space="preserve">  For further information, contact </w:t>
      </w:r>
      <w:r w:rsidRPr="006B092E" w:rsidR="00814582">
        <w:rPr>
          <w:szCs w:val="22"/>
        </w:rPr>
        <w:t>Kristi Thornton</w:t>
      </w:r>
      <w:r w:rsidRPr="006B092E">
        <w:rPr>
          <w:szCs w:val="22"/>
        </w:rPr>
        <w:t xml:space="preserve"> of the Consumer and Governmental Affairs Bureau at (202) 418-</w:t>
      </w:r>
      <w:r w:rsidRPr="006B092E" w:rsidR="00814582">
        <w:rPr>
          <w:szCs w:val="22"/>
        </w:rPr>
        <w:t>2467</w:t>
      </w:r>
      <w:r w:rsidRPr="006B092E">
        <w:rPr>
          <w:szCs w:val="22"/>
        </w:rPr>
        <w:t xml:space="preserve"> or </w:t>
      </w:r>
      <w:r>
        <w:fldChar w:fldCharType="begin"/>
      </w:r>
      <w:r>
        <w:instrText xml:space="preserve"> HYPERLINK "mailto:Kristi.Thornton@fcc.gov" </w:instrText>
      </w:r>
      <w:r>
        <w:fldChar w:fldCharType="separate"/>
      </w:r>
      <w:r w:rsidRPr="0054648E" w:rsidR="009212CF">
        <w:rPr>
          <w:rStyle w:val="Hyperlink"/>
          <w:szCs w:val="22"/>
        </w:rPr>
        <w:t>Kristi.Thornton@fcc.gov</w:t>
      </w:r>
      <w:r>
        <w:fldChar w:fldCharType="end"/>
      </w:r>
      <w:r w:rsidR="009212CF">
        <w:rPr>
          <w:szCs w:val="22"/>
        </w:rPr>
        <w:t>; Christina Clearwater at</w:t>
      </w:r>
      <w:r w:rsidR="00B51813">
        <w:rPr>
          <w:szCs w:val="22"/>
        </w:rPr>
        <w:t xml:space="preserve"> (202) 418-1893 or </w:t>
      </w:r>
      <w:r>
        <w:fldChar w:fldCharType="begin"/>
      </w:r>
      <w:r>
        <w:instrText xml:space="preserve"> HYPERLINK "mailto:Christina.Clearwater@fcc.gov" </w:instrText>
      </w:r>
      <w:r>
        <w:fldChar w:fldCharType="separate"/>
      </w:r>
      <w:r w:rsidRPr="0054648E" w:rsidR="00B51813">
        <w:rPr>
          <w:rStyle w:val="Hyperlink"/>
          <w:szCs w:val="22"/>
        </w:rPr>
        <w:t>Christina.Clearwater@fcc.gov</w:t>
      </w:r>
      <w:r>
        <w:fldChar w:fldCharType="end"/>
      </w:r>
      <w:r w:rsidR="00B51813">
        <w:rPr>
          <w:szCs w:val="22"/>
        </w:rPr>
        <w:t xml:space="preserve">; or Karen Schroeder at (202) 418-0654 or </w:t>
      </w:r>
      <w:r>
        <w:fldChar w:fldCharType="begin"/>
      </w:r>
      <w:r>
        <w:instrText xml:space="preserve"> HYPERLINK "mailto:Karen.Schroeder@fcc.gov" </w:instrText>
      </w:r>
      <w:r>
        <w:fldChar w:fldCharType="separate"/>
      </w:r>
      <w:r w:rsidRPr="007B2A5A" w:rsidR="00AB0181">
        <w:rPr>
          <w:rStyle w:val="Hyperlink"/>
          <w:szCs w:val="22"/>
        </w:rPr>
        <w:t>Karen.Schroeder@fcc.gov</w:t>
      </w:r>
      <w:r>
        <w:fldChar w:fldCharType="end"/>
      </w:r>
      <w:r w:rsidRPr="006B092E">
        <w:rPr>
          <w:szCs w:val="22"/>
        </w:rPr>
        <w:t>.</w:t>
      </w:r>
    </w:p>
    <w:sectPr w:rsidSect="0028008F">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10E">
    <w:pPr>
      <w:pStyle w:val="Footer"/>
      <w:jc w:val="center"/>
    </w:pPr>
    <w:r>
      <w:fldChar w:fldCharType="begin"/>
    </w:r>
    <w:r>
      <w:instrText xml:space="preserve"> PAGE   \* MERGEFORMAT </w:instrText>
    </w:r>
    <w:r>
      <w:fldChar w:fldCharType="separate"/>
    </w:r>
    <w:r w:rsidR="0054306F">
      <w:rPr>
        <w:noProof/>
      </w:rPr>
      <w:t>3</w:t>
    </w:r>
    <w:r>
      <w:rPr>
        <w:noProof/>
      </w:rPr>
      <w:fldChar w:fldCharType="end"/>
    </w:r>
  </w:p>
  <w:p w:rsidR="00CA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396">
      <w:r>
        <w:separator/>
      </w:r>
    </w:p>
  </w:footnote>
  <w:footnote w:type="continuationSeparator" w:id="1">
    <w:p w:rsidR="00452396">
      <w:r>
        <w:continuationSeparator/>
      </w:r>
    </w:p>
  </w:footnote>
  <w:footnote w:type="continuationNotice" w:id="2">
    <w:p w:rsidR="00452396"/>
  </w:footnote>
  <w:footnote w:id="3">
    <w:p w:rsidR="00A32BA5" w:rsidRPr="0040057D" w:rsidP="00A32BA5">
      <w:pPr>
        <w:spacing w:after="120"/>
        <w:rPr>
          <w:snapToGrid/>
          <w:kern w:val="0"/>
          <w:sz w:val="20"/>
        </w:rPr>
      </w:pPr>
      <w:r w:rsidRPr="0040057D">
        <w:rPr>
          <w:rStyle w:val="FootnoteReference"/>
        </w:rPr>
        <w:footnoteRef/>
      </w:r>
      <w:r w:rsidRPr="0040057D">
        <w:rPr>
          <w:sz w:val="20"/>
        </w:rPr>
        <w:t xml:space="preserve"> The TCPA is codified at 47 U.S.C. § 227.  The Commission’s implementing rules are codified at 47 CFR §</w:t>
      </w:r>
      <w:r>
        <w:rPr>
          <w:sz w:val="20"/>
        </w:rPr>
        <w:t> </w:t>
      </w:r>
      <w:r w:rsidRPr="0040057D">
        <w:rPr>
          <w:sz w:val="20"/>
        </w:rPr>
        <w:t>64.1200.</w:t>
      </w:r>
      <w:r w:rsidRPr="0040057D">
        <w:rPr>
          <w:rFonts w:eastAsia="Segoe UI Emoji"/>
          <w:snapToGrid/>
          <w:kern w:val="0"/>
          <w:sz w:val="20"/>
        </w:rPr>
        <w:t xml:space="preserve"> </w:t>
      </w:r>
    </w:p>
  </w:footnote>
  <w:footnote w:id="4">
    <w:p w:rsidR="007563B3" w:rsidRPr="007563B3">
      <w:pPr>
        <w:pStyle w:val="FootnoteText"/>
      </w:pPr>
      <w:r>
        <w:rPr>
          <w:rStyle w:val="FootnoteReference"/>
        </w:rPr>
        <w:footnoteRef/>
      </w:r>
      <w:r>
        <w:t xml:space="preserve"> </w:t>
      </w:r>
      <w:r>
        <w:rPr>
          <w:i/>
        </w:rPr>
        <w:t>Marks v. Crunch San Diego, LLC</w:t>
      </w:r>
      <w:r>
        <w:t xml:space="preserve">, No. 14-56834, </w:t>
      </w:r>
      <w:r w:rsidRPr="007563B3">
        <w:t xml:space="preserve">2018 WL </w:t>
      </w:r>
      <w:r>
        <w:t>4495553</w:t>
      </w:r>
      <w:r w:rsidRPr="00CA4144">
        <w:t xml:space="preserve"> (</w:t>
      </w:r>
      <w:r>
        <w:t>9th</w:t>
      </w:r>
      <w:r w:rsidRPr="00CA4144">
        <w:t xml:space="preserve"> Cir. </w:t>
      </w:r>
      <w:r>
        <w:t>Sept. 20</w:t>
      </w:r>
      <w:r w:rsidRPr="00CA4144">
        <w:t>, 2018)</w:t>
      </w:r>
      <w:r>
        <w:t>.</w:t>
      </w:r>
    </w:p>
  </w:footnote>
  <w:footnote w:id="5">
    <w:p w:rsidR="00334121" w:rsidP="00334121">
      <w:pPr>
        <w:pStyle w:val="FootnoteText"/>
      </w:pPr>
      <w:r>
        <w:rPr>
          <w:rStyle w:val="FootnoteReference"/>
        </w:rPr>
        <w:footnoteRef/>
      </w:r>
      <w:r>
        <w:t xml:space="preserve"> </w:t>
      </w:r>
      <w:r>
        <w:rPr>
          <w:i/>
        </w:rPr>
        <w:t xml:space="preserve">Consumer and Governmental Affairs Bureau Seeks Comments on Interpretation of the Telephone Consumer Protection Act in Light of the D.C. Circuit’s ACA International Decision, </w:t>
      </w:r>
      <w:r>
        <w:t>CG Docket Nos. 18-152 and 02-278, Public Notice, DA 18-493 (rel. May 14, 2018) (</w:t>
      </w:r>
      <w:r>
        <w:rPr>
          <w:i/>
        </w:rPr>
        <w:t>ACA Public Notice</w:t>
      </w:r>
      <w:r w:rsidRPr="003829F0">
        <w:t>)</w:t>
      </w:r>
      <w:r w:rsidRPr="0067422B">
        <w:t>;</w:t>
      </w:r>
      <w:r>
        <w:t xml:space="preserve"> </w:t>
      </w:r>
      <w:r w:rsidRPr="0040057D">
        <w:rPr>
          <w:i/>
        </w:rPr>
        <w:t>ACA Int’l et al. v. FCC</w:t>
      </w:r>
      <w:r w:rsidRPr="0040057D">
        <w:t xml:space="preserve">, </w:t>
      </w:r>
      <w:r>
        <w:t>885 F.3d 687</w:t>
      </w:r>
      <w:r w:rsidRPr="0040057D">
        <w:t xml:space="preserve"> (D.C. Cir. 2018) </w:t>
      </w:r>
      <w:r>
        <w:t>(mandate issued May 8, 2018)</w:t>
      </w:r>
      <w:r w:rsidR="005B7E8B">
        <w:t>,</w:t>
      </w:r>
      <w:r>
        <w:t xml:space="preserve"> </w:t>
      </w:r>
      <w:r w:rsidRPr="00F507C7">
        <w:rPr>
          <w:i/>
        </w:rPr>
        <w:t>aff</w:t>
      </w:r>
      <w:r w:rsidRPr="00F507C7" w:rsidR="005B7E8B">
        <w:rPr>
          <w:i/>
        </w:rPr>
        <w:t>’</w:t>
      </w:r>
      <w:r w:rsidRPr="00F507C7">
        <w:rPr>
          <w:i/>
        </w:rPr>
        <w:t>g</w:t>
      </w:r>
      <w:r w:rsidRPr="00F507C7">
        <w:rPr>
          <w:i/>
        </w:rPr>
        <w:t xml:space="preserve"> in part and vacating in part</w:t>
      </w:r>
      <w:r w:rsidRPr="0040057D">
        <w:t xml:space="preserve"> </w:t>
      </w:r>
      <w:r w:rsidRPr="0040057D">
        <w:rPr>
          <w:i/>
        </w:rPr>
        <w:t>Rules and Regulations Implementing the Telephone Consumer Protection Act of 1991</w:t>
      </w:r>
      <w:r w:rsidRPr="0040057D">
        <w:t>, CG Docket No. 02-278, WC Docket No. 07-135, Declaratory Ruling and Order, 30 FCC Rcd 7961 (2015) (</w:t>
      </w:r>
      <w:r w:rsidRPr="0040057D">
        <w:rPr>
          <w:i/>
        </w:rPr>
        <w:t>2015 TCPA Declaratory Ruling and Order</w:t>
      </w:r>
      <w:r w:rsidRPr="0040057D">
        <w:t>).</w:t>
      </w:r>
    </w:p>
  </w:footnote>
  <w:footnote w:id="6">
    <w:p w:rsidR="00A32BA5">
      <w:pPr>
        <w:pStyle w:val="FootnoteText"/>
      </w:pPr>
      <w:r>
        <w:rPr>
          <w:rStyle w:val="FootnoteReference"/>
        </w:rPr>
        <w:footnoteRef/>
      </w:r>
      <w:r>
        <w:t xml:space="preserve"> </w:t>
      </w:r>
      <w:r w:rsidRPr="0040057D">
        <w:t>47 U.S.C. § 227(a)(1)</w:t>
      </w:r>
      <w:r>
        <w:t>.</w:t>
      </w:r>
    </w:p>
  </w:footnote>
  <w:footnote w:id="7">
    <w:p w:rsidR="00114038" w:rsidRPr="0040057D" w:rsidP="00114038">
      <w:pPr>
        <w:pStyle w:val="FootnoteText"/>
      </w:pPr>
      <w:r w:rsidRPr="0004390F">
        <w:rPr>
          <w:rStyle w:val="FootnoteReference"/>
        </w:rPr>
        <w:footnoteRef/>
      </w:r>
      <w:r w:rsidRPr="0040057D">
        <w:t xml:space="preserve"> </w:t>
      </w:r>
      <w:r w:rsidR="00302248">
        <w:rPr>
          <w:i/>
        </w:rPr>
        <w:t>Id.</w:t>
      </w:r>
      <w:r>
        <w:t xml:space="preserve"> (emphasis added)</w:t>
      </w:r>
      <w:r w:rsidRPr="0040057D">
        <w:t>.</w:t>
      </w:r>
    </w:p>
  </w:footnote>
  <w:footnote w:id="8">
    <w:p w:rsidR="00A95146">
      <w:pPr>
        <w:pStyle w:val="FootnoteText"/>
      </w:pPr>
      <w:r>
        <w:rPr>
          <w:rStyle w:val="FootnoteReference"/>
        </w:rPr>
        <w:footnoteRef/>
      </w:r>
      <w:r>
        <w:t xml:space="preserve"> </w:t>
      </w:r>
      <w:r>
        <w:rPr>
          <w:i/>
        </w:rPr>
        <w:t>Marks</w:t>
      </w:r>
      <w:r w:rsidRPr="003829F0">
        <w:t xml:space="preserve">, </w:t>
      </w:r>
      <w:r w:rsidRPr="0067422B">
        <w:t>2</w:t>
      </w:r>
      <w:r w:rsidRPr="00CA4144">
        <w:t xml:space="preserve">018 WL </w:t>
      </w:r>
      <w:r>
        <w:t>4495553</w:t>
      </w:r>
      <w:r w:rsidRPr="00E64027">
        <w:t>,</w:t>
      </w:r>
      <w:r>
        <w:t xml:space="preserve"> at *</w:t>
      </w:r>
      <w:r w:rsidR="005B390D">
        <w:t>8</w:t>
      </w:r>
      <w:r w:rsidR="00DF6616">
        <w:t>;</w:t>
      </w:r>
      <w:r w:rsidR="00F83A0B">
        <w:t xml:space="preserve"> </w:t>
      </w:r>
      <w:r w:rsidR="00DF6616">
        <w:rPr>
          <w:i/>
        </w:rPr>
        <w:t>s</w:t>
      </w:r>
      <w:r w:rsidRPr="00F83A0B" w:rsidR="00F83A0B">
        <w:rPr>
          <w:i/>
        </w:rPr>
        <w:t>ee also</w:t>
      </w:r>
      <w:r w:rsidR="00F83A0B">
        <w:t xml:space="preserve"> </w:t>
      </w:r>
      <w:r w:rsidRPr="0040057D" w:rsidR="00F83A0B">
        <w:rPr>
          <w:i/>
        </w:rPr>
        <w:t>ACA Int’l</w:t>
      </w:r>
      <w:r w:rsidRPr="0040057D" w:rsidR="00F83A0B">
        <w:t xml:space="preserve">, </w:t>
      </w:r>
      <w:r w:rsidR="00F83A0B">
        <w:t xml:space="preserve">885 F.3d </w:t>
      </w:r>
      <w:r w:rsidR="004055A1">
        <w:t xml:space="preserve">at </w:t>
      </w:r>
      <w:r w:rsidR="00F83A0B">
        <w:t>703</w:t>
      </w:r>
      <w:r w:rsidRPr="0040057D" w:rsidR="00F83A0B">
        <w:t xml:space="preserve"> </w:t>
      </w:r>
      <w:r w:rsidR="00F83A0B">
        <w:t>(stating</w:t>
      </w:r>
      <w:r w:rsidR="00860E62">
        <w:t xml:space="preserve"> that</w:t>
      </w:r>
      <w:r w:rsidR="00F83A0B">
        <w:t xml:space="preserve">, </w:t>
      </w:r>
      <w:r w:rsidRPr="00083B2B" w:rsidR="009535CC">
        <w:t>with respect</w:t>
      </w:r>
      <w:r w:rsidR="009535CC">
        <w:t xml:space="preserve"> to</w:t>
      </w:r>
      <w:r w:rsidR="00F83A0B">
        <w:t xml:space="preserve"> whether the definition of automatic telephone dialing system could include a device that could only dial numbers from a stored list, “[</w:t>
      </w:r>
      <w:r w:rsidR="00F83A0B">
        <w:t>i</w:t>
      </w:r>
      <w:r w:rsidR="00F83A0B">
        <w:t>]t might be permissible for the Commission to adopt either interpretation</w:t>
      </w:r>
      <w:r w:rsidRPr="00083B2B" w:rsidR="009535CC">
        <w:t>”</w:t>
      </w:r>
      <w:r w:rsidRPr="00083B2B" w:rsidR="00F83A0B">
        <w:t>)</w:t>
      </w:r>
      <w:r w:rsidR="00F83A0B">
        <w:t>.</w:t>
      </w:r>
    </w:p>
  </w:footnote>
  <w:footnote w:id="9">
    <w:p w:rsidR="00626C8B" w:rsidP="00626C8B">
      <w:pPr>
        <w:pStyle w:val="FootnoteText"/>
      </w:pPr>
      <w:r>
        <w:rPr>
          <w:rStyle w:val="FootnoteReference"/>
        </w:rPr>
        <w:footnoteRef/>
      </w:r>
      <w:r>
        <w:t xml:space="preserve"> </w:t>
      </w:r>
      <w:r>
        <w:rPr>
          <w:i/>
        </w:rPr>
        <w:t>Marks</w:t>
      </w:r>
      <w:r w:rsidRPr="003829F0">
        <w:t>,</w:t>
      </w:r>
      <w:r w:rsidRPr="00E64027">
        <w:rPr>
          <w:i/>
        </w:rPr>
        <w:t xml:space="preserve"> </w:t>
      </w:r>
      <w:r w:rsidRPr="00CA4144">
        <w:t xml:space="preserve">2018 WL </w:t>
      </w:r>
      <w:r>
        <w:t>4495553</w:t>
      </w:r>
      <w:r w:rsidRPr="00E64027">
        <w:t>, at *</w:t>
      </w:r>
      <w:r>
        <w:t>9</w:t>
      </w:r>
      <w:r w:rsidRPr="00E64027">
        <w:t>.</w:t>
      </w:r>
      <w:r w:rsidR="00F83A0B">
        <w:t xml:space="preserve">  </w:t>
      </w:r>
    </w:p>
  </w:footnote>
  <w:footnote w:id="10">
    <w:p w:rsidR="008A4AF3" w:rsidRPr="008A4AF3">
      <w:pPr>
        <w:pStyle w:val="FootnoteText"/>
      </w:pPr>
      <w:r>
        <w:rPr>
          <w:rStyle w:val="FootnoteReference"/>
        </w:rPr>
        <w:footnoteRef/>
      </w:r>
      <w:r>
        <w:t xml:space="preserve"> </w:t>
      </w:r>
      <w:r>
        <w:rPr>
          <w:i/>
        </w:rPr>
        <w:t>Id.</w:t>
      </w:r>
    </w:p>
  </w:footnote>
  <w:footnote w:id="11">
    <w:p w:rsidR="00626C8B">
      <w:pPr>
        <w:pStyle w:val="FootnoteText"/>
      </w:pPr>
      <w:r>
        <w:rPr>
          <w:rStyle w:val="FootnoteReference"/>
        </w:rPr>
        <w:footnoteRef/>
      </w:r>
      <w:r>
        <w:t xml:space="preserve"> </w:t>
      </w:r>
      <w:r w:rsidR="001D727C">
        <w:rPr>
          <w:i/>
        </w:rPr>
        <w:t>ACA Int’l</w:t>
      </w:r>
      <w:r w:rsidR="001D727C">
        <w:t>, 885 F.3d</w:t>
      </w:r>
      <w:r w:rsidR="00820F8B">
        <w:t xml:space="preserve"> at 692.</w:t>
      </w:r>
    </w:p>
  </w:footnote>
  <w:footnote w:id="12">
    <w:p w:rsidR="00F83A0B">
      <w:pPr>
        <w:pStyle w:val="FootnoteText"/>
      </w:pPr>
      <w:r>
        <w:rPr>
          <w:rStyle w:val="FootnoteReference"/>
        </w:rPr>
        <w:footnoteRef/>
      </w:r>
      <w:r>
        <w:t xml:space="preserve"> </w:t>
      </w:r>
      <w:r w:rsidRPr="00F83A0B">
        <w:rPr>
          <w:i/>
        </w:rPr>
        <w:t>See Smiley v. Citibank (South Dakota), N.A.</w:t>
      </w:r>
      <w:r>
        <w:t>, 517 U.S. 735, 740-41 (1996)</w:t>
      </w:r>
      <w:r w:rsidR="00860E62">
        <w:t>.</w:t>
      </w:r>
    </w:p>
  </w:footnote>
  <w:footnote w:id="13">
    <w:p w:rsidR="00CA410E" w:rsidRPr="0040057D" w:rsidP="004C4301">
      <w:pPr>
        <w:pStyle w:val="FootnoteText"/>
      </w:pPr>
      <w:r w:rsidRPr="0040057D">
        <w:rPr>
          <w:rStyle w:val="FootnoteReference"/>
        </w:rPr>
        <w:footnoteRef/>
      </w:r>
      <w:r w:rsidRPr="0040057D">
        <w:t xml:space="preserve"> 47 CFR §§ 1.2, 1.429.</w:t>
      </w:r>
    </w:p>
  </w:footnote>
  <w:footnote w:id="14">
    <w:p w:rsidR="00CA410E" w:rsidRPr="007E005C" w:rsidP="004C4301">
      <w:pPr>
        <w:pStyle w:val="FootnoteText"/>
        <w:rPr>
          <w:color w:val="242021"/>
        </w:rPr>
      </w:pPr>
      <w:r w:rsidRPr="0040057D">
        <w:rPr>
          <w:rStyle w:val="FootnoteReference"/>
        </w:rPr>
        <w:footnoteRef/>
      </w:r>
      <w:r w:rsidRPr="0040057D">
        <w:t xml:space="preserve"> </w:t>
      </w:r>
      <w:r w:rsidRPr="0040057D">
        <w:rPr>
          <w:i/>
          <w:iCs/>
          <w:color w:val="242021"/>
          <w:spacing w:val="1"/>
        </w:rPr>
        <w:t>Se</w:t>
      </w:r>
      <w:r w:rsidRPr="0040057D">
        <w:rPr>
          <w:i/>
          <w:iCs/>
          <w:color w:val="242021"/>
        </w:rPr>
        <w:t>e</w:t>
      </w:r>
      <w:r w:rsidRPr="0040057D">
        <w:rPr>
          <w:i/>
          <w:iCs/>
          <w:color w:val="242021"/>
          <w:spacing w:val="-2"/>
        </w:rPr>
        <w:t xml:space="preserve"> id.</w:t>
      </w:r>
      <w:r w:rsidRPr="0040057D">
        <w:rPr>
          <w:color w:val="242021"/>
          <w:spacing w:val="-5"/>
        </w:rPr>
        <w:t xml:space="preserve"> </w:t>
      </w:r>
      <w:r w:rsidRPr="0040057D">
        <w:rPr>
          <w:color w:val="242021"/>
          <w:spacing w:val="1"/>
        </w:rPr>
        <w:t>§</w:t>
      </w:r>
      <w:r w:rsidRPr="0040057D">
        <w:rPr>
          <w:color w:val="242021"/>
        </w:rPr>
        <w:t>§</w:t>
      </w:r>
      <w:r w:rsidRPr="0040057D">
        <w:rPr>
          <w:color w:val="242021"/>
          <w:spacing w:val="-2"/>
        </w:rPr>
        <w:t xml:space="preserve"> </w:t>
      </w:r>
      <w:r w:rsidRPr="0040057D">
        <w:rPr>
          <w:color w:val="242021"/>
          <w:spacing w:val="1"/>
        </w:rPr>
        <w:t>1.120</w:t>
      </w:r>
      <w:r w:rsidRPr="0040057D">
        <w:rPr>
          <w:color w:val="242021"/>
        </w:rPr>
        <w:t>0</w:t>
      </w:r>
      <w:r w:rsidRPr="0040057D">
        <w:rPr>
          <w:color w:val="242021"/>
          <w:spacing w:val="-4"/>
        </w:rPr>
        <w:t xml:space="preserve"> </w:t>
      </w:r>
      <w:r w:rsidRPr="0040057D">
        <w:rPr>
          <w:i/>
          <w:iCs/>
          <w:color w:val="242021"/>
          <w:spacing w:val="-1"/>
        </w:rPr>
        <w:t>e</w:t>
      </w:r>
      <w:r w:rsidRPr="0040057D">
        <w:rPr>
          <w:i/>
          <w:iCs/>
          <w:color w:val="242021"/>
        </w:rPr>
        <w:t>t</w:t>
      </w:r>
      <w:r w:rsidRPr="0040057D">
        <w:rPr>
          <w:i/>
          <w:iCs/>
          <w:color w:val="242021"/>
          <w:spacing w:val="-1"/>
        </w:rPr>
        <w:t xml:space="preserve"> se</w:t>
      </w:r>
      <w:r w:rsidRPr="0040057D">
        <w:rPr>
          <w:i/>
          <w:iCs/>
          <w:color w:val="242021"/>
          <w:spacing w:val="1"/>
        </w:rPr>
        <w:t>q</w:t>
      </w:r>
      <w:r w:rsidRPr="0040057D">
        <w:rPr>
          <w:color w:val="242021"/>
        </w:rPr>
        <w:t>.</w:t>
      </w:r>
      <w:r w:rsidR="007E005C">
        <w:rPr>
          <w:color w:val="242021"/>
        </w:rPr>
        <w:t xml:space="preserve">; </w:t>
      </w:r>
      <w:r w:rsidRPr="007E005C" w:rsidR="007E005C">
        <w:rPr>
          <w:i/>
          <w:color w:val="242021"/>
        </w:rPr>
        <w:t>see also</w:t>
      </w:r>
      <w:r w:rsidR="007E005C">
        <w:rPr>
          <w:color w:val="242021"/>
        </w:rPr>
        <w:t xml:space="preserve"> </w:t>
      </w:r>
      <w:r w:rsidR="007E005C">
        <w:rPr>
          <w:i/>
          <w:color w:val="242021"/>
        </w:rPr>
        <w:t>ACA Public Notice</w:t>
      </w:r>
      <w:r w:rsidR="007E005C">
        <w:rPr>
          <w:color w:val="242021"/>
        </w:rPr>
        <w:t xml:space="preserve"> at 6.</w:t>
      </w:r>
    </w:p>
  </w:footnote>
  <w:footnote w:id="15">
    <w:p w:rsidR="00CA410E" w:rsidRPr="0040057D" w:rsidP="004C4301">
      <w:pPr>
        <w:pStyle w:val="FootnoteText"/>
      </w:pPr>
      <w:r w:rsidRPr="0040057D">
        <w:rPr>
          <w:rStyle w:val="FootnoteReference"/>
        </w:rPr>
        <w:footnoteRef/>
      </w:r>
      <w:r w:rsidRPr="0040057D">
        <w:t xml:space="preserve"> </w:t>
      </w:r>
      <w:r w:rsidR="001D727C">
        <w:t>47 CFR</w:t>
      </w:r>
      <w:r w:rsidRPr="0040057D">
        <w:rPr>
          <w:i/>
        </w:rPr>
        <w:t xml:space="preserve"> </w:t>
      </w:r>
      <w:r w:rsidRPr="0040057D">
        <w:t>§ 1.1206(b).</w:t>
      </w:r>
    </w:p>
  </w:footnote>
  <w:footnote w:id="16">
    <w:p w:rsidR="00CA410E" w:rsidRPr="0040057D" w:rsidP="00C55E7D">
      <w:pPr>
        <w:pStyle w:val="FootnoteText"/>
      </w:pPr>
      <w:r w:rsidRPr="0040057D">
        <w:rPr>
          <w:rStyle w:val="FootnoteReference"/>
        </w:rPr>
        <w:footnoteRef/>
      </w:r>
      <w:r w:rsidRPr="0040057D">
        <w:t xml:space="preserve"> </w:t>
      </w:r>
      <w:r w:rsidRPr="0040057D">
        <w:rPr>
          <w:i/>
        </w:rPr>
        <w:t>Id.</w:t>
      </w:r>
      <w:r w:rsidRPr="0040057D">
        <w:t xml:space="preserve"> § 1.49(f).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120F8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64C"/>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Style 12"/>
    <w:uiPriority w:val="99"/>
    <w:rsid w:val="0040064C"/>
    <w:rPr>
      <w:rFonts w:ascii="Times New Roman" w:hAnsi="Times New Roman"/>
      <w:dstrike w:val="0"/>
      <w:color w:val="auto"/>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customStyle="1" w:styleId="ColorfulShading-Accent11">
    <w:name w:val="Colorful Shading - Accent 11"/>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 w:type="character" w:customStyle="1" w:styleId="apple-converted-space">
    <w:name w:val="apple-converted-space"/>
    <w:rsid w:val="0054004B"/>
  </w:style>
  <w:style w:type="character" w:styleId="FollowedHyperlink">
    <w:name w:val="FollowedHyperlink"/>
    <w:uiPriority w:val="99"/>
    <w:semiHidden/>
    <w:unhideWhenUsed/>
    <w:rsid w:val="0054004B"/>
    <w:rPr>
      <w:color w:val="800080"/>
      <w:u w:val="single"/>
    </w:rPr>
  </w:style>
  <w:style w:type="character" w:styleId="Emphasis">
    <w:name w:val="Emphasis"/>
    <w:uiPriority w:val="20"/>
    <w:qFormat/>
    <w:rsid w:val="00B86CC7"/>
    <w:rPr>
      <w:i/>
      <w:iCs/>
    </w:rPr>
  </w:style>
  <w:style w:type="paragraph" w:styleId="Revision">
    <w:name w:val="Revision"/>
    <w:hidden/>
    <w:uiPriority w:val="99"/>
    <w:semiHidden/>
    <w:rsid w:val="00FA7074"/>
    <w:rPr>
      <w:rFonts w:ascii="Times New Roman" w:eastAsia="Times New Roman" w:hAnsi="Times New Roman"/>
      <w:snapToGrid w:val="0"/>
      <w:kern w:val="28"/>
      <w:sz w:val="22"/>
    </w:rPr>
  </w:style>
  <w:style w:type="character" w:customStyle="1" w:styleId="UnresolvedMention1">
    <w:name w:val="Unresolved Mention1"/>
    <w:basedOn w:val="DefaultParagraphFont"/>
    <w:uiPriority w:val="99"/>
    <w:semiHidden/>
    <w:unhideWhenUsed/>
    <w:rsid w:val="009212CF"/>
    <w:rPr>
      <w:color w:val="808080"/>
      <w:shd w:val="clear" w:color="auto" w:fill="E6E6E6"/>
    </w:rPr>
  </w:style>
  <w:style w:type="character" w:customStyle="1" w:styleId="UnresolvedMention2">
    <w:name w:val="Unresolved Mention2"/>
    <w:basedOn w:val="DefaultParagraphFont"/>
    <w:uiPriority w:val="99"/>
    <w:semiHidden/>
    <w:unhideWhenUsed/>
    <w:rsid w:val="00AB0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