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B1259">
      <w:pPr>
        <w:jc w:val="center"/>
        <w:rPr>
          <w:b/>
        </w:rPr>
      </w:pPr>
      <w:bookmarkStart w:id="0" w:name="_GoBack"/>
      <w:bookmarkEnd w:id="0"/>
      <w:r>
        <w:rPr>
          <w:b/>
        </w:rPr>
        <w:t>Before the</w:t>
      </w:r>
    </w:p>
    <w:p w:rsidR="00FB1259">
      <w:pPr>
        <w:jc w:val="center"/>
        <w:rPr>
          <w:b/>
        </w:rPr>
      </w:pPr>
      <w:r>
        <w:rPr>
          <w:b/>
        </w:rPr>
        <w:t>Federal Communications Commission</w:t>
      </w:r>
    </w:p>
    <w:p w:rsidR="00FB1259">
      <w:pPr>
        <w:jc w:val="center"/>
        <w:rPr>
          <w:b/>
        </w:rPr>
      </w:pPr>
      <w:r>
        <w:rPr>
          <w:b/>
        </w:rPr>
        <w:t>Washington, D.C. 20554</w:t>
      </w:r>
    </w:p>
    <w:p w:rsidR="00FB1259"/>
    <w:p w:rsidR="00FB1259"/>
    <w:tbl>
      <w:tblPr>
        <w:tblW w:w="9744" w:type="dxa"/>
        <w:tblLayout w:type="fixed"/>
        <w:tblLook w:val="0000"/>
      </w:tblPr>
      <w:tblGrid>
        <w:gridCol w:w="4745"/>
        <w:gridCol w:w="727"/>
        <w:gridCol w:w="4272"/>
      </w:tblGrid>
      <w:tr>
        <w:tblPrEx>
          <w:tblW w:w="9744" w:type="dxa"/>
          <w:tblLayout w:type="fixed"/>
          <w:tblLook w:val="0000"/>
        </w:tblPrEx>
        <w:trPr>
          <w:trHeight w:val="2177"/>
        </w:trPr>
        <w:tc>
          <w:tcPr>
            <w:tcW w:w="4745" w:type="dxa"/>
          </w:tcPr>
          <w:p w:rsidR="00FB1259">
            <w:pPr>
              <w:ind w:right="-18"/>
            </w:pPr>
            <w:r>
              <w:t xml:space="preserve">In </w:t>
            </w:r>
            <w:r w:rsidR="003204B9">
              <w:t xml:space="preserve">re </w:t>
            </w:r>
          </w:p>
          <w:p w:rsidR="00FB1259">
            <w:pPr>
              <w:ind w:right="-18"/>
            </w:pPr>
          </w:p>
          <w:p w:rsidR="00FB1259">
            <w:pPr>
              <w:ind w:right="-18"/>
            </w:pPr>
            <w:r>
              <w:t>NBVDS Investment, L.L.C.</w:t>
            </w:r>
          </w:p>
          <w:p w:rsidR="00FB1259">
            <w:pPr>
              <w:ind w:right="-18"/>
            </w:pPr>
          </w:p>
          <w:p w:rsidR="003204B9" w:rsidP="003204B9">
            <w:pPr>
              <w:ind w:right="-18"/>
            </w:pPr>
            <w:r>
              <w:t>Request for Waiver</w:t>
            </w:r>
            <w:r w:rsidR="00066A07">
              <w:t xml:space="preserve"> of Section 1.2105 of the Commission’s Rules for Auction 101</w:t>
            </w:r>
          </w:p>
          <w:p w:rsidR="00FB1259">
            <w:pPr>
              <w:ind w:right="-18"/>
            </w:pPr>
          </w:p>
        </w:tc>
        <w:tc>
          <w:tcPr>
            <w:tcW w:w="727" w:type="dxa"/>
          </w:tcPr>
          <w:p w:rsidR="00FB1259">
            <w:pPr>
              <w:rPr>
                <w:b/>
              </w:rPr>
            </w:pPr>
            <w:r>
              <w:rPr>
                <w:b/>
              </w:rPr>
              <w:t>)</w:t>
            </w:r>
          </w:p>
          <w:p w:rsidR="00FB1259">
            <w:pPr>
              <w:rPr>
                <w:b/>
              </w:rPr>
            </w:pPr>
            <w:r>
              <w:rPr>
                <w:b/>
              </w:rPr>
              <w:t>)</w:t>
            </w:r>
          </w:p>
          <w:p w:rsidR="00FB1259">
            <w:pPr>
              <w:rPr>
                <w:b/>
              </w:rPr>
            </w:pPr>
            <w:r>
              <w:rPr>
                <w:b/>
              </w:rPr>
              <w:t>)</w:t>
            </w:r>
          </w:p>
          <w:p w:rsidR="00FB1259">
            <w:pPr>
              <w:rPr>
                <w:b/>
              </w:rPr>
            </w:pPr>
            <w:r>
              <w:rPr>
                <w:b/>
              </w:rPr>
              <w:t>)</w:t>
            </w:r>
          </w:p>
          <w:p w:rsidR="00FB1259">
            <w:pPr>
              <w:rPr>
                <w:b/>
              </w:rPr>
            </w:pPr>
            <w:r>
              <w:rPr>
                <w:b/>
              </w:rPr>
              <w:t>)</w:t>
            </w:r>
          </w:p>
          <w:p w:rsidR="00FB1259">
            <w:pPr>
              <w:rPr>
                <w:b/>
              </w:rPr>
            </w:pPr>
            <w:r>
              <w:rPr>
                <w:b/>
              </w:rPr>
              <w:t>)</w:t>
            </w:r>
          </w:p>
          <w:p w:rsidR="00FB1259">
            <w:pPr>
              <w:rPr>
                <w:b/>
              </w:rPr>
            </w:pPr>
          </w:p>
          <w:p w:rsidR="00FB1259">
            <w:pPr>
              <w:rPr>
                <w:b/>
              </w:rPr>
            </w:pPr>
          </w:p>
        </w:tc>
        <w:tc>
          <w:tcPr>
            <w:tcW w:w="4272" w:type="dxa"/>
          </w:tcPr>
          <w:p w:rsidR="00FB1259"/>
          <w:p w:rsidR="00FB1259"/>
          <w:p w:rsidR="00FB1259"/>
          <w:p w:rsidR="00FB1259"/>
        </w:tc>
      </w:tr>
    </w:tbl>
    <w:p w:rsidR="00FB1259">
      <w:pPr>
        <w:spacing w:before="120"/>
        <w:jc w:val="center"/>
        <w:rPr>
          <w:b/>
        </w:rPr>
      </w:pPr>
      <w:r>
        <w:rPr>
          <w:b/>
        </w:rPr>
        <w:t>MEMORANDUM OPINION AND ORDER</w:t>
      </w:r>
    </w:p>
    <w:p w:rsidR="00FB1259"/>
    <w:p w:rsidR="00FB1259">
      <w:pPr>
        <w:tabs>
          <w:tab w:val="left" w:pos="5760"/>
        </w:tabs>
        <w:jc w:val="both"/>
        <w:rPr>
          <w:b/>
        </w:rPr>
      </w:pPr>
      <w:r>
        <w:rPr>
          <w:b/>
        </w:rPr>
        <w:t xml:space="preserve">Adopted:  </w:t>
      </w:r>
      <w:r w:rsidR="00814A67">
        <w:rPr>
          <w:b/>
        </w:rPr>
        <w:t xml:space="preserve">October </w:t>
      </w:r>
      <w:r w:rsidR="00A84189">
        <w:rPr>
          <w:b/>
        </w:rPr>
        <w:t>10</w:t>
      </w:r>
      <w:r w:rsidR="003B1753">
        <w:rPr>
          <w:b/>
        </w:rPr>
        <w:t>, 201</w:t>
      </w:r>
      <w:r w:rsidR="00814A67">
        <w:rPr>
          <w:b/>
        </w:rPr>
        <w:t>8</w:t>
      </w:r>
      <w:r>
        <w:rPr>
          <w:b/>
        </w:rPr>
        <w:tab/>
        <w:t xml:space="preserve">Released:  </w:t>
      </w:r>
      <w:r w:rsidR="00814A67">
        <w:rPr>
          <w:b/>
        </w:rPr>
        <w:t xml:space="preserve">October </w:t>
      </w:r>
      <w:r w:rsidR="00A84189">
        <w:rPr>
          <w:b/>
        </w:rPr>
        <w:t>10</w:t>
      </w:r>
      <w:r w:rsidR="00814A67">
        <w:rPr>
          <w:b/>
        </w:rPr>
        <w:t>, 2018</w:t>
      </w:r>
    </w:p>
    <w:p w:rsidR="00FB1259">
      <w:pPr>
        <w:tabs>
          <w:tab w:val="left" w:pos="5760"/>
        </w:tabs>
        <w:rPr>
          <w:b/>
        </w:rPr>
      </w:pPr>
    </w:p>
    <w:p w:rsidR="00FB1259">
      <w:pPr>
        <w:tabs>
          <w:tab w:val="left" w:pos="5760"/>
        </w:tabs>
        <w:ind w:left="1350" w:hanging="1350"/>
        <w:rPr>
          <w:spacing w:val="-2"/>
          <w:szCs w:val="22"/>
        </w:rPr>
      </w:pPr>
      <w:r>
        <w:rPr>
          <w:szCs w:val="22"/>
        </w:rPr>
        <w:t>By the Chief, Auctions and Spectrum Access Division, Wireless Telecommunications Bureau</w:t>
      </w:r>
      <w:r>
        <w:rPr>
          <w:spacing w:val="-2"/>
          <w:szCs w:val="22"/>
        </w:rPr>
        <w:t>:</w:t>
      </w:r>
    </w:p>
    <w:p w:rsidR="00FB1259">
      <w:pPr>
        <w:tabs>
          <w:tab w:val="left" w:pos="5760"/>
        </w:tabs>
        <w:rPr>
          <w:b/>
          <w:spacing w:val="-2"/>
          <w:szCs w:val="22"/>
        </w:rPr>
      </w:pPr>
    </w:p>
    <w:p w:rsidR="00FB1259" w:rsidP="009D5952">
      <w:pPr>
        <w:pStyle w:val="Heading1"/>
        <w:widowControl/>
        <w:rPr>
          <w:b w:val="0"/>
          <w:szCs w:val="22"/>
        </w:rPr>
      </w:pPr>
      <w:r>
        <w:t>INTRODUCTION</w:t>
      </w:r>
      <w:r>
        <w:rPr>
          <w:b w:val="0"/>
          <w:szCs w:val="22"/>
        </w:rPr>
        <w:tab/>
      </w:r>
    </w:p>
    <w:p w:rsidR="00FB1259" w:rsidP="009D5952">
      <w:pPr>
        <w:pStyle w:val="ParaNum"/>
        <w:widowControl/>
        <w:numPr>
          <w:ilvl w:val="0"/>
          <w:numId w:val="2"/>
        </w:numPr>
        <w:tabs>
          <w:tab w:val="clear" w:pos="1080"/>
          <w:tab w:val="num" w:pos="1440"/>
        </w:tabs>
      </w:pPr>
      <w:r>
        <w:t xml:space="preserve">In this </w:t>
      </w:r>
      <w:r w:rsidR="00E32907">
        <w:t xml:space="preserve">Memorandum Opinion and </w:t>
      </w:r>
      <w:r>
        <w:t>Order, we deny a</w:t>
      </w:r>
      <w:r w:rsidR="00A91D6B">
        <w:t xml:space="preserve"> </w:t>
      </w:r>
      <w:r w:rsidR="00066A07">
        <w:t>r</w:t>
      </w:r>
      <w:r w:rsidR="00A91D6B">
        <w:t xml:space="preserve">equest </w:t>
      </w:r>
      <w:r>
        <w:t xml:space="preserve">filed by </w:t>
      </w:r>
      <w:r w:rsidR="00A91D6B">
        <w:t>NBVDS Investment, L.L.C. (NBVDS)</w:t>
      </w:r>
      <w:r w:rsidR="00066A07">
        <w:t xml:space="preserve"> for waiver of the deadline for filing a short-form application </w:t>
      </w:r>
      <w:r w:rsidR="00AA6000">
        <w:t xml:space="preserve">to </w:t>
      </w:r>
      <w:r w:rsidR="00A91D6B">
        <w:t xml:space="preserve">participate in Auction 101.  </w:t>
      </w:r>
      <w:r w:rsidR="00582419">
        <w:t xml:space="preserve">NBVDS </w:t>
      </w:r>
      <w:r>
        <w:t xml:space="preserve">failed to </w:t>
      </w:r>
      <w:r w:rsidR="00582419">
        <w:t xml:space="preserve">file its short-form application </w:t>
      </w:r>
      <w:r w:rsidR="00AA6000">
        <w:t>(FCC Form 175) prior to the closing of the filing window</w:t>
      </w:r>
      <w:r>
        <w:t xml:space="preserve"> and now seeks </w:t>
      </w:r>
      <w:r w:rsidR="003204B9">
        <w:t xml:space="preserve">a </w:t>
      </w:r>
      <w:r w:rsidR="00F67D1D">
        <w:t>waiver of</w:t>
      </w:r>
      <w:r w:rsidR="003204B9">
        <w:t xml:space="preserve"> </w:t>
      </w:r>
      <w:r w:rsidR="00B22E1E">
        <w:t xml:space="preserve">section </w:t>
      </w:r>
      <w:r w:rsidR="00582419">
        <w:t>1.2105 of the Commission’s rules so that it</w:t>
      </w:r>
      <w:r w:rsidR="00066A07">
        <w:t xml:space="preserve"> </w:t>
      </w:r>
      <w:r w:rsidR="00591400">
        <w:t xml:space="preserve">may </w:t>
      </w:r>
      <w:r w:rsidR="00066A07">
        <w:t xml:space="preserve">seek to </w:t>
      </w:r>
      <w:r w:rsidR="00591400">
        <w:t>become qualified to bid</w:t>
      </w:r>
      <w:r w:rsidR="00066A07">
        <w:t xml:space="preserve"> in Auction 101</w:t>
      </w:r>
      <w:r>
        <w:t xml:space="preserve">.  For the reasons set forth below, we deny </w:t>
      </w:r>
      <w:r w:rsidR="00A91D6B">
        <w:t>NBVDS</w:t>
      </w:r>
      <w:r w:rsidR="003204B9">
        <w:t xml:space="preserve">’s </w:t>
      </w:r>
      <w:r w:rsidR="00350F15">
        <w:t>r</w:t>
      </w:r>
      <w:r>
        <w:t>equest</w:t>
      </w:r>
      <w:r w:rsidR="00066A07">
        <w:t xml:space="preserve"> for </w:t>
      </w:r>
      <w:r w:rsidR="00350F15">
        <w:t>w</w:t>
      </w:r>
      <w:r w:rsidR="00066A07">
        <w:t>aiver</w:t>
      </w:r>
      <w:r>
        <w:t>.</w:t>
      </w:r>
    </w:p>
    <w:p w:rsidR="00FB1259" w:rsidP="009D5952">
      <w:pPr>
        <w:pStyle w:val="Heading1"/>
        <w:widowControl/>
        <w:rPr>
          <w:b w:val="0"/>
          <w:szCs w:val="22"/>
        </w:rPr>
      </w:pPr>
      <w:r>
        <w:t>BACKGROUND</w:t>
      </w:r>
      <w:r>
        <w:rPr>
          <w:b w:val="0"/>
          <w:szCs w:val="22"/>
        </w:rPr>
        <w:t xml:space="preserve"> </w:t>
      </w:r>
    </w:p>
    <w:p w:rsidR="008F7F03" w:rsidP="009D5952">
      <w:pPr>
        <w:pStyle w:val="ParaNum"/>
        <w:widowControl/>
        <w:numPr>
          <w:ilvl w:val="0"/>
          <w:numId w:val="2"/>
        </w:numPr>
        <w:tabs>
          <w:tab w:val="clear" w:pos="1080"/>
          <w:tab w:val="num" w:pos="1440"/>
        </w:tabs>
      </w:pPr>
      <w:r>
        <w:t xml:space="preserve">On </w:t>
      </w:r>
      <w:r w:rsidR="00582419">
        <w:t>August 3, 2018</w:t>
      </w:r>
      <w:r>
        <w:t xml:space="preserve">, the </w:t>
      </w:r>
      <w:r w:rsidR="00582419">
        <w:t xml:space="preserve">Commission established </w:t>
      </w:r>
      <w:r w:rsidR="00A76DA8">
        <w:t xml:space="preserve">application and bidding </w:t>
      </w:r>
      <w:r w:rsidR="00582419">
        <w:t xml:space="preserve">procedures for the auction of </w:t>
      </w:r>
      <w:r>
        <w:t xml:space="preserve">3,072 </w:t>
      </w:r>
      <w:r w:rsidR="00582419">
        <w:t>Upper M</w:t>
      </w:r>
      <w:r w:rsidR="00822731">
        <w:t xml:space="preserve">icrowave Flexible Use Services </w:t>
      </w:r>
      <w:r w:rsidR="00582419">
        <w:t xml:space="preserve">licenses in the </w:t>
      </w:r>
      <w:r>
        <w:t>27.5-28.35 GH</w:t>
      </w:r>
      <w:r w:rsidR="00B24DCB">
        <w:t>z</w:t>
      </w:r>
      <w:r>
        <w:t xml:space="preserve"> (28 GHz) bands (Auction 101).</w:t>
      </w:r>
      <w:r>
        <w:rPr>
          <w:rStyle w:val="FootnoteReference"/>
        </w:rPr>
        <w:footnoteReference w:id="3"/>
      </w:r>
      <w:r>
        <w:t xml:space="preserve">  At the same time, the Commission established the procedures for the auction of licenses in the 24 GHz band (Auction 102).</w:t>
      </w:r>
      <w:r>
        <w:rPr>
          <w:rStyle w:val="FootnoteReference"/>
        </w:rPr>
        <w:footnoteReference w:id="4"/>
      </w:r>
      <w:r>
        <w:t xml:space="preserve">  </w:t>
      </w:r>
      <w:r w:rsidR="002916D5">
        <w:t>T</w:t>
      </w:r>
      <w:r>
        <w:t xml:space="preserve">he Commission </w:t>
      </w:r>
      <w:r w:rsidR="007E315B">
        <w:t>announced that the window</w:t>
      </w:r>
      <w:r w:rsidR="002916D5">
        <w:t>s</w:t>
      </w:r>
      <w:r w:rsidR="007E315B">
        <w:t xml:space="preserve"> for electronically filing</w:t>
      </w:r>
      <w:r>
        <w:t xml:space="preserve"> </w:t>
      </w:r>
      <w:r w:rsidR="00A76DA8">
        <w:t xml:space="preserve">a </w:t>
      </w:r>
      <w:r w:rsidR="002916D5">
        <w:t xml:space="preserve">separate </w:t>
      </w:r>
      <w:r>
        <w:t xml:space="preserve">short-form application to participate </w:t>
      </w:r>
      <w:r w:rsidR="002916D5">
        <w:t xml:space="preserve">in Auction 101 and/or 102 </w:t>
      </w:r>
      <w:r w:rsidR="007E315B">
        <w:t xml:space="preserve">would </w:t>
      </w:r>
      <w:r w:rsidR="002916D5">
        <w:t xml:space="preserve">run concurrently and </w:t>
      </w:r>
      <w:r w:rsidR="00A76DA8">
        <w:t>open at 12:00 p</w:t>
      </w:r>
      <w:r w:rsidR="00DB47F6">
        <w:t>.</w:t>
      </w:r>
      <w:r w:rsidR="00A76DA8">
        <w:t>m</w:t>
      </w:r>
      <w:r w:rsidR="00DB47F6">
        <w:t>.</w:t>
      </w:r>
      <w:r w:rsidR="00A76DA8">
        <w:t xml:space="preserve"> Eastern Time (ET) on September 5, 2018 and </w:t>
      </w:r>
      <w:r w:rsidR="007E315B">
        <w:t xml:space="preserve">close at </w:t>
      </w:r>
      <w:r>
        <w:t>6</w:t>
      </w:r>
      <w:r w:rsidR="00C723C2">
        <w:t>:00</w:t>
      </w:r>
      <w:r>
        <w:t xml:space="preserve"> p.m. E</w:t>
      </w:r>
      <w:r w:rsidR="00CD364A">
        <w:t>T</w:t>
      </w:r>
      <w:r>
        <w:t xml:space="preserve"> on September 18, 2018.</w:t>
      </w:r>
      <w:r>
        <w:rPr>
          <w:rStyle w:val="FootnoteReference"/>
        </w:rPr>
        <w:footnoteReference w:id="5"/>
      </w:r>
      <w:r>
        <w:t xml:space="preserve">  </w:t>
      </w:r>
    </w:p>
    <w:p w:rsidR="00C71D30" w:rsidP="00B11B02">
      <w:pPr>
        <w:pStyle w:val="ParaNum"/>
        <w:widowControl/>
        <w:numPr>
          <w:ilvl w:val="0"/>
          <w:numId w:val="2"/>
        </w:numPr>
        <w:tabs>
          <w:tab w:val="clear" w:pos="1080"/>
          <w:tab w:val="num" w:pos="1440"/>
        </w:tabs>
      </w:pPr>
      <w:r>
        <w:t xml:space="preserve">NBVDS submitted </w:t>
      </w:r>
      <w:r w:rsidR="00FB1259">
        <w:t>i</w:t>
      </w:r>
      <w:r w:rsidR="0001779B">
        <w:t>t</w:t>
      </w:r>
      <w:r w:rsidR="00FB1259">
        <w:t xml:space="preserve">s short-form application to participate in </w:t>
      </w:r>
      <w:r>
        <w:t>A</w:t>
      </w:r>
      <w:r w:rsidR="00FB1259">
        <w:t xml:space="preserve">uction </w:t>
      </w:r>
      <w:r>
        <w:t xml:space="preserve">102 </w:t>
      </w:r>
      <w:r>
        <w:t xml:space="preserve">prior to the close of the window </w:t>
      </w:r>
      <w:r>
        <w:t>on September 18, 2018</w:t>
      </w:r>
      <w:r w:rsidR="00F06267">
        <w:t xml:space="preserve">, but </w:t>
      </w:r>
      <w:r>
        <w:t>did not submit an application for Auction 101</w:t>
      </w:r>
      <w:r w:rsidR="00FE5AB6">
        <w:t>.</w:t>
      </w:r>
      <w:r>
        <w:rPr>
          <w:rStyle w:val="FootnoteReference"/>
        </w:rPr>
        <w:footnoteReference w:id="6"/>
      </w:r>
      <w:r>
        <w:t xml:space="preserve"> </w:t>
      </w:r>
      <w:r>
        <w:t xml:space="preserve">  </w:t>
      </w:r>
    </w:p>
    <w:p w:rsidR="00FB1259" w:rsidP="00591400">
      <w:pPr>
        <w:pStyle w:val="ParaNum"/>
        <w:widowControl/>
        <w:numPr>
          <w:ilvl w:val="0"/>
          <w:numId w:val="2"/>
        </w:numPr>
        <w:tabs>
          <w:tab w:val="clear" w:pos="1080"/>
          <w:tab w:val="num" w:pos="1440"/>
        </w:tabs>
      </w:pPr>
      <w:r>
        <w:t xml:space="preserve">On September 28, 2018, NBVDS filed a request for a waiver </w:t>
      </w:r>
      <w:r w:rsidR="00713802">
        <w:t xml:space="preserve">of </w:t>
      </w:r>
      <w:r w:rsidR="006F1ECE">
        <w:t>section 1.2105</w:t>
      </w:r>
      <w:r w:rsidR="00713802">
        <w:t xml:space="preserve"> </w:t>
      </w:r>
      <w:r w:rsidR="00CC5444">
        <w:t xml:space="preserve">to permit the submission of </w:t>
      </w:r>
      <w:r w:rsidR="00691954">
        <w:t xml:space="preserve">an application for </w:t>
      </w:r>
      <w:r w:rsidR="00CC5444">
        <w:t xml:space="preserve">Auction 101 </w:t>
      </w:r>
      <w:r>
        <w:t>and sought expedited action.</w:t>
      </w:r>
      <w:r>
        <w:rPr>
          <w:rStyle w:val="FootnoteReference"/>
        </w:rPr>
        <w:footnoteReference w:id="7"/>
      </w:r>
      <w:r>
        <w:t xml:space="preserve">  In support of its Request, </w:t>
      </w:r>
      <w:r>
        <w:t xml:space="preserve">NBVDS asserts that its Auction 101 </w:t>
      </w:r>
      <w:r w:rsidR="006F1ECE">
        <w:t xml:space="preserve">Form 175 </w:t>
      </w:r>
      <w:r>
        <w:t xml:space="preserve">application was </w:t>
      </w:r>
      <w:r w:rsidR="00E67B59">
        <w:t>“</w:t>
      </w:r>
      <w:r>
        <w:t>completed</w:t>
      </w:r>
      <w:r w:rsidR="00E67B59">
        <w:t>”</w:t>
      </w:r>
      <w:r>
        <w:t xml:space="preserve"> prior to the 6:00 p.m. ET deadline on September 18, but it could not certify and submit its application because a “widespread” and “unprecedented” Distributed Denial of Service (DDoS) event disrupted its ability to access its application between 5:5</w:t>
      </w:r>
      <w:r w:rsidR="00C97B3D">
        <w:t>5</w:t>
      </w:r>
      <w:r>
        <w:t xml:space="preserve"> p.m. ET and the 6:00 p.m. deadline.</w:t>
      </w:r>
      <w:r>
        <w:rPr>
          <w:rStyle w:val="FootnoteReference"/>
        </w:rPr>
        <w:footnoteReference w:id="8"/>
      </w:r>
      <w:r>
        <w:t xml:space="preserve">  </w:t>
      </w:r>
    </w:p>
    <w:p w:rsidR="00FB1259" w:rsidP="009D5952">
      <w:pPr>
        <w:pStyle w:val="Heading1"/>
        <w:widowControl/>
        <w:rPr>
          <w:b w:val="0"/>
          <w:szCs w:val="22"/>
        </w:rPr>
      </w:pPr>
      <w:r>
        <w:t>DISCUSSION</w:t>
      </w:r>
      <w:r>
        <w:rPr>
          <w:b w:val="0"/>
          <w:szCs w:val="22"/>
        </w:rPr>
        <w:t xml:space="preserve">  </w:t>
      </w:r>
    </w:p>
    <w:p w:rsidR="006F1ECE" w:rsidP="00715733">
      <w:pPr>
        <w:pStyle w:val="NumberedList"/>
        <w:widowControl/>
        <w:ind w:firstLine="720"/>
      </w:pPr>
      <w:r w:rsidRPr="00C75BE5">
        <w:t xml:space="preserve">To receive a waiver under </w:t>
      </w:r>
      <w:r w:rsidR="000B23E9">
        <w:t>s</w:t>
      </w:r>
      <w:r w:rsidRPr="00C75BE5">
        <w:t xml:space="preserve">ection 1.925 of the Commission’s rules, </w:t>
      </w:r>
      <w:r w:rsidR="000B23E9">
        <w:t>a</w:t>
      </w:r>
      <w:r w:rsidRPr="00C75BE5">
        <w:t xml:space="preserve"> petitioner must demonstrate that: (1) the underlying purpose of the rule would not be served or would be frustrated by application to the instant case, and that a grant of the waiver would be in the public interest, or (2) in view of the unique or unusual factual circumstances of the instant case, application of the rule would be inequitable, unduly burdensome or contrary to the public interest, or that the applicant has no reasonable alternative to seeking a waiver of the rule.</w:t>
      </w:r>
      <w:r>
        <w:rPr>
          <w:rStyle w:val="FootnoteReference"/>
          <w:szCs w:val="22"/>
        </w:rPr>
        <w:footnoteReference w:id="9"/>
      </w:r>
      <w:r w:rsidRPr="00691954" w:rsidR="00691954">
        <w:t xml:space="preserve"> </w:t>
      </w:r>
      <w:r w:rsidR="00691954">
        <w:t xml:space="preserve"> For the reasons described below, we find that NBVDS has not demonstrated that its request for waiver meets either prong of this standard, and we therefore deny its request.</w:t>
      </w:r>
    </w:p>
    <w:p w:rsidR="00354547" w:rsidRPr="00354547" w:rsidP="009B6309">
      <w:pPr>
        <w:pStyle w:val="ParaNum"/>
        <w:widowControl/>
        <w:numPr>
          <w:ilvl w:val="0"/>
          <w:numId w:val="2"/>
        </w:numPr>
        <w:tabs>
          <w:tab w:val="clear" w:pos="1080"/>
          <w:tab w:val="num" w:pos="1440"/>
        </w:tabs>
        <w:rPr>
          <w:spacing w:val="-2"/>
        </w:rPr>
      </w:pPr>
      <w:r>
        <w:t>NBVDS</w:t>
      </w:r>
      <w:r w:rsidR="004F515E">
        <w:t xml:space="preserve"> has failed to demonstrate</w:t>
      </w:r>
      <w:r w:rsidR="00C04DC2">
        <w:t xml:space="preserve"> that a waiver </w:t>
      </w:r>
      <w:r w:rsidR="00C158EC">
        <w:t xml:space="preserve">of the requirement to certify and submit a short-form application by the filing deadline </w:t>
      </w:r>
      <w:r w:rsidR="00C04DC2">
        <w:t xml:space="preserve">would not frustrate the purpose of </w:t>
      </w:r>
      <w:r w:rsidR="00C158EC">
        <w:t>the rule</w:t>
      </w:r>
      <w:r w:rsidR="00923A3C">
        <w:t>.</w:t>
      </w:r>
      <w:r w:rsidR="00C96217">
        <w:t xml:space="preserve"> </w:t>
      </w:r>
      <w:r w:rsidRPr="00C96217" w:rsidR="00C96217">
        <w:t xml:space="preserve"> </w:t>
      </w:r>
      <w:r w:rsidR="00FB1259">
        <w:t xml:space="preserve">The Commission has </w:t>
      </w:r>
      <w:r w:rsidR="00667089">
        <w:t xml:space="preserve">long </w:t>
      </w:r>
      <w:r w:rsidR="00FB1259">
        <w:t>explained that</w:t>
      </w:r>
      <w:r w:rsidR="00CE3CED">
        <w:t xml:space="preserve"> u</w:t>
      </w:r>
      <w:r w:rsidRPr="008F4B3C" w:rsidR="00CE3CED">
        <w:rPr>
          <w:szCs w:val="22"/>
        </w:rPr>
        <w:t>niform deadlines for various stages of the auction application process provide applicants with certainty and give the Commission time for orderly application review and auction preparatio</w:t>
      </w:r>
      <w:r w:rsidR="00CE3CED">
        <w:rPr>
          <w:szCs w:val="22"/>
        </w:rPr>
        <w:t>n</w:t>
      </w:r>
      <w:r w:rsidR="00CE3CED">
        <w:t>.</w:t>
      </w:r>
      <w:r>
        <w:rPr>
          <w:rStyle w:val="FootnoteReference"/>
        </w:rPr>
        <w:footnoteReference w:id="10"/>
      </w:r>
      <w:r w:rsidR="00CE3CED">
        <w:t xml:space="preserve">  </w:t>
      </w:r>
      <w:r w:rsidRPr="008F4B3C" w:rsidR="00CE3CED">
        <w:rPr>
          <w:szCs w:val="22"/>
        </w:rPr>
        <w:t xml:space="preserve">The underlying purpose of rules establishing deadlines is best served by their consistent application, which </w:t>
      </w:r>
      <w:r w:rsidR="00691954">
        <w:rPr>
          <w:szCs w:val="22"/>
        </w:rPr>
        <w:t>serves the public interest by providing</w:t>
      </w:r>
      <w:r w:rsidRPr="008F4B3C" w:rsidR="00CE3CED">
        <w:rPr>
          <w:szCs w:val="22"/>
        </w:rPr>
        <w:t xml:space="preserve"> fair and equal treatment to applicants by subjecting them to the same timeframes for making auction-related decisions.</w:t>
      </w:r>
      <w:r>
        <w:rPr>
          <w:rStyle w:val="FootnoteReference"/>
          <w:szCs w:val="22"/>
        </w:rPr>
        <w:footnoteReference w:id="11"/>
      </w:r>
      <w:r>
        <w:rPr>
          <w:szCs w:val="22"/>
        </w:rPr>
        <w:t xml:space="preserve">  </w:t>
      </w:r>
    </w:p>
    <w:p w:rsidR="00C71D30" w:rsidRPr="00D952ED" w:rsidP="009B6309">
      <w:pPr>
        <w:pStyle w:val="ParaNum"/>
        <w:widowControl/>
        <w:numPr>
          <w:ilvl w:val="0"/>
          <w:numId w:val="2"/>
        </w:numPr>
        <w:tabs>
          <w:tab w:val="clear" w:pos="1080"/>
          <w:tab w:val="num" w:pos="1440"/>
        </w:tabs>
        <w:rPr>
          <w:spacing w:val="-2"/>
        </w:rPr>
      </w:pPr>
      <w:r w:rsidRPr="00D952ED">
        <w:rPr>
          <w:szCs w:val="22"/>
        </w:rPr>
        <w:t xml:space="preserve">As a result, in the </w:t>
      </w:r>
      <w:r w:rsidRPr="00D952ED">
        <w:rPr>
          <w:i/>
        </w:rPr>
        <w:t>Auctions 101</w:t>
      </w:r>
      <w:r w:rsidR="00C13764">
        <w:rPr>
          <w:i/>
        </w:rPr>
        <w:t xml:space="preserve"> and </w:t>
      </w:r>
      <w:r w:rsidRPr="00D952ED">
        <w:rPr>
          <w:i/>
        </w:rPr>
        <w:t>102 Procedures Public Notice</w:t>
      </w:r>
      <w:r>
        <w:t xml:space="preserve">, the Commission </w:t>
      </w:r>
      <w:r w:rsidR="00DB52F9">
        <w:t>stated: “</w:t>
      </w:r>
      <w:r w:rsidRPr="00D952ED" w:rsidR="00DB52F9">
        <w:rPr>
          <w:b/>
        </w:rPr>
        <w:t>Late applications will not be accepted.</w:t>
      </w:r>
      <w:r w:rsidR="00DB52F9">
        <w:t>”</w:t>
      </w:r>
      <w:r>
        <w:rPr>
          <w:rStyle w:val="FootnoteReference"/>
        </w:rPr>
        <w:footnoteReference w:id="12"/>
      </w:r>
      <w:r w:rsidR="00DB52F9">
        <w:t xml:space="preserve">  It further </w:t>
      </w:r>
      <w:r>
        <w:t xml:space="preserve">made clear that an applicant “bears full </w:t>
      </w:r>
      <w:r>
        <w:t xml:space="preserve">responsibility” for submitting </w:t>
      </w:r>
      <w:r w:rsidR="00670A66">
        <w:t>a</w:t>
      </w:r>
      <w:r>
        <w:t xml:space="preserve"> timely application</w:t>
      </w:r>
      <w:r w:rsidR="00C158EC">
        <w:t xml:space="preserve"> and warned that if an applicant “fails to make the required certifications in its FCC Form 175 by the filing deadline, its application will be deemed unacceptable for filing and cannot be corrected after the filing deadline.”</w:t>
      </w:r>
      <w:r>
        <w:rPr>
          <w:rStyle w:val="FootnoteReference"/>
        </w:rPr>
        <w:footnoteReference w:id="13"/>
      </w:r>
      <w:r w:rsidR="00AB3A19">
        <w:t xml:space="preserve">  The Commission “strongly urged” applicants to “file early” and affirmed that applicants “are responsible for allowing adequate time for filing their applications.”</w:t>
      </w:r>
      <w:r>
        <w:rPr>
          <w:rStyle w:val="FootnoteReference"/>
        </w:rPr>
        <w:footnoteReference w:id="14"/>
      </w:r>
      <w:r w:rsidR="00D952ED">
        <w:t xml:space="preserve">  T</w:t>
      </w:r>
      <w:r w:rsidR="00F701B2">
        <w:t xml:space="preserve">he Wireless Telecommunications Bureau </w:t>
      </w:r>
      <w:r w:rsidR="00D952ED">
        <w:t>subsequently released short-form application instructions and an online tutorial that emphasized the importance of the short-form application deadline.</w:t>
      </w:r>
      <w:r>
        <w:rPr>
          <w:rStyle w:val="FootnoteReference"/>
        </w:rPr>
        <w:footnoteReference w:id="15"/>
      </w:r>
      <w:r w:rsidR="00D952ED">
        <w:t xml:space="preserve">  </w:t>
      </w:r>
    </w:p>
    <w:p w:rsidR="0068009C" w:rsidRPr="0068009C" w:rsidP="009D5952">
      <w:pPr>
        <w:pStyle w:val="ParaNum"/>
        <w:widowControl/>
        <w:numPr>
          <w:ilvl w:val="0"/>
          <w:numId w:val="2"/>
        </w:numPr>
        <w:tabs>
          <w:tab w:val="clear" w:pos="1080"/>
          <w:tab w:val="num" w:pos="1440"/>
        </w:tabs>
        <w:rPr>
          <w:szCs w:val="22"/>
        </w:rPr>
      </w:pPr>
      <w:r>
        <w:t>NBVDS</w:t>
      </w:r>
      <w:r w:rsidR="008C0B5B">
        <w:t xml:space="preserve"> claim</w:t>
      </w:r>
      <w:r w:rsidR="007F133C">
        <w:t>s</w:t>
      </w:r>
      <w:r w:rsidR="008C0B5B">
        <w:t xml:space="preserve"> </w:t>
      </w:r>
      <w:r w:rsidR="0027708D">
        <w:t xml:space="preserve">that </w:t>
      </w:r>
      <w:r w:rsidR="007F133C">
        <w:t>the</w:t>
      </w:r>
      <w:r w:rsidR="00B16424">
        <w:t xml:space="preserve"> Commission’s </w:t>
      </w:r>
      <w:r w:rsidR="007F133C">
        <w:t>policy objectives w</w:t>
      </w:r>
      <w:r w:rsidR="00D00646">
        <w:t xml:space="preserve">ould </w:t>
      </w:r>
      <w:r w:rsidR="007F133C">
        <w:t xml:space="preserve">not be frustrated </w:t>
      </w:r>
      <w:r w:rsidR="00134BA9">
        <w:t xml:space="preserve">by a waiver </w:t>
      </w:r>
      <w:r w:rsidR="00950D44">
        <w:t>because the DDoS event that prevented NBVDS from certifying and submitting its application was an “unusual and compelling circumstance</w:t>
      </w:r>
      <w:r w:rsidR="00230F52">
        <w:t>.</w:t>
      </w:r>
      <w:r w:rsidR="00950D44">
        <w:t>”</w:t>
      </w:r>
      <w:r>
        <w:rPr>
          <w:rStyle w:val="FootnoteReference"/>
        </w:rPr>
        <w:footnoteReference w:id="16"/>
      </w:r>
      <w:r w:rsidR="00950D44">
        <w:t xml:space="preserve">  </w:t>
      </w:r>
      <w:r w:rsidR="007F133C">
        <w:t xml:space="preserve">We do not </w:t>
      </w:r>
      <w:r w:rsidR="00607C86">
        <w:t>agree</w:t>
      </w:r>
      <w:r w:rsidR="007F133C">
        <w:t>.</w:t>
      </w:r>
      <w:r w:rsidR="00BC0E35">
        <w:t xml:space="preserve">  </w:t>
      </w:r>
      <w:r w:rsidR="00591400">
        <w:t xml:space="preserve">The auction process includes multiple succeeding deadlines, including application filing deadlines, the upfront payment deadline, and deadlines at the end of each round of bidding, which must be strictly observed to assure that an auction is fair and objective to all participants.  </w:t>
      </w:r>
      <w:r w:rsidR="002D24A6">
        <w:t xml:space="preserve">A waiver of the short-form filing deadline would compromise </w:t>
      </w:r>
      <w:r w:rsidR="00591400">
        <w:t xml:space="preserve">these </w:t>
      </w:r>
      <w:r w:rsidR="002D24A6">
        <w:t>deadline</w:t>
      </w:r>
      <w:r w:rsidR="00591400">
        <w:t>s</w:t>
      </w:r>
      <w:r w:rsidR="002D24A6">
        <w:t xml:space="preserve"> </w:t>
      </w:r>
      <w:r w:rsidR="00591400">
        <w:t>and undermine auction integrity</w:t>
      </w:r>
      <w:r w:rsidR="002D24A6">
        <w:t xml:space="preserve">.  </w:t>
      </w:r>
      <w:r w:rsidR="001E1732">
        <w:t>A</w:t>
      </w:r>
      <w:r w:rsidR="00134BA9">
        <w:t>bsen</w:t>
      </w:r>
      <w:r w:rsidR="001E1732">
        <w:t>t</w:t>
      </w:r>
      <w:r w:rsidR="00134BA9">
        <w:t xml:space="preserve"> strict enforcement,</w:t>
      </w:r>
      <w:r w:rsidR="001E1732">
        <w:t xml:space="preserve"> participants would have opportunities to argue what the</w:t>
      </w:r>
      <w:r w:rsidR="006278D2">
        <w:t>y</w:t>
      </w:r>
      <w:r w:rsidR="001E1732">
        <w:t xml:space="preserve"> </w:t>
      </w:r>
      <w:r w:rsidRPr="001A50AC" w:rsidR="001E1732">
        <w:rPr>
          <w:i/>
        </w:rPr>
        <w:t>meant</w:t>
      </w:r>
      <w:r w:rsidR="001E1732">
        <w:t xml:space="preserve"> to do–e.g., certify and submit an application by the deadline, place a bid, etc.–rather than what they actually did in the Commission’s auction</w:t>
      </w:r>
      <w:r w:rsidR="00C158EC">
        <w:t xml:space="preserve">-related </w:t>
      </w:r>
      <w:r w:rsidR="001E1732">
        <w:t>systems</w:t>
      </w:r>
      <w:r w:rsidR="007262D1">
        <w:t xml:space="preserve"> in the time allotted to all participants equally</w:t>
      </w:r>
      <w:r w:rsidR="001E1732">
        <w:t>.  For this reason,</w:t>
      </w:r>
      <w:r w:rsidR="00134BA9">
        <w:t xml:space="preserve"> t</w:t>
      </w:r>
      <w:r w:rsidR="002D24A6">
        <w:t xml:space="preserve">he Commission </w:t>
      </w:r>
      <w:r w:rsidR="001E1732">
        <w:t xml:space="preserve">advises applicants that </w:t>
      </w:r>
      <w:r w:rsidR="00822E98">
        <w:t>they must take responsibility for their own action or inaction in the auction process.</w:t>
      </w:r>
      <w:r>
        <w:rPr>
          <w:rStyle w:val="FootnoteReference"/>
        </w:rPr>
        <w:footnoteReference w:id="17"/>
      </w:r>
      <w:r w:rsidR="00822E98">
        <w:t xml:space="preserve">  </w:t>
      </w:r>
    </w:p>
    <w:p w:rsidR="00DB52F9" w:rsidRPr="00DB52F9" w:rsidP="009D5952">
      <w:pPr>
        <w:pStyle w:val="ParaNum"/>
        <w:widowControl/>
        <w:numPr>
          <w:ilvl w:val="0"/>
          <w:numId w:val="2"/>
        </w:numPr>
        <w:tabs>
          <w:tab w:val="clear" w:pos="1080"/>
          <w:tab w:val="num" w:pos="1440"/>
        </w:tabs>
        <w:rPr>
          <w:szCs w:val="22"/>
        </w:rPr>
      </w:pPr>
      <w:r>
        <w:t>We are not persuaded that NBVDS’s asserted intent to deliver enhanced broadband services using 28 GHz spectrum to current and future customers in rural areas outweighs the public interest benefit in consistent enforcement of the Commission’s auction-related deadlines.</w:t>
      </w:r>
      <w:r>
        <w:rPr>
          <w:rStyle w:val="FootnoteReference"/>
        </w:rPr>
        <w:footnoteReference w:id="18"/>
      </w:r>
      <w:r>
        <w:t xml:space="preserve">  To the extent NBVDS qualifies to bid in Auction 102, which will begin after the close of Auction 101, we would expect that NBVDS could bid for the 24 GHz spectrum offered in that auction to be used in the same manner in the same areas of the country.</w:t>
      </w:r>
    </w:p>
    <w:p w:rsidR="0068009C" w:rsidRPr="0068009C" w:rsidP="009D5952">
      <w:pPr>
        <w:pStyle w:val="ParaNum"/>
        <w:widowControl/>
        <w:numPr>
          <w:ilvl w:val="0"/>
          <w:numId w:val="2"/>
        </w:numPr>
        <w:tabs>
          <w:tab w:val="clear" w:pos="1080"/>
          <w:tab w:val="num" w:pos="1440"/>
        </w:tabs>
        <w:rPr>
          <w:szCs w:val="22"/>
        </w:rPr>
      </w:pPr>
      <w:r>
        <w:t xml:space="preserve">In addition, NBVDS presents no unique facts that persuade us </w:t>
      </w:r>
      <w:r>
        <w:rPr>
          <w:szCs w:val="22"/>
        </w:rPr>
        <w:t xml:space="preserve">that </w:t>
      </w:r>
      <w:r w:rsidR="002D24A6">
        <w:rPr>
          <w:szCs w:val="22"/>
        </w:rPr>
        <w:t xml:space="preserve">it would be unfair or inequitable to deny </w:t>
      </w:r>
      <w:r>
        <w:rPr>
          <w:szCs w:val="22"/>
        </w:rPr>
        <w:t>NBVDS</w:t>
      </w:r>
      <w:r w:rsidR="002D24A6">
        <w:rPr>
          <w:szCs w:val="22"/>
        </w:rPr>
        <w:t xml:space="preserve">’s requested relief.  </w:t>
      </w:r>
      <w:r w:rsidR="007E073B">
        <w:rPr>
          <w:szCs w:val="22"/>
        </w:rPr>
        <w:t xml:space="preserve">By its own admission, </w:t>
      </w:r>
      <w:r w:rsidR="002D24A6">
        <w:rPr>
          <w:szCs w:val="22"/>
        </w:rPr>
        <w:t xml:space="preserve">NBVDS </w:t>
      </w:r>
      <w:r w:rsidR="007E073B">
        <w:rPr>
          <w:szCs w:val="22"/>
        </w:rPr>
        <w:t>waited until</w:t>
      </w:r>
      <w:r w:rsidR="001E793E">
        <w:rPr>
          <w:szCs w:val="22"/>
        </w:rPr>
        <w:t xml:space="preserve"> </w:t>
      </w:r>
      <w:r w:rsidR="00947679">
        <w:rPr>
          <w:szCs w:val="22"/>
        </w:rPr>
        <w:t xml:space="preserve">approximately </w:t>
      </w:r>
      <w:r w:rsidR="001E793E">
        <w:rPr>
          <w:szCs w:val="22"/>
        </w:rPr>
        <w:t>5:5</w:t>
      </w:r>
      <w:r w:rsidR="00947679">
        <w:rPr>
          <w:szCs w:val="22"/>
        </w:rPr>
        <w:t>5</w:t>
      </w:r>
      <w:r w:rsidR="001E793E">
        <w:rPr>
          <w:szCs w:val="22"/>
        </w:rPr>
        <w:t xml:space="preserve"> p.m. ET </w:t>
      </w:r>
      <w:r w:rsidR="007E073B">
        <w:rPr>
          <w:szCs w:val="22"/>
        </w:rPr>
        <w:t>to attempt to certify and submit its short-form application</w:t>
      </w:r>
      <w:r w:rsidR="00A238A5">
        <w:rPr>
          <w:szCs w:val="22"/>
        </w:rPr>
        <w:t xml:space="preserve"> for Auction 101</w:t>
      </w:r>
      <w:r w:rsidR="007E073B">
        <w:rPr>
          <w:szCs w:val="22"/>
        </w:rPr>
        <w:t>.</w:t>
      </w:r>
      <w:r>
        <w:rPr>
          <w:rStyle w:val="FootnoteReference"/>
          <w:szCs w:val="22"/>
        </w:rPr>
        <w:footnoteReference w:id="19"/>
      </w:r>
      <w:r w:rsidR="003003AD">
        <w:rPr>
          <w:szCs w:val="22"/>
        </w:rPr>
        <w:t xml:space="preserve">  That is the last </w:t>
      </w:r>
      <w:r w:rsidR="00947679">
        <w:rPr>
          <w:i/>
          <w:szCs w:val="22"/>
        </w:rPr>
        <w:t>five</w:t>
      </w:r>
      <w:r w:rsidR="003003AD">
        <w:rPr>
          <w:szCs w:val="22"/>
        </w:rPr>
        <w:t xml:space="preserve"> </w:t>
      </w:r>
      <w:r w:rsidRPr="00BC3E37" w:rsidR="003003AD">
        <w:rPr>
          <w:i/>
          <w:szCs w:val="22"/>
        </w:rPr>
        <w:t>minutes</w:t>
      </w:r>
      <w:r w:rsidR="003003AD">
        <w:rPr>
          <w:szCs w:val="22"/>
        </w:rPr>
        <w:t xml:space="preserve"> of the </w:t>
      </w:r>
      <w:r w:rsidRPr="00A238A5" w:rsidR="003003AD">
        <w:rPr>
          <w:i/>
          <w:szCs w:val="22"/>
        </w:rPr>
        <w:t>two-week</w:t>
      </w:r>
      <w:r w:rsidR="003003AD">
        <w:rPr>
          <w:szCs w:val="22"/>
        </w:rPr>
        <w:t xml:space="preserve"> </w:t>
      </w:r>
      <w:r w:rsidR="00F70831">
        <w:rPr>
          <w:szCs w:val="22"/>
        </w:rPr>
        <w:t xml:space="preserve">short-form application </w:t>
      </w:r>
      <w:r w:rsidR="003003AD">
        <w:rPr>
          <w:szCs w:val="22"/>
        </w:rPr>
        <w:t xml:space="preserve">filling window.  </w:t>
      </w:r>
      <w:r w:rsidR="00A238A5">
        <w:rPr>
          <w:szCs w:val="22"/>
        </w:rPr>
        <w:t xml:space="preserve">Indeed, </w:t>
      </w:r>
      <w:r w:rsidR="002238B1">
        <w:rPr>
          <w:szCs w:val="22"/>
        </w:rPr>
        <w:t xml:space="preserve">having done an internal staff investigation in response to phone calls from NBVDS and its counsel, we know that </w:t>
      </w:r>
      <w:r w:rsidR="00A238A5">
        <w:rPr>
          <w:szCs w:val="22"/>
        </w:rPr>
        <w:t>NBVDS</w:t>
      </w:r>
      <w:r w:rsidR="0008212C">
        <w:rPr>
          <w:szCs w:val="22"/>
        </w:rPr>
        <w:t>’s</w:t>
      </w:r>
      <w:r w:rsidR="00A238A5">
        <w:rPr>
          <w:szCs w:val="22"/>
        </w:rPr>
        <w:t xml:space="preserve"> Auction 102 </w:t>
      </w:r>
      <w:r w:rsidR="001A50AC">
        <w:rPr>
          <w:szCs w:val="22"/>
        </w:rPr>
        <w:t xml:space="preserve">application </w:t>
      </w:r>
      <w:r w:rsidR="00224BC0">
        <w:rPr>
          <w:szCs w:val="22"/>
        </w:rPr>
        <w:t xml:space="preserve">was the last </w:t>
      </w:r>
      <w:r w:rsidR="001A50AC">
        <w:rPr>
          <w:szCs w:val="22"/>
        </w:rPr>
        <w:t xml:space="preserve">one </w:t>
      </w:r>
      <w:r w:rsidR="00224BC0">
        <w:rPr>
          <w:szCs w:val="22"/>
        </w:rPr>
        <w:t xml:space="preserve">submitted.  </w:t>
      </w:r>
      <w:r w:rsidR="002238B1">
        <w:rPr>
          <w:szCs w:val="22"/>
        </w:rPr>
        <w:t>O</w:t>
      </w:r>
      <w:r w:rsidR="00224BC0">
        <w:rPr>
          <w:szCs w:val="22"/>
        </w:rPr>
        <w:t xml:space="preserve">nly </w:t>
      </w:r>
      <w:r>
        <w:rPr>
          <w:szCs w:val="22"/>
        </w:rPr>
        <w:t>two</w:t>
      </w:r>
      <w:r w:rsidR="00224BC0">
        <w:rPr>
          <w:szCs w:val="22"/>
        </w:rPr>
        <w:t xml:space="preserve"> other applicant</w:t>
      </w:r>
      <w:r>
        <w:rPr>
          <w:szCs w:val="22"/>
        </w:rPr>
        <w:t>s</w:t>
      </w:r>
      <w:r w:rsidR="00224BC0">
        <w:rPr>
          <w:szCs w:val="22"/>
        </w:rPr>
        <w:t xml:space="preserve"> submitted </w:t>
      </w:r>
      <w:r>
        <w:rPr>
          <w:szCs w:val="22"/>
        </w:rPr>
        <w:t xml:space="preserve">applications </w:t>
      </w:r>
      <w:r w:rsidR="00224BC0">
        <w:rPr>
          <w:szCs w:val="22"/>
        </w:rPr>
        <w:t xml:space="preserve">in the last 30 minutes before the deadline.  </w:t>
      </w:r>
      <w:r w:rsidR="00A238A5">
        <w:rPr>
          <w:szCs w:val="22"/>
        </w:rPr>
        <w:t xml:space="preserve">NBVDS </w:t>
      </w:r>
      <w:r w:rsidR="00BC3E37">
        <w:rPr>
          <w:szCs w:val="22"/>
        </w:rPr>
        <w:t xml:space="preserve">provides no reason–and importantly, </w:t>
      </w:r>
      <w:r w:rsidR="00A238A5">
        <w:rPr>
          <w:szCs w:val="22"/>
        </w:rPr>
        <w:t>takes no responsibility</w:t>
      </w:r>
      <w:r w:rsidR="00BC3E37">
        <w:rPr>
          <w:szCs w:val="22"/>
        </w:rPr>
        <w:t>–</w:t>
      </w:r>
      <w:r w:rsidR="00E356F8">
        <w:rPr>
          <w:szCs w:val="22"/>
        </w:rPr>
        <w:t>f</w:t>
      </w:r>
      <w:r w:rsidR="00A238A5">
        <w:rPr>
          <w:szCs w:val="22"/>
        </w:rPr>
        <w:t>or</w:t>
      </w:r>
      <w:r w:rsidR="00BC3E37">
        <w:rPr>
          <w:szCs w:val="22"/>
        </w:rPr>
        <w:t xml:space="preserve"> it</w:t>
      </w:r>
      <w:r w:rsidR="00A238A5">
        <w:rPr>
          <w:szCs w:val="22"/>
        </w:rPr>
        <w:t xml:space="preserve">s </w:t>
      </w:r>
      <w:r w:rsidR="003003AD">
        <w:rPr>
          <w:szCs w:val="22"/>
        </w:rPr>
        <w:t>failure to act sooner</w:t>
      </w:r>
      <w:r w:rsidR="00A238A5">
        <w:rPr>
          <w:szCs w:val="22"/>
        </w:rPr>
        <w:t>.  Had NBVDS planned ahead</w:t>
      </w:r>
      <w:r w:rsidR="00C158EC">
        <w:rPr>
          <w:szCs w:val="22"/>
        </w:rPr>
        <w:t>,</w:t>
      </w:r>
      <w:r w:rsidR="004E1F0D">
        <w:rPr>
          <w:szCs w:val="22"/>
        </w:rPr>
        <w:t xml:space="preserve"> </w:t>
      </w:r>
      <w:r w:rsidR="00A238A5">
        <w:rPr>
          <w:szCs w:val="22"/>
        </w:rPr>
        <w:t xml:space="preserve">the </w:t>
      </w:r>
      <w:r w:rsidR="003003AD">
        <w:rPr>
          <w:szCs w:val="22"/>
        </w:rPr>
        <w:t>purport</w:t>
      </w:r>
      <w:r w:rsidR="00A238A5">
        <w:rPr>
          <w:szCs w:val="22"/>
        </w:rPr>
        <w:t xml:space="preserve">ed “unprecedented” DDoS attack </w:t>
      </w:r>
      <w:r w:rsidR="00230F52">
        <w:rPr>
          <w:szCs w:val="22"/>
        </w:rPr>
        <w:t xml:space="preserve">that </w:t>
      </w:r>
      <w:r w:rsidR="00947679">
        <w:rPr>
          <w:szCs w:val="22"/>
        </w:rPr>
        <w:t xml:space="preserve">NBVDS first noticed at </w:t>
      </w:r>
      <w:r w:rsidR="00230F52">
        <w:rPr>
          <w:szCs w:val="22"/>
        </w:rPr>
        <w:t>5:4</w:t>
      </w:r>
      <w:r w:rsidR="00947679">
        <w:rPr>
          <w:szCs w:val="22"/>
        </w:rPr>
        <w:t>3</w:t>
      </w:r>
      <w:r w:rsidR="00230F52">
        <w:rPr>
          <w:szCs w:val="22"/>
        </w:rPr>
        <w:t xml:space="preserve"> p.m. ET </w:t>
      </w:r>
      <w:r w:rsidR="00A238A5">
        <w:rPr>
          <w:szCs w:val="22"/>
        </w:rPr>
        <w:t>would have been immaterial.</w:t>
      </w:r>
      <w:r>
        <w:rPr>
          <w:rStyle w:val="FootnoteReference"/>
          <w:szCs w:val="22"/>
        </w:rPr>
        <w:footnoteReference w:id="20"/>
      </w:r>
      <w:r w:rsidR="00A238A5">
        <w:rPr>
          <w:szCs w:val="22"/>
        </w:rPr>
        <w:t xml:space="preserve">  </w:t>
      </w:r>
      <w:r w:rsidR="002D24A6">
        <w:rPr>
          <w:szCs w:val="22"/>
        </w:rPr>
        <w:t xml:space="preserve"> </w:t>
      </w:r>
      <w:r>
        <w:rPr>
          <w:szCs w:val="22"/>
        </w:rPr>
        <w:t xml:space="preserve"> </w:t>
      </w:r>
    </w:p>
    <w:p w:rsidR="004E1F0D" w:rsidP="009D5952">
      <w:pPr>
        <w:pStyle w:val="ParaNum"/>
        <w:widowControl/>
        <w:numPr>
          <w:ilvl w:val="0"/>
          <w:numId w:val="2"/>
        </w:numPr>
        <w:tabs>
          <w:tab w:val="clear" w:pos="1080"/>
          <w:tab w:val="num" w:pos="1440"/>
        </w:tabs>
        <w:rPr>
          <w:szCs w:val="22"/>
        </w:rPr>
      </w:pPr>
      <w:r w:rsidRPr="009055F9">
        <w:rPr>
          <w:szCs w:val="22"/>
        </w:rPr>
        <w:t xml:space="preserve">NBVDS </w:t>
      </w:r>
      <w:r w:rsidR="008F1C4E">
        <w:rPr>
          <w:szCs w:val="22"/>
        </w:rPr>
        <w:t xml:space="preserve">bases its argument </w:t>
      </w:r>
      <w:r w:rsidR="00877B18">
        <w:rPr>
          <w:szCs w:val="22"/>
        </w:rPr>
        <w:t xml:space="preserve">that unique facts justify </w:t>
      </w:r>
      <w:r w:rsidR="008F1C4E">
        <w:rPr>
          <w:szCs w:val="22"/>
        </w:rPr>
        <w:t xml:space="preserve">a waiver on </w:t>
      </w:r>
      <w:r w:rsidRPr="009055F9">
        <w:rPr>
          <w:szCs w:val="22"/>
        </w:rPr>
        <w:t>a Commission public notice</w:t>
      </w:r>
      <w:r w:rsidR="008F1C4E">
        <w:rPr>
          <w:szCs w:val="22"/>
        </w:rPr>
        <w:t xml:space="preserve"> from 1985 </w:t>
      </w:r>
      <w:r w:rsidRPr="009055F9" w:rsidR="008F1C4E">
        <w:rPr>
          <w:szCs w:val="22"/>
        </w:rPr>
        <w:t xml:space="preserve">that is wholly unrelated to the </w:t>
      </w:r>
      <w:r w:rsidR="008F1C4E">
        <w:rPr>
          <w:szCs w:val="22"/>
        </w:rPr>
        <w:t xml:space="preserve">spectrum </w:t>
      </w:r>
      <w:r w:rsidRPr="009055F9" w:rsidR="008F1C4E">
        <w:rPr>
          <w:szCs w:val="22"/>
        </w:rPr>
        <w:t>auction contex</w:t>
      </w:r>
      <w:r w:rsidR="008F1C4E">
        <w:rPr>
          <w:szCs w:val="22"/>
        </w:rPr>
        <w:t>t.</w:t>
      </w:r>
      <w:r>
        <w:rPr>
          <w:rStyle w:val="FootnoteReference"/>
          <w:szCs w:val="22"/>
        </w:rPr>
        <w:footnoteReference w:id="21"/>
      </w:r>
      <w:r w:rsidR="008F1C4E">
        <w:rPr>
          <w:szCs w:val="22"/>
        </w:rPr>
        <w:t xml:space="preserve">  </w:t>
      </w:r>
      <w:r>
        <w:rPr>
          <w:szCs w:val="22"/>
        </w:rPr>
        <w:t>A</w:t>
      </w:r>
      <w:r>
        <w:t>ssuming that this precedent would apply here, the facts alleged by NBVDS are not equivalent to the examples the Commission provided of “a debilitating earthquake or a city-wide power outage that brings transportation to a halt.”</w:t>
      </w:r>
      <w:r>
        <w:rPr>
          <w:rStyle w:val="FootnoteReference"/>
        </w:rPr>
        <w:footnoteReference w:id="22"/>
      </w:r>
      <w:r>
        <w:t xml:space="preserve">  In fact, the 43-minute disruption or degradation of internet service on a particular provider’s network may be more comparable to issues with copying machines or delivery services, which the Commission explained do not warrant a waiver of a filing deadline.</w:t>
      </w:r>
      <w:r>
        <w:rPr>
          <w:rStyle w:val="FootnoteReference"/>
        </w:rPr>
        <w:footnoteReference w:id="23"/>
      </w:r>
      <w:r>
        <w:t xml:space="preserve">  It was a temporary, relatively isolated issue that may have prevented the delivery of some data to the Commission’s Auction Application System.  Notably, it was not severe enough to prevent NBVDS from submitting its Auction 102 application minutes earlier.</w:t>
      </w:r>
    </w:p>
    <w:p w:rsidR="008F1C4E" w:rsidP="009D5952">
      <w:pPr>
        <w:pStyle w:val="ParaNum"/>
        <w:widowControl/>
        <w:numPr>
          <w:ilvl w:val="0"/>
          <w:numId w:val="2"/>
        </w:numPr>
        <w:tabs>
          <w:tab w:val="clear" w:pos="1080"/>
          <w:tab w:val="num" w:pos="1440"/>
        </w:tabs>
        <w:rPr>
          <w:szCs w:val="22"/>
        </w:rPr>
      </w:pPr>
      <w:r>
        <w:t xml:space="preserve">Furthermore, </w:t>
      </w:r>
      <w:r w:rsidRPr="009055F9" w:rsidR="009055F9">
        <w:rPr>
          <w:szCs w:val="22"/>
        </w:rPr>
        <w:t xml:space="preserve">the </w:t>
      </w:r>
      <w:r>
        <w:rPr>
          <w:szCs w:val="22"/>
        </w:rPr>
        <w:t xml:space="preserve">Commission’s cautionary language in the </w:t>
      </w:r>
      <w:r w:rsidR="0096151A">
        <w:rPr>
          <w:szCs w:val="22"/>
        </w:rPr>
        <w:t xml:space="preserve">public notice </w:t>
      </w:r>
      <w:r w:rsidR="00B62FFB">
        <w:rPr>
          <w:szCs w:val="22"/>
        </w:rPr>
        <w:t xml:space="preserve">more strongly supports </w:t>
      </w:r>
      <w:r>
        <w:rPr>
          <w:szCs w:val="22"/>
        </w:rPr>
        <w:t xml:space="preserve">the </w:t>
      </w:r>
      <w:r w:rsidR="00B62FFB">
        <w:rPr>
          <w:szCs w:val="22"/>
        </w:rPr>
        <w:t>denial of NBVDS’s Request</w:t>
      </w:r>
      <w:r w:rsidR="0096151A">
        <w:rPr>
          <w:szCs w:val="22"/>
        </w:rPr>
        <w:t xml:space="preserve">.  The </w:t>
      </w:r>
      <w:r w:rsidRPr="009055F9" w:rsidR="009055F9">
        <w:rPr>
          <w:szCs w:val="22"/>
        </w:rPr>
        <w:t xml:space="preserve">Commission </w:t>
      </w:r>
      <w:r>
        <w:rPr>
          <w:szCs w:val="22"/>
        </w:rPr>
        <w:t>warned</w:t>
      </w:r>
      <w:r w:rsidRPr="009055F9" w:rsidR="009055F9">
        <w:rPr>
          <w:szCs w:val="22"/>
        </w:rPr>
        <w:t>:</w:t>
      </w:r>
      <w:r w:rsidRPr="009055F9" w:rsidR="00936410">
        <w:rPr>
          <w:szCs w:val="22"/>
        </w:rPr>
        <w:t xml:space="preserve"> </w:t>
      </w:r>
    </w:p>
    <w:p w:rsidR="008F1C4E" w:rsidRPr="008F1C4E" w:rsidP="00D737F5">
      <w:pPr>
        <w:pStyle w:val="ParaNum"/>
        <w:widowControl/>
        <w:numPr>
          <w:ilvl w:val="0"/>
          <w:numId w:val="0"/>
        </w:numPr>
        <w:ind w:left="720" w:right="720"/>
        <w:rPr>
          <w:szCs w:val="22"/>
        </w:rPr>
      </w:pPr>
      <w:r>
        <w:rPr>
          <w:szCs w:val="22"/>
        </w:rPr>
        <w:t>[A]</w:t>
      </w:r>
      <w:r>
        <w:t>pplicants who wait until the eleventh hour to meet Commission deadlines will be held to assume the risk for almost all events which may occur to prevent timely filing.  To minimize the risk, applicants should build into their schedules a reasonable margin of error in anticipation of circumstances which may cause delay.</w:t>
      </w:r>
      <w:r>
        <w:rPr>
          <w:rStyle w:val="FootnoteReference"/>
        </w:rPr>
        <w:footnoteReference w:id="24"/>
      </w:r>
      <w:r>
        <w:t xml:space="preserve">  </w:t>
      </w:r>
    </w:p>
    <w:p w:rsidR="000C249C" w:rsidRPr="009055F9" w:rsidP="008F1C4E">
      <w:pPr>
        <w:pStyle w:val="ParaNum"/>
        <w:widowControl/>
        <w:numPr>
          <w:ilvl w:val="0"/>
          <w:numId w:val="0"/>
        </w:numPr>
        <w:rPr>
          <w:szCs w:val="22"/>
        </w:rPr>
      </w:pPr>
      <w:r>
        <w:t>NBVDS did not heed this direction.</w:t>
      </w:r>
      <w:r w:rsidR="00315B8B">
        <w:t xml:space="preserve">  Contrary to NBVDS’s claim</w:t>
      </w:r>
      <w:r w:rsidR="008F1C4E">
        <w:t xml:space="preserve"> that it had no reasonable alternative</w:t>
      </w:r>
      <w:r w:rsidR="00843201">
        <w:t xml:space="preserve"> due to the DDoS attack</w:t>
      </w:r>
      <w:r w:rsidR="00315B8B">
        <w:t>,</w:t>
      </w:r>
      <w:r>
        <w:rPr>
          <w:rStyle w:val="FootnoteReference"/>
        </w:rPr>
        <w:footnoteReference w:id="25"/>
      </w:r>
      <w:r w:rsidR="00315B8B">
        <w:t xml:space="preserve"> it did </w:t>
      </w:r>
      <w:r w:rsidR="00D737F5">
        <w:t>in fact have one</w:t>
      </w:r>
      <w:r w:rsidR="00315B8B">
        <w:t>: planning ahead.</w:t>
      </w:r>
    </w:p>
    <w:p w:rsidR="00FB1259" w:rsidP="009D5952">
      <w:pPr>
        <w:pStyle w:val="ParaNum"/>
        <w:widowControl/>
        <w:numPr>
          <w:ilvl w:val="0"/>
          <w:numId w:val="2"/>
        </w:numPr>
        <w:tabs>
          <w:tab w:val="clear" w:pos="1080"/>
          <w:tab w:val="num" w:pos="1440"/>
        </w:tabs>
      </w:pPr>
      <w:r w:rsidRPr="00DB52F9">
        <w:rPr>
          <w:szCs w:val="22"/>
        </w:rPr>
        <w:t xml:space="preserve">We disagree with NBVDS that denying its Request </w:t>
      </w:r>
      <w:r w:rsidRPr="00DB52F9" w:rsidR="0038403D">
        <w:rPr>
          <w:szCs w:val="22"/>
        </w:rPr>
        <w:t>would “chang[e] the [short-form application] deadline without notice.”</w:t>
      </w:r>
      <w:r>
        <w:rPr>
          <w:rStyle w:val="FootnoteReference"/>
          <w:szCs w:val="22"/>
        </w:rPr>
        <w:footnoteReference w:id="26"/>
      </w:r>
      <w:r w:rsidRPr="00DB52F9" w:rsidR="0038403D">
        <w:rPr>
          <w:szCs w:val="22"/>
        </w:rPr>
        <w:t xml:space="preserve">  To the contrary, NBVDS is asking us to </w:t>
      </w:r>
      <w:r w:rsidRPr="00DB52F9" w:rsidR="0038403D">
        <w:rPr>
          <w:i/>
          <w:szCs w:val="22"/>
        </w:rPr>
        <w:t>extend</w:t>
      </w:r>
      <w:r w:rsidRPr="00DB52F9" w:rsidR="0038403D">
        <w:rPr>
          <w:szCs w:val="22"/>
        </w:rPr>
        <w:t xml:space="preserve"> the deadline and </w:t>
      </w:r>
      <w:r w:rsidRPr="00DB52F9">
        <w:rPr>
          <w:szCs w:val="22"/>
        </w:rPr>
        <w:t xml:space="preserve">accept </w:t>
      </w:r>
      <w:r w:rsidRPr="00DB52F9" w:rsidR="006E2ECE">
        <w:rPr>
          <w:szCs w:val="22"/>
        </w:rPr>
        <w:t xml:space="preserve">required </w:t>
      </w:r>
      <w:r w:rsidRPr="00DB52F9" w:rsidR="0038403D">
        <w:rPr>
          <w:szCs w:val="22"/>
        </w:rPr>
        <w:t xml:space="preserve">certifications </w:t>
      </w:r>
      <w:r w:rsidRPr="00DB52F9" w:rsidR="00B267C7">
        <w:rPr>
          <w:szCs w:val="22"/>
        </w:rPr>
        <w:t>that were provided to the Commission</w:t>
      </w:r>
      <w:r w:rsidRPr="00DB52F9">
        <w:rPr>
          <w:szCs w:val="22"/>
        </w:rPr>
        <w:t xml:space="preserve"> </w:t>
      </w:r>
      <w:r w:rsidRPr="00DB52F9" w:rsidR="005577F3">
        <w:rPr>
          <w:szCs w:val="22"/>
        </w:rPr>
        <w:t xml:space="preserve">in its Request </w:t>
      </w:r>
      <w:r w:rsidRPr="00DB52F9" w:rsidR="0038403D">
        <w:rPr>
          <w:szCs w:val="22"/>
        </w:rPr>
        <w:t>over 10 days later</w:t>
      </w:r>
      <w:r w:rsidRPr="00DB52F9" w:rsidR="002238B1">
        <w:rPr>
          <w:szCs w:val="22"/>
        </w:rPr>
        <w:t xml:space="preserve"> and by its own admission</w:t>
      </w:r>
      <w:r w:rsidRPr="00DB52F9" w:rsidR="007D4254">
        <w:rPr>
          <w:szCs w:val="22"/>
        </w:rPr>
        <w:t>,</w:t>
      </w:r>
      <w:r w:rsidRPr="00DB52F9" w:rsidR="002238B1">
        <w:rPr>
          <w:szCs w:val="22"/>
        </w:rPr>
        <w:t xml:space="preserve"> seven days after learning of the DDoS attac</w:t>
      </w:r>
      <w:r w:rsidRPr="00DB52F9" w:rsidR="00C246F5">
        <w:rPr>
          <w:szCs w:val="22"/>
        </w:rPr>
        <w:t>k</w:t>
      </w:r>
      <w:r w:rsidRPr="00DB52F9" w:rsidR="0038403D">
        <w:rPr>
          <w:szCs w:val="22"/>
        </w:rPr>
        <w:t>.</w:t>
      </w:r>
      <w:r>
        <w:rPr>
          <w:rStyle w:val="FootnoteReference"/>
          <w:szCs w:val="22"/>
        </w:rPr>
        <w:footnoteReference w:id="27"/>
      </w:r>
      <w:r w:rsidRPr="00DB52F9" w:rsidR="0038403D">
        <w:rPr>
          <w:szCs w:val="22"/>
        </w:rPr>
        <w:t xml:space="preserve">  </w:t>
      </w:r>
      <w:bookmarkStart w:id="1" w:name="_Hlk526928736"/>
      <w:r w:rsidRPr="00DB52F9" w:rsidR="00AE7890">
        <w:rPr>
          <w:szCs w:val="22"/>
        </w:rPr>
        <w:t xml:space="preserve">We are aware of </w:t>
      </w:r>
      <w:r w:rsidRPr="00DB52F9" w:rsidR="00CD2910">
        <w:rPr>
          <w:szCs w:val="22"/>
        </w:rPr>
        <w:t>no issue with the C</w:t>
      </w:r>
      <w:r w:rsidRPr="00DB52F9" w:rsidR="0044712A">
        <w:rPr>
          <w:szCs w:val="22"/>
        </w:rPr>
        <w:t>ommis</w:t>
      </w:r>
      <w:r w:rsidRPr="00DB52F9" w:rsidR="002F3417">
        <w:rPr>
          <w:szCs w:val="22"/>
        </w:rPr>
        <w:t>s</w:t>
      </w:r>
      <w:r w:rsidRPr="00DB52F9" w:rsidR="0044712A">
        <w:rPr>
          <w:szCs w:val="22"/>
        </w:rPr>
        <w:t>ion</w:t>
      </w:r>
      <w:r w:rsidRPr="00DB52F9" w:rsidR="00CD2910">
        <w:rPr>
          <w:szCs w:val="22"/>
        </w:rPr>
        <w:t xml:space="preserve">’s </w:t>
      </w:r>
      <w:r w:rsidRPr="00DB52F9" w:rsidR="00AA6510">
        <w:rPr>
          <w:szCs w:val="22"/>
        </w:rPr>
        <w:t>A</w:t>
      </w:r>
      <w:r w:rsidRPr="00DB52F9" w:rsidR="00CD2910">
        <w:rPr>
          <w:szCs w:val="22"/>
        </w:rPr>
        <w:t xml:space="preserve">uction </w:t>
      </w:r>
      <w:r w:rsidRPr="00DB52F9" w:rsidR="00AA6510">
        <w:rPr>
          <w:szCs w:val="22"/>
        </w:rPr>
        <w:t>A</w:t>
      </w:r>
      <w:r w:rsidRPr="00DB52F9" w:rsidR="00CD2910">
        <w:rPr>
          <w:szCs w:val="22"/>
        </w:rPr>
        <w:t xml:space="preserve">pplication </w:t>
      </w:r>
      <w:r w:rsidRPr="00DB52F9" w:rsidR="00AA6510">
        <w:rPr>
          <w:szCs w:val="22"/>
        </w:rPr>
        <w:t>S</w:t>
      </w:r>
      <w:r w:rsidRPr="00DB52F9" w:rsidR="00CD2910">
        <w:rPr>
          <w:szCs w:val="22"/>
        </w:rPr>
        <w:t>ystem</w:t>
      </w:r>
      <w:r w:rsidRPr="00DB52F9" w:rsidR="006E2ECE">
        <w:rPr>
          <w:szCs w:val="22"/>
        </w:rPr>
        <w:t xml:space="preserve"> </w:t>
      </w:r>
      <w:r w:rsidRPr="00DB52F9" w:rsidR="00AE7890">
        <w:rPr>
          <w:szCs w:val="22"/>
        </w:rPr>
        <w:t xml:space="preserve">that would have shortened the </w:t>
      </w:r>
      <w:r w:rsidRPr="00DB52F9" w:rsidR="006E2ECE">
        <w:rPr>
          <w:szCs w:val="22"/>
        </w:rPr>
        <w:t xml:space="preserve">short-form application filing </w:t>
      </w:r>
      <w:r w:rsidRPr="00DB52F9" w:rsidR="006E2ECE">
        <w:rPr>
          <w:szCs w:val="22"/>
        </w:rPr>
        <w:t>window</w:t>
      </w:r>
      <w:r w:rsidRPr="00DB52F9" w:rsidR="00CD2910">
        <w:rPr>
          <w:szCs w:val="22"/>
        </w:rPr>
        <w:t>–and</w:t>
      </w:r>
      <w:r w:rsidRPr="00DB52F9" w:rsidR="00AE7890">
        <w:rPr>
          <w:szCs w:val="22"/>
        </w:rPr>
        <w:t xml:space="preserve"> </w:t>
      </w:r>
      <w:r w:rsidRPr="00DB52F9" w:rsidR="00CD2910">
        <w:rPr>
          <w:szCs w:val="22"/>
        </w:rPr>
        <w:t>none is alleged</w:t>
      </w:r>
      <w:r w:rsidRPr="00DB52F9" w:rsidR="00484F33">
        <w:rPr>
          <w:szCs w:val="22"/>
        </w:rPr>
        <w:t xml:space="preserve"> by NBVDS</w:t>
      </w:r>
      <w:r w:rsidRPr="00DB52F9" w:rsidR="009F57A9">
        <w:rPr>
          <w:szCs w:val="22"/>
        </w:rPr>
        <w:t>.</w:t>
      </w:r>
      <w:r>
        <w:rPr>
          <w:rStyle w:val="FootnoteReference"/>
          <w:szCs w:val="22"/>
        </w:rPr>
        <w:footnoteReference w:id="28"/>
      </w:r>
      <w:r w:rsidRPr="009F57A9" w:rsidR="009F57A9">
        <w:t xml:space="preserve"> </w:t>
      </w:r>
      <w:r w:rsidR="009F57A9">
        <w:t xml:space="preserve"> </w:t>
      </w:r>
      <w:bookmarkEnd w:id="1"/>
      <w:r w:rsidR="009F57A9">
        <w:t xml:space="preserve">No </w:t>
      </w:r>
      <w:r w:rsidR="00AA444D">
        <w:t xml:space="preserve">applicant or </w:t>
      </w:r>
      <w:r w:rsidR="009F57A9">
        <w:t xml:space="preserve">potential applicant </w:t>
      </w:r>
      <w:r w:rsidR="00AA444D">
        <w:t xml:space="preserve">for Auctions 101 and 102 </w:t>
      </w:r>
      <w:r w:rsidR="009F57A9">
        <w:t>has identified a</w:t>
      </w:r>
      <w:r w:rsidR="00241446">
        <w:t xml:space="preserve"> problem </w:t>
      </w:r>
      <w:r w:rsidR="009F57A9">
        <w:t xml:space="preserve">with the functionality of the Auction Application System during the </w:t>
      </w:r>
      <w:r w:rsidR="00262189">
        <w:t xml:space="preserve">entirety of the </w:t>
      </w:r>
      <w:r w:rsidR="009F57A9">
        <w:t xml:space="preserve">filing window, and two applicants </w:t>
      </w:r>
      <w:r w:rsidR="00AA444D">
        <w:t xml:space="preserve">besides NBVDS </w:t>
      </w:r>
      <w:r w:rsidR="009F57A9">
        <w:t>successfully submitted applications during the last 30 minutes the filing window</w:t>
      </w:r>
      <w:r w:rsidR="00AA444D">
        <w:t xml:space="preserve"> was open</w:t>
      </w:r>
      <w:r w:rsidR="009F57A9">
        <w:t>.</w:t>
      </w:r>
      <w:r w:rsidRPr="00DB52F9" w:rsidR="009F57A9">
        <w:rPr>
          <w:szCs w:val="22"/>
        </w:rPr>
        <w:t xml:space="preserve">  As a result, a</w:t>
      </w:r>
      <w:r w:rsidRPr="00DB52F9" w:rsidR="00CD2910">
        <w:rPr>
          <w:szCs w:val="22"/>
        </w:rPr>
        <w:t>ll potential applicants would have the same opportunity to participate in the a</w:t>
      </w:r>
      <w:r w:rsidRPr="00DB52F9" w:rsidR="00712E2F">
        <w:rPr>
          <w:szCs w:val="22"/>
        </w:rPr>
        <w:t>uction only if we deny NBVDS’s R</w:t>
      </w:r>
      <w:r w:rsidRPr="00DB52F9" w:rsidR="00CD2910">
        <w:rPr>
          <w:szCs w:val="22"/>
        </w:rPr>
        <w:t>equest.</w:t>
      </w:r>
      <w:r>
        <w:rPr>
          <w:rStyle w:val="FootnoteReference"/>
          <w:szCs w:val="22"/>
        </w:rPr>
        <w:footnoteReference w:id="29"/>
      </w:r>
      <w:r w:rsidRPr="00DB52F9" w:rsidR="00CD2910">
        <w:rPr>
          <w:szCs w:val="22"/>
        </w:rPr>
        <w:t xml:space="preserve">  Despite NBVDS’s claim that its Auction 101 short-form application “was already complete” by the deadline,</w:t>
      </w:r>
      <w:r>
        <w:rPr>
          <w:rStyle w:val="FootnoteReference"/>
          <w:szCs w:val="22"/>
        </w:rPr>
        <w:footnoteReference w:id="30"/>
      </w:r>
      <w:r w:rsidRPr="00DB52F9" w:rsidR="00CD2910">
        <w:rPr>
          <w:szCs w:val="22"/>
        </w:rPr>
        <w:t xml:space="preserve"> that is </w:t>
      </w:r>
      <w:r w:rsidRPr="00DB52F9" w:rsidR="009368C9">
        <w:rPr>
          <w:szCs w:val="22"/>
        </w:rPr>
        <w:t>simply not true</w:t>
      </w:r>
      <w:r w:rsidRPr="00DB52F9" w:rsidR="00FF1666">
        <w:rPr>
          <w:szCs w:val="22"/>
        </w:rPr>
        <w:t xml:space="preserve">.  Our records indicate that NBVDS never visited </w:t>
      </w:r>
      <w:r w:rsidRPr="00DB52F9" w:rsidR="00015981">
        <w:rPr>
          <w:szCs w:val="22"/>
        </w:rPr>
        <w:t xml:space="preserve">two </w:t>
      </w:r>
      <w:r w:rsidRPr="00DB52F9" w:rsidR="00FF1666">
        <w:rPr>
          <w:szCs w:val="22"/>
        </w:rPr>
        <w:t xml:space="preserve">required pages of the </w:t>
      </w:r>
      <w:r w:rsidRPr="00DB52F9" w:rsidR="00037F0B">
        <w:rPr>
          <w:szCs w:val="22"/>
        </w:rPr>
        <w:t xml:space="preserve">Auction 101 </w:t>
      </w:r>
      <w:r w:rsidRPr="00DB52F9" w:rsidR="00FF1666">
        <w:rPr>
          <w:szCs w:val="22"/>
        </w:rPr>
        <w:t>application,</w:t>
      </w:r>
      <w:r>
        <w:rPr>
          <w:rStyle w:val="FootnoteReference"/>
          <w:szCs w:val="22"/>
        </w:rPr>
        <w:footnoteReference w:id="31"/>
      </w:r>
      <w:r w:rsidRPr="00DB52F9" w:rsidR="00FF1666">
        <w:rPr>
          <w:szCs w:val="22"/>
        </w:rPr>
        <w:t xml:space="preserve"> and </w:t>
      </w:r>
      <w:r w:rsidRPr="00DB52F9" w:rsidR="00CD2910">
        <w:rPr>
          <w:szCs w:val="22"/>
        </w:rPr>
        <w:t xml:space="preserve">NBVDS’s submission of its </w:t>
      </w:r>
      <w:r w:rsidRPr="00DB52F9" w:rsidR="00AA444D">
        <w:rPr>
          <w:szCs w:val="22"/>
        </w:rPr>
        <w:t xml:space="preserve">former defaulter/delinquency statement and its </w:t>
      </w:r>
      <w:r w:rsidRPr="00DB52F9" w:rsidR="00CD2910">
        <w:rPr>
          <w:szCs w:val="22"/>
        </w:rPr>
        <w:t xml:space="preserve">certifications along with its Request </w:t>
      </w:r>
      <w:r w:rsidRPr="00DB52F9" w:rsidR="002F3417">
        <w:rPr>
          <w:szCs w:val="22"/>
        </w:rPr>
        <w:t>belie</w:t>
      </w:r>
      <w:r w:rsidRPr="00DB52F9" w:rsidR="00CD2910">
        <w:rPr>
          <w:szCs w:val="22"/>
        </w:rPr>
        <w:t>s that</w:t>
      </w:r>
      <w:r w:rsidRPr="00DB52F9" w:rsidR="002F3417">
        <w:rPr>
          <w:szCs w:val="22"/>
        </w:rPr>
        <w:t xml:space="preserve"> claim</w:t>
      </w:r>
      <w:r w:rsidRPr="00DB52F9" w:rsidR="00CD2910">
        <w:rPr>
          <w:szCs w:val="22"/>
        </w:rPr>
        <w:t>.</w:t>
      </w:r>
      <w:r>
        <w:rPr>
          <w:rStyle w:val="FootnoteReference"/>
          <w:szCs w:val="22"/>
        </w:rPr>
        <w:footnoteReference w:id="32"/>
      </w:r>
      <w:r w:rsidR="00833A53">
        <w:t xml:space="preserve">   </w:t>
      </w:r>
      <w:r w:rsidR="007779BA">
        <w:t xml:space="preserve"> </w:t>
      </w:r>
      <w:r w:rsidRPr="00DB52F9">
        <w:rPr>
          <w:szCs w:val="22"/>
        </w:rPr>
        <w:t xml:space="preserve">  </w:t>
      </w:r>
    </w:p>
    <w:p w:rsidR="00FB1259" w:rsidP="009D5952">
      <w:pPr>
        <w:pStyle w:val="Heading1"/>
        <w:widowControl/>
      </w:pPr>
      <w:r>
        <w:t>ORDERING CLAUSES</w:t>
      </w:r>
    </w:p>
    <w:p w:rsidR="00AB4AB8" w:rsidRPr="00AB4AB8" w:rsidP="009D5952">
      <w:pPr>
        <w:pStyle w:val="ParaNum"/>
        <w:widowControl/>
        <w:numPr>
          <w:ilvl w:val="0"/>
          <w:numId w:val="2"/>
        </w:numPr>
        <w:tabs>
          <w:tab w:val="clear" w:pos="1080"/>
          <w:tab w:val="num" w:pos="1440"/>
        </w:tabs>
        <w:rPr>
          <w:szCs w:val="22"/>
        </w:rPr>
      </w:pPr>
      <w:r>
        <w:t xml:space="preserve">Accordingly, IT IS ORDERED, pursuant to </w:t>
      </w:r>
      <w:r w:rsidR="009F4E06">
        <w:t>Section</w:t>
      </w:r>
      <w:r>
        <w:t xml:space="preserve">s 4(i) and 309 of the Communications Act of 1934, as amended, 47 U.S.C. §§ 154(i) and 309, and </w:t>
      </w:r>
      <w:r w:rsidR="00B373BC">
        <w:t>s</w:t>
      </w:r>
      <w:r w:rsidR="009F4E06">
        <w:t>ection</w:t>
      </w:r>
      <w:r>
        <w:t xml:space="preserve"> 1.</w:t>
      </w:r>
      <w:r w:rsidR="004E1F0D">
        <w:t>925</w:t>
      </w:r>
      <w:r>
        <w:t xml:space="preserve"> of the Commission’s rules, 47 </w:t>
      </w:r>
      <w:r w:rsidR="00B84BA0">
        <w:t>CFR</w:t>
      </w:r>
      <w:r>
        <w:t xml:space="preserve"> § 1.</w:t>
      </w:r>
      <w:r w:rsidR="004E1F0D">
        <w:t>925</w:t>
      </w:r>
      <w:r>
        <w:t xml:space="preserve">, that </w:t>
      </w:r>
      <w:r w:rsidR="00822731">
        <w:t>NBVDS Investment, L.L.C.</w:t>
      </w:r>
      <w:r w:rsidR="009B247C">
        <w:t xml:space="preserve">’s </w:t>
      </w:r>
      <w:r>
        <w:t xml:space="preserve">Request for </w:t>
      </w:r>
      <w:r w:rsidR="00822731">
        <w:t>Waiver</w:t>
      </w:r>
      <w:r>
        <w:t xml:space="preserve">, dated </w:t>
      </w:r>
      <w:r w:rsidR="00822731">
        <w:t>September 27, 2018</w:t>
      </w:r>
      <w:r>
        <w:t>, is DENIED.</w:t>
      </w:r>
    </w:p>
    <w:p w:rsidR="00FB1259" w:rsidRPr="00AB4AB8" w:rsidP="009D5952">
      <w:pPr>
        <w:pStyle w:val="ParaNum"/>
        <w:widowControl/>
        <w:numPr>
          <w:ilvl w:val="0"/>
          <w:numId w:val="2"/>
        </w:numPr>
        <w:tabs>
          <w:tab w:val="clear" w:pos="1080"/>
          <w:tab w:val="num" w:pos="1440"/>
        </w:tabs>
        <w:rPr>
          <w:szCs w:val="22"/>
        </w:rPr>
      </w:pPr>
      <w:r>
        <w:br w:type="page"/>
      </w:r>
      <w:r>
        <w:t xml:space="preserve">This action is taken pursuant to delegated authority under </w:t>
      </w:r>
      <w:r w:rsidR="00B373BC">
        <w:t>s</w:t>
      </w:r>
      <w:r w:rsidR="009F4E06">
        <w:t>ection</w:t>
      </w:r>
      <w:r>
        <w:t xml:space="preserve">s </w:t>
      </w:r>
      <w:r w:rsidR="00DA69DB">
        <w:t xml:space="preserve">0.283, </w:t>
      </w:r>
      <w:r>
        <w:t xml:space="preserve">0.131 and 0.331 of the Commission’s rules, 47 </w:t>
      </w:r>
      <w:r w:rsidR="00B84BA0">
        <w:t>CFR</w:t>
      </w:r>
      <w:r>
        <w:t xml:space="preserve"> §§ </w:t>
      </w:r>
      <w:r w:rsidR="00DA69DB">
        <w:t xml:space="preserve">0.283, </w:t>
      </w:r>
      <w:r>
        <w:t xml:space="preserve">0.131 and 0.331.  </w:t>
      </w:r>
    </w:p>
    <w:p w:rsidR="00A53382" w:rsidP="009D5952">
      <w:pPr>
        <w:pStyle w:val="ParaNum"/>
        <w:widowControl/>
        <w:numPr>
          <w:ilvl w:val="0"/>
          <w:numId w:val="0"/>
        </w:numPr>
        <w:rPr>
          <w:szCs w:val="22"/>
        </w:rPr>
      </w:pPr>
    </w:p>
    <w:p w:rsidR="00FB1259" w:rsidP="009D5952">
      <w:pPr>
        <w:widowControl/>
        <w:spacing w:line="480" w:lineRule="auto"/>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FB1259" w:rsidP="009D5952">
      <w:pPr>
        <w:widowControl/>
        <w:spacing w:line="480" w:lineRule="auto"/>
        <w:rPr>
          <w:szCs w:val="22"/>
        </w:rPr>
      </w:pPr>
    </w:p>
    <w:p w:rsidR="00FB1259" w:rsidP="009D5952">
      <w:pPr>
        <w:widowControl/>
        <w:rPr>
          <w:szCs w:val="22"/>
        </w:rPr>
      </w:pPr>
      <w:r>
        <w:rPr>
          <w:szCs w:val="22"/>
        </w:rPr>
        <w:tab/>
      </w:r>
      <w:r>
        <w:rPr>
          <w:szCs w:val="22"/>
        </w:rPr>
        <w:tab/>
      </w:r>
      <w:r>
        <w:rPr>
          <w:szCs w:val="22"/>
        </w:rPr>
        <w:tab/>
      </w:r>
      <w:r>
        <w:rPr>
          <w:szCs w:val="22"/>
        </w:rPr>
        <w:tab/>
      </w:r>
      <w:r>
        <w:rPr>
          <w:szCs w:val="22"/>
        </w:rPr>
        <w:tab/>
      </w:r>
      <w:r>
        <w:rPr>
          <w:szCs w:val="22"/>
        </w:rPr>
        <w:tab/>
      </w:r>
    </w:p>
    <w:p w:rsidR="00FB1259" w:rsidP="009D5952">
      <w:pPr>
        <w:widowControl/>
        <w:ind w:left="3600" w:firstLine="720"/>
        <w:rPr>
          <w:szCs w:val="22"/>
        </w:rPr>
      </w:pPr>
      <w:r>
        <w:rPr>
          <w:szCs w:val="22"/>
        </w:rPr>
        <w:t>Margaret W. Wiener</w:t>
      </w:r>
    </w:p>
    <w:p w:rsidR="00FB1259" w:rsidP="009D5952">
      <w:pPr>
        <w:widowControl/>
        <w:ind w:left="3600" w:firstLine="720"/>
        <w:rPr>
          <w:szCs w:val="22"/>
        </w:rPr>
      </w:pPr>
      <w:r>
        <w:rPr>
          <w:szCs w:val="22"/>
        </w:rPr>
        <w:t>Chief, Auctions and Spectrum Access Division</w:t>
      </w:r>
    </w:p>
    <w:p w:rsidR="00FB1259" w:rsidP="009D5952">
      <w:pPr>
        <w:widowControl/>
        <w:ind w:left="3600" w:firstLine="720"/>
        <w:rPr>
          <w:szCs w:val="22"/>
        </w:rPr>
      </w:pPr>
      <w:r>
        <w:rPr>
          <w:szCs w:val="22"/>
        </w:rPr>
        <w:t>Wireless Telecommunications Bureau</w:t>
      </w:r>
    </w:p>
    <w:p w:rsidR="00FB1259" w:rsidP="009D5952">
      <w:pPr>
        <w:widowControl/>
        <w:ind w:left="3600" w:firstLine="720"/>
        <w:rPr>
          <w:szCs w:val="22"/>
        </w:rPr>
      </w:pPr>
    </w:p>
    <w:p w:rsidR="00FB1259" w:rsidP="009D5952">
      <w:pPr>
        <w:widowControl/>
        <w:ind w:left="3600" w:firstLine="720"/>
        <w:rPr>
          <w:szCs w:val="22"/>
        </w:rPr>
      </w:pPr>
    </w:p>
    <w:p w:rsidR="00FB1259" w:rsidP="009D5952">
      <w:pPr>
        <w:widowControl/>
        <w:ind w:left="3600" w:firstLine="720"/>
        <w:rPr>
          <w:szCs w:val="22"/>
        </w:rPr>
      </w:pPr>
    </w:p>
    <w:p w:rsidR="00CD6B53" w:rsidP="009D5952">
      <w:pPr>
        <w:widowControl/>
        <w:ind w:left="3600" w:firstLine="720"/>
        <w:rPr>
          <w:szCs w:val="22"/>
        </w:rPr>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25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7788">
      <w:pPr>
        <w:rPr>
          <w:sz w:val="20"/>
        </w:rPr>
      </w:pPr>
      <w:r>
        <w:rPr>
          <w:sz w:val="20"/>
        </w:rPr>
        <w:separator/>
      </w:r>
    </w:p>
  </w:footnote>
  <w:footnote w:type="continuationSeparator" w:id="1">
    <w:p w:rsidR="00FC7788">
      <w:pPr>
        <w:rPr>
          <w:sz w:val="20"/>
        </w:rPr>
      </w:pPr>
      <w:r>
        <w:rPr>
          <w:sz w:val="20"/>
        </w:rPr>
        <w:separator/>
      </w:r>
    </w:p>
  </w:footnote>
  <w:footnote w:type="continuationNotice" w:id="2">
    <w:p w:rsidR="00FC7788">
      <w:pPr>
        <w:jc w:val="right"/>
        <w:rPr>
          <w:sz w:val="20"/>
        </w:rPr>
      </w:pPr>
    </w:p>
  </w:footnote>
  <w:footnote w:id="3">
    <w:p w:rsidR="008F7F03" w:rsidRPr="008F7F03">
      <w:pPr>
        <w:pStyle w:val="FootnoteText"/>
      </w:pPr>
      <w:r>
        <w:rPr>
          <w:rStyle w:val="FootnoteReference"/>
        </w:rPr>
        <w:footnoteRef/>
      </w:r>
      <w:r>
        <w:t xml:space="preserve"> </w:t>
      </w:r>
      <w:r>
        <w:rPr>
          <w:i/>
        </w:rPr>
        <w:t xml:space="preserve">See </w:t>
      </w:r>
      <w:r w:rsidRPr="000C7DEF" w:rsidR="000C7DEF">
        <w:rPr>
          <w:i/>
        </w:rPr>
        <w:t>Auctions of Upper Microwave Flexible Use Licenses for Next-Generation Wireless Services</w:t>
      </w:r>
      <w:r w:rsidR="00C600E8">
        <w:rPr>
          <w:i/>
        </w:rPr>
        <w:t>;</w:t>
      </w:r>
      <w:r w:rsidRPr="000C7DEF" w:rsidR="000C7DEF">
        <w:rPr>
          <w:i/>
        </w:rPr>
        <w:t xml:space="preserve"> Notice and Filing Requirement</w:t>
      </w:r>
      <w:r w:rsidR="00C600E8">
        <w:rPr>
          <w:i/>
        </w:rPr>
        <w:t>s</w:t>
      </w:r>
      <w:r w:rsidRPr="000C7DEF" w:rsidR="000C7DEF">
        <w:rPr>
          <w:i/>
        </w:rPr>
        <w:t xml:space="preserve">, Minimum Opening Bids, </w:t>
      </w:r>
      <w:r w:rsidR="00643E0F">
        <w:rPr>
          <w:i/>
        </w:rPr>
        <w:t>U</w:t>
      </w:r>
      <w:r w:rsidRPr="000C7DEF" w:rsidR="000C7DEF">
        <w:rPr>
          <w:i/>
        </w:rPr>
        <w:t>pfront Payments, and Other Procedures for Auctions 101 (28 GHz) and 102 (24 GHz)</w:t>
      </w:r>
      <w:r w:rsidR="00C600E8">
        <w:rPr>
          <w:i/>
        </w:rPr>
        <w:t>;</w:t>
      </w:r>
      <w:r w:rsidRPr="000C7DEF" w:rsidR="000C7DEF">
        <w:rPr>
          <w:i/>
        </w:rPr>
        <w:t xml:space="preserve"> Bidding in Auction 101 Scheduled to Begin November 14, 2018</w:t>
      </w:r>
      <w:r w:rsidRPr="000C7DEF" w:rsidR="000C7DEF">
        <w:t xml:space="preserve">, Public Notice, </w:t>
      </w:r>
      <w:r w:rsidR="000C7DEF">
        <w:t>FCC 18-109</w:t>
      </w:r>
      <w:r w:rsidRPr="000C7DEF" w:rsidR="000C7DEF">
        <w:t xml:space="preserve"> (Aug</w:t>
      </w:r>
      <w:r w:rsidR="000C7DEF">
        <w:t>.</w:t>
      </w:r>
      <w:r w:rsidRPr="000C7DEF" w:rsidR="000C7DEF">
        <w:t xml:space="preserve"> 3, 2018)</w:t>
      </w:r>
      <w:r w:rsidRPr="000C7DEF" w:rsidR="000C7DEF">
        <w:rPr>
          <w:i/>
        </w:rPr>
        <w:t xml:space="preserve"> </w:t>
      </w:r>
      <w:r w:rsidRPr="000C7DEF" w:rsidR="000C7DEF">
        <w:t>(</w:t>
      </w:r>
      <w:r w:rsidRPr="000C7DEF" w:rsidR="000C7DEF">
        <w:rPr>
          <w:i/>
        </w:rPr>
        <w:t>Auctions 101</w:t>
      </w:r>
      <w:r w:rsidR="00451805">
        <w:rPr>
          <w:i/>
        </w:rPr>
        <w:t xml:space="preserve"> and </w:t>
      </w:r>
      <w:r w:rsidRPr="000C7DEF" w:rsidR="000C7DEF">
        <w:rPr>
          <w:i/>
        </w:rPr>
        <w:t xml:space="preserve">102 </w:t>
      </w:r>
      <w:r w:rsidR="00354547">
        <w:rPr>
          <w:i/>
        </w:rPr>
        <w:t xml:space="preserve">Procedures </w:t>
      </w:r>
      <w:r w:rsidRPr="000C7DEF" w:rsidR="000C7DEF">
        <w:rPr>
          <w:i/>
        </w:rPr>
        <w:t>Public Notice</w:t>
      </w:r>
      <w:r w:rsidRPr="000C7DEF" w:rsidR="000C7DEF">
        <w:t>)</w:t>
      </w:r>
      <w:r w:rsidRPr="000C7DEF" w:rsidR="000C7DEF">
        <w:rPr>
          <w:i/>
        </w:rPr>
        <w:t>.</w:t>
      </w:r>
      <w:r>
        <w:rPr>
          <w:i/>
        </w:rPr>
        <w:t xml:space="preserve">  </w:t>
      </w:r>
      <w:r>
        <w:t xml:space="preserve">  </w:t>
      </w:r>
    </w:p>
  </w:footnote>
  <w:footnote w:id="4">
    <w:p w:rsidR="0041558C" w:rsidRPr="0041558C">
      <w:pPr>
        <w:pStyle w:val="FootnoteText"/>
        <w:rPr>
          <w:i/>
        </w:rPr>
      </w:pPr>
      <w:r>
        <w:rPr>
          <w:rStyle w:val="FootnoteReference"/>
        </w:rPr>
        <w:footnoteRef/>
      </w:r>
      <w:r>
        <w:t xml:space="preserve"> </w:t>
      </w:r>
      <w:r>
        <w:rPr>
          <w:i/>
        </w:rPr>
        <w:t>Id.</w:t>
      </w:r>
    </w:p>
  </w:footnote>
  <w:footnote w:id="5">
    <w:p w:rsidR="00F701B2" w:rsidRPr="00F701B2">
      <w:pPr>
        <w:pStyle w:val="FootnoteText"/>
      </w:pPr>
      <w:r>
        <w:rPr>
          <w:rStyle w:val="FootnoteReference"/>
        </w:rPr>
        <w:footnoteRef/>
      </w:r>
      <w:r>
        <w:t xml:space="preserve"> </w:t>
      </w:r>
      <w:r w:rsidR="0041558C">
        <w:rPr>
          <w:i/>
        </w:rPr>
        <w:t>I</w:t>
      </w:r>
      <w:r w:rsidR="00597125">
        <w:rPr>
          <w:i/>
        </w:rPr>
        <w:t>d.</w:t>
      </w:r>
      <w:r>
        <w:t xml:space="preserve"> at </w:t>
      </w:r>
      <w:r w:rsidR="00747D0F">
        <w:t>12</w:t>
      </w:r>
      <w:r w:rsidR="00916253">
        <w:t xml:space="preserve">-13, </w:t>
      </w:r>
      <w:r w:rsidR="00492664">
        <w:t>49</w:t>
      </w:r>
      <w:r w:rsidR="00747D0F">
        <w:t xml:space="preserve">, </w:t>
      </w:r>
      <w:r>
        <w:t>paras</w:t>
      </w:r>
      <w:r w:rsidR="00CB69CE">
        <w:t>. 24-25</w:t>
      </w:r>
      <w:r w:rsidR="00597125">
        <w:t>, 27, 137-38</w:t>
      </w:r>
      <w:r>
        <w:t xml:space="preserve">. </w:t>
      </w:r>
    </w:p>
  </w:footnote>
  <w:footnote w:id="6">
    <w:p w:rsidR="00B4416D">
      <w:pPr>
        <w:pStyle w:val="FootnoteText"/>
      </w:pPr>
      <w:r>
        <w:rPr>
          <w:rStyle w:val="FootnoteReference"/>
        </w:rPr>
        <w:footnoteRef/>
      </w:r>
      <w:r>
        <w:t xml:space="preserve"> </w:t>
      </w:r>
      <w:r>
        <w:rPr>
          <w:i/>
        </w:rPr>
        <w:t xml:space="preserve">See </w:t>
      </w:r>
      <w:r w:rsidR="00DE00E1">
        <w:rPr>
          <w:i/>
        </w:rPr>
        <w:t>Auctions of Upper Microwave Flexible Use Licenses for Next-Generation Wireless Services; Status of Short-Form Applications to Participate in Auctions 101 (28 GHz) and 102 (24 GHz)</w:t>
      </w:r>
      <w:r w:rsidR="00DE00E1">
        <w:t>, Public Notice, DA 18-</w:t>
      </w:r>
      <w:r w:rsidR="00451805">
        <w:t>1035</w:t>
      </w:r>
      <w:r w:rsidR="00E205BE">
        <w:t xml:space="preserve"> at </w:t>
      </w:r>
      <w:r w:rsidR="00E205BE">
        <w:t>Attachs</w:t>
      </w:r>
      <w:r w:rsidR="00E205BE">
        <w:t>. A-</w:t>
      </w:r>
      <w:r w:rsidR="004B119F">
        <w:t xml:space="preserve">B, </w:t>
      </w:r>
      <w:r w:rsidR="00E205BE">
        <w:t>D</w:t>
      </w:r>
      <w:r w:rsidR="00DE00E1">
        <w:t xml:space="preserve"> (WTB</w:t>
      </w:r>
      <w:r w:rsidR="00E205BE">
        <w:t xml:space="preserve"> Oct. 10,</w:t>
      </w:r>
      <w:r w:rsidR="00DE00E1">
        <w:t xml:space="preserve"> 2018)</w:t>
      </w:r>
      <w:r>
        <w:t>.</w:t>
      </w:r>
    </w:p>
  </w:footnote>
  <w:footnote w:id="7">
    <w:p w:rsidR="00FE5AB6" w:rsidP="00FE5AB6">
      <w:pPr>
        <w:pStyle w:val="FootnoteText"/>
      </w:pPr>
      <w:r>
        <w:rPr>
          <w:rStyle w:val="FootnoteReference"/>
        </w:rPr>
        <w:footnoteRef/>
      </w:r>
      <w:r>
        <w:t xml:space="preserve"> Request for Waiver of NBVDS Investment, L.L.C. (Sept. 27, 2018) (Request).  The Request is dated September 27, 2018, although the Commission received it on September 28.</w:t>
      </w:r>
      <w:r w:rsidR="009C05D2">
        <w:t xml:space="preserve">  In addition to section 1.2105, the Request seeks waiver of section 30.301</w:t>
      </w:r>
      <w:r w:rsidR="006F1ECE">
        <w:t xml:space="preserve">.  </w:t>
      </w:r>
      <w:r w:rsidR="00E70468">
        <w:t xml:space="preserve">We will not specifically address that section herein because it </w:t>
      </w:r>
      <w:r w:rsidR="006F1ECE">
        <w:t xml:space="preserve">does not independently contain a deadline requirement and </w:t>
      </w:r>
      <w:r w:rsidR="00E70468">
        <w:t>simply applies the</w:t>
      </w:r>
      <w:r w:rsidR="006149F3">
        <w:t xml:space="preserve"> Part 1 rules to the licenses being auctioned</w:t>
      </w:r>
      <w:r w:rsidR="006F1ECE">
        <w:t>.</w:t>
      </w:r>
      <w:r w:rsidR="009C05D2">
        <w:t xml:space="preserve"> </w:t>
      </w:r>
    </w:p>
  </w:footnote>
  <w:footnote w:id="8">
    <w:p w:rsidR="00FE5AB6" w:rsidRPr="00691954" w:rsidP="00FE5AB6">
      <w:pPr>
        <w:pStyle w:val="FootnoteText"/>
      </w:pPr>
      <w:r>
        <w:rPr>
          <w:rStyle w:val="FootnoteReference"/>
        </w:rPr>
        <w:footnoteRef/>
      </w:r>
      <w:r>
        <w:t xml:space="preserve"> </w:t>
      </w:r>
      <w:r>
        <w:rPr>
          <w:i/>
        </w:rPr>
        <w:t>Id.</w:t>
      </w:r>
      <w:r>
        <w:t xml:space="preserve"> at 2-4.  </w:t>
      </w:r>
      <w:r w:rsidR="00DB33E7">
        <w:t>A</w:t>
      </w:r>
      <w:r w:rsidR="00691954">
        <w:t>bsent the required certifications, an auction application is not considered complete.  47 CFR § 1.2105(a)</w:t>
      </w:r>
      <w:r w:rsidR="005A5B80">
        <w:t>-(b)</w:t>
      </w:r>
      <w:r w:rsidR="00691954">
        <w:t xml:space="preserve">; </w:t>
      </w:r>
      <w:r w:rsidR="00691954">
        <w:rPr>
          <w:i/>
        </w:rPr>
        <w:t xml:space="preserve">see </w:t>
      </w:r>
      <w:r w:rsidR="00EE6CF3">
        <w:rPr>
          <w:i/>
        </w:rPr>
        <w:t>infra</w:t>
      </w:r>
      <w:r w:rsidR="00EE6CF3">
        <w:t xml:space="preserve"> </w:t>
      </w:r>
      <w:r w:rsidR="00691954">
        <w:t xml:space="preserve">para. 13. </w:t>
      </w:r>
    </w:p>
  </w:footnote>
  <w:footnote w:id="9">
    <w:p w:rsidR="006F1ECE" w:rsidRPr="006A6108" w:rsidP="006F1ECE">
      <w:pPr>
        <w:pStyle w:val="FootnoteText"/>
      </w:pPr>
      <w:r w:rsidRPr="006A6108">
        <w:rPr>
          <w:rStyle w:val="FootnoteReference"/>
        </w:rPr>
        <w:footnoteRef/>
      </w:r>
      <w:r w:rsidRPr="006A6108">
        <w:t xml:space="preserve"> </w:t>
      </w:r>
      <w:r w:rsidRPr="006A6108">
        <w:rPr>
          <w:i/>
        </w:rPr>
        <w:t>See</w:t>
      </w:r>
      <w:r w:rsidRPr="006A6108">
        <w:t xml:space="preserve"> 47 CFR § 1.925(b)(3)(i)-(ii).  We note that </w:t>
      </w:r>
      <w:r w:rsidR="00E4688C">
        <w:t>s</w:t>
      </w:r>
      <w:r w:rsidRPr="006A6108">
        <w:t xml:space="preserve">ection 1.925 governs waivers of rules in the context of wireless radio services licenses and that the </w:t>
      </w:r>
      <w:r w:rsidRPr="006A6108">
        <w:rPr>
          <w:rStyle w:val="cosearchterm"/>
        </w:rPr>
        <w:t>waiver</w:t>
      </w:r>
      <w:r w:rsidRPr="006A6108">
        <w:t xml:space="preserve"> standard applied under </w:t>
      </w:r>
      <w:r w:rsidR="00925F5F">
        <w:t>s</w:t>
      </w:r>
      <w:r w:rsidRPr="006A6108">
        <w:t xml:space="preserve">ection 1.3 is substantially the same as the waiver standard applied under </w:t>
      </w:r>
      <w:r w:rsidR="00E4688C">
        <w:t>s</w:t>
      </w:r>
      <w:r w:rsidRPr="006A6108">
        <w:t xml:space="preserve">ection 1.925.  </w:t>
      </w:r>
      <w:r w:rsidRPr="006A6108">
        <w:rPr>
          <w:i/>
        </w:rPr>
        <w:t>See</w:t>
      </w:r>
      <w:r w:rsidRPr="006A6108">
        <w:t xml:space="preserve"> </w:t>
      </w:r>
      <w:r w:rsidRPr="00312E48" w:rsidR="00312E48">
        <w:rPr>
          <w:i/>
        </w:rPr>
        <w:t>Application of Delta Radio, Inc.</w:t>
      </w:r>
      <w:r w:rsidRPr="00312E48" w:rsidR="00312E48">
        <w:t xml:space="preserve">, Memorandum Opinion and Order, 18 FCC </w:t>
      </w:r>
      <w:r w:rsidRPr="00312E48" w:rsidR="00312E48">
        <w:t>Rcd</w:t>
      </w:r>
      <w:r w:rsidRPr="00312E48" w:rsidR="00312E48">
        <w:t xml:space="preserve"> 16889, 16891</w:t>
      </w:r>
      <w:r w:rsidR="00AD2F7C">
        <w:t>,</w:t>
      </w:r>
      <w:r w:rsidRPr="00312E48" w:rsidR="00312E48">
        <w:t xml:space="preserve"> </w:t>
      </w:r>
      <w:r w:rsidR="00F30C0E">
        <w:t xml:space="preserve">para. </w:t>
      </w:r>
      <w:r w:rsidRPr="00312E48" w:rsidR="00312E48">
        <w:t xml:space="preserve">7 &amp; n.19 (2003) (citing </w:t>
      </w:r>
      <w:r w:rsidRPr="00312E48" w:rsidR="00312E48">
        <w:rPr>
          <w:i/>
        </w:rPr>
        <w:t>BellSouth Corp. v. FCC</w:t>
      </w:r>
      <w:r w:rsidRPr="00312E48" w:rsidR="00312E48">
        <w:t>, 162 F.3d 1215, 1225 n.10 (D.C. Cir. 1999),</w:t>
      </w:r>
      <w:r w:rsidRPr="00312E48" w:rsidR="00312E48">
        <w:rPr>
          <w:i/>
        </w:rPr>
        <w:t xml:space="preserve"> aff'd sub nom.</w:t>
      </w:r>
      <w:r w:rsidRPr="00312E48" w:rsidR="00312E48">
        <w:t>,</w:t>
      </w:r>
      <w:r w:rsidRPr="00312E48" w:rsidR="00312E48">
        <w:rPr>
          <w:i/>
        </w:rPr>
        <w:t xml:space="preserve"> Delta Radio, Inc. v. FCC</w:t>
      </w:r>
      <w:r w:rsidRPr="00312E48" w:rsidR="00312E48">
        <w:t>, 387 F.3d 897 (D.C. Cir. 2004)</w:t>
      </w:r>
      <w:r w:rsidR="00312E48">
        <w:rPr>
          <w:i/>
        </w:rPr>
        <w:t>.</w:t>
      </w:r>
      <w:r w:rsidRPr="006A6108">
        <w:t xml:space="preserve">    </w:t>
      </w:r>
    </w:p>
  </w:footnote>
  <w:footnote w:id="10">
    <w:p w:rsidR="00CE3CED">
      <w:pPr>
        <w:pStyle w:val="FootnoteText"/>
      </w:pPr>
      <w:r>
        <w:rPr>
          <w:rStyle w:val="FootnoteReference"/>
        </w:rPr>
        <w:footnoteRef/>
      </w:r>
      <w:r>
        <w:t xml:space="preserve"> </w:t>
      </w:r>
      <w:r>
        <w:rPr>
          <w:i/>
        </w:rPr>
        <w:t>See, e.g.</w:t>
      </w:r>
      <w:r w:rsidRPr="00850639">
        <w:t>,</w:t>
      </w:r>
      <w:r>
        <w:rPr>
          <w:i/>
        </w:rPr>
        <w:t xml:space="preserve"> </w:t>
      </w:r>
      <w:r w:rsidRPr="00243E3B">
        <w:rPr>
          <w:i/>
        </w:rPr>
        <w:t>First Auction of Interactive Video and Data Service (IVDS) Licenses: Request for Waiver of Applications Deadline</w:t>
      </w:r>
      <w:r>
        <w:t xml:space="preserve">, </w:t>
      </w:r>
      <w:r w:rsidRPr="00243E3B">
        <w:t>Memorandum Opinion and Order</w:t>
      </w:r>
      <w:r>
        <w:t xml:space="preserve">, 11 FCC Rcd 1134 (1996) (Commission decision affirming denial of waiver of short-form filing deadline and emphasizing importance of strictly enforcing deadlines), </w:t>
      </w:r>
      <w:r w:rsidRPr="002B5EAD">
        <w:rPr>
          <w:i/>
        </w:rPr>
        <w:t>affirming</w:t>
      </w:r>
      <w:r>
        <w:t xml:space="preserve"> </w:t>
      </w:r>
      <w:r w:rsidRPr="00243E3B">
        <w:rPr>
          <w:i/>
        </w:rPr>
        <w:t>First Auction of Interactive Video and Data Service (IVDS) Licenses: Request for Waiver of Applications Deadline</w:t>
      </w:r>
      <w:r>
        <w:t>,</w:t>
      </w:r>
      <w:r>
        <w:rPr>
          <w:i/>
        </w:rPr>
        <w:t xml:space="preserve"> </w:t>
      </w:r>
      <w:r w:rsidRPr="00243E3B">
        <w:t>Order</w:t>
      </w:r>
      <w:r>
        <w:t xml:space="preserve">, 10 FCC Rcd 5415 (WTB </w:t>
      </w:r>
      <w:r w:rsidRPr="008F4B3C">
        <w:t xml:space="preserve">1995); </w:t>
      </w:r>
      <w:r w:rsidRPr="008F4B3C">
        <w:rPr>
          <w:i/>
        </w:rPr>
        <w:t xml:space="preserve">see also </w:t>
      </w:r>
      <w:r w:rsidR="006C63BE">
        <w:rPr>
          <w:i/>
        </w:rPr>
        <w:t>Vero Beach Broadcasting, LLC – Request for Waiver of Short-Form Deadline for FM Broadcast Auction No.</w:t>
      </w:r>
      <w:r w:rsidRPr="004C3A0D" w:rsidR="006C63BE">
        <w:rPr>
          <w:i/>
        </w:rPr>
        <w:t xml:space="preserve"> 62</w:t>
      </w:r>
      <w:r w:rsidR="006C63BE">
        <w:t xml:space="preserve">, Letter Order, </w:t>
      </w:r>
      <w:r>
        <w:t xml:space="preserve">20 FCC Rcd 19346 (WTB 2005) </w:t>
      </w:r>
      <w:r w:rsidR="004C3A0D">
        <w:t>(</w:t>
      </w:r>
      <w:r w:rsidR="004C3A0D">
        <w:rPr>
          <w:i/>
        </w:rPr>
        <w:t>Vero Beach</w:t>
      </w:r>
      <w:r w:rsidR="004C3A0D">
        <w:t xml:space="preserve">) </w:t>
      </w:r>
      <w:r>
        <w:t>(short-form deadline provides reasonable certainty to applicants of fair and predictable application of auction rules and procedures, including enforcement of deadlines; deadlines allow applicants to plan for auction and a deadline waiver would undermine Commission’s ability to review short-form applications in timely manner because it would encourage similar requests).</w:t>
      </w:r>
    </w:p>
  </w:footnote>
  <w:footnote w:id="11">
    <w:p w:rsidR="00CE3CED">
      <w:pPr>
        <w:pStyle w:val="FootnoteText"/>
      </w:pPr>
      <w:r>
        <w:rPr>
          <w:rStyle w:val="FootnoteReference"/>
        </w:rPr>
        <w:footnoteRef/>
      </w:r>
      <w:r>
        <w:t xml:space="preserve"> </w:t>
      </w:r>
      <w:r>
        <w:rPr>
          <w:i/>
        </w:rPr>
        <w:t>See, e.g.</w:t>
      </w:r>
      <w:r w:rsidRPr="006A7F54">
        <w:t>,</w:t>
      </w:r>
      <w:r>
        <w:rPr>
          <w:i/>
        </w:rPr>
        <w:t xml:space="preserve"> Vero Beach</w:t>
      </w:r>
      <w:r>
        <w:t xml:space="preserve">; </w:t>
      </w:r>
      <w:r>
        <w:rPr>
          <w:i/>
        </w:rPr>
        <w:t xml:space="preserve">see also </w:t>
      </w:r>
      <w:r w:rsidRPr="004C3A0D" w:rsidR="004C3A0D">
        <w:rPr>
          <w:i/>
        </w:rPr>
        <w:t>Request for Extensions of Time To File a Short-Form Application and Submit Down Payment in Auction No. 59</w:t>
      </w:r>
      <w:r w:rsidR="004C3A0D">
        <w:t xml:space="preserve">, </w:t>
      </w:r>
      <w:r w:rsidRPr="004C3A0D">
        <w:t>Letter</w:t>
      </w:r>
      <w:r w:rsidR="004C3A0D">
        <w:t xml:space="preserve"> Order, </w:t>
      </w:r>
      <w:r>
        <w:t xml:space="preserve">20 FCC Rcd 8750 (WTB 2005); </w:t>
      </w:r>
      <w:r w:rsidRPr="004C3A0D" w:rsidR="004C3A0D">
        <w:rPr>
          <w:i/>
        </w:rPr>
        <w:t xml:space="preserve">Request for </w:t>
      </w:r>
      <w:r w:rsidR="004C3A0D">
        <w:rPr>
          <w:i/>
        </w:rPr>
        <w:t>Waiver of Short-Form Deadline for Auction No. 44</w:t>
      </w:r>
      <w:r w:rsidR="004C3A0D">
        <w:t xml:space="preserve">, </w:t>
      </w:r>
      <w:r w:rsidRPr="004C3A0D" w:rsidR="004C3A0D">
        <w:t>Letter</w:t>
      </w:r>
      <w:r w:rsidR="004C3A0D">
        <w:t xml:space="preserve"> Order, </w:t>
      </w:r>
      <w:r>
        <w:t>17 FCC Rcd 16301 (WTB 2002).</w:t>
      </w:r>
    </w:p>
  </w:footnote>
  <w:footnote w:id="12">
    <w:p w:rsidR="00DB52F9">
      <w:pPr>
        <w:pStyle w:val="FootnoteText"/>
      </w:pPr>
      <w:r>
        <w:rPr>
          <w:rStyle w:val="FootnoteReference"/>
        </w:rPr>
        <w:footnoteRef/>
      </w:r>
      <w:r>
        <w:t xml:space="preserve"> </w:t>
      </w:r>
      <w:r w:rsidRPr="000C7DEF">
        <w:rPr>
          <w:i/>
        </w:rPr>
        <w:t>Auctions 101</w:t>
      </w:r>
      <w:r w:rsidR="00C13764">
        <w:rPr>
          <w:i/>
        </w:rPr>
        <w:t xml:space="preserve"> and </w:t>
      </w:r>
      <w:r w:rsidRPr="000C7DEF">
        <w:rPr>
          <w:i/>
        </w:rPr>
        <w:t xml:space="preserve">102 </w:t>
      </w:r>
      <w:r>
        <w:rPr>
          <w:i/>
        </w:rPr>
        <w:t xml:space="preserve">Procedures </w:t>
      </w:r>
      <w:r w:rsidRPr="000C7DEF">
        <w:rPr>
          <w:i/>
        </w:rPr>
        <w:t>Public Notice</w:t>
      </w:r>
      <w:r>
        <w:t xml:space="preserve"> at </w:t>
      </w:r>
      <w:r w:rsidR="00A31ED0">
        <w:t xml:space="preserve">49, </w:t>
      </w:r>
      <w:r>
        <w:t>para. 137.</w:t>
      </w:r>
    </w:p>
  </w:footnote>
  <w:footnote w:id="13">
    <w:p w:rsidR="00354547">
      <w:pPr>
        <w:pStyle w:val="FootnoteText"/>
      </w:pPr>
      <w:r>
        <w:rPr>
          <w:rStyle w:val="FootnoteReference"/>
        </w:rPr>
        <w:footnoteRef/>
      </w:r>
      <w:r>
        <w:t xml:space="preserve"> </w:t>
      </w:r>
      <w:r w:rsidR="00DB52F9">
        <w:rPr>
          <w:i/>
        </w:rPr>
        <w:t>Id.</w:t>
      </w:r>
      <w:r w:rsidR="00DB52F9">
        <w:t xml:space="preserve"> </w:t>
      </w:r>
      <w:r w:rsidR="00670A66">
        <w:t xml:space="preserve">at </w:t>
      </w:r>
      <w:r w:rsidR="00DE0179">
        <w:t xml:space="preserve">14, </w:t>
      </w:r>
      <w:r w:rsidR="00670A66">
        <w:t>para. 30</w:t>
      </w:r>
      <w:r w:rsidR="00C158EC">
        <w:t xml:space="preserve"> (citing 47 CFR § 1.2105(a)(2))</w:t>
      </w:r>
      <w:r w:rsidR="005A5B80">
        <w:t xml:space="preserve">; </w:t>
      </w:r>
      <w:r w:rsidR="005A5B80">
        <w:rPr>
          <w:i/>
        </w:rPr>
        <w:t>see</w:t>
      </w:r>
      <w:r w:rsidR="00DB33E7">
        <w:rPr>
          <w:i/>
        </w:rPr>
        <w:t xml:space="preserve"> also</w:t>
      </w:r>
      <w:r w:rsidR="005A5B80">
        <w:t xml:space="preserve"> </w:t>
      </w:r>
      <w:r w:rsidR="00EE6CF3">
        <w:rPr>
          <w:i/>
        </w:rPr>
        <w:t>supra</w:t>
      </w:r>
      <w:r w:rsidR="00EE6CF3">
        <w:t xml:space="preserve"> </w:t>
      </w:r>
      <w:r w:rsidR="005A5B80">
        <w:t>note 6</w:t>
      </w:r>
      <w:r w:rsidR="00670A66">
        <w:t>.</w:t>
      </w:r>
    </w:p>
  </w:footnote>
  <w:footnote w:id="14">
    <w:p w:rsidR="00AB3A19" w:rsidRPr="00AB3A19">
      <w:pPr>
        <w:pStyle w:val="FootnoteText"/>
      </w:pPr>
      <w:r>
        <w:rPr>
          <w:rStyle w:val="FootnoteReference"/>
        </w:rPr>
        <w:footnoteRef/>
      </w:r>
      <w:r>
        <w:t xml:space="preserve"> </w:t>
      </w:r>
      <w:r w:rsidRPr="000C7DEF" w:rsidR="00C158EC">
        <w:rPr>
          <w:i/>
        </w:rPr>
        <w:t>Auctions 101</w:t>
      </w:r>
      <w:r w:rsidR="00C13764">
        <w:rPr>
          <w:i/>
        </w:rPr>
        <w:t xml:space="preserve"> and </w:t>
      </w:r>
      <w:r w:rsidRPr="000C7DEF" w:rsidR="00C158EC">
        <w:rPr>
          <w:i/>
        </w:rPr>
        <w:t xml:space="preserve">102 </w:t>
      </w:r>
      <w:r w:rsidR="00C158EC">
        <w:rPr>
          <w:i/>
        </w:rPr>
        <w:t xml:space="preserve">Procedures </w:t>
      </w:r>
      <w:r w:rsidRPr="000C7DEF" w:rsidR="00C158EC">
        <w:rPr>
          <w:i/>
        </w:rPr>
        <w:t>Public Notice</w:t>
      </w:r>
      <w:r w:rsidR="00DE0179">
        <w:t xml:space="preserve"> </w:t>
      </w:r>
      <w:r>
        <w:t>at</w:t>
      </w:r>
      <w:r w:rsidR="00C158EC">
        <w:t xml:space="preserve"> </w:t>
      </w:r>
      <w:r w:rsidR="00DE0179">
        <w:t xml:space="preserve">16, </w:t>
      </w:r>
      <w:r>
        <w:t>para. 37.</w:t>
      </w:r>
    </w:p>
  </w:footnote>
  <w:footnote w:id="15">
    <w:p w:rsidR="00D952ED">
      <w:pPr>
        <w:pStyle w:val="FootnoteText"/>
      </w:pPr>
      <w:r>
        <w:rPr>
          <w:rStyle w:val="FootnoteReference"/>
        </w:rPr>
        <w:footnoteRef/>
      </w:r>
      <w:r>
        <w:t xml:space="preserve"> </w:t>
      </w:r>
      <w:r>
        <w:rPr>
          <w:i/>
        </w:rPr>
        <w:t xml:space="preserve">See Short-Form Application (FCC Form 175) Filing Instructions for Auction 101 and Auction 102 </w:t>
      </w:r>
      <w:r>
        <w:t xml:space="preserve">at </w:t>
      </w:r>
      <w:r w:rsidR="000168CB">
        <w:t xml:space="preserve">1, </w:t>
      </w:r>
      <w:r w:rsidR="00700E55">
        <w:t xml:space="preserve">27, </w:t>
      </w:r>
      <w:r>
        <w:t>paras. 2, 110</w:t>
      </w:r>
      <w:r w:rsidR="003112A5">
        <w:t xml:space="preserve"> (Aug. 6, 2018)</w:t>
      </w:r>
      <w:r w:rsidR="000168CB">
        <w:t xml:space="preserve">, </w:t>
      </w:r>
      <w:r>
        <w:fldChar w:fldCharType="begin"/>
      </w:r>
      <w:r>
        <w:instrText xml:space="preserve"> HYPERLINK "https://www.fcc.gov/auction/101/education" </w:instrText>
      </w:r>
      <w:r>
        <w:fldChar w:fldCharType="separate"/>
      </w:r>
      <w:r w:rsidRPr="00B35010" w:rsidR="000168CB">
        <w:rPr>
          <w:rStyle w:val="Hyperlink"/>
        </w:rPr>
        <w:t>https://www.fcc.gov/auction/101/education</w:t>
      </w:r>
      <w:r>
        <w:fldChar w:fldCharType="end"/>
      </w:r>
      <w:r>
        <w:t xml:space="preserve"> (“</w:t>
      </w:r>
      <w:r w:rsidRPr="00D952ED">
        <w:rPr>
          <w:b/>
        </w:rPr>
        <w:t>Applications must be submitted and confirmed prior to 6:00 p.m. ET on September 18, 2018</w:t>
      </w:r>
      <w:r>
        <w:t xml:space="preserve">.  . . .  Late applications or unconfirmed submissions will not be accepted.”); </w:t>
      </w:r>
      <w:r>
        <w:rPr>
          <w:i/>
        </w:rPr>
        <w:t>Auction</w:t>
      </w:r>
      <w:r w:rsidR="00DC253F">
        <w:rPr>
          <w:i/>
        </w:rPr>
        <w:t>s</w:t>
      </w:r>
      <w:r>
        <w:rPr>
          <w:i/>
        </w:rPr>
        <w:t xml:space="preserve"> 101</w:t>
      </w:r>
      <w:r w:rsidR="00DC253F">
        <w:rPr>
          <w:i/>
        </w:rPr>
        <w:t xml:space="preserve"> and 102 </w:t>
      </w:r>
      <w:r>
        <w:rPr>
          <w:i/>
        </w:rPr>
        <w:t>Application Tutorial</w:t>
      </w:r>
      <w:r>
        <w:t xml:space="preserve">, </w:t>
      </w:r>
      <w:r>
        <w:fldChar w:fldCharType="begin"/>
      </w:r>
      <w:r>
        <w:instrText xml:space="preserve"> HYPERLINK "http://wireless.fcc.gov/auctions/101/Tutorial_101_102/presentation.html" </w:instrText>
      </w:r>
      <w:r>
        <w:fldChar w:fldCharType="separate"/>
      </w:r>
      <w:r w:rsidRPr="006525C3">
        <w:rPr>
          <w:rStyle w:val="Hyperlink"/>
        </w:rPr>
        <w:t>http://wireless.fcc.gov/auctions/101/Tutorial_101_102/presentation.html</w:t>
      </w:r>
      <w:r>
        <w:fldChar w:fldCharType="end"/>
      </w:r>
      <w:r>
        <w:t>.</w:t>
      </w:r>
    </w:p>
  </w:footnote>
  <w:footnote w:id="16">
    <w:p w:rsidR="00950D44">
      <w:pPr>
        <w:pStyle w:val="FootnoteText"/>
      </w:pPr>
      <w:r>
        <w:rPr>
          <w:rStyle w:val="FootnoteReference"/>
        </w:rPr>
        <w:footnoteRef/>
      </w:r>
      <w:r>
        <w:t xml:space="preserve"> Request at 6.  </w:t>
      </w:r>
    </w:p>
  </w:footnote>
  <w:footnote w:id="17">
    <w:p w:rsidR="00703BCB">
      <w:pPr>
        <w:pStyle w:val="FootnoteText"/>
      </w:pPr>
      <w:r>
        <w:rPr>
          <w:rStyle w:val="FootnoteReference"/>
        </w:rPr>
        <w:footnoteRef/>
      </w:r>
      <w:r>
        <w:t xml:space="preserve"> In the parallel context of submitting bids in the Commission’s Auction System, the Commission declared that it will have no obligation to resolve issues</w:t>
      </w:r>
      <w:r w:rsidR="00664B38">
        <w:t xml:space="preserve"> </w:t>
      </w:r>
      <w:r w:rsidR="007E4423">
        <w:t xml:space="preserve">that arise </w:t>
      </w:r>
      <w:r w:rsidR="00664B38">
        <w:t xml:space="preserve">“outside the Auction System or </w:t>
      </w:r>
      <w:r w:rsidR="00C158EC">
        <w:t xml:space="preserve">[are] </w:t>
      </w:r>
      <w:r w:rsidR="00664B38">
        <w:t>attributable to a bidder, including, but not limited to, a bidder’s hardware, software, or Internet access problem that prevents the bidder from submitting a bid prior to the end of a round,”</w:t>
      </w:r>
      <w:r>
        <w:t xml:space="preserve"> on behalf of a bidder.  </w:t>
      </w:r>
      <w:r>
        <w:rPr>
          <w:i/>
        </w:rPr>
        <w:t xml:space="preserve">See </w:t>
      </w:r>
      <w:r w:rsidRPr="000C7DEF">
        <w:rPr>
          <w:i/>
        </w:rPr>
        <w:t>Auctions 101</w:t>
      </w:r>
      <w:r w:rsidR="00C13764">
        <w:rPr>
          <w:i/>
        </w:rPr>
        <w:t xml:space="preserve"> and </w:t>
      </w:r>
      <w:r w:rsidRPr="000C7DEF">
        <w:rPr>
          <w:i/>
        </w:rPr>
        <w:t xml:space="preserve">102 </w:t>
      </w:r>
      <w:r>
        <w:rPr>
          <w:i/>
        </w:rPr>
        <w:t xml:space="preserve">Procedures </w:t>
      </w:r>
      <w:r w:rsidRPr="000C7DEF">
        <w:rPr>
          <w:i/>
        </w:rPr>
        <w:t>Public Notice</w:t>
      </w:r>
      <w:r>
        <w:t xml:space="preserve"> at </w:t>
      </w:r>
      <w:r w:rsidR="00DE0179">
        <w:t xml:space="preserve">57, </w:t>
      </w:r>
      <w:r>
        <w:t>para. 164.</w:t>
      </w:r>
    </w:p>
  </w:footnote>
  <w:footnote w:id="18">
    <w:p w:rsidR="00DB52F9" w:rsidP="00DB52F9">
      <w:pPr>
        <w:pStyle w:val="FootnoteText"/>
      </w:pPr>
      <w:r>
        <w:rPr>
          <w:rStyle w:val="FootnoteReference"/>
        </w:rPr>
        <w:footnoteRef/>
      </w:r>
      <w:r>
        <w:t xml:space="preserve"> </w:t>
      </w:r>
      <w:r>
        <w:rPr>
          <w:i/>
        </w:rPr>
        <w:t xml:space="preserve">See </w:t>
      </w:r>
      <w:r w:rsidRPr="00DE0179" w:rsidR="00DE0179">
        <w:t>Request</w:t>
      </w:r>
      <w:r>
        <w:t xml:space="preserve"> at 8.  NBVDS’s assertions of benefits to the rural Oklahoma communities are similar to the public interest arguments the Commission has consistently rejected in declining to grant other requests for waiver of its competitive bidding rules. </w:t>
      </w:r>
      <w:r>
        <w:rPr>
          <w:i/>
        </w:rPr>
        <w:t xml:space="preserve"> See, e.g.</w:t>
      </w:r>
      <w:r w:rsidRPr="008F7C97">
        <w:t>,</w:t>
      </w:r>
      <w:r>
        <w:t xml:space="preserve"> </w:t>
      </w:r>
      <w:r>
        <w:rPr>
          <w:i/>
        </w:rPr>
        <w:t xml:space="preserve">Application of The ERIE Radio Co., LLC for a Construction Permit for a </w:t>
      </w:r>
      <w:r w:rsidR="00DE0179">
        <w:rPr>
          <w:i/>
        </w:rPr>
        <w:t>N</w:t>
      </w:r>
      <w:r>
        <w:rPr>
          <w:i/>
        </w:rPr>
        <w:t>ew FM Broadcast Station at Westfield, NY; Informal Request for Extension of Time</w:t>
      </w:r>
      <w:r>
        <w:t xml:space="preserve">, Memorandum Opinion and Order, 32 FCC Rcd 3890, 3896 &amp; n.51, para. 17 (MB/WTB 2017); </w:t>
      </w:r>
      <w:r w:rsidRPr="00874F8E">
        <w:rPr>
          <w:i/>
        </w:rPr>
        <w:t>Southern Communications Systems, Inc.</w:t>
      </w:r>
      <w:r>
        <w:t xml:space="preserve">, </w:t>
      </w:r>
      <w:r w:rsidRPr="00874F8E">
        <w:t>Second Memorandum Opinion and Order</w:t>
      </w:r>
      <w:r w:rsidRPr="00715733">
        <w:t>,</w:t>
      </w:r>
      <w:r>
        <w:t xml:space="preserve"> 16 FCC Rcd 18357, 18361, para. 9 (2001) (“[E]nforcing the Commission’s payment rules . . . serves the public interest better than relying on the wholly unsubstantiated possibility that [petitioner] might have provided service in its license area sooner than the successor licensees will.”); </w:t>
      </w:r>
      <w:r>
        <w:rPr>
          <w:i/>
        </w:rPr>
        <w:t>see also</w:t>
      </w:r>
      <w:r>
        <w:t xml:space="preserve"> </w:t>
      </w:r>
      <w:r w:rsidRPr="00EF0673">
        <w:rPr>
          <w:i/>
        </w:rPr>
        <w:t>Aircom Consultants, Inc.</w:t>
      </w:r>
      <w:r>
        <w:t xml:space="preserve">, Order on Reconsideration, 18 FCC Rcd 1806, 1810-11, paras. 12-13 (WTB 2003) (following Commission precedent in rejecting the petitioner’s argument that the down payment and default rules should be waived to provide communications services to underserved tribal lands and rural areas). </w:t>
      </w:r>
    </w:p>
  </w:footnote>
  <w:footnote w:id="19">
    <w:p w:rsidR="008A52F6">
      <w:pPr>
        <w:pStyle w:val="FootnoteText"/>
      </w:pPr>
      <w:r>
        <w:rPr>
          <w:rStyle w:val="FootnoteReference"/>
        </w:rPr>
        <w:footnoteRef/>
      </w:r>
      <w:r>
        <w:t xml:space="preserve"> </w:t>
      </w:r>
      <w:r w:rsidR="00947679">
        <w:rPr>
          <w:i/>
        </w:rPr>
        <w:t xml:space="preserve">See </w:t>
      </w:r>
      <w:r w:rsidR="00947679">
        <w:t xml:space="preserve">Request at Decl. of Rachel Looney at para. 9.  </w:t>
      </w:r>
    </w:p>
  </w:footnote>
  <w:footnote w:id="20">
    <w:p w:rsidR="00E356F8" w:rsidRPr="003003AD">
      <w:pPr>
        <w:pStyle w:val="FootnoteText"/>
      </w:pPr>
      <w:r>
        <w:rPr>
          <w:rStyle w:val="FootnoteReference"/>
        </w:rPr>
        <w:footnoteRef/>
      </w:r>
      <w:r>
        <w:t xml:space="preserve"> </w:t>
      </w:r>
      <w:r w:rsidR="006C444C">
        <w:rPr>
          <w:i/>
        </w:rPr>
        <w:t>See id.</w:t>
      </w:r>
      <w:r w:rsidR="006C444C">
        <w:t xml:space="preserve"> at 2, 4.  </w:t>
      </w:r>
      <w:r>
        <w:t xml:space="preserve">Conversely, granting the Request would be unfair to those applicants </w:t>
      </w:r>
      <w:r w:rsidR="00DA561A">
        <w:t xml:space="preserve">and potential applicants </w:t>
      </w:r>
      <w:r>
        <w:t xml:space="preserve">that were bound by the </w:t>
      </w:r>
      <w:r w:rsidR="0096151A">
        <w:t xml:space="preserve">Commission’s </w:t>
      </w:r>
      <w:r>
        <w:t>6:00 p.m. deadline on September</w:t>
      </w:r>
      <w:r w:rsidR="00DA561A">
        <w:t xml:space="preserve"> 18</w:t>
      </w:r>
      <w:r>
        <w:t xml:space="preserve">.  </w:t>
      </w:r>
    </w:p>
  </w:footnote>
  <w:footnote w:id="21">
    <w:p w:rsidR="008F1C4E" w:rsidRPr="008F1C4E">
      <w:pPr>
        <w:pStyle w:val="FootnoteText"/>
        <w:rPr>
          <w:i/>
        </w:rPr>
      </w:pPr>
      <w:r>
        <w:rPr>
          <w:rStyle w:val="FootnoteReference"/>
        </w:rPr>
        <w:footnoteRef/>
      </w:r>
      <w:r>
        <w:t xml:space="preserve"> </w:t>
      </w:r>
      <w:r>
        <w:rPr>
          <w:i/>
        </w:rPr>
        <w:t xml:space="preserve">See </w:t>
      </w:r>
      <w:r w:rsidRPr="008F1C4E">
        <w:t>Request at 6 (citing</w:t>
      </w:r>
      <w:r>
        <w:rPr>
          <w:i/>
        </w:rPr>
        <w:t xml:space="preserve"> </w:t>
      </w:r>
      <w:r w:rsidRPr="00994876">
        <w:rPr>
          <w:i/>
        </w:rPr>
        <w:t>FCC Overrules Caldwell Television Associates, Ltd.</w:t>
      </w:r>
      <w:r w:rsidRPr="00994876">
        <w:t>, Public Notice, FCC 85-534, 58 R.R. 2d 1706 (1985)</w:t>
      </w:r>
      <w:r>
        <w:t xml:space="preserve"> (</w:t>
      </w:r>
      <w:r>
        <w:rPr>
          <w:i/>
        </w:rPr>
        <w:t>Caldwell Television</w:t>
      </w:r>
      <w:r w:rsidRPr="008F1C4E">
        <w:t>))</w:t>
      </w:r>
      <w:r>
        <w:t>.</w:t>
      </w:r>
    </w:p>
  </w:footnote>
  <w:footnote w:id="22">
    <w:p w:rsidR="004E1F0D" w:rsidP="004E1F0D">
      <w:pPr>
        <w:pStyle w:val="FootnoteText"/>
      </w:pPr>
      <w:r>
        <w:rPr>
          <w:rStyle w:val="FootnoteReference"/>
        </w:rPr>
        <w:footnoteRef/>
      </w:r>
      <w:r>
        <w:t xml:space="preserve"> </w:t>
      </w:r>
      <w:r w:rsidRPr="008F1C4E">
        <w:rPr>
          <w:i/>
        </w:rPr>
        <w:t>Caldwell Television</w:t>
      </w:r>
      <w:r>
        <w:t xml:space="preserve"> at 1.</w:t>
      </w:r>
    </w:p>
  </w:footnote>
  <w:footnote w:id="23">
    <w:p w:rsidR="004E1F0D" w:rsidP="004E1F0D">
      <w:pPr>
        <w:pStyle w:val="FootnoteText"/>
      </w:pPr>
      <w:r>
        <w:rPr>
          <w:rStyle w:val="FootnoteReference"/>
        </w:rPr>
        <w:footnoteRef/>
      </w:r>
      <w:r>
        <w:t xml:space="preserve"> </w:t>
      </w:r>
      <w:r w:rsidRPr="00A25BF5">
        <w:rPr>
          <w:i/>
        </w:rPr>
        <w:t>Id.</w:t>
      </w:r>
      <w:r>
        <w:t xml:space="preserve"> </w:t>
      </w:r>
    </w:p>
  </w:footnote>
  <w:footnote w:id="24">
    <w:p w:rsidR="009055F9">
      <w:pPr>
        <w:pStyle w:val="FootnoteText"/>
      </w:pPr>
      <w:r>
        <w:rPr>
          <w:rStyle w:val="FootnoteReference"/>
        </w:rPr>
        <w:footnoteRef/>
      </w:r>
      <w:r>
        <w:t xml:space="preserve"> </w:t>
      </w:r>
      <w:r w:rsidRPr="00A364E9" w:rsidR="00A364E9">
        <w:rPr>
          <w:i/>
        </w:rPr>
        <w:t>Id.</w:t>
      </w:r>
      <w:r w:rsidR="008F1C4E">
        <w:t xml:space="preserve"> </w:t>
      </w:r>
      <w:r w:rsidR="0080444C">
        <w:t>a</w:t>
      </w:r>
      <w:r>
        <w:t xml:space="preserve">t 1-2.  </w:t>
      </w:r>
    </w:p>
  </w:footnote>
  <w:footnote w:id="25">
    <w:p w:rsidR="00843201" w:rsidRPr="00A30152">
      <w:pPr>
        <w:pStyle w:val="FootnoteText"/>
      </w:pPr>
      <w:r>
        <w:rPr>
          <w:rStyle w:val="FootnoteReference"/>
        </w:rPr>
        <w:footnoteRef/>
      </w:r>
      <w:r>
        <w:t xml:space="preserve"> </w:t>
      </w:r>
      <w:r>
        <w:rPr>
          <w:i/>
        </w:rPr>
        <w:t xml:space="preserve">See </w:t>
      </w:r>
      <w:r>
        <w:t>Request at 6.</w:t>
      </w:r>
      <w:r w:rsidR="00A30152">
        <w:t xml:space="preserve">  </w:t>
      </w:r>
      <w:r w:rsidR="000A7988">
        <w:t xml:space="preserve">    </w:t>
      </w:r>
    </w:p>
  </w:footnote>
  <w:footnote w:id="26">
    <w:p w:rsidR="0038403D">
      <w:pPr>
        <w:pStyle w:val="FootnoteText"/>
      </w:pPr>
      <w:r>
        <w:rPr>
          <w:rStyle w:val="FootnoteReference"/>
        </w:rPr>
        <w:footnoteRef/>
      </w:r>
      <w:r>
        <w:t xml:space="preserve"> </w:t>
      </w:r>
      <w:r w:rsidRPr="000A7988" w:rsidR="000A7988">
        <w:t>Request</w:t>
      </w:r>
      <w:r>
        <w:t xml:space="preserve"> at 7.</w:t>
      </w:r>
    </w:p>
  </w:footnote>
  <w:footnote w:id="27">
    <w:p w:rsidR="007D4254" w:rsidRPr="007D4254">
      <w:pPr>
        <w:pStyle w:val="FootnoteText"/>
      </w:pPr>
      <w:r>
        <w:rPr>
          <w:rStyle w:val="FootnoteReference"/>
        </w:rPr>
        <w:footnoteRef/>
      </w:r>
      <w:r>
        <w:t xml:space="preserve"> </w:t>
      </w:r>
      <w:r>
        <w:rPr>
          <w:i/>
        </w:rPr>
        <w:t>Id.</w:t>
      </w:r>
      <w:r>
        <w:t xml:space="preserve"> at </w:t>
      </w:r>
      <w:r w:rsidR="00167551">
        <w:t xml:space="preserve">Decl. of Jacob E. Baldwin at para. </w:t>
      </w:r>
      <w:r>
        <w:t>1</w:t>
      </w:r>
      <w:r w:rsidR="00167551">
        <w:t>2</w:t>
      </w:r>
      <w:r>
        <w:t>.</w:t>
      </w:r>
      <w:r w:rsidR="0027539C">
        <w:t xml:space="preserve">  </w:t>
      </w:r>
    </w:p>
  </w:footnote>
  <w:footnote w:id="28">
    <w:p w:rsidR="006240FF">
      <w:pPr>
        <w:pStyle w:val="FootnoteText"/>
      </w:pPr>
      <w:bookmarkStart w:id="2" w:name="_Hlk526928822"/>
      <w:r>
        <w:rPr>
          <w:rStyle w:val="FootnoteReference"/>
        </w:rPr>
        <w:footnoteRef/>
      </w:r>
      <w:r>
        <w:t xml:space="preserve"> </w:t>
      </w:r>
      <w:r w:rsidR="00B267C7">
        <w:t xml:space="preserve">The Request itself has no such allegation, although </w:t>
      </w:r>
      <w:r>
        <w:t xml:space="preserve">NBVDS’s declarant Rachel Looney states that the Auction Application System “displayed an error message.”  Request at Decl. of Rachel Looney at paras. 9-10.  However, </w:t>
      </w:r>
      <w:r w:rsidR="002238B1">
        <w:t xml:space="preserve">our investigation shows that at the time indicated on her browser history, NBVDS was on </w:t>
      </w:r>
      <w:r>
        <w:t>the short-form application’s “Summary—Error Summary” page</w:t>
      </w:r>
      <w:r w:rsidR="006C444C">
        <w:t xml:space="preserve">, </w:t>
      </w:r>
      <w:r w:rsidR="0080444C">
        <w:t xml:space="preserve">which is a summary page </w:t>
      </w:r>
      <w:r w:rsidR="00AE7890">
        <w:t xml:space="preserve">correctly displayed to </w:t>
      </w:r>
      <w:r w:rsidR="0080444C">
        <w:t>all applicants</w:t>
      </w:r>
      <w:r w:rsidR="00B713DB">
        <w:t xml:space="preserve"> </w:t>
      </w:r>
      <w:r w:rsidR="002238B1">
        <w:t xml:space="preserve">prior to the two </w:t>
      </w:r>
      <w:r w:rsidR="005577F3">
        <w:t xml:space="preserve">required certification </w:t>
      </w:r>
      <w:r w:rsidR="002238B1">
        <w:t>pages not accessed by NBVDS</w:t>
      </w:r>
      <w:r>
        <w:t xml:space="preserve">.  </w:t>
      </w:r>
      <w:r w:rsidR="00DC253F">
        <w:rPr>
          <w:i/>
        </w:rPr>
        <w:t>See Auctions 101 and 102 Application Tutorial</w:t>
      </w:r>
      <w:r w:rsidR="00DC253F">
        <w:t xml:space="preserve"> at § 4.3.10.2 (Short-Form Application (FCC Form 175) Demonstration)).  </w:t>
      </w:r>
      <w:r w:rsidR="007B66FE">
        <w:t>Moreover</w:t>
      </w:r>
      <w:r w:rsidR="00C168F4">
        <w:t xml:space="preserve">, when NBVDS’s declarant Jacob Baldwin contacted Commission staff </w:t>
      </w:r>
      <w:r w:rsidR="007B66FE">
        <w:t>at 5:57 p.m. ET</w:t>
      </w:r>
      <w:r w:rsidR="00C168F4">
        <w:t xml:space="preserve">, Mr. Baldwin </w:t>
      </w:r>
      <w:r w:rsidR="007B66FE">
        <w:t xml:space="preserve">did not identify any issue with submitting NBVDS’s applications.  </w:t>
      </w:r>
      <w:r w:rsidR="007B66FE">
        <w:rPr>
          <w:i/>
        </w:rPr>
        <w:t xml:space="preserve">See </w:t>
      </w:r>
      <w:r w:rsidR="007B66FE">
        <w:t xml:space="preserve">Request at Decl. of Jacob E. Baldwin at para. 8 (explaining that this call concerned issues uploading attachments).  Given the short time before the filing window closed, Commission staff twice asked whether </w:t>
      </w:r>
      <w:r w:rsidR="00C168F4">
        <w:t>NBVDS’</w:t>
      </w:r>
      <w:r w:rsidR="002957D6">
        <w:t>s</w:t>
      </w:r>
      <w:r w:rsidR="00C168F4">
        <w:t xml:space="preserve"> applications had been submitted</w:t>
      </w:r>
      <w:r w:rsidR="007B66FE">
        <w:t>, and Mr. Baldwin responded affirmatively</w:t>
      </w:r>
      <w:r w:rsidR="00C168F4">
        <w:t>.</w:t>
      </w:r>
      <w:bookmarkEnd w:id="2"/>
      <w:r w:rsidR="00C168F4">
        <w:t xml:space="preserve"> </w:t>
      </w:r>
    </w:p>
  </w:footnote>
  <w:footnote w:id="29">
    <w:p w:rsidR="0044712A">
      <w:pPr>
        <w:pStyle w:val="FootnoteText"/>
      </w:pPr>
      <w:r>
        <w:rPr>
          <w:rStyle w:val="FootnoteReference"/>
        </w:rPr>
        <w:footnoteRef/>
      </w:r>
      <w:r>
        <w:t xml:space="preserve"> </w:t>
      </w:r>
      <w:r w:rsidR="00664CEC">
        <w:t xml:space="preserve">In this regard, NBVDS’s reliance on the waiver granted in </w:t>
      </w:r>
      <w:r w:rsidR="00664CEC">
        <w:rPr>
          <w:i/>
        </w:rPr>
        <w:t xml:space="preserve">Application of </w:t>
      </w:r>
      <w:r w:rsidR="00664CEC">
        <w:rPr>
          <w:i/>
        </w:rPr>
        <w:t>Metricom</w:t>
      </w:r>
      <w:r w:rsidR="00664CEC">
        <w:t xml:space="preserve">, </w:t>
      </w:r>
      <w:r w:rsidR="00664CEC">
        <w:rPr>
          <w:i/>
        </w:rPr>
        <w:t>Inc.</w:t>
      </w:r>
      <w:r w:rsidR="00664CEC">
        <w:t xml:space="preserve"> is misplaced.  </w:t>
      </w:r>
      <w:r w:rsidR="00664CEC">
        <w:rPr>
          <w:i/>
        </w:rPr>
        <w:t xml:space="preserve">See </w:t>
      </w:r>
      <w:r w:rsidRPr="000A7988" w:rsidR="00664CEC">
        <w:t>Request</w:t>
      </w:r>
      <w:r w:rsidR="00664CEC">
        <w:t xml:space="preserve"> at 7, citing </w:t>
      </w:r>
      <w:r w:rsidR="00664CEC">
        <w:rPr>
          <w:i/>
        </w:rPr>
        <w:t xml:space="preserve">Application of </w:t>
      </w:r>
      <w:r w:rsidR="00664CEC">
        <w:rPr>
          <w:i/>
        </w:rPr>
        <w:t>Metricom</w:t>
      </w:r>
      <w:r w:rsidR="00664CEC">
        <w:t xml:space="preserve">, </w:t>
      </w:r>
      <w:r w:rsidR="00664CEC">
        <w:rPr>
          <w:i/>
        </w:rPr>
        <w:t>Inc.</w:t>
      </w:r>
      <w:r w:rsidR="00664CEC">
        <w:t xml:space="preserve">, 12 FCC </w:t>
      </w:r>
      <w:r w:rsidR="00664CEC">
        <w:t>Rcd</w:t>
      </w:r>
      <w:r w:rsidR="00664CEC">
        <w:t xml:space="preserve"> 15157, 15159, para. 6 (WTB Commercial Wireless Div. 1997).  That case involved very different circumstances; there, the Commercial Wireless Division emphasized that the “filing deadline at issue was a post auction deadline</w:t>
      </w:r>
      <w:r w:rsidR="00925403">
        <w:t>,</w:t>
      </w:r>
      <w:r w:rsidR="00664CEC">
        <w:t xml:space="preserve">” that the applicant’s “actions did not delay the auction process or prejudice other applicants,” and that the party immediately undertook corrective efforts to try to avoid missing the deadline entirely.  </w:t>
      </w:r>
      <w:r w:rsidRPr="00925403" w:rsidR="00925403">
        <w:rPr>
          <w:i/>
        </w:rPr>
        <w:t>Id</w:t>
      </w:r>
      <w:r w:rsidRPr="00925403" w:rsidR="00664CEC">
        <w:rPr>
          <w:i/>
        </w:rPr>
        <w:t>.</w:t>
      </w:r>
      <w:r w:rsidR="00664CEC">
        <w:rPr>
          <w:i/>
        </w:rPr>
        <w:t xml:space="preserve">  </w:t>
      </w:r>
    </w:p>
  </w:footnote>
  <w:footnote w:id="30">
    <w:p w:rsidR="00CD2910">
      <w:pPr>
        <w:pStyle w:val="FootnoteText"/>
      </w:pPr>
      <w:r>
        <w:rPr>
          <w:rStyle w:val="FootnoteReference"/>
        </w:rPr>
        <w:footnoteRef/>
      </w:r>
      <w:r>
        <w:t xml:space="preserve"> Request at 7.  </w:t>
      </w:r>
    </w:p>
  </w:footnote>
  <w:footnote w:id="31">
    <w:p w:rsidR="00FF1666">
      <w:pPr>
        <w:pStyle w:val="FootnoteText"/>
      </w:pPr>
      <w:r>
        <w:rPr>
          <w:rStyle w:val="FootnoteReference"/>
        </w:rPr>
        <w:footnoteRef/>
      </w:r>
      <w:r>
        <w:t xml:space="preserve"> Th</w:t>
      </w:r>
      <w:r w:rsidR="00075C8B">
        <w:t xml:space="preserve">e </w:t>
      </w:r>
      <w:r w:rsidR="00F00779">
        <w:t xml:space="preserve">specific </w:t>
      </w:r>
      <w:r>
        <w:t xml:space="preserve">pages are the </w:t>
      </w:r>
      <w:r w:rsidR="005F7871">
        <w:t>“</w:t>
      </w:r>
      <w:r>
        <w:t>Former Defaulter, Delinquency Statement</w:t>
      </w:r>
      <w:r w:rsidR="005F7871">
        <w:t>”</w:t>
      </w:r>
      <w:r>
        <w:t xml:space="preserve"> and </w:t>
      </w:r>
      <w:r w:rsidR="005F7871">
        <w:t>“</w:t>
      </w:r>
      <w:r>
        <w:t>Certify</w:t>
      </w:r>
      <w:r w:rsidR="005F7871">
        <w:t xml:space="preserve"> &amp; Submit”</w:t>
      </w:r>
      <w:r>
        <w:t xml:space="preserve"> pages.</w:t>
      </w:r>
      <w:r w:rsidR="00075C8B">
        <w:t xml:space="preserve">  An applicant cannot navigate to the Certify</w:t>
      </w:r>
      <w:r w:rsidR="005F7871">
        <w:t xml:space="preserve"> &amp; Submit</w:t>
      </w:r>
      <w:r w:rsidR="00075C8B">
        <w:t xml:space="preserve"> page unless </w:t>
      </w:r>
      <w:r w:rsidR="00F00779">
        <w:t xml:space="preserve">one of the two </w:t>
      </w:r>
      <w:r w:rsidR="00075C8B">
        <w:t>former defaulter</w:t>
      </w:r>
      <w:r w:rsidR="00F00779">
        <w:t xml:space="preserve">/delinquency statements </w:t>
      </w:r>
      <w:r w:rsidR="00075C8B">
        <w:t>is answered.</w:t>
      </w:r>
      <w:r w:rsidR="004C19F6">
        <w:t xml:space="preserve">  </w:t>
      </w:r>
    </w:p>
  </w:footnote>
  <w:footnote w:id="32">
    <w:p w:rsidR="00F00779">
      <w:pPr>
        <w:pStyle w:val="FootnoteText"/>
      </w:pPr>
      <w:r>
        <w:rPr>
          <w:rStyle w:val="FootnoteReference"/>
        </w:rPr>
        <w:footnoteRef/>
      </w:r>
      <w:r>
        <w:t xml:space="preserve"> </w:t>
      </w:r>
      <w:r>
        <w:rPr>
          <w:i/>
        </w:rPr>
        <w:t xml:space="preserve">See </w:t>
      </w:r>
      <w:r>
        <w:t>Request at Attach.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259">
    <w:pPr>
      <w:pStyle w:val="Header"/>
    </w:pPr>
    <w:r>
      <w:tab/>
      <w:t>Federal Communications Commission</w:t>
    </w:r>
    <w:r>
      <w:tab/>
      <w:t>DA 1</w:t>
    </w:r>
    <w:r w:rsidR="004977A0">
      <w:t>8</w:t>
    </w:r>
    <w:r>
      <w:t>-</w:t>
    </w:r>
    <w:r w:rsidR="00A84A9D">
      <w:t>1039</w:t>
    </w:r>
  </w:p>
  <w:p w:rsidR="00FB1259">
    <w:pPr>
      <w:pStyle w:val="Header"/>
    </w:pPr>
    <w:r>
      <w:rPr>
        <w:noProof/>
      </w:rPr>
      <w:pict>
        <v:line id="_x0000_s2049" style="position:absolute;z-index:251659264" from="0,1.75pt" to="468pt,1.75pt" o:allowincell="f" strokeweight="1.5pt"/>
      </w:pict>
    </w:r>
  </w:p>
  <w:p w:rsidR="00FB1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259">
    <w:pPr>
      <w:pStyle w:val="Header"/>
    </w:pPr>
    <w:r>
      <w:tab/>
      <w:t xml:space="preserve">Federal Communications Commission   </w:t>
    </w:r>
    <w:r>
      <w:tab/>
      <w:t xml:space="preserve">DA </w:t>
    </w:r>
    <w:r w:rsidR="00814A67">
      <w:t>18-</w:t>
    </w:r>
    <w:r w:rsidR="00A84A9D">
      <w:t>1039</w:t>
    </w:r>
  </w:p>
  <w:p w:rsidR="00FB1259">
    <w:pPr>
      <w:pStyle w:val="Header"/>
    </w:pPr>
    <w:r>
      <w:rPr>
        <w:noProof/>
      </w:rPr>
      <w:pict>
        <v:line id="_x0000_s2050"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7CC043DA"/>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61182925"/>
    <w:multiLevelType w:val="singleLevel"/>
    <w:tmpl w:val="5BFAF236"/>
    <w:lvl w:ilvl="0">
      <w:start w:val="1"/>
      <w:numFmt w:val="decimal"/>
      <w:pStyle w:val="ParaNum"/>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abstractNum>
  <w:abstractNum w:abstractNumId="5">
    <w:nsid w:val="6496261D"/>
    <w:multiLevelType w:val="singleLevel"/>
    <w:tmpl w:val="459AAAC2"/>
    <w:lvl w:ilvl="0">
      <w:start w:val="1"/>
      <w:numFmt w:val="decimal"/>
      <w:pStyle w:val="Bullet"/>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5"/>
  </w:num>
  <w:num w:numId="2">
    <w:abstractNumId w:val="3"/>
  </w:num>
  <w:num w:numId="3">
    <w:abstractNumId w:val="2"/>
    <w:lvlOverride w:ilvl="0">
      <w:startOverride w:val="14"/>
    </w:lvlOverride>
  </w:num>
  <w:num w:numId="4">
    <w:abstractNumId w:val="4"/>
  </w:num>
  <w:num w:numId="5">
    <w:abstractNumId w:val="1"/>
  </w:num>
  <w:num w:numId="6">
    <w:abstractNumId w:val="4"/>
    <w:lvlOverride w:ilvl="0">
      <w:startOverride w:val="15"/>
    </w:lvlOverride>
  </w:num>
  <w:num w:numId="7">
    <w:abstractNumId w:val="4"/>
  </w:num>
  <w:num w:numId="8">
    <w:abstractNumId w:val="4"/>
  </w:num>
  <w:num w:numId="9">
    <w:abstractNumId w:val="4"/>
  </w:num>
  <w:num w:numId="10">
    <w:abstractNumId w:val="4"/>
  </w:num>
  <w:num w:numId="11">
    <w:abstractNumId w:val="4"/>
  </w:num>
  <w:num w:numId="12">
    <w:abstractNumId w:val="1"/>
  </w:num>
  <w:num w:numId="13">
    <w:abstractNumId w:val="1"/>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5"/>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5"/>
      </w:numPr>
      <w:spacing w:after="120"/>
      <w:outlineLvl w:val="1"/>
    </w:pPr>
    <w:rPr>
      <w:b/>
    </w:rPr>
  </w:style>
  <w:style w:type="paragraph" w:styleId="Heading3">
    <w:name w:val="heading 3"/>
    <w:basedOn w:val="Normal"/>
    <w:next w:val="ParaNum"/>
    <w:qFormat/>
    <w:pPr>
      <w:keepNext/>
      <w:numPr>
        <w:ilvl w:val="2"/>
        <w:numId w:val="5"/>
      </w:numPr>
      <w:tabs>
        <w:tab w:val="left" w:pos="2160"/>
      </w:tabs>
      <w:spacing w:after="120"/>
      <w:outlineLvl w:val="2"/>
    </w:pPr>
    <w:rPr>
      <w:b/>
    </w:rPr>
  </w:style>
  <w:style w:type="paragraph" w:styleId="Heading4">
    <w:name w:val="heading 4"/>
    <w:basedOn w:val="Normal"/>
    <w:next w:val="ParaNum"/>
    <w:qFormat/>
    <w:pPr>
      <w:keepNext/>
      <w:numPr>
        <w:ilvl w:val="3"/>
        <w:numId w:val="5"/>
      </w:numPr>
      <w:tabs>
        <w:tab w:val="left" w:pos="2880"/>
      </w:tabs>
      <w:spacing w:after="120"/>
      <w:outlineLvl w:val="3"/>
    </w:pPr>
    <w:rPr>
      <w:b/>
    </w:rPr>
  </w:style>
  <w:style w:type="paragraph" w:styleId="Heading5">
    <w:name w:val="heading 5"/>
    <w:basedOn w:val="Normal"/>
    <w:next w:val="ParaNum"/>
    <w:qFormat/>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pPr>
      <w:numPr>
        <w:ilvl w:val="5"/>
        <w:numId w:val="5"/>
      </w:numPr>
      <w:tabs>
        <w:tab w:val="left" w:pos="4320"/>
      </w:tabs>
      <w:spacing w:after="120"/>
      <w:outlineLvl w:val="5"/>
    </w:pPr>
    <w:rPr>
      <w:b/>
    </w:rPr>
  </w:style>
  <w:style w:type="paragraph" w:styleId="Heading7">
    <w:name w:val="heading 7"/>
    <w:basedOn w:val="Normal"/>
    <w:next w:val="ParaNum"/>
    <w:qFormat/>
    <w:pPr>
      <w:numPr>
        <w:ilvl w:val="6"/>
        <w:numId w:val="5"/>
      </w:numPr>
      <w:tabs>
        <w:tab w:val="left" w:pos="5040"/>
      </w:tabs>
      <w:spacing w:after="120"/>
      <w:ind w:left="5040" w:hanging="720"/>
      <w:outlineLvl w:val="6"/>
    </w:pPr>
    <w:rPr>
      <w:b/>
    </w:rPr>
  </w:style>
  <w:style w:type="paragraph" w:styleId="Heading8">
    <w:name w:val="heading 8"/>
    <w:basedOn w:val="Normal"/>
    <w:next w:val="ParaNum"/>
    <w:qFormat/>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4"/>
      </w:numPr>
      <w:spacing w:after="120"/>
    </w:pPr>
  </w:style>
  <w:style w:type="paragraph" w:styleId="FootnoteText">
    <w:name w:val="footnote text"/>
    <w:aliases w:val="Footnote Text Char,Footnote Text Char Char Char,Footnote Text Char Char Char Char Char,Footnote Text Char1 Char,Footnote Text Char1 Char Char Char,Footnote Text Char1 Char Char Char Char Char,Footnote Text Char3 Char Char Char,ft Char Char"/>
    <w:link w:val="FootnoteTextChar1"/>
    <w:qFormat/>
    <w:pPr>
      <w:spacing w:after="120"/>
    </w:pPr>
  </w:style>
  <w:style w:type="paragraph" w:customStyle="1" w:styleId="Bullet">
    <w:name w:val="Bullet"/>
    <w:basedOn w:val="Normal"/>
    <w:pPr>
      <w:numPr>
        <w:numId w:val="1"/>
      </w:numPr>
      <w:tabs>
        <w:tab w:val="left" w:pos="2160"/>
      </w:tabs>
      <w:spacing w:after="220"/>
      <w:ind w:left="2160" w:hanging="720"/>
    </w:pPr>
  </w:style>
  <w:style w:type="paragraph" w:styleId="BlockText">
    <w:name w:val="Block Text"/>
    <w:basedOn w:val="Normal"/>
    <w:pPr>
      <w:spacing w:after="240"/>
      <w:ind w:left="1440" w:right="1440"/>
    </w:pPr>
  </w:style>
  <w:style w:type="paragraph" w:customStyle="1" w:styleId="TableFormat">
    <w:name w:val="TableFormat"/>
    <w:basedOn w:val="Bullet"/>
    <w:pPr>
      <w:numPr>
        <w:numId w:val="0"/>
      </w:numPr>
      <w:tabs>
        <w:tab w:val="clear" w:pos="2160"/>
        <w:tab w:val="left" w:pos="5040"/>
      </w:tabs>
      <w:ind w:left="5040" w:hanging="360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sz w:val="22"/>
      <w:vertAlign w:val="superscript"/>
    </w:rPr>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StyleLinespacingDouble">
    <w:name w:val="Style Line spacing:  Double"/>
    <w:basedOn w:val="Normal"/>
    <w:next w:val="Signature"/>
    <w:pPr>
      <w:spacing w:line="480" w:lineRule="auto"/>
    </w:pPr>
  </w:style>
  <w:style w:type="paragraph" w:customStyle="1" w:styleId="Style1">
    <w:name w:val="Style1"/>
    <w:basedOn w:val="Normal"/>
    <w:rPr>
      <w:szCs w:val="22"/>
    </w:rPr>
  </w:style>
  <w:style w:type="paragraph" w:styleId="Signature">
    <w:name w:val="Signature"/>
    <w:basedOn w:val="Normal"/>
    <w:pPr>
      <w:ind w:left="4320"/>
    </w:pPr>
  </w:style>
  <w:style w:type="paragraph" w:customStyle="1" w:styleId="Style2">
    <w:name w:val="Style2"/>
    <w:basedOn w:val="Normal"/>
    <w:rPr>
      <w:szCs w:val="22"/>
    </w:rPr>
  </w:style>
  <w:style w:type="paragraph" w:styleId="BalloonText">
    <w:name w:val="Balloon Text"/>
    <w:basedOn w:val="Normal"/>
    <w:semiHidden/>
    <w:rPr>
      <w:rFonts w:ascii="Tahoma" w:hAnsi="Tahoma" w:cs="Tahoma"/>
      <w:sz w:val="16"/>
      <w:szCs w:val="16"/>
    </w:r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customStyle="1" w:styleId="ParaNumChar">
    <w:name w:val="ParaNum Char"/>
    <w:link w:val="ParaNum"/>
    <w:rPr>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Jay">
    <w:name w:val="Jay"/>
    <w:basedOn w:val="ParaNum"/>
    <w:link w:val="JayChar"/>
  </w:style>
  <w:style w:type="character" w:customStyle="1" w:styleId="JayChar">
    <w:name w:val="Jay Char"/>
    <w:link w:val="Jay"/>
    <w:rPr>
      <w:snapToGrid w:val="0"/>
      <w:kern w:val="28"/>
      <w:sz w:val="22"/>
      <w:lang w:val="en-US" w:eastAsia="en-US" w:bidi="ar-SA"/>
    </w:rPr>
  </w:style>
  <w:style w:type="paragraph" w:customStyle="1" w:styleId="Jay1">
    <w:name w:val="Jay1"/>
    <w:basedOn w:val="ParaNum"/>
    <w:link w:val="Jay1Char"/>
  </w:style>
  <w:style w:type="character" w:customStyle="1" w:styleId="Jay1Char">
    <w:name w:val="Jay1 Char"/>
    <w:link w:val="Jay1"/>
    <w:rPr>
      <w:snapToGrid w:val="0"/>
      <w:kern w:val="28"/>
      <w:sz w:val="22"/>
      <w:lang w:val="en-US" w:eastAsia="en-US" w:bidi="ar-SA"/>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
    <w:link w:val="FootnoteText"/>
    <w:semiHidden/>
    <w:rPr>
      <w:lang w:val="en-US" w:eastAsia="en-US" w:bidi="ar-SA"/>
    </w:rPr>
  </w:style>
  <w:style w:type="character" w:styleId="CommentReference">
    <w:name w:val="annotation reference"/>
    <w:rsid w:val="002A0734"/>
    <w:rPr>
      <w:sz w:val="16"/>
      <w:szCs w:val="16"/>
    </w:rPr>
  </w:style>
  <w:style w:type="paragraph" w:styleId="CommentText">
    <w:name w:val="annotation text"/>
    <w:basedOn w:val="Normal"/>
    <w:link w:val="CommentTextChar"/>
    <w:rsid w:val="002A0734"/>
    <w:rPr>
      <w:sz w:val="20"/>
    </w:rPr>
  </w:style>
  <w:style w:type="character" w:customStyle="1" w:styleId="CommentTextChar">
    <w:name w:val="Comment Text Char"/>
    <w:link w:val="CommentText"/>
    <w:rsid w:val="002A0734"/>
    <w:rPr>
      <w:snapToGrid w:val="0"/>
      <w:kern w:val="28"/>
    </w:rPr>
  </w:style>
  <w:style w:type="paragraph" w:styleId="CommentSubject">
    <w:name w:val="annotation subject"/>
    <w:basedOn w:val="CommentText"/>
    <w:next w:val="CommentText"/>
    <w:link w:val="CommentSubjectChar"/>
    <w:rsid w:val="002A0734"/>
    <w:rPr>
      <w:b/>
      <w:bCs/>
    </w:rPr>
  </w:style>
  <w:style w:type="character" w:customStyle="1" w:styleId="CommentSubjectChar">
    <w:name w:val="Comment Subject Char"/>
    <w:link w:val="CommentSubject"/>
    <w:rsid w:val="002A0734"/>
    <w:rPr>
      <w:b/>
      <w:bCs/>
      <w:snapToGrid w:val="0"/>
      <w:kern w:val="28"/>
    </w:rPr>
  </w:style>
  <w:style w:type="character" w:customStyle="1" w:styleId="FootnoteTextChar1CharCharChar1">
    <w:name w:val="Footnote Text Char1 Char Char Char1"/>
    <w:aliases w:val="ALTS FOOTNOTE Char,Footnote Text Char Char1,Footnote Text Char1 Char1 Char Char,Footnote Text Char1 Char1 Char1,Footnote Text Char2 Char,Footnote Text Char2 Char Char Char,Footnote Text Char3,f Char,fn Char"/>
    <w:rsid w:val="00CE3CED"/>
    <w:rPr>
      <w:rFonts w:eastAsia="MS Mincho"/>
      <w:lang w:val="en-US" w:eastAsia="ja-JP" w:bidi="ar-SA"/>
    </w:rPr>
  </w:style>
  <w:style w:type="character" w:customStyle="1" w:styleId="UnresolvedMention">
    <w:name w:val="Unresolved Mention"/>
    <w:uiPriority w:val="99"/>
    <w:semiHidden/>
    <w:unhideWhenUsed/>
    <w:rsid w:val="00B35010"/>
    <w:rPr>
      <w:color w:val="808080"/>
      <w:shd w:val="clear" w:color="auto" w:fill="E6E6E6"/>
    </w:rPr>
  </w:style>
  <w:style w:type="character" w:customStyle="1" w:styleId="cosearchterm">
    <w:name w:val="co_searchterm"/>
    <w:rsid w:val="006F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Jay.Nacpil\Desktop\Work\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