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P="00C82B6B">
      <w:pPr>
        <w:jc w:val="right"/>
        <w:rPr>
          <w:sz w:val="24"/>
        </w:rPr>
      </w:pPr>
    </w:p>
    <w:p w:rsidR="00E33786" w:rsidRPr="006E2CC1" w:rsidP="00E33786">
      <w:pPr>
        <w:widowControl/>
        <w:spacing w:after="160" w:line="259" w:lineRule="auto"/>
        <w:jc w:val="right"/>
        <w:rPr>
          <w:rFonts w:eastAsia="Calibri"/>
          <w:b/>
          <w:snapToGrid/>
          <w:kern w:val="0"/>
          <w:szCs w:val="22"/>
        </w:rPr>
      </w:pPr>
      <w:r>
        <w:rPr>
          <w:rFonts w:eastAsia="Calibri"/>
          <w:b/>
          <w:snapToGrid/>
          <w:kern w:val="0"/>
          <w:szCs w:val="22"/>
        </w:rPr>
        <w:t xml:space="preserve">DA </w:t>
      </w:r>
      <w:r w:rsidRPr="00925577">
        <w:rPr>
          <w:rFonts w:eastAsia="Calibri"/>
          <w:b/>
          <w:snapToGrid/>
          <w:kern w:val="0"/>
          <w:szCs w:val="22"/>
        </w:rPr>
        <w:t>18-1058</w:t>
      </w:r>
    </w:p>
    <w:p w:rsidR="00E33786" w:rsidRPr="00E33786" w:rsidP="00E33786">
      <w:pPr>
        <w:widowControl/>
        <w:spacing w:before="60" w:after="160" w:line="259" w:lineRule="auto"/>
        <w:jc w:val="right"/>
        <w:rPr>
          <w:rFonts w:eastAsia="Calibri"/>
          <w:b/>
          <w:snapToGrid/>
          <w:kern w:val="0"/>
          <w:szCs w:val="22"/>
        </w:rPr>
      </w:pPr>
      <w:r w:rsidRPr="006E2CC1">
        <w:rPr>
          <w:rFonts w:eastAsia="Calibri"/>
          <w:b/>
          <w:snapToGrid/>
          <w:kern w:val="0"/>
          <w:szCs w:val="22"/>
        </w:rPr>
        <w:t xml:space="preserve">Released: October </w:t>
      </w:r>
      <w:r w:rsidR="006E2CC1">
        <w:rPr>
          <w:rFonts w:eastAsia="Calibri"/>
          <w:b/>
          <w:snapToGrid/>
          <w:kern w:val="0"/>
          <w:szCs w:val="22"/>
        </w:rPr>
        <w:t>17</w:t>
      </w:r>
      <w:r w:rsidRPr="006E2CC1">
        <w:rPr>
          <w:rFonts w:eastAsia="Calibri"/>
          <w:b/>
          <w:snapToGrid/>
          <w:kern w:val="0"/>
          <w:szCs w:val="22"/>
        </w:rPr>
        <w:t>, 2018</w:t>
      </w:r>
    </w:p>
    <w:p w:rsidR="00E33786" w:rsidRPr="00E33786" w:rsidP="00E33786">
      <w:pPr>
        <w:widowControl/>
        <w:spacing w:after="160" w:line="259" w:lineRule="auto"/>
        <w:jc w:val="right"/>
        <w:rPr>
          <w:rFonts w:eastAsia="Calibri"/>
          <w:snapToGrid/>
          <w:kern w:val="0"/>
          <w:szCs w:val="22"/>
        </w:rPr>
      </w:pPr>
    </w:p>
    <w:p w:rsidR="00E33786" w:rsidRPr="00E33786" w:rsidP="00E33786">
      <w:pPr>
        <w:widowControl/>
        <w:spacing w:after="240" w:line="259" w:lineRule="auto"/>
        <w:jc w:val="center"/>
        <w:rPr>
          <w:rFonts w:eastAsia="Calibri"/>
          <w:b/>
          <w:snapToGrid/>
          <w:kern w:val="0"/>
          <w:szCs w:val="22"/>
        </w:rPr>
      </w:pPr>
      <w:r w:rsidRPr="00E33786">
        <w:rPr>
          <w:rFonts w:eastAsia="Calibri"/>
          <w:b/>
          <w:snapToGrid/>
          <w:kern w:val="0"/>
          <w:szCs w:val="22"/>
        </w:rPr>
        <w:t xml:space="preserve">NOTICE CONCERNING </w:t>
      </w:r>
      <w:r w:rsidRPr="00E33786">
        <w:rPr>
          <w:rFonts w:eastAsia="Calibri"/>
          <w:b/>
          <w:i/>
          <w:snapToGrid/>
          <w:kern w:val="0"/>
          <w:szCs w:val="22"/>
        </w:rPr>
        <w:t>EX PARTE</w:t>
      </w:r>
      <w:r w:rsidRPr="00E33786">
        <w:rPr>
          <w:rFonts w:eastAsia="Calibri"/>
          <w:b/>
          <w:snapToGrid/>
          <w:kern w:val="0"/>
          <w:szCs w:val="22"/>
        </w:rPr>
        <w:t xml:space="preserve"> STATUS OF </w:t>
      </w:r>
      <w:r w:rsidR="00582267">
        <w:rPr>
          <w:rFonts w:eastAsia="Calibri"/>
          <w:b/>
          <w:snapToGrid/>
          <w:kern w:val="0"/>
          <w:szCs w:val="22"/>
        </w:rPr>
        <w:t xml:space="preserve">PRESENTATIONS OF </w:t>
      </w:r>
      <w:r w:rsidRPr="00E33786">
        <w:rPr>
          <w:rFonts w:eastAsia="Calibri"/>
          <w:b/>
          <w:snapToGrid/>
          <w:kern w:val="0"/>
          <w:szCs w:val="22"/>
        </w:rPr>
        <w:t>THE INTERGOVERNMENTAL ADVISORY COMMITTEE</w:t>
      </w:r>
    </w:p>
    <w:p w:rsidR="00E33786" w:rsidRPr="00E33786" w:rsidP="005A262E">
      <w:pPr>
        <w:widowControl/>
        <w:spacing w:after="240" w:line="259" w:lineRule="auto"/>
        <w:rPr>
          <w:rFonts w:eastAsia="Calibri"/>
          <w:snapToGrid/>
          <w:kern w:val="0"/>
          <w:szCs w:val="22"/>
        </w:rPr>
      </w:pPr>
      <w:r w:rsidRPr="00E33786">
        <w:rPr>
          <w:rFonts w:eastAsia="Calibri"/>
          <w:b/>
          <w:snapToGrid/>
          <w:kern w:val="0"/>
          <w:szCs w:val="22"/>
        </w:rPr>
        <w:t xml:space="preserve">  </w:t>
      </w:r>
      <w:r w:rsidR="005A262E">
        <w:rPr>
          <w:rFonts w:eastAsia="Calibri"/>
          <w:b/>
          <w:snapToGrid/>
          <w:kern w:val="0"/>
          <w:szCs w:val="22"/>
        </w:rPr>
        <w:tab/>
      </w:r>
      <w:bookmarkStart w:id="0" w:name="_GoBack"/>
      <w:bookmarkEnd w:id="0"/>
      <w:r w:rsidRPr="00E33786">
        <w:rPr>
          <w:rFonts w:eastAsia="Calibri"/>
          <w:snapToGrid/>
          <w:kern w:val="0"/>
          <w:szCs w:val="22"/>
        </w:rPr>
        <w:t>The Federal Communications Commission (FCC or Commission) publicly announced the expanded membership of the Intergovernmental Advisory Committee (Committee or IAC).</w:t>
      </w:r>
      <w:r>
        <w:rPr>
          <w:rFonts w:eastAsia="Calibri"/>
          <w:snapToGrid/>
          <w:kern w:val="0"/>
          <w:szCs w:val="22"/>
          <w:vertAlign w:val="superscript"/>
        </w:rPr>
        <w:footnoteReference w:id="3"/>
      </w:r>
      <w:r w:rsidRPr="00E33786">
        <w:rPr>
          <w:rFonts w:eastAsia="Calibri"/>
          <w:snapToGrid/>
          <w:kern w:val="0"/>
          <w:szCs w:val="22"/>
        </w:rPr>
        <w:t xml:space="preserve">  The IAC is not a federal advisory committee subject to the procedures set forth in the Federal Advisory Committee Act (FACA)</w:t>
      </w:r>
      <w:r>
        <w:rPr>
          <w:rFonts w:eastAsia="Calibri"/>
          <w:snapToGrid/>
          <w:kern w:val="0"/>
          <w:szCs w:val="22"/>
          <w:vertAlign w:val="superscript"/>
        </w:rPr>
        <w:footnoteReference w:id="4"/>
      </w:r>
      <w:r w:rsidRPr="00E33786">
        <w:rPr>
          <w:rFonts w:eastAsia="Calibri"/>
          <w:snapToGrid/>
          <w:kern w:val="0"/>
          <w:szCs w:val="22"/>
        </w:rPr>
        <w:t xml:space="preserve"> because of an exemption provided under the Unfunded Mandates Reform Act (UMRA).</w:t>
      </w:r>
      <w:r>
        <w:rPr>
          <w:rFonts w:eastAsia="Calibri"/>
          <w:snapToGrid/>
          <w:kern w:val="0"/>
          <w:szCs w:val="22"/>
          <w:vertAlign w:val="superscript"/>
        </w:rPr>
        <w:footnoteReference w:id="5"/>
      </w:r>
      <w:r w:rsidRPr="00E33786">
        <w:rPr>
          <w:rFonts w:eastAsia="Calibri"/>
          <w:snapToGrid/>
          <w:kern w:val="0"/>
          <w:szCs w:val="22"/>
        </w:rPr>
        <w:t xml:space="preserve">  The UMRA exemption is intended to promote the free exchange of ideas between officials of the federal government and state, local and tribal governments (or their designated employees) on matters of common interest while meeting in closed sessions.</w:t>
      </w:r>
      <w:r>
        <w:rPr>
          <w:rFonts w:eastAsia="Calibri"/>
          <w:snapToGrid/>
          <w:kern w:val="0"/>
          <w:szCs w:val="22"/>
          <w:vertAlign w:val="superscript"/>
        </w:rPr>
        <w:footnoteReference w:id="6"/>
      </w:r>
      <w:r w:rsidRPr="00E33786">
        <w:rPr>
          <w:rFonts w:eastAsia="Calibri"/>
          <w:snapToGrid/>
          <w:kern w:val="0"/>
          <w:szCs w:val="22"/>
        </w:rPr>
        <w:t xml:space="preserve">  The IAC provides guidance, expertise and recommendations to specific requests from the Commission on a range of issues that are within the Commission’s jurisdiction.</w:t>
      </w:r>
    </w:p>
    <w:p w:rsidR="00E33786" w:rsidRPr="00E33786" w:rsidP="00E33786">
      <w:pPr>
        <w:widowControl/>
        <w:spacing w:after="160" w:line="259" w:lineRule="auto"/>
        <w:ind w:firstLine="720"/>
        <w:rPr>
          <w:rFonts w:eastAsia="Calibri"/>
          <w:snapToGrid/>
          <w:kern w:val="0"/>
          <w:szCs w:val="22"/>
        </w:rPr>
      </w:pPr>
      <w:r w:rsidRPr="00E33786">
        <w:rPr>
          <w:rFonts w:eastAsia="Calibri"/>
          <w:snapToGrid/>
          <w:kern w:val="0"/>
          <w:szCs w:val="22"/>
        </w:rPr>
        <w:t>Because the UMRA exemption provides for conversations among the IAC members and Commission staff or Commissioners, we are announcing that, pursuant to section 1.1200(a) of the Commission’s rules, 47 CFR § 1.1200(a), presentations to the IAC, in</w:t>
      </w:r>
      <w:r w:rsidR="007838F6">
        <w:rPr>
          <w:rFonts w:eastAsia="Calibri"/>
          <w:snapToGrid/>
          <w:kern w:val="0"/>
          <w:szCs w:val="22"/>
        </w:rPr>
        <w:t xml:space="preserve">cluding to any </w:t>
      </w:r>
      <w:r w:rsidRPr="00E33786">
        <w:rPr>
          <w:rFonts w:eastAsia="Calibri"/>
          <w:snapToGrid/>
          <w:kern w:val="0"/>
          <w:szCs w:val="22"/>
        </w:rPr>
        <w:t xml:space="preserve">subcommittees and working groups </w:t>
      </w:r>
      <w:r w:rsidRPr="00E33786">
        <w:rPr>
          <w:rFonts w:eastAsia="Calibri"/>
          <w:bCs/>
          <w:snapToGrid/>
          <w:kern w:val="0"/>
          <w:szCs w:val="22"/>
        </w:rPr>
        <w:t xml:space="preserve">and at any roundtable discussions sponsored by the IAC, </w:t>
      </w:r>
      <w:r w:rsidRPr="00E33786">
        <w:rPr>
          <w:rFonts w:eastAsia="Calibri"/>
          <w:snapToGrid/>
          <w:kern w:val="0"/>
          <w:szCs w:val="22"/>
        </w:rPr>
        <w:t xml:space="preserve">and presentations between IAC members and FCC staff or Commissioners, will be treated as exempt presentations for </w:t>
      </w:r>
      <w:r w:rsidRPr="00E33786">
        <w:rPr>
          <w:rFonts w:eastAsia="Calibri"/>
          <w:i/>
          <w:snapToGrid/>
          <w:kern w:val="0"/>
          <w:szCs w:val="22"/>
        </w:rPr>
        <w:t xml:space="preserve">ex </w:t>
      </w:r>
      <w:r w:rsidRPr="00E33786">
        <w:rPr>
          <w:rFonts w:eastAsia="Calibri"/>
          <w:i/>
          <w:snapToGrid/>
          <w:kern w:val="0"/>
          <w:szCs w:val="22"/>
        </w:rPr>
        <w:t>parte</w:t>
      </w:r>
      <w:r w:rsidRPr="00E33786">
        <w:rPr>
          <w:rFonts w:eastAsia="Calibri"/>
          <w:snapToGrid/>
          <w:kern w:val="0"/>
          <w:szCs w:val="22"/>
        </w:rPr>
        <w:t xml:space="preserve"> purposes.  This treatment is appropriate since such presentations, like comments on a Notice of Inquiry, will not directly result in the promulgation of new rules.</w:t>
      </w:r>
      <w:r>
        <w:rPr>
          <w:rFonts w:eastAsia="Calibri"/>
          <w:snapToGrid/>
          <w:kern w:val="0"/>
          <w:szCs w:val="22"/>
          <w:vertAlign w:val="superscript"/>
        </w:rPr>
        <w:footnoteReference w:id="7"/>
      </w:r>
      <w:r w:rsidRPr="00E33786">
        <w:rPr>
          <w:rFonts w:eastAsia="Calibri"/>
          <w:snapToGrid/>
          <w:kern w:val="0"/>
          <w:szCs w:val="22"/>
        </w:rPr>
        <w:t xml:space="preserve">  </w:t>
      </w:r>
    </w:p>
    <w:p w:rsidR="00E33786" w:rsidRPr="00E33786" w:rsidP="00E33786">
      <w:pPr>
        <w:widowControl/>
        <w:spacing w:after="160" w:line="259" w:lineRule="auto"/>
        <w:ind w:firstLine="720"/>
        <w:rPr>
          <w:rFonts w:eastAsia="Calibri"/>
          <w:snapToGrid/>
          <w:kern w:val="0"/>
          <w:szCs w:val="22"/>
        </w:rPr>
      </w:pPr>
      <w:r w:rsidRPr="00E33786">
        <w:rPr>
          <w:rFonts w:eastAsia="Calibri"/>
          <w:snapToGrid/>
          <w:kern w:val="0"/>
          <w:szCs w:val="22"/>
        </w:rPr>
        <w:t xml:space="preserve">We recognize, however, that </w:t>
      </w:r>
      <w:r w:rsidRPr="00E33786">
        <w:rPr>
          <w:rFonts w:eastAsia="Calibri"/>
          <w:snapToGrid/>
          <w:kern w:val="0"/>
          <w:szCs w:val="22"/>
        </w:rPr>
        <w:t>in the course of</w:t>
      </w:r>
      <w:r w:rsidRPr="00E33786">
        <w:rPr>
          <w:rFonts w:eastAsia="Calibri"/>
          <w:snapToGrid/>
          <w:kern w:val="0"/>
          <w:szCs w:val="22"/>
        </w:rPr>
        <w:t xml:space="preserve"> its work the IAC may address issues that are subject to pending rulemaking proceedings. The Commission will not rely in these proceedings on any information submitted to the IAC, or to any of its subcommittees, working groups, or sponsored roundtables, or information conveyed by IAC members to FCC staff or Commissioners unless that information is first placed in the record of the relevant proceeding.</w:t>
      </w:r>
    </w:p>
    <w:p w:rsidR="00E33786" w:rsidRPr="00E33786" w:rsidP="00E33786">
      <w:pPr>
        <w:widowControl/>
        <w:spacing w:after="160" w:line="259" w:lineRule="auto"/>
        <w:ind w:firstLine="720"/>
        <w:rPr>
          <w:rFonts w:eastAsia="Calibri"/>
          <w:snapToGrid/>
          <w:kern w:val="0"/>
          <w:szCs w:val="22"/>
        </w:rPr>
      </w:pPr>
      <w:r w:rsidRPr="00E33786">
        <w:rPr>
          <w:rFonts w:eastAsia="Calibri"/>
          <w:snapToGrid/>
          <w:kern w:val="0"/>
          <w:szCs w:val="22"/>
        </w:rPr>
        <w:t>Additional information regarding the IAC can be found at:</w:t>
      </w:r>
      <w:r>
        <w:fldChar w:fldCharType="begin"/>
      </w:r>
      <w:r>
        <w:instrText xml:space="preserve"> HYPERLINK "https://www.fcc.gov/about-fcc/advisory-committees/general/intergovernmental-advisory-committee" </w:instrText>
      </w:r>
      <w:r>
        <w:fldChar w:fldCharType="separate"/>
      </w:r>
      <w:r w:rsidRPr="00E33786">
        <w:rPr>
          <w:rFonts w:eastAsia="Calibri"/>
          <w:snapToGrid/>
          <w:color w:val="0000FF"/>
          <w:kern w:val="0"/>
          <w:szCs w:val="22"/>
          <w:u w:val="single"/>
        </w:rPr>
        <w:t>https://www.fcc.gov/about-fcc/advisory-committees/general/intergovernmental-advisory-committee</w:t>
      </w:r>
      <w:r>
        <w:fldChar w:fldCharType="end"/>
      </w:r>
      <w:r w:rsidRPr="00E33786">
        <w:rPr>
          <w:rFonts w:eastAsia="Calibri"/>
          <w:snapToGrid/>
          <w:kern w:val="0"/>
          <w:szCs w:val="22"/>
        </w:rPr>
        <w:t xml:space="preserve">.  You may also contact Carmen Scanlon at (202) 418-0544 or </w:t>
      </w:r>
      <w:r>
        <w:fldChar w:fldCharType="begin"/>
      </w:r>
      <w:r>
        <w:instrText xml:space="preserve"> HYPERLINK "mailto:carmen.scanlon@fcc.gov" </w:instrText>
      </w:r>
      <w:r>
        <w:fldChar w:fldCharType="separate"/>
      </w:r>
      <w:r w:rsidRPr="00E33786">
        <w:rPr>
          <w:rFonts w:eastAsia="Calibri"/>
          <w:snapToGrid/>
          <w:color w:val="0000FF"/>
          <w:kern w:val="0"/>
          <w:szCs w:val="22"/>
          <w:u w:val="single"/>
        </w:rPr>
        <w:t>carmen.scanlon@fcc.gov</w:t>
      </w:r>
      <w:r>
        <w:fldChar w:fldCharType="end"/>
      </w:r>
      <w:r w:rsidRPr="00E33786">
        <w:rPr>
          <w:rFonts w:eastAsia="Calibri"/>
          <w:snapToGrid/>
          <w:kern w:val="0"/>
          <w:szCs w:val="22"/>
        </w:rPr>
        <w:t xml:space="preserve"> or Barbara Britt at (202) 418-0323 or </w:t>
      </w:r>
      <w:r w:rsidRPr="00E33786">
        <w:rPr>
          <w:rFonts w:eastAsia="Calibri"/>
          <w:snapToGrid/>
          <w:color w:val="0000FF"/>
          <w:kern w:val="0"/>
          <w:szCs w:val="22"/>
          <w:u w:val="single"/>
        </w:rPr>
        <w:t>barbara.britt@fcc.gov</w:t>
      </w:r>
      <w:r w:rsidRPr="00E33786">
        <w:rPr>
          <w:rFonts w:eastAsia="Calibri"/>
          <w:snapToGrid/>
          <w:kern w:val="0"/>
          <w:szCs w:val="22"/>
        </w:rPr>
        <w:t xml:space="preserve"> or Emmitt Carlton at (202) 418-7321 or </w:t>
      </w:r>
      <w:r>
        <w:fldChar w:fldCharType="begin"/>
      </w:r>
      <w:r>
        <w:instrText xml:space="preserve"> HYPERLINK "mailto:emmitt.carlton@fcc.gov" </w:instrText>
      </w:r>
      <w:r>
        <w:fldChar w:fldCharType="separate"/>
      </w:r>
      <w:r w:rsidRPr="00E33786">
        <w:rPr>
          <w:rFonts w:eastAsia="Calibri"/>
          <w:snapToGrid/>
          <w:color w:val="0000FF"/>
          <w:kern w:val="0"/>
          <w:szCs w:val="22"/>
          <w:u w:val="single"/>
        </w:rPr>
        <w:t>emmitt.carlton@fcc.gov</w:t>
      </w:r>
      <w:r>
        <w:fldChar w:fldCharType="end"/>
      </w:r>
      <w:r w:rsidRPr="00E33786">
        <w:rPr>
          <w:rFonts w:eastAsia="Calibri"/>
          <w:snapToGrid/>
          <w:kern w:val="0"/>
          <w:szCs w:val="22"/>
        </w:rPr>
        <w:t>.</w:t>
      </w:r>
    </w:p>
    <w:p w:rsidR="00E33786" w:rsidRPr="00E33786" w:rsidP="00E33786">
      <w:pPr>
        <w:widowControl/>
        <w:spacing w:after="160" w:line="259" w:lineRule="auto"/>
        <w:rPr>
          <w:rFonts w:eastAsia="Calibri"/>
          <w:snapToGrid/>
          <w:kern w:val="0"/>
          <w:szCs w:val="22"/>
        </w:rPr>
      </w:pPr>
    </w:p>
    <w:p w:rsidR="00E33786" w:rsidRPr="00E33786" w:rsidP="00E33786">
      <w:pPr>
        <w:widowControl/>
        <w:spacing w:after="160" w:line="259" w:lineRule="auto"/>
        <w:rPr>
          <w:rFonts w:eastAsia="Calibri"/>
          <w:snapToGrid/>
          <w:kern w:val="0"/>
          <w:szCs w:val="22"/>
        </w:rPr>
      </w:pPr>
    </w:p>
    <w:p w:rsidR="00E33786" w:rsidRPr="00E33786" w:rsidP="00E33786">
      <w:pPr>
        <w:widowControl/>
        <w:spacing w:after="160" w:line="259" w:lineRule="auto"/>
        <w:rPr>
          <w:rFonts w:eastAsia="Calibri"/>
          <w:snapToGrid/>
          <w:kern w:val="0"/>
          <w:szCs w:val="22"/>
        </w:rPr>
      </w:pPr>
      <w:r w:rsidRPr="00E33786">
        <w:rPr>
          <w:rFonts w:eastAsia="Calibri"/>
          <w:snapToGrid/>
          <w:kern w:val="0"/>
          <w:szCs w:val="22"/>
        </w:rPr>
        <w:t xml:space="preserve">  </w:t>
      </w:r>
    </w:p>
    <w:p w:rsidR="00E33786" w:rsidRPr="00E33786" w:rsidP="00E33786">
      <w:pPr>
        <w:widowControl/>
        <w:spacing w:before="120" w:after="240" w:line="259" w:lineRule="auto"/>
        <w:jc w:val="center"/>
        <w:rPr>
          <w:rFonts w:eastAsia="Calibri"/>
          <w:b/>
          <w:snapToGrid/>
          <w:kern w:val="0"/>
          <w:szCs w:val="22"/>
        </w:rPr>
      </w:pPr>
      <w:r w:rsidRPr="00E33786">
        <w:rPr>
          <w:rFonts w:eastAsia="Calibri"/>
          <w:b/>
          <w:snapToGrid/>
          <w:kern w:val="0"/>
          <w:szCs w:val="22"/>
        </w:rPr>
        <w:t>- FCC -</w:t>
      </w:r>
    </w:p>
    <w:p w:rsidR="00E33786" w:rsidRPr="00E33786" w:rsidP="00E33786">
      <w:pPr>
        <w:widowControl/>
        <w:spacing w:before="60" w:after="160" w:line="259" w:lineRule="auto"/>
        <w:jc w:val="right"/>
        <w:rPr>
          <w:rFonts w:ascii="Calibri" w:eastAsia="Calibri" w:hAnsi="Calibri"/>
          <w:snapToGrid/>
          <w:kern w:val="0"/>
          <w:sz w:val="24"/>
          <w:szCs w:val="22"/>
        </w:rPr>
      </w:pPr>
    </w:p>
    <w:p w:rsidR="00930ECF" w:rsidRPr="00930ECF" w:rsidP="00E33786"/>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1CA3">
      <w:r>
        <w:separator/>
      </w:r>
    </w:p>
  </w:footnote>
  <w:footnote w:type="continuationSeparator" w:id="1">
    <w:p w:rsidR="00651CA3">
      <w:pPr>
        <w:rPr>
          <w:sz w:val="20"/>
        </w:rPr>
      </w:pPr>
      <w:r>
        <w:rPr>
          <w:sz w:val="20"/>
        </w:rPr>
        <w:t xml:space="preserve">(Continued from previous page)  </w:t>
      </w:r>
      <w:r>
        <w:rPr>
          <w:sz w:val="20"/>
        </w:rPr>
        <w:separator/>
      </w:r>
    </w:p>
  </w:footnote>
  <w:footnote w:type="continuationNotice" w:id="2">
    <w:p w:rsidR="00651CA3" w:rsidP="00910F12">
      <w:pPr>
        <w:jc w:val="right"/>
        <w:rPr>
          <w:sz w:val="20"/>
        </w:rPr>
      </w:pPr>
      <w:r>
        <w:rPr>
          <w:sz w:val="20"/>
        </w:rPr>
        <w:t>(continued….)</w:t>
      </w:r>
    </w:p>
  </w:footnote>
  <w:footnote w:id="3">
    <w:p w:rsidR="00E33786" w:rsidRPr="001F3AF1" w:rsidP="00E33786">
      <w:pPr>
        <w:autoSpaceDE w:val="0"/>
        <w:autoSpaceDN w:val="0"/>
        <w:adjustRightInd w:val="0"/>
        <w:rPr>
          <w:bCs/>
          <w:i/>
          <w:caps/>
          <w:sz w:val="20"/>
        </w:rPr>
      </w:pPr>
      <w:r w:rsidRPr="002F6A0E">
        <w:rPr>
          <w:rStyle w:val="FootnoteReference"/>
          <w:sz w:val="20"/>
        </w:rPr>
        <w:footnoteRef/>
      </w:r>
      <w:r w:rsidRPr="002F6A0E">
        <w:rPr>
          <w:sz w:val="20"/>
        </w:rPr>
        <w:t xml:space="preserve">  </w:t>
      </w:r>
      <w:r w:rsidRPr="001F3AF1">
        <w:rPr>
          <w:i/>
          <w:sz w:val="20"/>
        </w:rPr>
        <w:t>Chairman Pai Announces New Appointments to the Intergovernmental Advisory Committee</w:t>
      </w:r>
      <w:r w:rsidRPr="001F3AF1">
        <w:rPr>
          <w:sz w:val="20"/>
        </w:rPr>
        <w:t>, Public Not</w:t>
      </w:r>
      <w:r w:rsidR="003E32FB">
        <w:rPr>
          <w:sz w:val="20"/>
        </w:rPr>
        <w:t>ice, DA 18-792 (August 1, 2018).</w:t>
      </w:r>
    </w:p>
  </w:footnote>
  <w:footnote w:id="4">
    <w:p w:rsidR="00E33786" w:rsidRPr="001F3AF1" w:rsidP="00E33786">
      <w:pPr>
        <w:pStyle w:val="FootnoteText"/>
        <w:spacing w:after="0"/>
      </w:pPr>
      <w:r w:rsidRPr="001F3AF1">
        <w:rPr>
          <w:rStyle w:val="FootnoteReference"/>
        </w:rPr>
        <w:footnoteRef/>
      </w:r>
      <w:r w:rsidRPr="001F3AF1">
        <w:t xml:space="preserve"> See 5 U.S.C. App.2.</w:t>
      </w:r>
    </w:p>
  </w:footnote>
  <w:footnote w:id="5">
    <w:p w:rsidR="00E33786" w:rsidRPr="001F3AF1" w:rsidP="00E33786">
      <w:pPr>
        <w:pStyle w:val="FootnoteText"/>
        <w:spacing w:after="0"/>
      </w:pPr>
      <w:r w:rsidRPr="001F3AF1">
        <w:rPr>
          <w:rStyle w:val="FootnoteReference"/>
        </w:rPr>
        <w:footnoteRef/>
      </w:r>
      <w:r w:rsidRPr="001F3AF1">
        <w:t xml:space="preserve"> See 2 U.S.C. </w:t>
      </w:r>
      <w:r w:rsidRPr="001F3AF1">
        <w:rPr>
          <w:rFonts w:cs="Calibri"/>
        </w:rPr>
        <w:t>§</w:t>
      </w:r>
      <w:r w:rsidRPr="001F3AF1">
        <w:t>1534(b).</w:t>
      </w:r>
    </w:p>
  </w:footnote>
  <w:footnote w:id="6">
    <w:p w:rsidR="001F3AF1" w:rsidP="00E33786">
      <w:pPr>
        <w:autoSpaceDE w:val="0"/>
        <w:autoSpaceDN w:val="0"/>
        <w:adjustRightInd w:val="0"/>
        <w:rPr>
          <w:rFonts w:cs="Calibri"/>
          <w:sz w:val="20"/>
        </w:rPr>
      </w:pPr>
      <w:r w:rsidRPr="001F3AF1">
        <w:rPr>
          <w:rStyle w:val="FootnoteReference"/>
          <w:sz w:val="20"/>
        </w:rPr>
        <w:footnoteRef/>
      </w:r>
      <w:r w:rsidRPr="001F3AF1">
        <w:rPr>
          <w:sz w:val="20"/>
        </w:rPr>
        <w:t xml:space="preserve"> </w:t>
      </w:r>
      <w:r w:rsidRPr="001F3AF1">
        <w:rPr>
          <w:rFonts w:cs="Calibri"/>
          <w:sz w:val="20"/>
        </w:rPr>
        <w:t xml:space="preserve">UMRA permits federal officials or their designated employees to speak with their state, local, and tribal counterparts without implicating the FACA </w:t>
      </w:r>
      <w:r w:rsidRPr="001F3AF1">
        <w:rPr>
          <w:rFonts w:cs="Calibri"/>
          <w:sz w:val="20"/>
        </w:rPr>
        <w:t>as long as</w:t>
      </w:r>
      <w:r w:rsidRPr="001F3AF1">
        <w:rPr>
          <w:rFonts w:cs="Calibri"/>
          <w:sz w:val="20"/>
        </w:rPr>
        <w:t xml:space="preserve"> a two-part test set forth in 2 U.S.C. §1534(b)</w:t>
      </w:r>
      <w:r>
        <w:rPr>
          <w:rFonts w:cs="Calibri"/>
          <w:sz w:val="20"/>
        </w:rPr>
        <w:t xml:space="preserve"> is satisfied</w:t>
      </w:r>
      <w:r w:rsidRPr="001F3AF1">
        <w:rPr>
          <w:rFonts w:cs="Calibri"/>
          <w:sz w:val="20"/>
        </w:rPr>
        <w:t xml:space="preserve">: </w:t>
      </w:r>
    </w:p>
    <w:p w:rsidR="00E33786" w:rsidRPr="001F3AF1" w:rsidP="00E33786">
      <w:pPr>
        <w:autoSpaceDE w:val="0"/>
        <w:autoSpaceDN w:val="0"/>
        <w:adjustRightInd w:val="0"/>
        <w:rPr>
          <w:sz w:val="20"/>
        </w:rPr>
      </w:pPr>
      <w:r w:rsidRPr="001F3AF1">
        <w:rPr>
          <w:rFonts w:cs="Calibri"/>
          <w:sz w:val="20"/>
        </w:rPr>
        <w:t xml:space="preserve"> “ (1) meetings are held exclusively between federal officials and elected officers of state, local, and tribal governments (or their designated employees with authority to act on their behalf) acting in their official capacities”; and (2) “such meetings are solely for the purpose of exchanging views, information, or advice relating to the management or implementation of federal programs established pursuant to statute, that explicitly or inherently share intergovernmental responsibilities or administration.” </w:t>
      </w:r>
    </w:p>
  </w:footnote>
  <w:footnote w:id="7">
    <w:p w:rsidR="00E33786" w:rsidRPr="001F3AF1" w:rsidP="00E33786">
      <w:pPr>
        <w:autoSpaceDE w:val="0"/>
        <w:autoSpaceDN w:val="0"/>
        <w:adjustRightInd w:val="0"/>
        <w:rPr>
          <w:sz w:val="20"/>
        </w:rPr>
      </w:pPr>
      <w:r w:rsidRPr="001F3AF1">
        <w:rPr>
          <w:rStyle w:val="FootnoteReference"/>
          <w:sz w:val="20"/>
        </w:rPr>
        <w:footnoteRef/>
      </w:r>
      <w:r w:rsidRPr="001F3AF1">
        <w:rPr>
          <w:sz w:val="20"/>
        </w:rPr>
        <w:t xml:space="preserve"> </w:t>
      </w:r>
      <w:r w:rsidRPr="001F3AF1">
        <w:rPr>
          <w:i/>
          <w:sz w:val="20"/>
        </w:rPr>
        <w:t>See</w:t>
      </w:r>
      <w:r w:rsidRPr="001F3AF1">
        <w:rPr>
          <w:sz w:val="20"/>
        </w:rPr>
        <w:t xml:space="preserve"> 47 CFR § 1.1204(b)(1)(</w:t>
      </w:r>
      <w:r w:rsidRPr="001F3AF1">
        <w:rPr>
          <w:rFonts w:cs="Calibri"/>
          <w:sz w:val="20"/>
        </w:rPr>
        <w:t>exempt</w:t>
      </w:r>
      <w:r w:rsidRPr="001F3AF1">
        <w:rPr>
          <w:sz w:val="20"/>
        </w:rPr>
        <w:t xml:space="preserve"> </w:t>
      </w:r>
      <w:r w:rsidRPr="001F3AF1">
        <w:rPr>
          <w:rFonts w:cs="Calibri"/>
          <w:sz w:val="20"/>
        </w:rPr>
        <w:t>treatment</w:t>
      </w:r>
      <w:r w:rsidRPr="001F3AF1">
        <w:rPr>
          <w:sz w:val="20"/>
        </w:rPr>
        <w:t xml:space="preserve"> of presentations regarding a Notice of Inquiry).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925577">
      <w:rPr>
        <w:b/>
      </w:rPr>
      <w:t xml:space="preserve">DA </w:t>
    </w:r>
    <w:r w:rsidRPr="00925577" w:rsidR="00925577">
      <w:rPr>
        <w:b/>
      </w:rPr>
      <w:t>18-1058</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