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8688C" w:rsidP="0078688C">
      <w:pPr>
        <w:jc w:val="right"/>
        <w:rPr>
          <w:b/>
          <w:szCs w:val="22"/>
        </w:rPr>
      </w:pPr>
      <w:bookmarkStart w:id="0" w:name="_Hlk527532965"/>
      <w:r>
        <w:rPr>
          <w:b/>
          <w:szCs w:val="22"/>
        </w:rPr>
        <w:t xml:space="preserve">DA </w:t>
      </w:r>
      <w:r>
        <w:rPr>
          <w:b/>
        </w:rPr>
        <w:t>18-1067</w:t>
      </w:r>
    </w:p>
    <w:p w:rsidR="0078688C" w:rsidP="0078688C">
      <w:pPr>
        <w:spacing w:after="120"/>
        <w:jc w:val="right"/>
        <w:rPr>
          <w:b/>
          <w:szCs w:val="22"/>
        </w:rPr>
      </w:pPr>
      <w:r>
        <w:rPr>
          <w:b/>
          <w:szCs w:val="22"/>
        </w:rPr>
        <w:t>Released:  October 18, 2018</w:t>
      </w:r>
    </w:p>
    <w:p w:rsidR="0078688C" w:rsidP="0078688C">
      <w:pPr>
        <w:spacing w:after="120"/>
        <w:jc w:val="right"/>
        <w:rPr>
          <w:szCs w:val="22"/>
        </w:rPr>
      </w:pPr>
    </w:p>
    <w:p w:rsidR="0078688C" w:rsidP="0078688C">
      <w:pPr>
        <w:autoSpaceDE w:val="0"/>
        <w:autoSpaceDN w:val="0"/>
        <w:adjustRightInd w:val="0"/>
        <w:spacing w:after="120"/>
        <w:jc w:val="center"/>
        <w:rPr>
          <w:b/>
          <w:bCs/>
          <w:color w:val="000000"/>
          <w:szCs w:val="22"/>
        </w:rPr>
      </w:pPr>
      <w:r>
        <w:rPr>
          <w:b/>
          <w:bCs/>
          <w:color w:val="000000"/>
          <w:szCs w:val="22"/>
        </w:rPr>
        <w:t>WIRELINE COMPETITION BUREAU SEEKS COMMENT ON PETITION OF 800 RESPONSE FOR DECLARATORY RELIEF OR FURTHER RULEMAKING</w:t>
      </w:r>
    </w:p>
    <w:p w:rsidR="0078688C" w:rsidP="0078688C">
      <w:pPr>
        <w:autoSpaceDE w:val="0"/>
        <w:autoSpaceDN w:val="0"/>
        <w:adjustRightInd w:val="0"/>
        <w:spacing w:after="120"/>
        <w:jc w:val="center"/>
        <w:rPr>
          <w:b/>
          <w:color w:val="000000"/>
          <w:szCs w:val="22"/>
        </w:rPr>
      </w:pPr>
      <w:r>
        <w:rPr>
          <w:b/>
          <w:color w:val="000000"/>
          <w:szCs w:val="22"/>
        </w:rPr>
        <w:t>CC Docket No. 95-155</w:t>
      </w:r>
      <w:r>
        <w:rPr>
          <w:b/>
          <w:color w:val="000000"/>
          <w:szCs w:val="22"/>
        </w:rPr>
        <w:br/>
        <w:t>CC Docket No. 96-115</w:t>
      </w:r>
    </w:p>
    <w:p w:rsidR="0078688C" w:rsidP="0078688C">
      <w:pPr>
        <w:autoSpaceDE w:val="0"/>
        <w:autoSpaceDN w:val="0"/>
        <w:adjustRightInd w:val="0"/>
        <w:rPr>
          <w:b/>
          <w:szCs w:val="22"/>
        </w:rPr>
      </w:pPr>
      <w:r>
        <w:rPr>
          <w:b/>
          <w:szCs w:val="22"/>
        </w:rPr>
        <w:t>Comment Date:   November 19, 2018</w:t>
      </w:r>
    </w:p>
    <w:p w:rsidR="0078688C" w:rsidP="0078688C">
      <w:pPr>
        <w:autoSpaceDE w:val="0"/>
        <w:autoSpaceDN w:val="0"/>
        <w:adjustRightInd w:val="0"/>
        <w:spacing w:after="120"/>
        <w:rPr>
          <w:b/>
          <w:szCs w:val="22"/>
        </w:rPr>
      </w:pPr>
      <w:r w:rsidRPr="00E832CD">
        <w:rPr>
          <w:b/>
          <w:szCs w:val="22"/>
        </w:rPr>
        <w:t xml:space="preserve">Reply Comment Date:  </w:t>
      </w:r>
      <w:r>
        <w:rPr>
          <w:b/>
          <w:szCs w:val="22"/>
        </w:rPr>
        <w:t>December 3, 2018</w:t>
      </w:r>
    </w:p>
    <w:p w:rsidR="0078688C" w:rsidP="0078688C">
      <w:pPr>
        <w:spacing w:after="120"/>
        <w:ind w:firstLine="720"/>
      </w:pPr>
      <w:r>
        <w:t>By this Public Notice, the Wireline Competition Bureau (Bureau) seeks comment on a Petition seeking emergency declaratory relief, or a further rulemaking in the alternative (Petition),</w:t>
      </w:r>
      <w:r w:rsidRPr="00936E44">
        <w:t xml:space="preserve"> </w:t>
      </w:r>
      <w:r>
        <w:t>filed by 800 Response Information Services LLC (800 Response) o</w:t>
      </w:r>
      <w:r w:rsidRPr="00936E44">
        <w:t xml:space="preserve">n </w:t>
      </w:r>
      <w:r>
        <w:t>October 10, 2018.</w:t>
      </w:r>
      <w:r>
        <w:rPr>
          <w:rStyle w:val="FootnoteReference"/>
        </w:rPr>
        <w:footnoteReference w:id="3"/>
      </w:r>
      <w:r>
        <w:t xml:space="preserve">  In its Petition, 800 Response seeks relief under sections 202, 222, and 251 of the Communications Act of 1934, as amended,</w:t>
      </w:r>
      <w:r>
        <w:rPr>
          <w:rStyle w:val="FootnoteReference"/>
        </w:rPr>
        <w:footnoteReference w:id="4"/>
      </w:r>
      <w:r>
        <w:t xml:space="preserve"> to prohibit carriers from “block[</w:t>
      </w:r>
      <w:r>
        <w:t>ing</w:t>
      </w:r>
      <w:r>
        <w:t>] interconnection to their location platform for toll-free calls initiated on their networks, or to otherwise impose upon connecting carriers and providers of toll-free telephone service an obligation to obtain the consent of customers to use their location for purposes of routing their calls to a toll-free number.”</w:t>
      </w:r>
      <w:r>
        <w:rPr>
          <w:rStyle w:val="FootnoteReference"/>
        </w:rPr>
        <w:footnoteReference w:id="5"/>
      </w:r>
      <w:r>
        <w:t xml:space="preserve">  </w:t>
      </w:r>
    </w:p>
    <w:p w:rsidR="0078688C" w:rsidRPr="00936E44" w:rsidP="0078688C">
      <w:pPr>
        <w:spacing w:after="120"/>
        <w:ind w:firstLine="720"/>
      </w:pPr>
      <w:r>
        <w:t xml:space="preserve">The Petition references documents addressing related Customer Proprietary Network Information and </w:t>
      </w:r>
      <w:r>
        <w:t>toll free</w:t>
      </w:r>
      <w:r>
        <w:t xml:space="preserve"> routing issues that the North American Numbering Council (NANC) Future of Numbering Working Group and the Alliance for Telecommunications Industry Solution (ATIS) SMS/800 Number Administration Committee previously and separately filed.</w:t>
      </w:r>
      <w:r>
        <w:rPr>
          <w:rStyle w:val="FootnoteReference"/>
        </w:rPr>
        <w:footnoteReference w:id="6"/>
      </w:r>
      <w:r>
        <w:t xml:space="preserve">  The Bureau also seeks comment on the issues raised in the referenced NANC and ATIS documents.  Although the Petition requests emergency action by October 19, 2018, the Bureau finds a longer comment period is necessary to allow the public adequate opportunity to evaluate and comment on the issues in question.  </w:t>
      </w:r>
    </w:p>
    <w:p w:rsidR="0078688C" w:rsidP="0078688C">
      <w:pPr>
        <w:spacing w:after="120"/>
        <w:ind w:firstLine="720"/>
      </w:pPr>
      <w:r>
        <w:t xml:space="preserve">Pursuant to section 1.419 of the Commission’s rules, 47 CFR § 1.419, interested parties may file comments and reply comments on or before the dates indicated above.  </w:t>
      </w:r>
      <w:r>
        <w:rPr>
          <w:rFonts w:eastAsia="Calibri"/>
        </w:rPr>
        <w:t xml:space="preserve">All filings should refer to CC Docket No. 95-155, and CC Docket No. 96-115.  Filings must be addressed to the Commission’s Secretary, Office of the Secretary, Federal Communications Commission.  </w:t>
      </w:r>
      <w:r>
        <w:t xml:space="preserve">Comments may be filed by paper or by using the Commission’s Electronic Comment Filing System (ECFS).  </w:t>
      </w:r>
      <w:r>
        <w:rPr>
          <w:i/>
        </w:rPr>
        <w:t>See Electronic Filing of Documents in Rulemaking Proceedings</w:t>
      </w:r>
      <w:r>
        <w:t>, 63 FR 24121 (1998).</w:t>
      </w:r>
    </w:p>
    <w:p w:rsidR="0078688C" w:rsidRPr="0078688C" w:rsidP="0078688C">
      <w:pPr>
        <w:widowControl/>
        <w:numPr>
          <w:ilvl w:val="0"/>
          <w:numId w:val="7"/>
        </w:numPr>
        <w:spacing w:after="120"/>
        <w:rPr>
          <w:rFonts w:eastAsia="Calibri"/>
          <w:szCs w:val="22"/>
        </w:rPr>
      </w:pPr>
      <w:r>
        <w:rPr>
          <w:rFonts w:eastAsia="Calibri"/>
          <w:szCs w:val="22"/>
        </w:rPr>
        <w:t xml:space="preserve">Electronic Filers:  Comments and replies may be filed electronically via </w:t>
      </w:r>
      <w:r>
        <w:rPr>
          <w:rFonts w:eastAsia="Calibri"/>
          <w:color w:val="000000"/>
          <w:szCs w:val="22"/>
        </w:rPr>
        <w:t>ECFS</w:t>
      </w:r>
      <w:r>
        <w:rPr>
          <w:rFonts w:eastAsia="Calibri"/>
          <w:szCs w:val="22"/>
        </w:rPr>
        <w:t xml:space="preserve">: </w:t>
      </w:r>
      <w:r>
        <w:fldChar w:fldCharType="begin"/>
      </w:r>
      <w:r>
        <w:instrText xml:space="preserve"> HYPERLINK "http://apps.fcc.gov/ecfs" </w:instrText>
      </w:r>
      <w:r>
        <w:fldChar w:fldCharType="separate"/>
      </w:r>
      <w:r>
        <w:rPr>
          <w:rStyle w:val="Hyperlink"/>
          <w:szCs w:val="22"/>
        </w:rPr>
        <w:t>http://apps.fcc.gov/ecfs</w:t>
      </w:r>
      <w:r>
        <w:fldChar w:fldCharType="end"/>
      </w:r>
      <w:r>
        <w:rPr>
          <w:rFonts w:eastAsia="Calibri"/>
          <w:szCs w:val="22"/>
        </w:rPr>
        <w:t>.</w:t>
      </w:r>
    </w:p>
    <w:p w:rsidR="0078688C" w:rsidP="0078688C">
      <w:pPr>
        <w:widowControl/>
        <w:numPr>
          <w:ilvl w:val="0"/>
          <w:numId w:val="7"/>
        </w:numPr>
        <w:spacing w:after="120"/>
        <w:rPr>
          <w:rFonts w:eastAsia="Calibri"/>
          <w:szCs w:val="22"/>
        </w:rPr>
      </w:pPr>
      <w:r>
        <w:rPr>
          <w:rFonts w:eastAsia="Calibri"/>
          <w:szCs w:val="22"/>
        </w:rPr>
        <w:t xml:space="preserve">Paper Filers:  Parties who choose to file by paper must file an original and one copy of each filing.  Filings can be sent by hand or messenger delivery, by commercial overnight courier, or by first-class or overnight U.S. Postal Service mail.  </w:t>
      </w:r>
    </w:p>
    <w:p w:rsidR="0078688C" w:rsidP="0078688C">
      <w:pPr>
        <w:keepNext/>
        <w:widowControl/>
        <w:numPr>
          <w:ilvl w:val="0"/>
          <w:numId w:val="8"/>
        </w:numPr>
        <w:spacing w:after="120"/>
        <w:ind w:left="1080"/>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Pr>
          <w:rFonts w:eastAsia="Calibri"/>
          <w:szCs w:val="22"/>
          <w:u w:val="single"/>
        </w:rPr>
        <w:t>before</w:t>
      </w:r>
      <w:r>
        <w:rPr>
          <w:rFonts w:eastAsia="Calibri"/>
          <w:szCs w:val="22"/>
        </w:rPr>
        <w:t xml:space="preserve"> entering the building.</w:t>
      </w:r>
    </w:p>
    <w:p w:rsidR="0078688C" w:rsidRPr="009912F2" w:rsidP="0078688C">
      <w:pPr>
        <w:keepNext/>
        <w:widowControl/>
        <w:numPr>
          <w:ilvl w:val="0"/>
          <w:numId w:val="8"/>
        </w:numPr>
        <w:spacing w:after="120"/>
        <w:ind w:left="1080"/>
        <w:rPr>
          <w:rFonts w:eastAsia="Calibri"/>
          <w:szCs w:val="22"/>
        </w:rPr>
      </w:pPr>
      <w:r w:rsidRPr="009912F2">
        <w:rPr>
          <w:rFonts w:eastAsia="Calibri"/>
          <w:szCs w:val="22"/>
        </w:rPr>
        <w:t>Commercial overnight mail (other than U.S. Postal Service Express Mail and Priority Mail) must be sent to 9050 Junction Drive, Annapolis Junction, MD 20701.</w:t>
      </w:r>
    </w:p>
    <w:p w:rsidR="0078688C" w:rsidP="0078688C">
      <w:pPr>
        <w:widowControl/>
        <w:numPr>
          <w:ilvl w:val="0"/>
          <w:numId w:val="8"/>
        </w:numPr>
        <w:spacing w:after="120"/>
        <w:ind w:left="1080"/>
        <w:rPr>
          <w:rFonts w:eastAsia="Calibri"/>
          <w:szCs w:val="22"/>
        </w:rPr>
      </w:pPr>
      <w:r>
        <w:rPr>
          <w:rFonts w:eastAsia="Calibri"/>
          <w:szCs w:val="22"/>
        </w:rPr>
        <w:t>U.S. Postal Service first-class, Express, and Priority mail must be addressed to 445 12th Street, SW, Washington, DC 20554.</w:t>
      </w:r>
    </w:p>
    <w:p w:rsidR="0078688C" w:rsidP="0078688C">
      <w:pPr>
        <w:spacing w:after="120"/>
        <w:ind w:firstLine="720"/>
        <w:rPr>
          <w:rFonts w:eastAsia="Calibri"/>
          <w:szCs w:val="22"/>
        </w:rPr>
      </w:pPr>
      <w:r>
        <w:rPr>
          <w:rFonts w:eastAsia="Calibri"/>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rStyle w:val="Hyperlink"/>
          <w:rFonts w:eastAsia="Calibri"/>
          <w:szCs w:val="22"/>
        </w:rPr>
        <w:t>fcc504@fcc.gov</w:t>
      </w:r>
      <w:r>
        <w:fldChar w:fldCharType="end"/>
      </w:r>
      <w:r>
        <w:rPr>
          <w:rFonts w:eastAsia="Calibri"/>
          <w:szCs w:val="22"/>
          <w:u w:val="single"/>
        </w:rPr>
        <w:t xml:space="preserve"> </w:t>
      </w:r>
      <w:r>
        <w:rPr>
          <w:rFonts w:eastAsia="Calibri"/>
          <w:szCs w:val="22"/>
        </w:rPr>
        <w:t>or call the Consumer &amp; Governmental Affairs Bureau at (202) 418-0530 (voice) or (202) 418-0432 (</w:t>
      </w:r>
      <w:r>
        <w:rPr>
          <w:rFonts w:eastAsia="Calibri"/>
          <w:szCs w:val="22"/>
        </w:rPr>
        <w:t>tty</w:t>
      </w:r>
      <w:r>
        <w:rPr>
          <w:rFonts w:eastAsia="Calibri"/>
          <w:szCs w:val="22"/>
        </w:rPr>
        <w:t>).</w:t>
      </w:r>
    </w:p>
    <w:p w:rsidR="0078688C" w:rsidRPr="003D3B49" w:rsidP="0078688C">
      <w:pPr>
        <w:spacing w:after="120"/>
        <w:ind w:firstLine="720"/>
      </w:pPr>
      <w:r>
        <w:t xml:space="preserve">Proceedings 95-155 and 96-115 have been designated as a “permit-but-disclose” proceeding in accordance with the Commission's </w:t>
      </w:r>
      <w:r w:rsidRPr="00047013">
        <w:rPr>
          <w:i/>
        </w:rPr>
        <w:t>ex parte</w:t>
      </w:r>
      <w:r>
        <w:t xml:space="preserve"> rules.</w:t>
      </w:r>
      <w:r>
        <w:rPr>
          <w:rStyle w:val="FootnoteReference"/>
        </w:rPr>
        <w:footnoteReference w:id="7"/>
      </w:r>
      <w:r>
        <w:t xml:space="preserve">  Persons making </w:t>
      </w:r>
      <w:r w:rsidRPr="00047013">
        <w:rPr>
          <w:i/>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47013">
        <w:rPr>
          <w:i/>
        </w:rPr>
        <w:t>ex parte</w:t>
      </w:r>
      <w:r>
        <w:t xml:space="preserve"> presentations are reminded that memoranda summarizing the presentation must (1) list all persons attending or otherwise participating in the meeting at which the </w:t>
      </w:r>
      <w:r w:rsidRPr="00047013">
        <w:rPr>
          <w:i/>
        </w:rPr>
        <w:t>ex parte</w:t>
      </w:r>
      <w: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47013">
        <w:rPr>
          <w:i/>
        </w:rPr>
        <w:t>ex parte</w:t>
      </w:r>
      <w:r>
        <w:t xml:space="preserve"> meetings are deemed to be written </w:t>
      </w:r>
      <w:r w:rsidRPr="00047013">
        <w:rPr>
          <w:i/>
        </w:rPr>
        <w:t>ex parte</w:t>
      </w:r>
      <w:r>
        <w:t xml:space="preserve"> presentations and must be filed consistent with rule 1.1206(b).  In proceedings governed by rule 1.49(f) or for which the Commission has made available a method of electronic filing, written ex parte presentations and memoranda summarizing oral </w:t>
      </w:r>
      <w:r w:rsidRPr="00322055">
        <w:rPr>
          <w:i/>
        </w:rPr>
        <w:t>ex parte</w:t>
      </w:r>
      <w:r>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3D3B49">
        <w:rPr>
          <w:i/>
        </w:rPr>
        <w:t>ex parte</w:t>
      </w:r>
      <w:r>
        <w:t xml:space="preserve"> rules.</w:t>
      </w:r>
    </w:p>
    <w:p w:rsidR="0078688C" w:rsidP="0078688C">
      <w:pPr>
        <w:spacing w:after="120"/>
        <w:ind w:firstLine="720"/>
        <w:rPr>
          <w:rFonts w:eastAsia="Calibri"/>
          <w:szCs w:val="22"/>
        </w:rPr>
      </w:pPr>
      <w:r>
        <w:rPr>
          <w:rFonts w:eastAsia="Calibri"/>
          <w:szCs w:val="22"/>
        </w:rPr>
        <w:t xml:space="preserve">For further information, please contact E. Alex Espinoza, Competition Policy Division, Wireline Competition Bureau, at (202) 418-0849 or via email at </w:t>
      </w:r>
      <w:r>
        <w:fldChar w:fldCharType="begin"/>
      </w:r>
      <w:r>
        <w:instrText xml:space="preserve"> HYPERLINK "mailto:alex.espinoza@fcc.gov" </w:instrText>
      </w:r>
      <w:r>
        <w:fldChar w:fldCharType="separate"/>
      </w:r>
      <w:r w:rsidRPr="00F850FE">
        <w:rPr>
          <w:rStyle w:val="Hyperlink"/>
        </w:rPr>
        <w:t>alex.espinoza@fcc.gov</w:t>
      </w:r>
      <w:r>
        <w:fldChar w:fldCharType="end"/>
      </w:r>
      <w:r>
        <w:t xml:space="preserve">. </w:t>
      </w:r>
    </w:p>
    <w:p w:rsidR="0078688C" w:rsidRPr="00930ECF" w:rsidP="0078688C">
      <w:pPr>
        <w:spacing w:after="120"/>
        <w:jc w:val="center"/>
        <w:rPr>
          <w:sz w:val="24"/>
        </w:rPr>
      </w:pPr>
      <w:r>
        <w:rPr>
          <w:rFonts w:eastAsia="Calibri"/>
          <w:b/>
          <w:szCs w:val="22"/>
        </w:rPr>
        <w:t>- FCC -</w:t>
      </w:r>
      <w:bookmarkEnd w:id="0"/>
    </w:p>
    <w:p w:rsidR="00930ECF" w:rsidRPr="00930ECF" w:rsidP="0078688C">
      <w:pPr>
        <w:spacing w:after="120"/>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4AE2">
      <w:r>
        <w:separator/>
      </w:r>
    </w:p>
  </w:footnote>
  <w:footnote w:type="continuationSeparator" w:id="1">
    <w:p w:rsidR="005C4AE2">
      <w:pPr>
        <w:rPr>
          <w:sz w:val="20"/>
        </w:rPr>
      </w:pPr>
      <w:r>
        <w:rPr>
          <w:sz w:val="20"/>
        </w:rPr>
        <w:t xml:space="preserve">(Continued from previous page)  </w:t>
      </w:r>
      <w:r>
        <w:rPr>
          <w:sz w:val="20"/>
        </w:rPr>
        <w:separator/>
      </w:r>
    </w:p>
  </w:footnote>
  <w:footnote w:type="continuationNotice" w:id="2">
    <w:p w:rsidR="005C4AE2" w:rsidP="00910F12">
      <w:pPr>
        <w:jc w:val="right"/>
        <w:rPr>
          <w:sz w:val="20"/>
        </w:rPr>
      </w:pPr>
      <w:r>
        <w:rPr>
          <w:sz w:val="20"/>
        </w:rPr>
        <w:t>(continued….)</w:t>
      </w:r>
    </w:p>
  </w:footnote>
  <w:footnote w:id="3">
    <w:p w:rsidR="0078688C" w:rsidP="0078688C">
      <w:pPr>
        <w:pStyle w:val="FootnoteText"/>
      </w:pPr>
      <w:r>
        <w:rPr>
          <w:rStyle w:val="FootnoteReference"/>
        </w:rPr>
        <w:footnoteRef/>
      </w:r>
      <w:r>
        <w:t xml:space="preserve"> </w:t>
      </w:r>
      <w:r w:rsidRPr="002C3EEC">
        <w:rPr>
          <w:i/>
        </w:rPr>
        <w:t>See generally</w:t>
      </w:r>
      <w:r>
        <w:t xml:space="preserve"> Petition of 800 Response Information Services LLC for Emergency Declaratory Relief, or in the Alternative, Petition for Further Rulemaking, CC Docket No. 96-115 (filed Oct. 10, 2018) (Petition), </w:t>
      </w:r>
      <w:r>
        <w:fldChar w:fldCharType="begin"/>
      </w:r>
      <w:r>
        <w:instrText xml:space="preserve"> HYPERLINK "https://ecfsapi.fcc.gov/file/101020646940/Corrected%20Petition%20for%20Emergency%20Declaratory%20Ruling.pdf" </w:instrText>
      </w:r>
      <w:r>
        <w:fldChar w:fldCharType="separate"/>
      </w:r>
      <w:r w:rsidRPr="00F850FE">
        <w:rPr>
          <w:rStyle w:val="Hyperlink"/>
        </w:rPr>
        <w:t>https://ecfsapi.fcc.gov/file/101020646940/Corrected%20Petition%20for%20Emergency%20Declaratory%20Ruling.pdf</w:t>
      </w:r>
      <w:r>
        <w:fldChar w:fldCharType="end"/>
      </w:r>
      <w:r>
        <w:t xml:space="preserve">. </w:t>
      </w:r>
    </w:p>
  </w:footnote>
  <w:footnote w:id="4">
    <w:p w:rsidR="0078688C" w:rsidP="0078688C">
      <w:pPr>
        <w:pStyle w:val="FootnoteText"/>
      </w:pPr>
      <w:r>
        <w:rPr>
          <w:rStyle w:val="FootnoteReference"/>
        </w:rPr>
        <w:footnoteRef/>
      </w:r>
      <w:r>
        <w:t xml:space="preserve"> </w:t>
      </w:r>
      <w:r w:rsidRPr="0090479C">
        <w:rPr>
          <w:i/>
        </w:rPr>
        <w:t>See</w:t>
      </w:r>
      <w:r>
        <w:t xml:space="preserve"> Petition at 1, 10; </w:t>
      </w:r>
      <w:r>
        <w:rPr>
          <w:i/>
        </w:rPr>
        <w:t>s</w:t>
      </w:r>
      <w:r w:rsidRPr="000D0244">
        <w:rPr>
          <w:i/>
        </w:rPr>
        <w:t>ee</w:t>
      </w:r>
      <w:r>
        <w:rPr>
          <w:i/>
        </w:rPr>
        <w:t xml:space="preserve"> also </w:t>
      </w:r>
      <w:r>
        <w:t xml:space="preserve">47 U.S.C. </w:t>
      </w:r>
      <w:r>
        <w:rPr>
          <w:rFonts w:ascii="TimesNewRoman" w:hAnsi="TimesNewRoman" w:cs="TimesNewRoman"/>
        </w:rPr>
        <w:t>§§ 202, 222, 251.</w:t>
      </w:r>
    </w:p>
  </w:footnote>
  <w:footnote w:id="5">
    <w:p w:rsidR="0078688C" w:rsidP="0078688C">
      <w:pPr>
        <w:pStyle w:val="FootnoteText"/>
      </w:pPr>
      <w:r>
        <w:rPr>
          <w:rStyle w:val="FootnoteReference"/>
        </w:rPr>
        <w:footnoteRef/>
      </w:r>
      <w:r>
        <w:t xml:space="preserve"> </w:t>
      </w:r>
      <w:r w:rsidR="00636380">
        <w:t>Petition</w:t>
      </w:r>
      <w:r>
        <w:t xml:space="preserve"> at 1.</w:t>
      </w:r>
      <w:bookmarkStart w:id="1" w:name="_GoBack"/>
      <w:bookmarkEnd w:id="1"/>
    </w:p>
  </w:footnote>
  <w:footnote w:id="6">
    <w:p w:rsidR="0078688C" w:rsidP="0078688C">
      <w:pPr>
        <w:pStyle w:val="FootnoteText"/>
      </w:pPr>
      <w:r>
        <w:rPr>
          <w:rStyle w:val="FootnoteReference"/>
        </w:rPr>
        <w:footnoteRef/>
      </w:r>
      <w:r>
        <w:t xml:space="preserve"> </w:t>
      </w:r>
      <w:r w:rsidRPr="000D0244">
        <w:rPr>
          <w:i/>
        </w:rPr>
        <w:t xml:space="preserve">See </w:t>
      </w:r>
      <w:r>
        <w:t xml:space="preserve">Petition Attach. C, Future of Numbering Working Grp., N. Am. Numbering Council, </w:t>
      </w:r>
      <w:r w:rsidRPr="000F680F">
        <w:rPr>
          <w:i/>
        </w:rPr>
        <w:t>Geographic Routing of Toll Free Services</w:t>
      </w:r>
      <w:r>
        <w:t xml:space="preserve"> (2015); Petition Attach A, Letter from Thomas Goode, ATIS General Counsel, to Ann Stevens, Deputy Division Chief, Competition Policy Division, FCC Wireline Competition Bureau (Apr. 16, 2015).</w:t>
      </w:r>
    </w:p>
  </w:footnote>
  <w:footnote w:id="7">
    <w:p w:rsidR="0078688C" w:rsidRPr="00047013" w:rsidP="0078688C">
      <w:pPr>
        <w:pStyle w:val="FootnoteText"/>
        <w:tabs>
          <w:tab w:val="left" w:pos="270"/>
          <w:tab w:val="left" w:pos="360"/>
        </w:tabs>
        <w:outlineLvl w:val="0"/>
      </w:pPr>
      <w:r w:rsidRPr="00047013">
        <w:rPr>
          <w:rStyle w:val="FootnoteReference"/>
        </w:rPr>
        <w:footnoteRef/>
      </w:r>
      <w:r w:rsidRPr="00047013">
        <w:t xml:space="preserve"> </w:t>
      </w:r>
      <w:r w:rsidRPr="00047013">
        <w:rPr>
          <w:i/>
        </w:rPr>
        <w:t>See</w:t>
      </w:r>
      <w:r w:rsidRPr="00047013">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78688C">
      <w:rPr>
        <w:b/>
      </w:rPr>
      <w:t>DA 18-1067</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380"/>
    <w:pPr>
      <w:widowControl w:val="0"/>
    </w:pPr>
    <w:rPr>
      <w:snapToGrid w:val="0"/>
      <w:kern w:val="28"/>
      <w:sz w:val="22"/>
    </w:rPr>
  </w:style>
  <w:style w:type="paragraph" w:styleId="Heading1">
    <w:name w:val="heading 1"/>
    <w:basedOn w:val="Normal"/>
    <w:next w:val="ParaNum"/>
    <w:qFormat/>
    <w:rsid w:val="0063638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6380"/>
    <w:pPr>
      <w:keepNext/>
      <w:numPr>
        <w:ilvl w:val="1"/>
        <w:numId w:val="3"/>
      </w:numPr>
      <w:spacing w:after="120"/>
      <w:outlineLvl w:val="1"/>
    </w:pPr>
    <w:rPr>
      <w:b/>
    </w:rPr>
  </w:style>
  <w:style w:type="paragraph" w:styleId="Heading3">
    <w:name w:val="heading 3"/>
    <w:basedOn w:val="Normal"/>
    <w:next w:val="ParaNum"/>
    <w:qFormat/>
    <w:rsid w:val="00636380"/>
    <w:pPr>
      <w:keepNext/>
      <w:numPr>
        <w:ilvl w:val="2"/>
        <w:numId w:val="3"/>
      </w:numPr>
      <w:tabs>
        <w:tab w:val="left" w:pos="2160"/>
      </w:tabs>
      <w:spacing w:after="120"/>
      <w:outlineLvl w:val="2"/>
    </w:pPr>
    <w:rPr>
      <w:b/>
    </w:rPr>
  </w:style>
  <w:style w:type="paragraph" w:styleId="Heading4">
    <w:name w:val="heading 4"/>
    <w:basedOn w:val="Normal"/>
    <w:next w:val="ParaNum"/>
    <w:qFormat/>
    <w:rsid w:val="00636380"/>
    <w:pPr>
      <w:keepNext/>
      <w:numPr>
        <w:ilvl w:val="3"/>
        <w:numId w:val="3"/>
      </w:numPr>
      <w:tabs>
        <w:tab w:val="left" w:pos="2880"/>
      </w:tabs>
      <w:spacing w:after="120"/>
      <w:outlineLvl w:val="3"/>
    </w:pPr>
    <w:rPr>
      <w:b/>
    </w:rPr>
  </w:style>
  <w:style w:type="paragraph" w:styleId="Heading5">
    <w:name w:val="heading 5"/>
    <w:basedOn w:val="Normal"/>
    <w:next w:val="ParaNum"/>
    <w:qFormat/>
    <w:rsid w:val="0063638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36380"/>
    <w:pPr>
      <w:numPr>
        <w:ilvl w:val="5"/>
        <w:numId w:val="3"/>
      </w:numPr>
      <w:tabs>
        <w:tab w:val="left" w:pos="4320"/>
      </w:tabs>
      <w:spacing w:after="120"/>
      <w:outlineLvl w:val="5"/>
    </w:pPr>
    <w:rPr>
      <w:b/>
    </w:rPr>
  </w:style>
  <w:style w:type="paragraph" w:styleId="Heading7">
    <w:name w:val="heading 7"/>
    <w:basedOn w:val="Normal"/>
    <w:next w:val="ParaNum"/>
    <w:qFormat/>
    <w:rsid w:val="0063638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3638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3638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363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36380"/>
  </w:style>
  <w:style w:type="paragraph" w:customStyle="1" w:styleId="ParaNum">
    <w:name w:val="ParaNum"/>
    <w:basedOn w:val="Normal"/>
    <w:rsid w:val="00636380"/>
    <w:pPr>
      <w:numPr>
        <w:numId w:val="2"/>
      </w:numPr>
      <w:tabs>
        <w:tab w:val="clear" w:pos="1080"/>
        <w:tab w:val="num" w:pos="1440"/>
      </w:tabs>
      <w:spacing w:after="120"/>
    </w:pPr>
  </w:style>
  <w:style w:type="paragraph" w:styleId="EndnoteText">
    <w:name w:val="endnote text"/>
    <w:basedOn w:val="Normal"/>
    <w:semiHidden/>
    <w:rsid w:val="00636380"/>
    <w:rPr>
      <w:sz w:val="20"/>
    </w:rPr>
  </w:style>
  <w:style w:type="character" w:styleId="EndnoteReference">
    <w:name w:val="endnote reference"/>
    <w:semiHidden/>
    <w:rsid w:val="00636380"/>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636380"/>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636380"/>
    <w:rPr>
      <w:rFonts w:ascii="Times New Roman" w:hAnsi="Times New Roman"/>
      <w:dstrike w:val="0"/>
      <w:color w:val="auto"/>
      <w:sz w:val="22"/>
      <w:vertAlign w:val="superscript"/>
    </w:rPr>
  </w:style>
  <w:style w:type="paragraph" w:styleId="TOC1">
    <w:name w:val="toc 1"/>
    <w:basedOn w:val="Normal"/>
    <w:next w:val="Normal"/>
    <w:uiPriority w:val="39"/>
    <w:rsid w:val="0063638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6380"/>
    <w:pPr>
      <w:tabs>
        <w:tab w:val="left" w:pos="720"/>
        <w:tab w:val="right" w:leader="dot" w:pos="9360"/>
      </w:tabs>
      <w:suppressAutoHyphens/>
      <w:ind w:left="720" w:right="720" w:hanging="360"/>
    </w:pPr>
    <w:rPr>
      <w:noProof/>
    </w:rPr>
  </w:style>
  <w:style w:type="paragraph" w:styleId="TOC3">
    <w:name w:val="toc 3"/>
    <w:basedOn w:val="Normal"/>
    <w:next w:val="Normal"/>
    <w:semiHidden/>
    <w:rsid w:val="0063638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638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638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638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638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638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638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6380"/>
    <w:pPr>
      <w:tabs>
        <w:tab w:val="right" w:pos="9360"/>
      </w:tabs>
      <w:suppressAutoHyphens/>
    </w:pPr>
  </w:style>
  <w:style w:type="character" w:customStyle="1" w:styleId="EquationCaption">
    <w:name w:val="_Equation Caption"/>
    <w:rsid w:val="00636380"/>
  </w:style>
  <w:style w:type="paragraph" w:styleId="Header">
    <w:name w:val="header"/>
    <w:basedOn w:val="Normal"/>
    <w:autoRedefine/>
    <w:rsid w:val="0063638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36380"/>
    <w:pPr>
      <w:tabs>
        <w:tab w:val="center" w:pos="4320"/>
        <w:tab w:val="right" w:pos="8640"/>
      </w:tabs>
    </w:pPr>
  </w:style>
  <w:style w:type="character" w:styleId="PageNumber">
    <w:name w:val="page number"/>
    <w:rsid w:val="00636380"/>
  </w:style>
  <w:style w:type="paragraph" w:styleId="BlockText">
    <w:name w:val="Block Text"/>
    <w:basedOn w:val="Normal"/>
    <w:rsid w:val="00636380"/>
    <w:pPr>
      <w:spacing w:after="240"/>
      <w:ind w:left="1440" w:right="1440"/>
    </w:pPr>
  </w:style>
  <w:style w:type="paragraph" w:customStyle="1" w:styleId="Paratitle">
    <w:name w:val="Para title"/>
    <w:basedOn w:val="Normal"/>
    <w:rsid w:val="00636380"/>
    <w:pPr>
      <w:tabs>
        <w:tab w:val="center" w:pos="9270"/>
      </w:tabs>
      <w:spacing w:after="240"/>
    </w:pPr>
    <w:rPr>
      <w:spacing w:val="-2"/>
    </w:rPr>
  </w:style>
  <w:style w:type="paragraph" w:customStyle="1" w:styleId="Bullet">
    <w:name w:val="Bullet"/>
    <w:basedOn w:val="Normal"/>
    <w:rsid w:val="00636380"/>
    <w:pPr>
      <w:numPr>
        <w:numId w:val="1"/>
      </w:numPr>
      <w:tabs>
        <w:tab w:val="clear" w:pos="360"/>
        <w:tab w:val="left" w:pos="2160"/>
      </w:tabs>
      <w:spacing w:after="220"/>
      <w:ind w:left="2160" w:hanging="720"/>
    </w:pPr>
  </w:style>
  <w:style w:type="paragraph" w:customStyle="1" w:styleId="TableFormat">
    <w:name w:val="TableFormat"/>
    <w:basedOn w:val="Bullet"/>
    <w:rsid w:val="00636380"/>
    <w:pPr>
      <w:numPr>
        <w:numId w:val="0"/>
      </w:numPr>
      <w:tabs>
        <w:tab w:val="clear" w:pos="2160"/>
        <w:tab w:val="left" w:pos="5040"/>
      </w:tabs>
      <w:ind w:left="5040" w:hanging="3600"/>
    </w:pPr>
  </w:style>
  <w:style w:type="paragraph" w:customStyle="1" w:styleId="TOCTitle">
    <w:name w:val="TOC Title"/>
    <w:basedOn w:val="Normal"/>
    <w:rsid w:val="0063638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6380"/>
    <w:pPr>
      <w:jc w:val="center"/>
    </w:pPr>
    <w:rPr>
      <w:rFonts w:ascii="Times New Roman Bold" w:hAnsi="Times New Roman Bold"/>
      <w:b/>
      <w:bCs/>
      <w:caps/>
      <w:szCs w:val="22"/>
    </w:rPr>
  </w:style>
  <w:style w:type="character" w:styleId="Hyperlink">
    <w:name w:val="Hyperlink"/>
    <w:rsid w:val="00636380"/>
    <w:rPr>
      <w:color w:val="0000FF"/>
      <w:u w:val="single"/>
    </w:rPr>
  </w:style>
  <w:style w:type="character" w:customStyle="1" w:styleId="FooterChar">
    <w:name w:val="Footer Char"/>
    <w:link w:val="Footer"/>
    <w:uiPriority w:val="99"/>
    <w:rsid w:val="00636380"/>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78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