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80200" w:rsidRPr="00A06955" w:rsidP="006F231F">
      <w:pPr>
        <w:ind w:firstLine="720"/>
        <w:jc w:val="right"/>
        <w:rPr>
          <w:rFonts w:ascii="Times New Roman Bold" w:hAnsi="Times New Roman Bold"/>
          <w:b/>
        </w:rPr>
      </w:pPr>
      <w:bookmarkStart w:id="0" w:name="_GoBack"/>
      <w:bookmarkEnd w:id="0"/>
      <w:r>
        <w:rPr>
          <w:rFonts w:ascii="Times New Roman Bold" w:hAnsi="Times New Roman Bold"/>
          <w:b/>
        </w:rPr>
        <w:t>DA 18</w:t>
      </w:r>
      <w:r w:rsidRPr="00A06955">
        <w:rPr>
          <w:rFonts w:ascii="Times New Roman Bold" w:hAnsi="Times New Roman Bold"/>
          <w:b/>
        </w:rPr>
        <w:t>-</w:t>
      </w:r>
      <w:r w:rsidR="00D44821">
        <w:rPr>
          <w:rFonts w:ascii="Times New Roman Bold" w:hAnsi="Times New Roman Bold"/>
          <w:b/>
        </w:rPr>
        <w:t>1072</w:t>
      </w:r>
    </w:p>
    <w:p w:rsidR="00480200" w:rsidRPr="00A06955" w:rsidP="00930834">
      <w:pPr>
        <w:jc w:val="right"/>
        <w:rPr>
          <w:rFonts w:ascii="Times New Roman Bold" w:hAnsi="Times New Roman Bold"/>
          <w:b/>
        </w:rPr>
      </w:pPr>
      <w:r w:rsidRPr="00A06955">
        <w:rPr>
          <w:rFonts w:ascii="Times New Roman Bold" w:hAnsi="Times New Roman Bold"/>
          <w:b/>
        </w:rPr>
        <w:t xml:space="preserve">Released:  </w:t>
      </w:r>
      <w:r w:rsidRPr="007646D6" w:rsidR="00E03B0D">
        <w:rPr>
          <w:rFonts w:ascii="Times New Roman Bold" w:hAnsi="Times New Roman Bold"/>
          <w:b/>
        </w:rPr>
        <w:t>October</w:t>
      </w:r>
      <w:r w:rsidRPr="007646D6">
        <w:rPr>
          <w:rFonts w:ascii="Times New Roman Bold" w:hAnsi="Times New Roman Bold"/>
          <w:b/>
        </w:rPr>
        <w:t xml:space="preserve"> </w:t>
      </w:r>
      <w:r w:rsidRPr="007646D6" w:rsidR="007646D6">
        <w:rPr>
          <w:rFonts w:ascii="Times New Roman Bold" w:hAnsi="Times New Roman Bold"/>
          <w:b/>
        </w:rPr>
        <w:t>22</w:t>
      </w:r>
      <w:r w:rsidRPr="007646D6">
        <w:rPr>
          <w:rFonts w:ascii="Times New Roman Bold" w:hAnsi="Times New Roman Bold"/>
          <w:b/>
        </w:rPr>
        <w:t>,</w:t>
      </w:r>
      <w:r w:rsidRPr="00A06955">
        <w:rPr>
          <w:rFonts w:ascii="Times New Roman Bold" w:hAnsi="Times New Roman Bold"/>
          <w:b/>
        </w:rPr>
        <w:t xml:space="preserve"> 201</w:t>
      </w:r>
      <w:r w:rsidR="00F64A7E">
        <w:rPr>
          <w:rFonts w:ascii="Times New Roman Bold" w:hAnsi="Times New Roman Bold"/>
          <w:b/>
        </w:rPr>
        <w:t>8</w:t>
      </w:r>
    </w:p>
    <w:p w:rsidR="00480200" w:rsidRPr="00E50B4A" w:rsidP="00930834">
      <w:pPr>
        <w:spacing w:before="60"/>
        <w:jc w:val="right"/>
        <w:rPr>
          <w:rFonts w:ascii="Times New Roman Bold" w:hAnsi="Times New Roman Bold"/>
          <w:b/>
        </w:rPr>
      </w:pPr>
    </w:p>
    <w:p w:rsidR="00480200" w:rsidRPr="00E50B4A" w:rsidP="00930834">
      <w:pPr>
        <w:spacing w:before="60"/>
        <w:jc w:val="center"/>
        <w:rPr>
          <w:rFonts w:ascii="Times New Roman Bold" w:hAnsi="Times New Roman Bold"/>
          <w:b/>
        </w:rPr>
      </w:pPr>
      <w:r>
        <w:rPr>
          <w:rFonts w:ascii="Times New Roman Bold" w:hAnsi="Times New Roman Bold"/>
          <w:b/>
        </w:rPr>
        <w:t xml:space="preserve">INCENTIVE AUCTION TASK FORCE AND </w:t>
      </w:r>
      <w:r w:rsidR="000404C8">
        <w:rPr>
          <w:rFonts w:ascii="Times New Roman Bold" w:hAnsi="Times New Roman Bold"/>
          <w:b/>
        </w:rPr>
        <w:t>MEDIA BUREAU</w:t>
      </w:r>
      <w:r>
        <w:rPr>
          <w:rFonts w:ascii="Times New Roman Bold" w:hAnsi="Times New Roman Bold"/>
          <w:b/>
        </w:rPr>
        <w:t xml:space="preserve"> SEEK COMMENT ON CATALOG OF </w:t>
      </w:r>
      <w:r w:rsidR="00F64A7E">
        <w:rPr>
          <w:rFonts w:ascii="Times New Roman Bold" w:hAnsi="Times New Roman Bold"/>
          <w:b/>
        </w:rPr>
        <w:t>POTENTIALLY REIMBURSABLE COSTS INCURRED BY L</w:t>
      </w:r>
      <w:r w:rsidR="00454B2E">
        <w:rPr>
          <w:rFonts w:ascii="Times New Roman Bold" w:hAnsi="Times New Roman Bold"/>
          <w:b/>
        </w:rPr>
        <w:t xml:space="preserve">OW </w:t>
      </w:r>
      <w:r w:rsidR="00F64A7E">
        <w:rPr>
          <w:rFonts w:ascii="Times New Roman Bold" w:hAnsi="Times New Roman Bold"/>
          <w:b/>
        </w:rPr>
        <w:t>P</w:t>
      </w:r>
      <w:r w:rsidR="00454B2E">
        <w:rPr>
          <w:rFonts w:ascii="Times New Roman Bold" w:hAnsi="Times New Roman Bold"/>
          <w:b/>
        </w:rPr>
        <w:t>OWER TELEVISION, TELEVISION</w:t>
      </w:r>
      <w:r w:rsidR="00F64A7E">
        <w:rPr>
          <w:rFonts w:ascii="Times New Roman Bold" w:hAnsi="Times New Roman Bold"/>
          <w:b/>
        </w:rPr>
        <w:t xml:space="preserve"> TRANSLATOR</w:t>
      </w:r>
      <w:r w:rsidR="00454B2E">
        <w:rPr>
          <w:rFonts w:ascii="Times New Roman Bold" w:hAnsi="Times New Roman Bold"/>
          <w:b/>
        </w:rPr>
        <w:t xml:space="preserve"> AND FM BROADCAST</w:t>
      </w:r>
      <w:r w:rsidR="00F64A7E">
        <w:rPr>
          <w:rFonts w:ascii="Times New Roman Bold" w:hAnsi="Times New Roman Bold"/>
          <w:b/>
        </w:rPr>
        <w:t xml:space="preserve"> STATIONS </w:t>
      </w:r>
    </w:p>
    <w:p w:rsidR="00480200" w:rsidRPr="00E50B4A" w:rsidP="00930834">
      <w:pPr>
        <w:spacing w:before="60"/>
        <w:jc w:val="center"/>
        <w:rPr>
          <w:rFonts w:ascii="Times New Roman Bold" w:hAnsi="Times New Roman Bold"/>
          <w:b/>
        </w:rPr>
      </w:pPr>
    </w:p>
    <w:p w:rsidR="007E76A6" w:rsidP="00930834">
      <w:pPr>
        <w:spacing w:before="60"/>
        <w:jc w:val="center"/>
        <w:rPr>
          <w:rFonts w:ascii="Times New Roman Bold" w:hAnsi="Times New Roman Bold"/>
          <w:b/>
        </w:rPr>
      </w:pPr>
      <w:r>
        <w:rPr>
          <w:rFonts w:ascii="Times New Roman Bold" w:hAnsi="Times New Roman Bold"/>
          <w:b/>
        </w:rPr>
        <w:t>MB</w:t>
      </w:r>
      <w:r w:rsidR="00480200">
        <w:rPr>
          <w:rFonts w:ascii="Times New Roman Bold" w:hAnsi="Times New Roman Bold"/>
          <w:b/>
        </w:rPr>
        <w:t xml:space="preserve"> </w:t>
      </w:r>
      <w:r w:rsidRPr="00E50B4A" w:rsidR="00480200">
        <w:rPr>
          <w:rFonts w:ascii="Times New Roman Bold" w:hAnsi="Times New Roman Bold"/>
          <w:b/>
        </w:rPr>
        <w:t xml:space="preserve">Docket No. </w:t>
      </w:r>
      <w:r>
        <w:rPr>
          <w:rFonts w:ascii="Times New Roman Bold" w:hAnsi="Times New Roman Bold"/>
          <w:b/>
        </w:rPr>
        <w:t>18</w:t>
      </w:r>
      <w:r w:rsidRPr="00E50B4A" w:rsidR="00480200">
        <w:rPr>
          <w:rFonts w:ascii="Times New Roman Bold" w:hAnsi="Times New Roman Bold"/>
          <w:b/>
        </w:rPr>
        <w:t>-</w:t>
      </w:r>
      <w:r w:rsidR="00480200">
        <w:rPr>
          <w:rFonts w:ascii="Times New Roman Bold" w:hAnsi="Times New Roman Bold"/>
          <w:b/>
        </w:rPr>
        <w:t>2</w:t>
      </w:r>
      <w:r>
        <w:rPr>
          <w:rFonts w:ascii="Times New Roman Bold" w:hAnsi="Times New Roman Bold"/>
          <w:b/>
        </w:rPr>
        <w:t>14</w:t>
      </w:r>
    </w:p>
    <w:p w:rsidR="00594C6C" w:rsidP="00930834">
      <w:pPr>
        <w:spacing w:before="60"/>
        <w:jc w:val="center"/>
        <w:rPr>
          <w:rFonts w:ascii="Times New Roman Bold" w:hAnsi="Times New Roman Bold"/>
          <w:b/>
        </w:rPr>
      </w:pPr>
      <w:r>
        <w:rPr>
          <w:rFonts w:ascii="Times New Roman Bold" w:hAnsi="Times New Roman Bold"/>
          <w:b/>
        </w:rPr>
        <w:t>MB Docket 16-306</w:t>
      </w:r>
    </w:p>
    <w:p w:rsidR="00480200" w:rsidRPr="00E50B4A" w:rsidP="00930834">
      <w:pPr>
        <w:spacing w:before="60"/>
        <w:jc w:val="center"/>
        <w:rPr>
          <w:rFonts w:ascii="Times New Roman Bold" w:hAnsi="Times New Roman Bold"/>
          <w:b/>
        </w:rPr>
      </w:pPr>
      <w:r>
        <w:rPr>
          <w:rFonts w:ascii="Times New Roman Bold" w:hAnsi="Times New Roman Bold"/>
          <w:b/>
        </w:rPr>
        <w:t>GN Docket No. 12-268</w:t>
      </w:r>
      <w:r w:rsidRPr="00E50B4A">
        <w:rPr>
          <w:rFonts w:ascii="Times New Roman Bold" w:hAnsi="Times New Roman Bold"/>
          <w:b/>
        </w:rPr>
        <w:t xml:space="preserve"> </w:t>
      </w:r>
    </w:p>
    <w:p w:rsidR="00480200" w:rsidRPr="00E50B4A" w:rsidP="00930834">
      <w:pPr>
        <w:spacing w:before="60"/>
        <w:rPr>
          <w:rFonts w:ascii="Times New Roman Bold" w:hAnsi="Times New Roman Bold"/>
          <w:b/>
        </w:rPr>
      </w:pPr>
    </w:p>
    <w:p w:rsidR="00480200" w:rsidRPr="00A06955" w:rsidP="00930834">
      <w:pPr>
        <w:spacing w:before="60"/>
        <w:rPr>
          <w:rFonts w:ascii="Times New Roman Bold" w:hAnsi="Times New Roman Bold"/>
          <w:b/>
        </w:rPr>
      </w:pPr>
      <w:r w:rsidRPr="00A06955">
        <w:rPr>
          <w:rFonts w:ascii="Times New Roman Bold" w:hAnsi="Times New Roman Bold"/>
          <w:b/>
        </w:rPr>
        <w:t>Comment</w:t>
      </w:r>
      <w:r>
        <w:rPr>
          <w:rFonts w:ascii="Times New Roman Bold" w:hAnsi="Times New Roman Bold"/>
          <w:b/>
        </w:rPr>
        <w:t>s Due:</w:t>
      </w:r>
      <w:r w:rsidRPr="00A06955">
        <w:rPr>
          <w:rFonts w:ascii="Times New Roman Bold" w:hAnsi="Times New Roman Bold"/>
          <w:b/>
        </w:rPr>
        <w:t xml:space="preserve"> </w:t>
      </w:r>
      <w:r w:rsidR="00E03B0D">
        <w:rPr>
          <w:rFonts w:ascii="Times New Roman Bold" w:hAnsi="Times New Roman Bold"/>
          <w:b/>
        </w:rPr>
        <w:t xml:space="preserve"> November</w:t>
      </w:r>
      <w:r>
        <w:rPr>
          <w:rFonts w:ascii="Times New Roman Bold" w:hAnsi="Times New Roman Bold"/>
          <w:b/>
        </w:rPr>
        <w:t xml:space="preserve"> </w:t>
      </w:r>
      <w:r w:rsidR="007646D6">
        <w:rPr>
          <w:rFonts w:ascii="Times New Roman Bold" w:hAnsi="Times New Roman Bold"/>
          <w:b/>
        </w:rPr>
        <w:t>21</w:t>
      </w:r>
      <w:r w:rsidRPr="007646D6">
        <w:rPr>
          <w:rFonts w:ascii="Times New Roman Bold" w:hAnsi="Times New Roman Bold"/>
          <w:b/>
        </w:rPr>
        <w:t>,</w:t>
      </w:r>
      <w:r>
        <w:rPr>
          <w:rFonts w:ascii="Times New Roman Bold" w:hAnsi="Times New Roman Bold"/>
          <w:b/>
        </w:rPr>
        <w:t xml:space="preserve"> 201</w:t>
      </w:r>
      <w:r w:rsidR="00454B2E">
        <w:rPr>
          <w:rFonts w:ascii="Times New Roman Bold" w:hAnsi="Times New Roman Bold"/>
          <w:b/>
        </w:rPr>
        <w:t>8</w:t>
      </w:r>
      <w:r>
        <w:rPr>
          <w:rFonts w:ascii="Times New Roman Bold" w:hAnsi="Times New Roman Bold"/>
          <w:b/>
        </w:rPr>
        <w:t xml:space="preserve"> </w:t>
      </w:r>
    </w:p>
    <w:p w:rsidR="00480200" w:rsidRPr="007222F4" w:rsidP="00930834">
      <w:pPr>
        <w:spacing w:before="60"/>
        <w:rPr>
          <w:rFonts w:ascii="Times New Roman Bold" w:hAnsi="Times New Roman Bold"/>
        </w:rPr>
      </w:pPr>
      <w:r w:rsidRPr="007222F4">
        <w:rPr>
          <w:rFonts w:ascii="Times New Roman Bold" w:hAnsi="Times New Roman Bold"/>
          <w:b/>
        </w:rPr>
        <w:t>Reply Comment</w:t>
      </w:r>
      <w:r>
        <w:rPr>
          <w:rFonts w:ascii="Times New Roman Bold" w:hAnsi="Times New Roman Bold"/>
          <w:b/>
        </w:rPr>
        <w:t>s Due</w:t>
      </w:r>
      <w:r w:rsidRPr="007222F4">
        <w:rPr>
          <w:rFonts w:ascii="Times New Roman Bold" w:hAnsi="Times New Roman Bold"/>
          <w:b/>
        </w:rPr>
        <w:t xml:space="preserve">: </w:t>
      </w:r>
      <w:r w:rsidR="001C111C">
        <w:rPr>
          <w:rFonts w:ascii="Times New Roman Bold" w:hAnsi="Times New Roman Bold"/>
          <w:b/>
        </w:rPr>
        <w:t xml:space="preserve"> </w:t>
      </w:r>
      <w:r w:rsidR="00E03B0D">
        <w:rPr>
          <w:rFonts w:ascii="Times New Roman Bold" w:hAnsi="Times New Roman Bold"/>
          <w:b/>
        </w:rPr>
        <w:t>December</w:t>
      </w:r>
      <w:r>
        <w:rPr>
          <w:rFonts w:ascii="Times New Roman Bold" w:hAnsi="Times New Roman Bold"/>
          <w:b/>
        </w:rPr>
        <w:t xml:space="preserve"> </w:t>
      </w:r>
      <w:r w:rsidR="001C111C">
        <w:rPr>
          <w:rFonts w:ascii="Times New Roman Bold" w:hAnsi="Times New Roman Bold"/>
          <w:b/>
        </w:rPr>
        <w:t>6</w:t>
      </w:r>
      <w:r w:rsidR="00454B2E">
        <w:rPr>
          <w:rFonts w:ascii="Times New Roman Bold" w:hAnsi="Times New Roman Bold"/>
          <w:b/>
        </w:rPr>
        <w:t>, 2018</w:t>
      </w:r>
      <w:r>
        <w:rPr>
          <w:rFonts w:ascii="Times New Roman Bold" w:hAnsi="Times New Roman Bold"/>
          <w:b/>
        </w:rPr>
        <w:t xml:space="preserve"> </w:t>
      </w:r>
    </w:p>
    <w:p w:rsidR="00480200" w:rsidRPr="00E50B4A" w:rsidP="00930834">
      <w:pPr>
        <w:spacing w:before="60"/>
        <w:rPr>
          <w:rFonts w:ascii="Times New Roman Bold" w:hAnsi="Times New Roman Bold"/>
          <w:sz w:val="24"/>
        </w:rPr>
      </w:pPr>
    </w:p>
    <w:p w:rsidR="00594C6C" w:rsidP="00864DC3">
      <w:pPr>
        <w:suppressAutoHyphens w:val="0"/>
        <w:autoSpaceDE w:val="0"/>
        <w:autoSpaceDN w:val="0"/>
        <w:adjustRightInd w:val="0"/>
        <w:ind w:firstLine="720"/>
        <w:rPr>
          <w:szCs w:val="22"/>
        </w:rPr>
      </w:pPr>
      <w:r>
        <w:rPr>
          <w:szCs w:val="22"/>
        </w:rPr>
        <w:t xml:space="preserve">The Incentive Auction Task Force and the Media Bureau (Bureau) herein seek comment on </w:t>
      </w:r>
      <w:r w:rsidR="005E52D0">
        <w:rPr>
          <w:szCs w:val="22"/>
        </w:rPr>
        <w:t>a proposed catalog of potentially reimbursable costs that may be incurred by Low Power Television (LPTV), television translator</w:t>
      </w:r>
      <w:r w:rsidR="007E06C2">
        <w:rPr>
          <w:szCs w:val="22"/>
        </w:rPr>
        <w:t>,</w:t>
      </w:r>
      <w:r w:rsidR="005E52D0">
        <w:rPr>
          <w:szCs w:val="22"/>
        </w:rPr>
        <w:t xml:space="preserve"> and FM broadcast stations </w:t>
      </w:r>
      <w:r w:rsidR="005E52D0">
        <w:rPr>
          <w:szCs w:val="22"/>
        </w:rPr>
        <w:t>as a result of</w:t>
      </w:r>
      <w:r w:rsidR="005E52D0">
        <w:rPr>
          <w:szCs w:val="22"/>
        </w:rPr>
        <w:t xml:space="preserve"> the Federal Communication</w:t>
      </w:r>
      <w:r w:rsidR="00585078">
        <w:rPr>
          <w:szCs w:val="22"/>
        </w:rPr>
        <w:t>s</w:t>
      </w:r>
      <w:r w:rsidR="005E52D0">
        <w:rPr>
          <w:szCs w:val="22"/>
        </w:rPr>
        <w:t xml:space="preserve"> Commission’s (Commission’s) broadcast television spectrum incentive au</w:t>
      </w:r>
      <w:r w:rsidR="007E06C2">
        <w:rPr>
          <w:szCs w:val="22"/>
        </w:rPr>
        <w:t>c</w:t>
      </w:r>
      <w:r w:rsidR="005E52D0">
        <w:rPr>
          <w:szCs w:val="22"/>
        </w:rPr>
        <w:t>tion.</w:t>
      </w:r>
    </w:p>
    <w:p w:rsidR="00594C6C" w:rsidP="00864DC3">
      <w:pPr>
        <w:suppressAutoHyphens w:val="0"/>
        <w:autoSpaceDE w:val="0"/>
        <w:autoSpaceDN w:val="0"/>
        <w:adjustRightInd w:val="0"/>
        <w:ind w:firstLine="720"/>
        <w:rPr>
          <w:szCs w:val="22"/>
        </w:rPr>
      </w:pPr>
    </w:p>
    <w:p w:rsidR="00864DC3" w:rsidP="00864DC3">
      <w:pPr>
        <w:suppressAutoHyphens w:val="0"/>
        <w:autoSpaceDE w:val="0"/>
        <w:autoSpaceDN w:val="0"/>
        <w:adjustRightInd w:val="0"/>
        <w:ind w:firstLine="720"/>
        <w:rPr>
          <w:rFonts w:ascii="TimesNewRoman" w:hAnsi="TimesNewRoman" w:cs="TimesNewRoman"/>
          <w:szCs w:val="22"/>
          <w:lang w:eastAsia="en-US"/>
        </w:rPr>
      </w:pPr>
      <w:r>
        <w:rPr>
          <w:szCs w:val="22"/>
        </w:rPr>
        <w:t>In t</w:t>
      </w:r>
      <w:r w:rsidR="00454B2E">
        <w:rPr>
          <w:szCs w:val="22"/>
        </w:rPr>
        <w:t>he 2018 Reimbursement Expansion Act (REA)</w:t>
      </w:r>
      <w:r>
        <w:rPr>
          <w:szCs w:val="22"/>
        </w:rPr>
        <w:t>, Congress</w:t>
      </w:r>
      <w:r w:rsidR="00454B2E">
        <w:rPr>
          <w:szCs w:val="22"/>
        </w:rPr>
        <w:t xml:space="preserve"> </w:t>
      </w:r>
      <w:r w:rsidR="005E52D0">
        <w:rPr>
          <w:szCs w:val="22"/>
        </w:rPr>
        <w:t xml:space="preserve">provided funding for and </w:t>
      </w:r>
      <w:r w:rsidR="00454B2E">
        <w:rPr>
          <w:szCs w:val="22"/>
        </w:rPr>
        <w:t xml:space="preserve">expanded the list of entities eligible to receive reimbursement </w:t>
      </w:r>
      <w:r w:rsidR="00A26B32">
        <w:rPr>
          <w:szCs w:val="22"/>
        </w:rPr>
        <w:t xml:space="preserve">for </w:t>
      </w:r>
      <w:r w:rsidR="00E05D0D">
        <w:rPr>
          <w:szCs w:val="22"/>
        </w:rPr>
        <w:t xml:space="preserve">costs reasonably incurred </w:t>
      </w:r>
      <w:r w:rsidR="00AF08BA">
        <w:rPr>
          <w:szCs w:val="22"/>
        </w:rPr>
        <w:t xml:space="preserve">resulting from </w:t>
      </w:r>
      <w:r w:rsidR="00454B2E">
        <w:rPr>
          <w:szCs w:val="22"/>
        </w:rPr>
        <w:t>the incentive auction to include LPTV, television translator and FM stations.</w:t>
      </w:r>
      <w:r>
        <w:rPr>
          <w:rStyle w:val="FootnoteReference"/>
          <w:szCs w:val="22"/>
        </w:rPr>
        <w:footnoteReference w:id="3"/>
      </w:r>
      <w:r w:rsidR="00454B2E">
        <w:rPr>
          <w:szCs w:val="22"/>
        </w:rPr>
        <w:t xml:space="preserve">  </w:t>
      </w:r>
      <w:r>
        <w:rPr>
          <w:szCs w:val="22"/>
        </w:rPr>
        <w:t xml:space="preserve">To implement the REA, the </w:t>
      </w:r>
      <w:r>
        <w:rPr>
          <w:szCs w:val="22"/>
        </w:rPr>
        <w:t>Commission release</w:t>
      </w:r>
      <w:r w:rsidR="008E41EB">
        <w:rPr>
          <w:szCs w:val="22"/>
        </w:rPr>
        <w:t>d a</w:t>
      </w:r>
      <w:r>
        <w:rPr>
          <w:szCs w:val="22"/>
        </w:rPr>
        <w:t xml:space="preserve"> </w:t>
      </w:r>
      <w:r w:rsidR="008E41EB">
        <w:rPr>
          <w:i/>
          <w:szCs w:val="22"/>
        </w:rPr>
        <w:t xml:space="preserve">Notice of Proposed Rulemaking </w:t>
      </w:r>
      <w:r w:rsidRPr="003C5ED0">
        <w:rPr>
          <w:i/>
          <w:szCs w:val="22"/>
        </w:rPr>
        <w:t>and Orde</w:t>
      </w:r>
      <w:r w:rsidR="00EA2E4B">
        <w:rPr>
          <w:i/>
          <w:szCs w:val="22"/>
        </w:rPr>
        <w:t>r</w:t>
      </w:r>
      <w:r>
        <w:rPr>
          <w:rStyle w:val="FootnoteReference"/>
          <w:szCs w:val="22"/>
          <w:lang w:eastAsia="en-US"/>
        </w:rPr>
        <w:footnoteReference w:id="4"/>
      </w:r>
      <w:r>
        <w:rPr>
          <w:szCs w:val="22"/>
        </w:rPr>
        <w:t xml:space="preserve"> that, among other things, s</w:t>
      </w:r>
      <w:r w:rsidR="00E87EB4">
        <w:rPr>
          <w:szCs w:val="22"/>
        </w:rPr>
        <w:t>eeks</w:t>
      </w:r>
      <w:r>
        <w:rPr>
          <w:szCs w:val="22"/>
        </w:rPr>
        <w:t xml:space="preserve"> comment on</w:t>
      </w:r>
      <w:r w:rsidRPr="00594C6C">
        <w:rPr>
          <w:szCs w:val="22"/>
        </w:rPr>
        <w:t xml:space="preserve"> </w:t>
      </w:r>
      <w:r w:rsidRPr="00485484">
        <w:rPr>
          <w:szCs w:val="22"/>
          <w:lang w:eastAsia="en-US"/>
        </w:rPr>
        <w:t>the types of costs these entities are likely to incur and instruct</w:t>
      </w:r>
      <w:r w:rsidR="00E87EB4">
        <w:rPr>
          <w:szCs w:val="22"/>
          <w:lang w:eastAsia="en-US"/>
        </w:rPr>
        <w:t>s</w:t>
      </w:r>
      <w:r w:rsidRPr="00485484">
        <w:rPr>
          <w:szCs w:val="22"/>
          <w:lang w:eastAsia="en-US"/>
        </w:rPr>
        <w:t xml:space="preserve"> the Media Bure</w:t>
      </w:r>
      <w:r w:rsidRPr="00485484" w:rsidR="008A25B4">
        <w:rPr>
          <w:szCs w:val="22"/>
          <w:lang w:eastAsia="en-US"/>
        </w:rPr>
        <w:t>au to develop a revised Catalog of Eligible Expenses</w:t>
      </w:r>
      <w:r w:rsidRPr="00485484">
        <w:rPr>
          <w:szCs w:val="22"/>
          <w:lang w:eastAsia="en-US"/>
        </w:rPr>
        <w:t>.</w:t>
      </w:r>
      <w:r>
        <w:rPr>
          <w:rStyle w:val="FootnoteReference"/>
          <w:szCs w:val="22"/>
          <w:lang w:eastAsia="en-US"/>
        </w:rPr>
        <w:footnoteReference w:id="5"/>
      </w:r>
      <w:r w:rsidRPr="00485484">
        <w:rPr>
          <w:szCs w:val="22"/>
          <w:lang w:eastAsia="en-US"/>
        </w:rPr>
        <w:t xml:space="preserve">  </w:t>
      </w:r>
      <w:r>
        <w:rPr>
          <w:szCs w:val="22"/>
        </w:rPr>
        <w:t xml:space="preserve">In this Public Notice, the Media Bureau </w:t>
      </w:r>
      <w:r w:rsidRPr="00B1192F">
        <w:rPr>
          <w:szCs w:val="22"/>
        </w:rPr>
        <w:t>invite</w:t>
      </w:r>
      <w:r>
        <w:rPr>
          <w:szCs w:val="22"/>
        </w:rPr>
        <w:t>s</w:t>
      </w:r>
      <w:r w:rsidRPr="00B1192F">
        <w:rPr>
          <w:szCs w:val="22"/>
        </w:rPr>
        <w:t xml:space="preserve"> comment on</w:t>
      </w:r>
      <w:r>
        <w:rPr>
          <w:szCs w:val="22"/>
        </w:rPr>
        <w:t xml:space="preserve"> a Catalog of Eligible Expenses</w:t>
      </w:r>
      <w:r w:rsidR="003C7473">
        <w:rPr>
          <w:szCs w:val="22"/>
        </w:rPr>
        <w:t xml:space="preserve"> (</w:t>
      </w:r>
      <w:r w:rsidR="00613560">
        <w:rPr>
          <w:szCs w:val="22"/>
        </w:rPr>
        <w:t xml:space="preserve">LPTV/Translator/FM </w:t>
      </w:r>
      <w:r w:rsidR="003C7473">
        <w:rPr>
          <w:szCs w:val="22"/>
        </w:rPr>
        <w:t>Cost Catalog</w:t>
      </w:r>
      <w:r w:rsidR="004C1031">
        <w:rPr>
          <w:szCs w:val="22"/>
        </w:rPr>
        <w:t xml:space="preserve"> or Cost Catalog</w:t>
      </w:r>
      <w:r w:rsidR="003C7473">
        <w:rPr>
          <w:szCs w:val="22"/>
        </w:rPr>
        <w:t>)</w:t>
      </w:r>
      <w:r w:rsidR="00364F3E">
        <w:rPr>
          <w:szCs w:val="22"/>
        </w:rPr>
        <w:t xml:space="preserve"> (attached as Appendix A),</w:t>
      </w:r>
      <w:r w:rsidR="00C62623">
        <w:rPr>
          <w:szCs w:val="22"/>
        </w:rPr>
        <w:t xml:space="preserve"> </w:t>
      </w:r>
      <w:r>
        <w:rPr>
          <w:szCs w:val="22"/>
        </w:rPr>
        <w:t>which contains categories and descriptions of expenses that we believe LPTV, translator</w:t>
      </w:r>
      <w:r w:rsidR="00E87EB4">
        <w:rPr>
          <w:szCs w:val="22"/>
        </w:rPr>
        <w:t>,</w:t>
      </w:r>
      <w:r>
        <w:rPr>
          <w:szCs w:val="22"/>
        </w:rPr>
        <w:t xml:space="preserve"> and FM stations are most likely to incur as a result of full-power and Class A broadcaster channel reassignments</w:t>
      </w:r>
      <w:r w:rsidRPr="00B1192F">
        <w:rPr>
          <w:szCs w:val="22"/>
        </w:rPr>
        <w:t>.</w:t>
      </w:r>
      <w:r>
        <w:rPr>
          <w:rStyle w:val="FootnoteReference"/>
          <w:szCs w:val="22"/>
        </w:rPr>
        <w:footnoteReference w:id="6"/>
      </w:r>
      <w:r w:rsidR="00CE002C">
        <w:rPr>
          <w:szCs w:val="22"/>
        </w:rPr>
        <w:t xml:space="preserve">  </w:t>
      </w:r>
    </w:p>
    <w:p w:rsidR="00864DC3" w:rsidP="00864DC3">
      <w:pPr>
        <w:suppressAutoHyphens w:val="0"/>
        <w:autoSpaceDE w:val="0"/>
        <w:autoSpaceDN w:val="0"/>
        <w:adjustRightInd w:val="0"/>
        <w:ind w:firstLine="720"/>
        <w:rPr>
          <w:szCs w:val="22"/>
        </w:rPr>
      </w:pPr>
    </w:p>
    <w:p w:rsidR="00B7526C" w:rsidP="005A3E3C">
      <w:pPr>
        <w:suppressAutoHyphens w:val="0"/>
        <w:autoSpaceDE w:val="0"/>
        <w:autoSpaceDN w:val="0"/>
        <w:adjustRightInd w:val="0"/>
        <w:ind w:firstLine="720"/>
        <w:rPr>
          <w:szCs w:val="22"/>
        </w:rPr>
      </w:pPr>
      <w:r>
        <w:rPr>
          <w:szCs w:val="22"/>
        </w:rPr>
        <w:t xml:space="preserve">Currently, full-power and Class A stations required to change channels as a result of the post-incentive auction repack and </w:t>
      </w:r>
      <w:r w:rsidR="00E87EB4">
        <w:rPr>
          <w:szCs w:val="22"/>
        </w:rPr>
        <w:t>multichannel video programing distributors (</w:t>
      </w:r>
      <w:r>
        <w:rPr>
          <w:szCs w:val="22"/>
        </w:rPr>
        <w:t>MVPDs</w:t>
      </w:r>
      <w:r w:rsidR="00E87EB4">
        <w:rPr>
          <w:szCs w:val="22"/>
        </w:rPr>
        <w:t>)</w:t>
      </w:r>
      <w:r>
        <w:rPr>
          <w:szCs w:val="22"/>
        </w:rPr>
        <w:t xml:space="preserve"> that incur costs in continuing to carry the signals of these stations are eligible </w:t>
      </w:r>
      <w:r w:rsidR="00692BDE">
        <w:rPr>
          <w:szCs w:val="22"/>
        </w:rPr>
        <w:t xml:space="preserve">for reimbursement </w:t>
      </w:r>
      <w:r w:rsidR="0068519E">
        <w:rPr>
          <w:szCs w:val="22"/>
        </w:rPr>
        <w:t xml:space="preserve">for </w:t>
      </w:r>
      <w:r>
        <w:rPr>
          <w:szCs w:val="22"/>
        </w:rPr>
        <w:t>reasonably incurred expenses from the TV Broadcaster Relocation Fund.</w:t>
      </w:r>
      <w:r>
        <w:rPr>
          <w:rStyle w:val="FootnoteReference"/>
          <w:szCs w:val="22"/>
        </w:rPr>
        <w:footnoteReference w:id="7"/>
      </w:r>
      <w:r>
        <w:rPr>
          <w:szCs w:val="22"/>
        </w:rPr>
        <w:t xml:space="preserve">  </w:t>
      </w:r>
      <w:r w:rsidR="00E87EB4">
        <w:rPr>
          <w:szCs w:val="22"/>
        </w:rPr>
        <w:t>A cat</w:t>
      </w:r>
      <w:r w:rsidRPr="00282EBB" w:rsidR="00E87EB4">
        <w:t xml:space="preserve">alog of </w:t>
      </w:r>
      <w:r w:rsidR="00E87EB4">
        <w:t>eligible reimbursement expenses</w:t>
      </w:r>
      <w:r w:rsidRPr="00282EBB" w:rsidR="00E87EB4">
        <w:t xml:space="preserve"> facilitat</w:t>
      </w:r>
      <w:r w:rsidR="00E87EB4">
        <w:t>es</w:t>
      </w:r>
      <w:r w:rsidRPr="00282EBB" w:rsidR="00E87EB4">
        <w:t xml:space="preserve"> the process of reimbursing </w:t>
      </w:r>
      <w:r w:rsidR="00E87EB4">
        <w:t xml:space="preserve">those </w:t>
      </w:r>
      <w:r w:rsidR="00CD4BA3">
        <w:t>e</w:t>
      </w:r>
      <w:r w:rsidR="00E87EB4">
        <w:t xml:space="preserve">ntities. </w:t>
      </w:r>
      <w:r w:rsidRPr="00282EBB" w:rsidR="00E87EB4">
        <w:t xml:space="preserve"> </w:t>
      </w:r>
      <w:r>
        <w:rPr>
          <w:szCs w:val="22"/>
        </w:rPr>
        <w:t xml:space="preserve">In the </w:t>
      </w:r>
      <w:bookmarkStart w:id="2" w:name="_Hlk526261803"/>
      <w:r w:rsidR="008E41EB">
        <w:rPr>
          <w:i/>
          <w:szCs w:val="22"/>
        </w:rPr>
        <w:t>Reimbursement Expansion N</w:t>
      </w:r>
      <w:r w:rsidRPr="0068519E">
        <w:rPr>
          <w:i/>
          <w:szCs w:val="22"/>
        </w:rPr>
        <w:t>PRM and Order</w:t>
      </w:r>
      <w:bookmarkEnd w:id="2"/>
      <w:r w:rsidR="00C749CA">
        <w:rPr>
          <w:szCs w:val="22"/>
        </w:rPr>
        <w:t xml:space="preserve">, the Commission proposed a mechanism for reimbursing the newly eligible entities that is </w:t>
      </w:r>
      <w:r>
        <w:rPr>
          <w:szCs w:val="22"/>
        </w:rPr>
        <w:t xml:space="preserve">substantially </w:t>
      </w:r>
      <w:r>
        <w:rPr>
          <w:szCs w:val="22"/>
        </w:rPr>
        <w:t>similar</w:t>
      </w:r>
      <w:r w:rsidR="00C749CA">
        <w:rPr>
          <w:szCs w:val="22"/>
        </w:rPr>
        <w:t xml:space="preserve"> to</w:t>
      </w:r>
      <w:r w:rsidR="00C749CA">
        <w:rPr>
          <w:szCs w:val="22"/>
        </w:rPr>
        <w:t xml:space="preserve"> the process currently used to reimburse full power and Class A licensees and MVPDs,</w:t>
      </w:r>
      <w:r w:rsidR="0068519E">
        <w:rPr>
          <w:szCs w:val="22"/>
        </w:rPr>
        <w:t xml:space="preserve"> including</w:t>
      </w:r>
      <w:r w:rsidR="006949BB">
        <w:rPr>
          <w:szCs w:val="22"/>
        </w:rPr>
        <w:t xml:space="preserve"> allocating dollars based on each entity’s estimated costs</w:t>
      </w:r>
      <w:r w:rsidR="008A25B4">
        <w:rPr>
          <w:szCs w:val="22"/>
        </w:rPr>
        <w:t>.</w:t>
      </w:r>
      <w:r>
        <w:rPr>
          <w:rStyle w:val="FootnoteReference"/>
          <w:szCs w:val="22"/>
        </w:rPr>
        <w:footnoteReference w:id="8"/>
      </w:r>
      <w:r w:rsidR="003C3ED7">
        <w:rPr>
          <w:szCs w:val="22"/>
        </w:rPr>
        <w:t xml:space="preserve">  </w:t>
      </w:r>
    </w:p>
    <w:p w:rsidR="00B7526C" w:rsidP="005A3E3C">
      <w:pPr>
        <w:suppressAutoHyphens w:val="0"/>
        <w:autoSpaceDE w:val="0"/>
        <w:autoSpaceDN w:val="0"/>
        <w:adjustRightInd w:val="0"/>
        <w:ind w:firstLine="720"/>
        <w:rPr>
          <w:szCs w:val="22"/>
        </w:rPr>
      </w:pPr>
    </w:p>
    <w:p w:rsidR="005A3E3C" w:rsidP="005A3E3C">
      <w:pPr>
        <w:suppressAutoHyphens w:val="0"/>
        <w:autoSpaceDE w:val="0"/>
        <w:autoSpaceDN w:val="0"/>
        <w:adjustRightInd w:val="0"/>
        <w:ind w:firstLine="720"/>
        <w:rPr>
          <w:szCs w:val="22"/>
        </w:rPr>
      </w:pPr>
      <w:r w:rsidRPr="00485484">
        <w:rPr>
          <w:szCs w:val="22"/>
          <w:lang w:eastAsia="en-US"/>
        </w:rPr>
        <w:t>T</w:t>
      </w:r>
      <w:r w:rsidRPr="00E87EB4" w:rsidR="00692BDE">
        <w:rPr>
          <w:szCs w:val="22"/>
        </w:rPr>
        <w:t xml:space="preserve">he </w:t>
      </w:r>
      <w:r w:rsidRPr="00E87EB4" w:rsidR="008B06D9">
        <w:rPr>
          <w:i/>
          <w:szCs w:val="22"/>
        </w:rPr>
        <w:t>Reimbursement Expansion NPRM and Order</w:t>
      </w:r>
      <w:r w:rsidRPr="00E87EB4" w:rsidR="008B06D9">
        <w:rPr>
          <w:szCs w:val="22"/>
        </w:rPr>
        <w:t xml:space="preserve"> </w:t>
      </w:r>
      <w:r w:rsidRPr="00E87EB4" w:rsidR="00692BDE">
        <w:rPr>
          <w:szCs w:val="22"/>
        </w:rPr>
        <w:t>propose</w:t>
      </w:r>
      <w:r w:rsidR="000B4198">
        <w:rPr>
          <w:szCs w:val="22"/>
        </w:rPr>
        <w:t>s</w:t>
      </w:r>
      <w:r w:rsidRPr="00E87EB4" w:rsidR="00692BDE">
        <w:rPr>
          <w:szCs w:val="22"/>
        </w:rPr>
        <w:t xml:space="preserve"> </w:t>
      </w:r>
      <w:r w:rsidRPr="00E87EB4">
        <w:rPr>
          <w:szCs w:val="22"/>
        </w:rPr>
        <w:t>to reimburse LPTV and translator statio</w:t>
      </w:r>
      <w:r>
        <w:rPr>
          <w:szCs w:val="22"/>
        </w:rPr>
        <w:t xml:space="preserve">ns </w:t>
      </w:r>
      <w:r w:rsidRPr="007B12FE">
        <w:rPr>
          <w:szCs w:val="22"/>
        </w:rPr>
        <w:t>for</w:t>
      </w:r>
      <w:r>
        <w:rPr>
          <w:szCs w:val="22"/>
        </w:rPr>
        <w:t xml:space="preserve"> both “hard” expenses, such as n</w:t>
      </w:r>
      <w:r w:rsidRPr="007B12FE">
        <w:rPr>
          <w:szCs w:val="22"/>
        </w:rPr>
        <w:t>ew equipment and tower rigging, and “soft” expenses, such as legal and engineering services</w:t>
      </w:r>
      <w:r>
        <w:t>.</w:t>
      </w:r>
      <w:r>
        <w:rPr>
          <w:rStyle w:val="FootnoteReference"/>
        </w:rPr>
        <w:footnoteReference w:id="9"/>
      </w:r>
      <w:r>
        <w:t xml:space="preserve">  The </w:t>
      </w:r>
      <w:r w:rsidR="008B06D9">
        <w:rPr>
          <w:i/>
          <w:szCs w:val="22"/>
        </w:rPr>
        <w:t>Reimbursement Expansion N</w:t>
      </w:r>
      <w:r w:rsidRPr="0068519E" w:rsidR="008B06D9">
        <w:rPr>
          <w:i/>
          <w:szCs w:val="22"/>
        </w:rPr>
        <w:t>PRM and Order</w:t>
      </w:r>
      <w:r w:rsidR="008B06D9">
        <w:t xml:space="preserve"> </w:t>
      </w:r>
      <w:r w:rsidR="00E03B0D">
        <w:t>also propose</w:t>
      </w:r>
      <w:r w:rsidR="000B4198">
        <w:t>s</w:t>
      </w:r>
      <w:r w:rsidR="00E03B0D">
        <w:t xml:space="preserve"> </w:t>
      </w:r>
      <w:r w:rsidR="00BE4BB9">
        <w:t xml:space="preserve">to </w:t>
      </w:r>
      <w:r w:rsidR="00E03B0D">
        <w:t>reimburs</w:t>
      </w:r>
      <w:r w:rsidR="00BE4BB9">
        <w:t>e</w:t>
      </w:r>
      <w:r w:rsidR="00E03B0D">
        <w:t xml:space="preserve"> </w:t>
      </w:r>
      <w:r w:rsidR="00BE4BB9">
        <w:t xml:space="preserve">such </w:t>
      </w:r>
      <w:r w:rsidR="00E03B0D">
        <w:t xml:space="preserve">costs for FM stations that must replace or </w:t>
      </w:r>
      <w:r w:rsidR="00BE4BB9">
        <w:t>modify equipment</w:t>
      </w:r>
      <w:r w:rsidR="00E03B0D">
        <w:t xml:space="preserve"> and stations that must construct or upgrade auxiliary facilities.</w:t>
      </w:r>
      <w:r>
        <w:rPr>
          <w:rStyle w:val="FootnoteReference"/>
        </w:rPr>
        <w:footnoteReference w:id="10"/>
      </w:r>
      <w:r w:rsidR="00E03B0D">
        <w:t xml:space="preserve">  </w:t>
      </w:r>
    </w:p>
    <w:p w:rsidR="000F1B77" w:rsidP="006949BB">
      <w:pPr>
        <w:suppressAutoHyphens w:val="0"/>
        <w:autoSpaceDE w:val="0"/>
        <w:autoSpaceDN w:val="0"/>
        <w:adjustRightInd w:val="0"/>
        <w:rPr>
          <w:szCs w:val="22"/>
        </w:rPr>
      </w:pPr>
    </w:p>
    <w:p w:rsidR="00E84959" w:rsidP="00E03B0D">
      <w:pPr>
        <w:pStyle w:val="Paranum0"/>
        <w:ind w:firstLine="720"/>
        <w:jc w:val="left"/>
        <w:rPr>
          <w:szCs w:val="22"/>
        </w:rPr>
      </w:pPr>
      <w:r>
        <w:rPr>
          <w:szCs w:val="22"/>
        </w:rPr>
        <w:t xml:space="preserve">The </w:t>
      </w:r>
      <w:r w:rsidR="00B7526C">
        <w:rPr>
          <w:szCs w:val="22"/>
        </w:rPr>
        <w:t xml:space="preserve">LPTV/Translator/FM </w:t>
      </w:r>
      <w:r w:rsidR="00A02B9D">
        <w:rPr>
          <w:szCs w:val="22"/>
        </w:rPr>
        <w:t>Cost C</w:t>
      </w:r>
      <w:r w:rsidR="000F1B77">
        <w:rPr>
          <w:szCs w:val="22"/>
        </w:rPr>
        <w:t xml:space="preserve">atalog will </w:t>
      </w:r>
      <w:r w:rsidR="00B7526C">
        <w:rPr>
          <w:szCs w:val="22"/>
        </w:rPr>
        <w:t xml:space="preserve">facilitate the reimbursement process for these categories of eligible entities in the same manner that </w:t>
      </w:r>
      <w:r w:rsidR="00A02B9D">
        <w:rPr>
          <w:szCs w:val="22"/>
        </w:rPr>
        <w:t xml:space="preserve">the </w:t>
      </w:r>
      <w:r w:rsidR="00B7526C">
        <w:rPr>
          <w:szCs w:val="22"/>
        </w:rPr>
        <w:t xml:space="preserve">existing </w:t>
      </w:r>
      <w:r w:rsidR="00A02B9D">
        <w:rPr>
          <w:szCs w:val="22"/>
        </w:rPr>
        <w:t>C</w:t>
      </w:r>
      <w:r w:rsidR="000F1B77">
        <w:rPr>
          <w:szCs w:val="22"/>
        </w:rPr>
        <w:t>atalog for full-power and Class A sta</w:t>
      </w:r>
      <w:r w:rsidR="005A3E3C">
        <w:rPr>
          <w:szCs w:val="22"/>
        </w:rPr>
        <w:t xml:space="preserve">tions and </w:t>
      </w:r>
      <w:r w:rsidR="008A25B4">
        <w:rPr>
          <w:szCs w:val="22"/>
        </w:rPr>
        <w:t>MVPDs</w:t>
      </w:r>
      <w:r w:rsidR="00B7526C">
        <w:rPr>
          <w:szCs w:val="22"/>
        </w:rPr>
        <w:t xml:space="preserve"> </w:t>
      </w:r>
      <w:r w:rsidR="000B4198">
        <w:rPr>
          <w:szCs w:val="22"/>
        </w:rPr>
        <w:t xml:space="preserve">has </w:t>
      </w:r>
      <w:r w:rsidR="00B7526C">
        <w:rPr>
          <w:szCs w:val="22"/>
        </w:rPr>
        <w:t>facilitate</w:t>
      </w:r>
      <w:r w:rsidR="000B4198">
        <w:rPr>
          <w:szCs w:val="22"/>
        </w:rPr>
        <w:t>d</w:t>
      </w:r>
      <w:r w:rsidR="00B7526C">
        <w:rPr>
          <w:szCs w:val="22"/>
        </w:rPr>
        <w:t xml:space="preserve"> the existing reimbursement process.  The LPTV/Translator/FM Cost Catalog provides </w:t>
      </w:r>
      <w:r w:rsidR="008A25B4">
        <w:rPr>
          <w:szCs w:val="22"/>
        </w:rPr>
        <w:t>predetermined costs or cost ranges for use as</w:t>
      </w:r>
      <w:r w:rsidR="005A3E3C">
        <w:rPr>
          <w:szCs w:val="22"/>
        </w:rPr>
        <w:t xml:space="preserve"> estimates when stations do not have vendor quotes</w:t>
      </w:r>
      <w:r w:rsidR="00CE002C">
        <w:rPr>
          <w:szCs w:val="22"/>
        </w:rPr>
        <w:t>,</w:t>
      </w:r>
      <w:r w:rsidR="005A3E3C">
        <w:rPr>
          <w:szCs w:val="22"/>
        </w:rPr>
        <w:t xml:space="preserve"> and establish</w:t>
      </w:r>
      <w:r w:rsidR="00CE002C">
        <w:rPr>
          <w:szCs w:val="22"/>
        </w:rPr>
        <w:t>es</w:t>
      </w:r>
      <w:r w:rsidR="005A3E3C">
        <w:rPr>
          <w:szCs w:val="22"/>
        </w:rPr>
        <w:t xml:space="preserve"> </w:t>
      </w:r>
      <w:r w:rsidR="000B4198">
        <w:rPr>
          <w:szCs w:val="22"/>
        </w:rPr>
        <w:t xml:space="preserve">acceptable </w:t>
      </w:r>
      <w:r w:rsidR="005A3E3C">
        <w:rPr>
          <w:szCs w:val="22"/>
        </w:rPr>
        <w:t xml:space="preserve">price </w:t>
      </w:r>
      <w:r w:rsidR="00CE002C">
        <w:rPr>
          <w:szCs w:val="22"/>
        </w:rPr>
        <w:t xml:space="preserve">ranges, thereby necessitating additional cost justification documentation only for </w:t>
      </w:r>
      <w:r w:rsidR="005A3E3C">
        <w:rPr>
          <w:szCs w:val="22"/>
        </w:rPr>
        <w:t xml:space="preserve">expenses </w:t>
      </w:r>
      <w:r w:rsidR="00CE002C">
        <w:rPr>
          <w:szCs w:val="22"/>
        </w:rPr>
        <w:t xml:space="preserve">that are </w:t>
      </w:r>
      <w:r w:rsidR="005A3E3C">
        <w:rPr>
          <w:szCs w:val="22"/>
        </w:rPr>
        <w:t xml:space="preserve">higher </w:t>
      </w:r>
      <w:r w:rsidR="00CE002C">
        <w:rPr>
          <w:szCs w:val="22"/>
        </w:rPr>
        <w:t>than the range in the Catalog</w:t>
      </w:r>
      <w:r w:rsidR="000B4198">
        <w:rPr>
          <w:szCs w:val="22"/>
        </w:rPr>
        <w:t xml:space="preserve"> or that are for equipment or services not covered by the </w:t>
      </w:r>
      <w:r w:rsidRPr="00442B43" w:rsidR="00442B43">
        <w:rPr>
          <w:szCs w:val="22"/>
        </w:rPr>
        <w:t xml:space="preserve">LPTV/Translator/FM </w:t>
      </w:r>
      <w:r w:rsidR="000B4198">
        <w:rPr>
          <w:szCs w:val="22"/>
        </w:rPr>
        <w:t>Cost Catalog</w:t>
      </w:r>
      <w:r w:rsidR="000F1B77">
        <w:rPr>
          <w:szCs w:val="22"/>
        </w:rPr>
        <w:t xml:space="preserve">. </w:t>
      </w:r>
      <w:r w:rsidR="00480200">
        <w:rPr>
          <w:szCs w:val="22"/>
        </w:rPr>
        <w:t xml:space="preserve"> </w:t>
      </w:r>
      <w:r w:rsidR="00B7526C">
        <w:rPr>
          <w:szCs w:val="22"/>
        </w:rPr>
        <w:t xml:space="preserve">The LPTV/Translator/FM Cost Catalog </w:t>
      </w:r>
      <w:r w:rsidR="00B7526C">
        <w:rPr>
          <w:szCs w:val="22"/>
        </w:rPr>
        <w:t>was developed by a third-party contractor engaged by the Media Bureau to identify price ranges for potential services and equipment based on a market survey of industry vendors.</w:t>
      </w:r>
      <w:r w:rsidR="001D50BE">
        <w:rPr>
          <w:szCs w:val="22"/>
        </w:rPr>
        <w:t xml:space="preserve"> </w:t>
      </w:r>
      <w:r w:rsidR="00A02B9D">
        <w:rPr>
          <w:szCs w:val="22"/>
        </w:rPr>
        <w:t>This C</w:t>
      </w:r>
      <w:r>
        <w:rPr>
          <w:szCs w:val="22"/>
        </w:rPr>
        <w:t xml:space="preserve">ost </w:t>
      </w:r>
      <w:r w:rsidR="00A02B9D">
        <w:rPr>
          <w:szCs w:val="22"/>
        </w:rPr>
        <w:t>C</w:t>
      </w:r>
      <w:r>
        <w:rPr>
          <w:szCs w:val="22"/>
        </w:rPr>
        <w:t xml:space="preserve">atalog </w:t>
      </w:r>
      <w:r w:rsidR="00EF0624">
        <w:rPr>
          <w:szCs w:val="22"/>
        </w:rPr>
        <w:t xml:space="preserve">largely </w:t>
      </w:r>
      <w:r w:rsidR="004607ED">
        <w:rPr>
          <w:szCs w:val="22"/>
        </w:rPr>
        <w:t>mirrors the same gene</w:t>
      </w:r>
      <w:r w:rsidR="00E03BD0">
        <w:rPr>
          <w:szCs w:val="22"/>
        </w:rPr>
        <w:t xml:space="preserve">ral categories as the existing </w:t>
      </w:r>
      <w:r w:rsidR="00442B43">
        <w:rPr>
          <w:szCs w:val="22"/>
        </w:rPr>
        <w:t>c</w:t>
      </w:r>
      <w:r w:rsidR="004607ED">
        <w:rPr>
          <w:szCs w:val="22"/>
        </w:rPr>
        <w:t xml:space="preserve">atalog for Class A and full-power stations </w:t>
      </w:r>
      <w:r w:rsidR="00B07A4C">
        <w:rPr>
          <w:szCs w:val="22"/>
        </w:rPr>
        <w:t>and MVPDs but</w:t>
      </w:r>
      <w:r w:rsidR="004607ED">
        <w:rPr>
          <w:szCs w:val="22"/>
        </w:rPr>
        <w:t xml:space="preserve"> </w:t>
      </w:r>
      <w:r>
        <w:rPr>
          <w:szCs w:val="22"/>
        </w:rPr>
        <w:t>is tailored to the specific equipment and services likely to be purchased by LPTV, translator</w:t>
      </w:r>
      <w:r w:rsidR="00B7526C">
        <w:rPr>
          <w:szCs w:val="22"/>
        </w:rPr>
        <w:t>,</w:t>
      </w:r>
      <w:r>
        <w:rPr>
          <w:szCs w:val="22"/>
        </w:rPr>
        <w:t xml:space="preserve"> and FM stations.  For example, t</w:t>
      </w:r>
      <w:r w:rsidRPr="00E84959">
        <w:rPr>
          <w:szCs w:val="22"/>
        </w:rPr>
        <w:t xml:space="preserve">he </w:t>
      </w:r>
      <w:r w:rsidR="00721883">
        <w:rPr>
          <w:szCs w:val="22"/>
        </w:rPr>
        <w:t>category of</w:t>
      </w:r>
      <w:r>
        <w:rPr>
          <w:szCs w:val="22"/>
        </w:rPr>
        <w:t xml:space="preserve"> </w:t>
      </w:r>
      <w:r w:rsidR="00436154">
        <w:rPr>
          <w:szCs w:val="22"/>
        </w:rPr>
        <w:t xml:space="preserve">television </w:t>
      </w:r>
      <w:r>
        <w:rPr>
          <w:szCs w:val="22"/>
        </w:rPr>
        <w:t>transmitters i</w:t>
      </w:r>
      <w:r w:rsidRPr="00E84959">
        <w:rPr>
          <w:szCs w:val="22"/>
        </w:rPr>
        <w:t xml:space="preserve">ncludes </w:t>
      </w:r>
      <w:r>
        <w:rPr>
          <w:szCs w:val="22"/>
        </w:rPr>
        <w:t xml:space="preserve">lower </w:t>
      </w:r>
      <w:r w:rsidRPr="00E84959">
        <w:rPr>
          <w:szCs w:val="22"/>
        </w:rPr>
        <w:t xml:space="preserve">power </w:t>
      </w:r>
      <w:r>
        <w:rPr>
          <w:szCs w:val="22"/>
        </w:rPr>
        <w:t>ranges for UHF and High-VHF and Low-VHF transmitters an</w:t>
      </w:r>
      <w:r w:rsidR="00E03BD0">
        <w:rPr>
          <w:szCs w:val="22"/>
        </w:rPr>
        <w:t xml:space="preserve">d the </w:t>
      </w:r>
      <w:r w:rsidR="00AD2B25">
        <w:rPr>
          <w:szCs w:val="22"/>
        </w:rPr>
        <w:t xml:space="preserve">LPTV/Translator/FM </w:t>
      </w:r>
      <w:r w:rsidR="00442B43">
        <w:rPr>
          <w:szCs w:val="22"/>
        </w:rPr>
        <w:t xml:space="preserve">Cost </w:t>
      </w:r>
      <w:r w:rsidR="00E03BD0">
        <w:rPr>
          <w:szCs w:val="22"/>
        </w:rPr>
        <w:t>C</w:t>
      </w:r>
      <w:r>
        <w:rPr>
          <w:szCs w:val="22"/>
        </w:rPr>
        <w:t>atalog include</w:t>
      </w:r>
      <w:r w:rsidR="00436154">
        <w:rPr>
          <w:szCs w:val="22"/>
        </w:rPr>
        <w:t>s</w:t>
      </w:r>
      <w:r>
        <w:rPr>
          <w:szCs w:val="22"/>
        </w:rPr>
        <w:t xml:space="preserve"> multiple elbow complex sizes, all of which we believe to be commonly used by LPTV and translator stations.  </w:t>
      </w:r>
      <w:r w:rsidR="00436154">
        <w:rPr>
          <w:szCs w:val="22"/>
        </w:rPr>
        <w:t>Similarly, the FM section includes antennas priced per bay and otherwise reflects antenna costs FM stations could incur, as well as including smaller transmission line</w:t>
      </w:r>
      <w:r w:rsidR="00AA4241">
        <w:rPr>
          <w:szCs w:val="22"/>
        </w:rPr>
        <w:t xml:space="preserve"> diameters than are commonly deployed</w:t>
      </w:r>
      <w:r w:rsidR="00436154">
        <w:rPr>
          <w:szCs w:val="22"/>
        </w:rPr>
        <w:t xml:space="preserve"> by television stations.  </w:t>
      </w:r>
      <w:r w:rsidRPr="00FC6301" w:rsidR="00FC6301">
        <w:rPr>
          <w:szCs w:val="22"/>
        </w:rPr>
        <w:t xml:space="preserve">This </w:t>
      </w:r>
      <w:r w:rsidR="00AD2B25">
        <w:rPr>
          <w:szCs w:val="22"/>
        </w:rPr>
        <w:t xml:space="preserve">LPTV/Translator/FM </w:t>
      </w:r>
      <w:r w:rsidRPr="00FC6301" w:rsidR="00FC6301">
        <w:rPr>
          <w:szCs w:val="22"/>
        </w:rPr>
        <w:t xml:space="preserve">Cost Catalog </w:t>
      </w:r>
      <w:r w:rsidR="00FC6301">
        <w:rPr>
          <w:szCs w:val="22"/>
        </w:rPr>
        <w:t xml:space="preserve">also </w:t>
      </w:r>
      <w:r w:rsidRPr="00FC6301" w:rsidR="00FC6301">
        <w:rPr>
          <w:szCs w:val="22"/>
        </w:rPr>
        <w:t xml:space="preserve">includes a category for “Other Expenses” including FCC filing fees and point-to-point microwave systems, with corresponding cost ranges.  </w:t>
      </w:r>
    </w:p>
    <w:p w:rsidR="00AD2B25" w:rsidP="00A02B9D">
      <w:pPr>
        <w:pStyle w:val="Paranum0"/>
        <w:ind w:firstLine="720"/>
        <w:jc w:val="left"/>
        <w:rPr>
          <w:szCs w:val="22"/>
        </w:rPr>
      </w:pPr>
      <w:r>
        <w:t xml:space="preserve">The </w:t>
      </w:r>
      <w:r>
        <w:rPr>
          <w:szCs w:val="22"/>
        </w:rPr>
        <w:t xml:space="preserve">LPTV/Translator/FM </w:t>
      </w:r>
      <w:r>
        <w:t>Cost C</w:t>
      </w:r>
      <w:r w:rsidR="00721883">
        <w:t xml:space="preserve">atalog does not include </w:t>
      </w:r>
      <w:r w:rsidR="00721883">
        <w:rPr>
          <w:szCs w:val="22"/>
        </w:rPr>
        <w:t>interim facilities for LPTV and translator stations, consistent with the Commission’s tentative conclusion that these expenses should not be reimbursable.</w:t>
      </w:r>
      <w:r>
        <w:rPr>
          <w:rStyle w:val="FootnoteReference"/>
          <w:szCs w:val="22"/>
        </w:rPr>
        <w:footnoteReference w:id="11"/>
      </w:r>
      <w:r w:rsidR="00721883">
        <w:rPr>
          <w:szCs w:val="22"/>
        </w:rPr>
        <w:t xml:space="preserve"> </w:t>
      </w:r>
      <w:r>
        <w:rPr>
          <w:szCs w:val="22"/>
        </w:rPr>
        <w:t xml:space="preserve"> </w:t>
      </w:r>
      <w:r w:rsidR="00721883">
        <w:t xml:space="preserve">Additionally, </w:t>
      </w:r>
      <w:r w:rsidR="00FC6301">
        <w:t xml:space="preserve">we believe the following items </w:t>
      </w:r>
      <w:r>
        <w:t xml:space="preserve">that are in the existing </w:t>
      </w:r>
      <w:r w:rsidR="00442B43">
        <w:t>c</w:t>
      </w:r>
      <w:r>
        <w:t xml:space="preserve">atalog </w:t>
      </w:r>
      <w:r w:rsidR="00442B43">
        <w:t xml:space="preserve">for full power and Class A stations and MVPDs </w:t>
      </w:r>
      <w:r w:rsidR="00FC6301">
        <w:t xml:space="preserve">are not frequently required for LPTV and translator facilities and, thus are not included:  </w:t>
      </w:r>
      <w:r w:rsidR="00721883">
        <w:t>f</w:t>
      </w:r>
      <w:r w:rsidR="00FC6301">
        <w:t>ilters above 5kW</w:t>
      </w:r>
      <w:r w:rsidR="00D72FBD">
        <w:t xml:space="preserve">, dual exciters, HVAC equipment, top-mounted antennas, and helicopter lift expenses.  </w:t>
      </w:r>
      <w:r w:rsidR="00B07A4C">
        <w:rPr>
          <w:szCs w:val="22"/>
        </w:rPr>
        <w:t xml:space="preserve">As with the </w:t>
      </w:r>
      <w:r>
        <w:rPr>
          <w:szCs w:val="22"/>
        </w:rPr>
        <w:t xml:space="preserve">existing </w:t>
      </w:r>
      <w:r w:rsidR="00442B43">
        <w:rPr>
          <w:szCs w:val="22"/>
        </w:rPr>
        <w:t>c</w:t>
      </w:r>
      <w:r w:rsidR="00FC6301">
        <w:rPr>
          <w:szCs w:val="22"/>
        </w:rPr>
        <w:t>atalog</w:t>
      </w:r>
      <w:r w:rsidR="001D50BE">
        <w:rPr>
          <w:szCs w:val="22"/>
        </w:rPr>
        <w:t xml:space="preserve"> for full power and Class A stations</w:t>
      </w:r>
      <w:r w:rsidR="00FC6301">
        <w:rPr>
          <w:szCs w:val="22"/>
        </w:rPr>
        <w:t xml:space="preserve">, the LPTV/Translator/FM </w:t>
      </w:r>
      <w:r>
        <w:rPr>
          <w:szCs w:val="22"/>
        </w:rPr>
        <w:t xml:space="preserve">Cost </w:t>
      </w:r>
      <w:r w:rsidR="00FC6301">
        <w:rPr>
          <w:szCs w:val="22"/>
        </w:rPr>
        <w:t>C</w:t>
      </w:r>
      <w:r w:rsidR="00B07A4C">
        <w:rPr>
          <w:szCs w:val="22"/>
        </w:rPr>
        <w:t>atalog lists estimated costs as “variable”</w:t>
      </w:r>
      <w:r w:rsidR="00412613">
        <w:rPr>
          <w:szCs w:val="22"/>
        </w:rPr>
        <w:t xml:space="preserve"> when the potential price varies so widely that a range is too broad to be meaningful.</w:t>
      </w:r>
      <w:r>
        <w:rPr>
          <w:rStyle w:val="FootnoteReference"/>
          <w:szCs w:val="22"/>
        </w:rPr>
        <w:footnoteReference w:id="12"/>
      </w:r>
      <w:r w:rsidR="00412613">
        <w:rPr>
          <w:szCs w:val="22"/>
        </w:rPr>
        <w:t xml:space="preserve">  </w:t>
      </w:r>
    </w:p>
    <w:p w:rsidR="00480200" w:rsidRPr="00E03B0D" w:rsidP="00A02B9D">
      <w:pPr>
        <w:pStyle w:val="Paranum0"/>
        <w:ind w:firstLine="720"/>
        <w:jc w:val="left"/>
      </w:pPr>
      <w:r>
        <w:t xml:space="preserve">We seek comment on </w:t>
      </w:r>
      <w:r w:rsidR="0095005C">
        <w:t>whether the Catalog is missing any</w:t>
      </w:r>
      <w:r>
        <w:t xml:space="preserve"> </w:t>
      </w:r>
      <w:r w:rsidR="0095005C">
        <w:t xml:space="preserve">types </w:t>
      </w:r>
      <w:r w:rsidR="00B07A4C">
        <w:t>of expenses</w:t>
      </w:r>
      <w:r>
        <w:t xml:space="preserve"> LPTV, translator and</w:t>
      </w:r>
      <w:r w:rsidR="00B07A4C">
        <w:t xml:space="preserve"> FM stations are likely to incur</w:t>
      </w:r>
      <w:r w:rsidR="006F231F">
        <w:t xml:space="preserve">.  We also seek comment on </w:t>
      </w:r>
      <w:r w:rsidR="000F1B77">
        <w:t xml:space="preserve">the </w:t>
      </w:r>
      <w:r w:rsidR="00E03BD0">
        <w:t>price ranges in the C</w:t>
      </w:r>
      <w:r>
        <w:t xml:space="preserve">atalog.  </w:t>
      </w:r>
    </w:p>
    <w:p w:rsidR="00025758" w:rsidP="00326BF3">
      <w:pPr>
        <w:pStyle w:val="Paranum0"/>
        <w:ind w:firstLine="720"/>
        <w:jc w:val="center"/>
      </w:pPr>
      <w:r>
        <w:t>***</w:t>
      </w:r>
    </w:p>
    <w:p w:rsidR="0050104D" w:rsidRPr="0050104D" w:rsidP="0050104D">
      <w:pPr>
        <w:suppressAutoHyphens w:val="0"/>
        <w:spacing w:after="220"/>
        <w:ind w:firstLine="720"/>
        <w:rPr>
          <w:szCs w:val="22"/>
          <w:lang w:eastAsia="en-US"/>
        </w:rPr>
      </w:pPr>
      <w:r w:rsidRPr="0050104D">
        <w:rPr>
          <w:szCs w:val="22"/>
          <w:lang w:eastAsia="en-US"/>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0104D">
        <w:rPr>
          <w:i/>
          <w:szCs w:val="22"/>
          <w:lang w:eastAsia="en-US"/>
        </w:rPr>
        <w:t>See Electronic Filing of Documents in Rulemaking Proceedings</w:t>
      </w:r>
      <w:r w:rsidRPr="0050104D">
        <w:rPr>
          <w:szCs w:val="22"/>
          <w:lang w:eastAsia="en-US"/>
        </w:rPr>
        <w:t>, 63 FR 24121 (1998).</w:t>
      </w:r>
    </w:p>
    <w:p w:rsidR="0050104D" w:rsidRPr="0050104D" w:rsidP="0050104D">
      <w:pPr>
        <w:numPr>
          <w:ilvl w:val="0"/>
          <w:numId w:val="25"/>
        </w:numPr>
        <w:suppressAutoHyphens w:val="0"/>
        <w:spacing w:after="220"/>
        <w:rPr>
          <w:szCs w:val="22"/>
          <w:lang w:eastAsia="en-US"/>
        </w:rPr>
      </w:pPr>
      <w:r w:rsidRPr="0050104D">
        <w:rPr>
          <w:szCs w:val="22"/>
          <w:lang w:eastAsia="en-US"/>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50104D">
        <w:rPr>
          <w:rStyle w:val="Hyperlink"/>
          <w:szCs w:val="22"/>
          <w:lang w:eastAsia="en-US"/>
        </w:rPr>
        <w:t>http://apps.fcc.gov/ecfs/</w:t>
      </w:r>
      <w:r>
        <w:fldChar w:fldCharType="end"/>
      </w:r>
      <w:r w:rsidRPr="0050104D">
        <w:rPr>
          <w:szCs w:val="22"/>
          <w:lang w:eastAsia="en-US"/>
        </w:rPr>
        <w:t xml:space="preserve">.  </w:t>
      </w:r>
    </w:p>
    <w:p w:rsidR="0050104D" w:rsidRPr="0050104D" w:rsidP="0050104D">
      <w:pPr>
        <w:numPr>
          <w:ilvl w:val="0"/>
          <w:numId w:val="15"/>
        </w:numPr>
        <w:suppressAutoHyphens w:val="0"/>
        <w:spacing w:after="220"/>
        <w:rPr>
          <w:szCs w:val="22"/>
          <w:lang w:eastAsia="en-US"/>
        </w:rPr>
      </w:pPr>
      <w:r w:rsidRPr="0050104D">
        <w:rPr>
          <w:szCs w:val="22"/>
          <w:lang w:eastAsia="en-US"/>
        </w:rPr>
        <w:t>Paper Filers:  Parties who choose to file by p</w:t>
      </w:r>
      <w:r w:rsidR="005C0E68">
        <w:rPr>
          <w:szCs w:val="22"/>
          <w:lang w:eastAsia="en-US"/>
        </w:rPr>
        <w:t xml:space="preserve">aper must file an original and </w:t>
      </w:r>
      <w:r w:rsidRPr="0050104D">
        <w:rPr>
          <w:szCs w:val="22"/>
          <w:lang w:eastAsia="en-US"/>
        </w:rPr>
        <w:t>one copy of each filing.  If more than one docket or rulemaking number appears in the caption of this proceeding, filers must submit two additional copies for each additional docket or rulemaking number.</w:t>
      </w:r>
    </w:p>
    <w:p w:rsidR="0050104D" w:rsidRPr="0050104D" w:rsidP="0050104D">
      <w:pPr>
        <w:suppressAutoHyphens w:val="0"/>
        <w:spacing w:after="220"/>
        <w:ind w:firstLine="720"/>
        <w:rPr>
          <w:szCs w:val="22"/>
          <w:lang w:eastAsia="en-US"/>
        </w:rPr>
      </w:pPr>
      <w:r w:rsidRPr="0050104D">
        <w:rPr>
          <w:szCs w:val="22"/>
          <w:lang w:eastAsia="en-US"/>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0104D" w:rsidRPr="005C0E68" w:rsidP="005C0E68">
      <w:pPr>
        <w:numPr>
          <w:ilvl w:val="0"/>
          <w:numId w:val="16"/>
        </w:numPr>
        <w:tabs>
          <w:tab w:val="clear" w:pos="720"/>
          <w:tab w:val="num" w:pos="1440"/>
        </w:tabs>
        <w:suppressAutoHyphens w:val="0"/>
        <w:spacing w:after="220"/>
        <w:rPr>
          <w:szCs w:val="22"/>
          <w:lang w:eastAsia="en-US"/>
        </w:rPr>
      </w:pPr>
      <w:r w:rsidRPr="0050104D">
        <w:rPr>
          <w:szCs w:val="22"/>
          <w:lang w:eastAsia="en-US"/>
        </w:rP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rsidRPr="0050104D">
            <w:rPr>
              <w:szCs w:val="22"/>
              <w:lang w:eastAsia="en-US"/>
            </w:rPr>
            <w:t>445 12</w:t>
          </w:r>
          <w:r w:rsidRPr="0050104D">
            <w:rPr>
              <w:szCs w:val="22"/>
              <w:vertAlign w:val="superscript"/>
              <w:lang w:eastAsia="en-US"/>
            </w:rPr>
            <w:t>th</w:t>
          </w:r>
          <w:r w:rsidRPr="0050104D">
            <w:rPr>
              <w:szCs w:val="22"/>
              <w:lang w:eastAsia="en-US"/>
            </w:rPr>
            <w:t xml:space="preserve"> St., SW</w:t>
          </w:r>
        </w:smartTag>
      </w:smartTag>
      <w:r w:rsidRPr="0050104D">
        <w:rPr>
          <w:szCs w:val="22"/>
          <w:lang w:eastAsia="en-US"/>
        </w:rPr>
        <w:t xml:space="preserve">, Room TW-A325, </w:t>
      </w:r>
      <w:smartTag w:uri="urn:schemas-microsoft-com:office:smarttags" w:element="place">
        <w:smartTag w:uri="urn:schemas-microsoft-com:office:smarttags" w:element="country-region">
          <w:smartTag w:uri="urn:schemas-microsoft-com:office:smarttags" w:element="City">
            <w:r w:rsidRPr="0050104D">
              <w:rPr>
                <w:szCs w:val="22"/>
                <w:lang w:eastAsia="en-US"/>
              </w:rPr>
              <w:t>Washington</w:t>
            </w:r>
          </w:smartTag>
          <w:r w:rsidRPr="0050104D">
            <w:rPr>
              <w:szCs w:val="22"/>
              <w:lang w:eastAsia="en-US"/>
            </w:rPr>
            <w:t xml:space="preserve">, </w:t>
          </w:r>
          <w:smartTag w:uri="urn:schemas-microsoft-com:office:smarttags" w:element="State">
            <w:r w:rsidRPr="0050104D">
              <w:rPr>
                <w:szCs w:val="22"/>
                <w:lang w:eastAsia="en-US"/>
              </w:rPr>
              <w:t>DC</w:t>
            </w:r>
          </w:smartTag>
          <w:r w:rsidRPr="0050104D">
            <w:rPr>
              <w:szCs w:val="22"/>
              <w:lang w:eastAsia="en-US"/>
            </w:rPr>
            <w:t xml:space="preserve"> </w:t>
          </w:r>
          <w:smartTag w:uri="urn:schemas-microsoft-com:office:smarttags" w:element="PostalCode">
            <w:r w:rsidRPr="0050104D">
              <w:rPr>
                <w:szCs w:val="22"/>
                <w:lang w:eastAsia="en-US"/>
              </w:rPr>
              <w:t>20554</w:t>
            </w:r>
          </w:smartTag>
        </w:smartTag>
      </w:smartTag>
      <w:r w:rsidRPr="0050104D">
        <w:rPr>
          <w:szCs w:val="22"/>
          <w:lang w:eastAsia="en-US"/>
        </w:rPr>
        <w:t xml:space="preserve">.  </w:t>
      </w:r>
      <w:r w:rsidRPr="0050104D">
        <w:rPr>
          <w:szCs w:val="22"/>
          <w:lang w:eastAsia="en-US"/>
        </w:rPr>
        <w:t xml:space="preserve">The filing hours are 8:00 a.m. to 7:00 p.m.   All hand deliveries must be held together with rubber bands or fasteners.  Any envelopes and boxes must be disposed of </w:t>
      </w:r>
      <w:r w:rsidRPr="0050104D">
        <w:rPr>
          <w:szCs w:val="22"/>
          <w:u w:val="single"/>
          <w:lang w:eastAsia="en-US"/>
        </w:rPr>
        <w:t>before</w:t>
      </w:r>
      <w:r w:rsidRPr="0050104D">
        <w:rPr>
          <w:szCs w:val="22"/>
          <w:lang w:eastAsia="en-US"/>
        </w:rPr>
        <w:t xml:space="preserve"> entering the building.  </w:t>
      </w:r>
    </w:p>
    <w:p w:rsidR="0050104D" w:rsidRPr="005C0E68" w:rsidP="005C0E68">
      <w:pPr>
        <w:numPr>
          <w:ilvl w:val="0"/>
          <w:numId w:val="16"/>
        </w:numPr>
        <w:tabs>
          <w:tab w:val="clear" w:pos="720"/>
          <w:tab w:val="num" w:pos="1440"/>
        </w:tabs>
        <w:suppressAutoHyphens w:val="0"/>
        <w:spacing w:after="220"/>
        <w:rPr>
          <w:szCs w:val="22"/>
          <w:lang w:eastAsia="en-US"/>
        </w:rPr>
      </w:pPr>
      <w:r w:rsidRPr="0050104D">
        <w:rPr>
          <w:szCs w:val="22"/>
          <w:lang w:eastAsia="en-US"/>
        </w:rPr>
        <w:t>Commercial overnight mail (other than U.S. Postal Service Express Mail and Priority Mail) must be sent to 9050 Junction Drive, Annapolis Junction, MD 20701.</w:t>
      </w:r>
    </w:p>
    <w:p w:rsidR="0050104D" w:rsidRPr="005C0E68" w:rsidP="005C0E68">
      <w:pPr>
        <w:numPr>
          <w:ilvl w:val="0"/>
          <w:numId w:val="16"/>
        </w:numPr>
        <w:tabs>
          <w:tab w:val="clear" w:pos="720"/>
          <w:tab w:val="num" w:pos="1440"/>
        </w:tabs>
        <w:suppressAutoHyphens w:val="0"/>
        <w:spacing w:after="220"/>
        <w:rPr>
          <w:szCs w:val="22"/>
          <w:lang w:eastAsia="en-US"/>
        </w:rPr>
      </w:pPr>
      <w:r w:rsidRPr="0050104D">
        <w:rPr>
          <w:szCs w:val="22"/>
          <w:lang w:eastAsia="en-US"/>
        </w:rPr>
        <w:t>U.S. Postal Service first-class, Express, and Priority mail must be addressed to 445 12</w:t>
      </w:r>
      <w:r w:rsidRPr="0050104D">
        <w:rPr>
          <w:szCs w:val="22"/>
          <w:vertAlign w:val="superscript"/>
          <w:lang w:eastAsia="en-US"/>
        </w:rPr>
        <w:t>th</w:t>
      </w:r>
      <w:r w:rsidRPr="0050104D">
        <w:rPr>
          <w:szCs w:val="22"/>
          <w:lang w:eastAsia="en-US"/>
        </w:rPr>
        <w:t xml:space="preserve"> Street, SW, Washington DC  20554.</w:t>
      </w:r>
    </w:p>
    <w:p w:rsidR="0050104D" w:rsidRPr="0050104D" w:rsidP="0050104D">
      <w:pPr>
        <w:suppressAutoHyphens w:val="0"/>
        <w:spacing w:after="220"/>
        <w:ind w:firstLine="720"/>
        <w:rPr>
          <w:szCs w:val="22"/>
          <w:lang w:eastAsia="en-US"/>
        </w:rPr>
      </w:pPr>
      <w:r w:rsidRPr="0050104D">
        <w:rPr>
          <w:szCs w:val="22"/>
          <w:lang w:eastAsia="en-US"/>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0104D">
        <w:rPr>
          <w:rStyle w:val="Hyperlink"/>
          <w:szCs w:val="22"/>
          <w:lang w:eastAsia="en-US"/>
        </w:rPr>
        <w:t>fcc504@fcc.gov</w:t>
      </w:r>
      <w:r>
        <w:fldChar w:fldCharType="end"/>
      </w:r>
      <w:r w:rsidRPr="0050104D">
        <w:rPr>
          <w:szCs w:val="22"/>
          <w:lang w:eastAsia="en-US"/>
        </w:rPr>
        <w:t xml:space="preserve"> or call the Consumer &amp; Governmental Affairs Bureau at 202-418-0530 (voice), 202-418-0432 (</w:t>
      </w:r>
      <w:r w:rsidRPr="0050104D">
        <w:rPr>
          <w:szCs w:val="22"/>
          <w:lang w:eastAsia="en-US"/>
        </w:rPr>
        <w:t>tty</w:t>
      </w:r>
      <w:r w:rsidRPr="0050104D">
        <w:rPr>
          <w:szCs w:val="22"/>
          <w:lang w:eastAsia="en-US"/>
        </w:rPr>
        <w:t>).</w:t>
      </w:r>
    </w:p>
    <w:p w:rsidR="00025758" w:rsidRPr="00326BF3" w:rsidP="00326BF3">
      <w:pPr>
        <w:suppressAutoHyphens w:val="0"/>
        <w:spacing w:after="220"/>
        <w:ind w:firstLine="720"/>
        <w:rPr>
          <w:szCs w:val="22"/>
          <w:lang w:eastAsia="en-US"/>
        </w:rPr>
      </w:pPr>
      <w:r w:rsidRPr="00025758">
        <w:rPr>
          <w:szCs w:val="22"/>
          <w:lang w:eastAsia="en-US"/>
        </w:rPr>
        <w:t xml:space="preserve">This matter shall be treated as a “permit-but-disclose” proceeding in accordance with the </w:t>
      </w:r>
      <w:r w:rsidRPr="00025758">
        <w:rPr>
          <w:i/>
          <w:szCs w:val="22"/>
          <w:lang w:eastAsia="en-US"/>
        </w:rPr>
        <w:t xml:space="preserve">ex </w:t>
      </w:r>
      <w:r w:rsidRPr="00025758">
        <w:rPr>
          <w:i/>
          <w:szCs w:val="22"/>
          <w:lang w:eastAsia="en-US"/>
        </w:rPr>
        <w:t>parte</w:t>
      </w:r>
      <w:r w:rsidRPr="00025758">
        <w:rPr>
          <w:szCs w:val="22"/>
          <w:lang w:eastAsia="en-US"/>
        </w:rPr>
        <w:t xml:space="preserve"> rules.</w:t>
      </w:r>
      <w:r>
        <w:rPr>
          <w:szCs w:val="22"/>
          <w:vertAlign w:val="superscript"/>
          <w:lang w:eastAsia="en-US"/>
        </w:rPr>
        <w:footnoteReference w:id="13"/>
      </w:r>
      <w:r w:rsidRPr="00025758">
        <w:rPr>
          <w:szCs w:val="22"/>
          <w:lang w:eastAsia="en-US"/>
        </w:rPr>
        <w:t xml:space="preserve">  Persons making oral </w:t>
      </w:r>
      <w:r w:rsidRPr="00025758">
        <w:rPr>
          <w:i/>
          <w:szCs w:val="22"/>
          <w:lang w:eastAsia="en-US"/>
        </w:rPr>
        <w:t xml:space="preserve">ex </w:t>
      </w:r>
      <w:r w:rsidRPr="00025758">
        <w:rPr>
          <w:i/>
          <w:szCs w:val="22"/>
          <w:lang w:eastAsia="en-US"/>
        </w:rPr>
        <w:t>parte</w:t>
      </w:r>
      <w:r w:rsidRPr="00025758">
        <w:rPr>
          <w:szCs w:val="22"/>
          <w:lang w:eastAsia="en-US"/>
        </w:rP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Pr>
          <w:szCs w:val="22"/>
          <w:vertAlign w:val="superscript"/>
          <w:lang w:eastAsia="en-US"/>
        </w:rPr>
        <w:footnoteReference w:id="14"/>
      </w:r>
      <w:r w:rsidRPr="00025758">
        <w:rPr>
          <w:szCs w:val="22"/>
          <w:lang w:eastAsia="en-US"/>
        </w:rPr>
        <w:t xml:space="preserve">  Other requirements pertaining to oral and written presentations are set forth in section 1.1206(b) of the rules.</w:t>
      </w:r>
      <w:r>
        <w:rPr>
          <w:szCs w:val="22"/>
          <w:vertAlign w:val="superscript"/>
          <w:lang w:eastAsia="en-US"/>
        </w:rPr>
        <w:footnoteReference w:id="15"/>
      </w:r>
    </w:p>
    <w:p w:rsidR="00480200" w:rsidP="00326BF3">
      <w:pPr>
        <w:pStyle w:val="Paranum0"/>
        <w:jc w:val="left"/>
      </w:pPr>
      <w:r w:rsidRPr="008B3A7D">
        <w:t xml:space="preserve">For </w:t>
      </w:r>
      <w:r>
        <w:t xml:space="preserve">additional information on this proceeding, </w:t>
      </w:r>
      <w:r w:rsidRPr="008B3A7D">
        <w:t xml:space="preserve">contact </w:t>
      </w:r>
      <w:r>
        <w:t xml:space="preserve">Pamela Gallant, </w:t>
      </w:r>
      <w:r>
        <w:fldChar w:fldCharType="begin"/>
      </w:r>
      <w:r>
        <w:instrText xml:space="preserve"> HYPERLINK "mailto:Pamela.Gallant@fcc.gov" </w:instrText>
      </w:r>
      <w:r>
        <w:fldChar w:fldCharType="separate"/>
      </w:r>
      <w:r w:rsidRPr="00B2656E">
        <w:rPr>
          <w:rStyle w:val="Hyperlink"/>
        </w:rPr>
        <w:t>Pamela.Gallant@fcc.gov</w:t>
      </w:r>
      <w:r>
        <w:fldChar w:fldCharType="end"/>
      </w:r>
      <w:r>
        <w:t xml:space="preserve">, (202- 418-0614), or </w:t>
      </w:r>
      <w:r w:rsidR="000A48F7">
        <w:t xml:space="preserve">Jeffrey Neumann, </w:t>
      </w:r>
      <w:r>
        <w:fldChar w:fldCharType="begin"/>
      </w:r>
      <w:r>
        <w:instrText xml:space="preserve"> HYPERLINK "mailto:Jeffrey.Neumann@fcc.gov" </w:instrText>
      </w:r>
      <w:r>
        <w:fldChar w:fldCharType="separate"/>
      </w:r>
      <w:r w:rsidRPr="009B0A7C" w:rsidR="000A48F7">
        <w:rPr>
          <w:rStyle w:val="Hyperlink"/>
        </w:rPr>
        <w:t>Jeffrey.Neumann@fcc.gov</w:t>
      </w:r>
      <w:r>
        <w:fldChar w:fldCharType="end"/>
      </w:r>
      <w:r w:rsidR="000A48F7">
        <w:t xml:space="preserve"> (202-418-2046) </w:t>
      </w:r>
      <w:r w:rsidRPr="008B3A7D">
        <w:t>of the Media Bureau</w:t>
      </w:r>
      <w:r>
        <w:t xml:space="preserve">. </w:t>
      </w:r>
      <w:r w:rsidRPr="008B3A7D">
        <w:t xml:space="preserve">Press </w:t>
      </w:r>
      <w:r>
        <w:t>contact:</w:t>
      </w:r>
      <w:r w:rsidR="005C0E68">
        <w:t xml:space="preserve">  </w:t>
      </w:r>
      <w:r w:rsidR="00442B43">
        <w:t>Neil Grace</w:t>
      </w:r>
      <w:r w:rsidR="005C0E68">
        <w:t xml:space="preserve">, </w:t>
      </w:r>
      <w:r>
        <w:fldChar w:fldCharType="begin"/>
      </w:r>
      <w:r>
        <w:instrText xml:space="preserve"> HYPERLINK "mailto:Charles.Eberle@fcc.gov" </w:instrText>
      </w:r>
      <w:r>
        <w:fldChar w:fldCharType="separate"/>
      </w:r>
      <w:r w:rsidR="00442B43">
        <w:rPr>
          <w:rStyle w:val="Hyperlink"/>
        </w:rPr>
        <w:t>Neil.Grace</w:t>
      </w:r>
      <w:r w:rsidRPr="00F91CA2" w:rsidR="00442B43">
        <w:rPr>
          <w:rStyle w:val="Hyperlink"/>
        </w:rPr>
        <w:t>@fcc.gov</w:t>
      </w:r>
      <w:r>
        <w:fldChar w:fldCharType="end"/>
      </w:r>
      <w:r w:rsidR="005C0E68">
        <w:t xml:space="preserve">, </w:t>
      </w:r>
      <w:r>
        <w:t>(</w:t>
      </w:r>
      <w:r w:rsidRPr="008B3A7D">
        <w:t>202</w:t>
      </w:r>
      <w:r>
        <w:t>-</w:t>
      </w:r>
      <w:r w:rsidR="005C0E68">
        <w:t>418-</w:t>
      </w:r>
      <w:r w:rsidR="00442B43">
        <w:t>0586</w:t>
      </w:r>
      <w:r>
        <w:t>)</w:t>
      </w:r>
      <w:r w:rsidRPr="008B3A7D">
        <w:t>.</w:t>
      </w:r>
    </w:p>
    <w:p w:rsidR="00480200" w:rsidRPr="005F3D8F" w:rsidP="00930834">
      <w:pPr>
        <w:pStyle w:val="Paranum0"/>
        <w:ind w:left="3600" w:firstLine="720"/>
      </w:pPr>
      <w:r>
        <w:t xml:space="preserve">- </w:t>
      </w:r>
      <w:r w:rsidRPr="005F3D8F">
        <w:t>FCC</w:t>
      </w:r>
      <w:r>
        <w:t xml:space="preserve"> -</w:t>
      </w:r>
    </w:p>
    <w:p w:rsidR="00480200" w:rsidRPr="00682228" w:rsidP="00930834"/>
    <w:p w:rsidR="00480200" w:rsidRPr="008B3A7D" w:rsidP="00930834">
      <w:pPr>
        <w:tabs>
          <w:tab w:val="num" w:pos="720"/>
        </w:tabs>
      </w:pPr>
    </w:p>
    <w:p w:rsidR="00480200" w:rsidRPr="00930834" w:rsidP="00930834"/>
    <w:sectPr w:rsidSect="000C2D7F">
      <w:footerReference w:type="even" r:id="rId5"/>
      <w:footerReference w:type="default" r:id="rId6"/>
      <w:headerReference w:type="first" r:id="rId7"/>
      <w:footerReference w:type="first" r:id="rId8"/>
      <w:pgSz w:w="12240" w:h="15840"/>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0">
    <w:pPr>
      <w:pStyle w:val="Footer"/>
      <w:framePr w:wrap="around" w:vAnchor="text" w:hAnchor="margin" w:xAlign="center" w:y="1"/>
    </w:pPr>
    <w:r>
      <w:fldChar w:fldCharType="begin"/>
    </w:r>
    <w:r>
      <w:instrText xml:space="preserve">PAGE  </w:instrText>
    </w:r>
    <w:r>
      <w:fldChar w:fldCharType="separate"/>
    </w:r>
    <w:r>
      <w:fldChar w:fldCharType="end"/>
    </w:r>
  </w:p>
  <w:p w:rsidR="00480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0">
    <w:pPr>
      <w:pStyle w:val="Footer"/>
      <w:framePr w:wrap="around" w:vAnchor="text" w:hAnchor="margin" w:xAlign="center" w:y="1"/>
    </w:pPr>
    <w:r>
      <w:fldChar w:fldCharType="begin"/>
    </w:r>
    <w:r>
      <w:instrText xml:space="preserve">PAGE  </w:instrText>
    </w:r>
    <w:r>
      <w:fldChar w:fldCharType="separate"/>
    </w:r>
    <w:r>
      <w:t>4</w:t>
    </w:r>
    <w:r>
      <w:rPr>
        <w:noProof/>
      </w:rPr>
      <w:fldChar w:fldCharType="end"/>
    </w:r>
  </w:p>
  <w:p w:rsidR="00480200">
    <w:pPr>
      <w:spacing w:before="140" w:line="100" w:lineRule="exact"/>
      <w:rPr>
        <w:sz w:val="10"/>
      </w:rPr>
    </w:pPr>
  </w:p>
  <w:p w:rsidR="00480200">
    <w:pPr>
      <w:spacing w:line="227" w:lineRule="auto"/>
    </w:pPr>
  </w:p>
  <w:p w:rsidR="004802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5174">
      <w:r>
        <w:separator/>
      </w:r>
    </w:p>
  </w:footnote>
  <w:footnote w:type="continuationSeparator" w:id="1">
    <w:p w:rsidR="00F95174">
      <w:pPr>
        <w:rPr>
          <w:sz w:val="20"/>
        </w:rPr>
      </w:pPr>
      <w:r>
        <w:rPr>
          <w:sz w:val="20"/>
        </w:rPr>
        <w:t xml:space="preserve">(Continued from previous page)  </w:t>
      </w:r>
      <w:r>
        <w:rPr>
          <w:sz w:val="20"/>
        </w:rPr>
        <w:separator/>
      </w:r>
    </w:p>
  </w:footnote>
  <w:footnote w:type="continuationNotice" w:id="2">
    <w:p w:rsidR="00F95174">
      <w:pPr>
        <w:rPr>
          <w:sz w:val="20"/>
        </w:rPr>
      </w:pPr>
      <w:r>
        <w:rPr>
          <w:sz w:val="20"/>
        </w:rPr>
        <w:t>(continued….)</w:t>
      </w:r>
    </w:p>
  </w:footnote>
  <w:footnote w:id="3">
    <w:p w:rsidR="002C4C9F">
      <w:pPr>
        <w:pStyle w:val="FootnoteText"/>
      </w:pPr>
      <w:r>
        <w:rPr>
          <w:rStyle w:val="FootnoteReference"/>
        </w:rPr>
        <w:footnoteRef/>
      </w:r>
      <w:r>
        <w:t xml:space="preserve"> </w:t>
      </w:r>
      <w:r>
        <w:rPr>
          <w:i/>
        </w:rPr>
        <w:t xml:space="preserve">See </w:t>
      </w:r>
      <w:r>
        <w:rPr>
          <w:i/>
          <w:spacing w:val="-3"/>
        </w:rPr>
        <w:t>Consolidated Appropriations Act, 2018</w:t>
      </w:r>
      <w:r>
        <w:rPr>
          <w:spacing w:val="-3"/>
        </w:rPr>
        <w:t xml:space="preserve">, Pub. L. 115-141, at </w:t>
      </w:r>
      <w:r>
        <w:t xml:space="preserve">Division E, Title V, § 511, </w:t>
      </w:r>
      <w:r>
        <w:rPr>
          <w:spacing w:val="-3"/>
        </w:rPr>
        <w:t>132 Stat. 348 (2018)</w:t>
      </w:r>
      <w:r>
        <w:t xml:space="preserve"> (codified at 47 U.S.C. § 1452(j)-(n)).  </w:t>
      </w:r>
      <w:r w:rsidR="003C3ED7">
        <w:t xml:space="preserve">The REA provides that </w:t>
      </w:r>
      <w:r w:rsidR="007E06C2">
        <w:t>“</w:t>
      </w:r>
      <w:r w:rsidR="003C3ED7">
        <w:t xml:space="preserve">the Commission shall reimburse costs reasonably incurred by a television translator station or low power television station on or after January 1, 2017, </w:t>
      </w:r>
      <w:r w:rsidR="003C3ED7">
        <w:t>in order for</w:t>
      </w:r>
      <w:r w:rsidR="003C3ED7">
        <w:t xml:space="preserve"> such station to relocate its television service from one channel to another channel or otherwise modify its facility as a result of the reorganization of broadcast television spectrum” under the Spectrum Act.  47 U.S.C. § 1452(k)(1).</w:t>
      </w:r>
      <w:r w:rsidR="005E52D0">
        <w:t xml:space="preserve">  The REA also provides</w:t>
      </w:r>
      <w:r w:rsidRPr="007E06C2" w:rsidR="007E06C2">
        <w:t xml:space="preserve"> </w:t>
      </w:r>
      <w:r w:rsidR="007E06C2">
        <w:t xml:space="preserve">that “the Commission shall reimburse costs reasonably incurred by an FM broadcast station for facilities necessary for such station to reasonably minimize disruption of service </w:t>
      </w:r>
      <w:r w:rsidR="007E06C2">
        <w:t>as a result of</w:t>
      </w:r>
      <w:r w:rsidR="007E06C2">
        <w:t xml:space="preserve"> the reorganization of broadcast television spectrum.”  47 U.S.C. § 1452(l)(1)(A).</w:t>
      </w:r>
      <w:r w:rsidR="005E52D0">
        <w:t xml:space="preserve"> </w:t>
      </w:r>
      <w:r w:rsidR="007E06C2">
        <w:t xml:space="preserve"> The REA provides an additional $1 billion in funding, $600 million in fiscal year 2018 and $400 million in fiscal year 2019.  Of the $600 million available in fiscal year 2018, the REA provides that “not more than” $150 million be used to reimburse LPTV and TV translator stations, and “not more than” $50 million be used to reimburse FM radio stations.  47 U.S.C. § 1452(j)(2)(A)(</w:t>
      </w:r>
      <w:r w:rsidR="007E06C2">
        <w:t>i</w:t>
      </w:r>
      <w:r w:rsidR="007E06C2">
        <w:t xml:space="preserve">).  </w:t>
      </w:r>
    </w:p>
  </w:footnote>
  <w:footnote w:id="4">
    <w:p w:rsidR="008F5966" w:rsidP="008F5966">
      <w:pPr>
        <w:pStyle w:val="FootnoteText"/>
      </w:pPr>
      <w:r>
        <w:rPr>
          <w:rStyle w:val="FootnoteReference"/>
        </w:rPr>
        <w:footnoteRef/>
      </w:r>
      <w:r>
        <w:t xml:space="preserve"> </w:t>
      </w:r>
      <w:r w:rsidRPr="00986CE6">
        <w:rPr>
          <w:i/>
        </w:rPr>
        <w:t>LPTV, TV Translator, and FM Broadcast Station Reimbursement; Expanding the Economic and Innovation Opportunities of Spectrum Through Incentive Auctions</w:t>
      </w:r>
      <w:r>
        <w:t xml:space="preserve">, MB Docket No. 18-214, </w:t>
      </w:r>
      <w:r w:rsidRPr="004577EB">
        <w:t>GN Docket No. 12-268</w:t>
      </w:r>
      <w:r>
        <w:t>, Notice of Proposed Rulemaking and Order, FCC 18-113 (Aug. 3, 2018) (</w:t>
      </w:r>
      <w:bookmarkStart w:id="1" w:name="_Hlk526252897"/>
      <w:r w:rsidRPr="00046A2A">
        <w:rPr>
          <w:i/>
        </w:rPr>
        <w:t>Reim</w:t>
      </w:r>
      <w:r>
        <w:rPr>
          <w:i/>
        </w:rPr>
        <w:t>bursement Expansion NPRM</w:t>
      </w:r>
      <w:r w:rsidRPr="00046A2A">
        <w:rPr>
          <w:i/>
        </w:rPr>
        <w:t xml:space="preserve"> and Order</w:t>
      </w:r>
      <w:bookmarkEnd w:id="1"/>
      <w:r>
        <w:t>).</w:t>
      </w:r>
    </w:p>
  </w:footnote>
  <w:footnote w:id="5">
    <w:p w:rsidR="008F5966">
      <w:pPr>
        <w:pStyle w:val="FootnoteText"/>
      </w:pPr>
      <w:r>
        <w:rPr>
          <w:rStyle w:val="FootnoteReference"/>
        </w:rPr>
        <w:footnoteRef/>
      </w:r>
      <w:r>
        <w:t xml:space="preserve"> </w:t>
      </w:r>
      <w:r w:rsidRPr="00152DB7" w:rsidR="00152DB7">
        <w:rPr>
          <w:i/>
        </w:rPr>
        <w:t>Reimbursement Expansion NPRM and Order</w:t>
      </w:r>
      <w:r w:rsidRPr="00152DB7" w:rsidR="00152DB7">
        <w:t xml:space="preserve"> </w:t>
      </w:r>
      <w:r w:rsidRPr="008F5966">
        <w:t>at para</w:t>
      </w:r>
      <w:r w:rsidR="00152DB7">
        <w:t>s</w:t>
      </w:r>
      <w:r w:rsidRPr="008F5966">
        <w:t>. 40-49</w:t>
      </w:r>
      <w:r w:rsidR="00152DB7">
        <w:t>, 56-74</w:t>
      </w:r>
      <w:r w:rsidRPr="008F5966">
        <w:t xml:space="preserve"> and para. 91</w:t>
      </w:r>
      <w:r w:rsidR="00152DB7">
        <w:t>.</w:t>
      </w:r>
      <w:r w:rsidR="004C1031">
        <w:t xml:space="preserve">  We note that we are making no changes to the existing Cost Catalog in use for full-power and Class A stations and MVPDs currently eligible for reimbursement.  </w:t>
      </w:r>
    </w:p>
  </w:footnote>
  <w:footnote w:id="6">
    <w:p w:rsidR="000B4198">
      <w:pPr>
        <w:pStyle w:val="FootnoteText"/>
      </w:pPr>
      <w:r>
        <w:rPr>
          <w:rStyle w:val="FootnoteReference"/>
        </w:rPr>
        <w:footnoteRef/>
      </w:r>
      <w:r>
        <w:t xml:space="preserve"> </w:t>
      </w:r>
      <w:r w:rsidRPr="000B4198">
        <w:t xml:space="preserve">While the </w:t>
      </w:r>
      <w:r w:rsidRPr="00442B43" w:rsidR="00442B43">
        <w:t xml:space="preserve">LPTV/Translator/FM </w:t>
      </w:r>
      <w:r w:rsidRPr="000B4198">
        <w:t>Cost Catalog contains an extensive list of the likely costs, it is not exhaustive</w:t>
      </w:r>
      <w:r w:rsidR="00FB37E2">
        <w:t>;</w:t>
      </w:r>
      <w:r w:rsidRPr="000B4198">
        <w:t xml:space="preserve"> stations that incur costs for unlisted equipment or services that are eligible for reimbursement under the standards adopted by the Commission or that exceeds the range set forth in the Cost Catalog will be able to submit estimates and invoices for such costs, together with cost justification documentation.</w:t>
      </w:r>
    </w:p>
  </w:footnote>
  <w:footnote w:id="7">
    <w:p w:rsidR="00864DC3" w:rsidP="00864DC3">
      <w:pPr>
        <w:pStyle w:val="FootnoteText"/>
      </w:pPr>
      <w:r>
        <w:rPr>
          <w:rStyle w:val="FootnoteReference"/>
        </w:rPr>
        <w:footnoteRef/>
      </w:r>
      <w:r>
        <w:t xml:space="preserve"> </w:t>
      </w:r>
      <w:r>
        <w:rPr>
          <w:i/>
        </w:rPr>
        <w:t>See</w:t>
      </w:r>
      <w:r>
        <w:t xml:space="preserve"> Middle Class Tax Relief and Job Creation Act of 2012, Pub. L. No. 112-96, §§ 6402 (codified at 47 U.S.C. § 309(j)(8)(G)), 6403 (codified at 47 U.S.C. § 1452), 126 Stat. 156 (2012) (Spectrum Act).  47 U.S.C. § 1452(b)(4)(A).  The Spectrum Act directed the Commission to make reimbursements from the TV Broadcaster Relocation Fund (Reimbursement Fund) established by Congress for that purpose.  </w:t>
      </w:r>
      <w:r w:rsidR="00585078">
        <w:rPr>
          <w:i/>
        </w:rPr>
        <w:t>I</w:t>
      </w:r>
      <w:r>
        <w:rPr>
          <w:i/>
        </w:rPr>
        <w:t>d</w:t>
      </w:r>
      <w:r>
        <w:t>.</w:t>
      </w:r>
      <w:r w:rsidR="00585078">
        <w:t xml:space="preserve"> at</w:t>
      </w:r>
      <w:r>
        <w:t xml:space="preserve"> § 1452(d).  </w:t>
      </w:r>
    </w:p>
  </w:footnote>
  <w:footnote w:id="8">
    <w:p w:rsidR="008E41EB" w:rsidRPr="008E41EB">
      <w:pPr>
        <w:pStyle w:val="FootnoteText"/>
      </w:pPr>
      <w:r>
        <w:rPr>
          <w:rStyle w:val="FootnoteReference"/>
        </w:rPr>
        <w:footnoteRef/>
      </w:r>
      <w:r>
        <w:t xml:space="preserve"> </w:t>
      </w:r>
      <w:r>
        <w:rPr>
          <w:i/>
        </w:rPr>
        <w:t>Reimbursement Expansion NPRM and Order</w:t>
      </w:r>
      <w:r>
        <w:t xml:space="preserve"> at para. </w:t>
      </w:r>
      <w:r w:rsidR="000B6379">
        <w:t>76, 78 and 81.</w:t>
      </w:r>
    </w:p>
  </w:footnote>
  <w:footnote w:id="9">
    <w:p w:rsidR="00692BDE">
      <w:pPr>
        <w:pStyle w:val="FootnoteText"/>
      </w:pPr>
      <w:r>
        <w:rPr>
          <w:rStyle w:val="FootnoteReference"/>
        </w:rPr>
        <w:footnoteRef/>
      </w:r>
      <w:r>
        <w:t xml:space="preserve"> </w:t>
      </w:r>
      <w:r w:rsidRPr="00EF4AAE" w:rsidR="0021285F">
        <w:rPr>
          <w:i/>
        </w:rPr>
        <w:t>Id</w:t>
      </w:r>
      <w:r w:rsidR="0021285F">
        <w:t xml:space="preserve">. </w:t>
      </w:r>
      <w:r>
        <w:t>at para. 41.</w:t>
      </w:r>
      <w:r w:rsidR="007B12FE">
        <w:t xml:space="preserve"> </w:t>
      </w:r>
    </w:p>
  </w:footnote>
  <w:footnote w:id="10">
    <w:p w:rsidR="00E03B0D">
      <w:pPr>
        <w:pStyle w:val="FootnoteText"/>
      </w:pPr>
      <w:r>
        <w:rPr>
          <w:rStyle w:val="FootnoteReference"/>
        </w:rPr>
        <w:footnoteRef/>
      </w:r>
      <w:r w:rsidR="0021285F">
        <w:t xml:space="preserve"> </w:t>
      </w:r>
      <w:r w:rsidRPr="00EF4AAE" w:rsidR="0021285F">
        <w:rPr>
          <w:i/>
        </w:rPr>
        <w:t>Id</w:t>
      </w:r>
      <w:r w:rsidR="0021285F">
        <w:t>.</w:t>
      </w:r>
      <w:r>
        <w:t xml:space="preserve"> </w:t>
      </w:r>
      <w:r w:rsidR="00EF4AAE">
        <w:t>at para. 53.</w:t>
      </w:r>
    </w:p>
  </w:footnote>
  <w:footnote w:id="11">
    <w:p w:rsidR="003E5029">
      <w:pPr>
        <w:pStyle w:val="FootnoteText"/>
      </w:pPr>
      <w:r>
        <w:rPr>
          <w:rStyle w:val="FootnoteReference"/>
        </w:rPr>
        <w:footnoteRef/>
      </w:r>
      <w:r>
        <w:t xml:space="preserve"> </w:t>
      </w:r>
      <w:r w:rsidRPr="003E5029">
        <w:rPr>
          <w:i/>
        </w:rPr>
        <w:t>Reimbursement Expansion NPRM</w:t>
      </w:r>
      <w:r w:rsidR="00E03BD0">
        <w:t xml:space="preserve"> at para. 44.</w:t>
      </w:r>
    </w:p>
  </w:footnote>
  <w:footnote w:id="12">
    <w:p w:rsidR="00412613">
      <w:pPr>
        <w:pStyle w:val="FootnoteText"/>
      </w:pPr>
      <w:r>
        <w:rPr>
          <w:rStyle w:val="FootnoteReference"/>
        </w:rPr>
        <w:footnoteRef/>
      </w:r>
      <w:r>
        <w:t xml:space="preserve"> For items with costs listed as “variable” entities will be required to provide vendor quotes showing the proposed cost.</w:t>
      </w:r>
    </w:p>
  </w:footnote>
  <w:footnote w:id="13">
    <w:p w:rsidR="00025758" w:rsidP="00025758">
      <w:pPr>
        <w:pStyle w:val="FootnoteText"/>
        <w:spacing w:before="120"/>
      </w:pPr>
      <w:r>
        <w:rPr>
          <w:rStyle w:val="FootnoteReference"/>
          <w:rFonts w:eastAsiaTheme="minorEastAsia"/>
        </w:rPr>
        <w:footnoteRef/>
      </w:r>
      <w:r>
        <w:t xml:space="preserve"> </w:t>
      </w:r>
      <w:r w:rsidRPr="00941414">
        <w:rPr>
          <w:i/>
        </w:rPr>
        <w:t>NPRM</w:t>
      </w:r>
      <w:r>
        <w:t xml:space="preserve">, 27 FCC </w:t>
      </w:r>
      <w:r>
        <w:t>Rcd</w:t>
      </w:r>
      <w:r>
        <w:t xml:space="preserve"> at 12494-95</w:t>
      </w:r>
      <w:r w:rsidR="00154C2D">
        <w:t>, ¶¶</w:t>
      </w:r>
      <w:r>
        <w:t xml:space="preserve"> 416-417; </w:t>
      </w:r>
      <w:r w:rsidRPr="00A77484">
        <w:rPr>
          <w:i/>
        </w:rPr>
        <w:t>see also</w:t>
      </w:r>
      <w:r>
        <w:t xml:space="preserve">, 47 C.F.R. § 1.1200 </w:t>
      </w:r>
      <w:r>
        <w:rPr>
          <w:i/>
        </w:rPr>
        <w:t xml:space="preserve">et seq. </w:t>
      </w:r>
    </w:p>
  </w:footnote>
  <w:footnote w:id="14">
    <w:p w:rsidR="00025758" w:rsidP="00025758">
      <w:pPr>
        <w:pStyle w:val="FootnoteText"/>
        <w:spacing w:before="120"/>
      </w:pPr>
      <w:r>
        <w:rPr>
          <w:rStyle w:val="FootnoteReference"/>
          <w:rFonts w:eastAsiaTheme="minorEastAsia"/>
        </w:rPr>
        <w:footnoteRef/>
      </w:r>
      <w:r>
        <w:t xml:space="preserve"> </w:t>
      </w:r>
      <w:r>
        <w:rPr>
          <w:i/>
        </w:rPr>
        <w:t>See</w:t>
      </w:r>
      <w:r>
        <w:t xml:space="preserve"> 47 C.F.R. § 1.1206(b)(2).</w:t>
      </w:r>
    </w:p>
  </w:footnote>
  <w:footnote w:id="15">
    <w:p w:rsidR="00025758" w:rsidP="00025758">
      <w:pPr>
        <w:pStyle w:val="FootnoteText"/>
        <w:spacing w:before="120"/>
      </w:pPr>
      <w:r>
        <w:rPr>
          <w:rStyle w:val="FootnoteReference"/>
          <w:rFonts w:eastAsiaTheme="minorEastAsia"/>
        </w:rPr>
        <w:footnoteRef/>
      </w:r>
      <w: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200">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58240" behindDoc="0" locked="0" layoutInCell="1" allowOverlap="1">
          <wp:simplePos x="0" y="0"/>
          <wp:positionH relativeFrom="column">
            <wp:posOffset>50165</wp:posOffset>
          </wp:positionH>
          <wp:positionV relativeFrom="paragraph">
            <wp:posOffset>91440</wp:posOffset>
          </wp:positionV>
          <wp:extent cx="529590" cy="52959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9590" cy="5295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z w:val="96"/>
        <w:szCs w:val="96"/>
      </w:rPr>
      <w:tab/>
    </w:r>
    <w:r>
      <w:rPr>
        <w:rFonts w:ascii="Arial" w:hAnsi="Arial"/>
        <w:b w:val="0"/>
        <w:sz w:val="96"/>
        <w:szCs w:val="96"/>
      </w:rPr>
      <w:t>PUBLIC NOTICE</w:t>
    </w:r>
  </w:p>
  <w:p w:rsidR="00480200">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59264" behindDoc="1" locked="0" layoutInCell="1" allowOverlap="1">
              <wp:simplePos x="0" y="0"/>
              <wp:positionH relativeFrom="column">
                <wp:posOffset>51435</wp:posOffset>
              </wp:positionH>
              <wp:positionV relativeFrom="paragraph">
                <wp:posOffset>91440</wp:posOffset>
              </wp:positionV>
              <wp:extent cx="3108325" cy="639445"/>
              <wp:effectExtent l="0" t="0" r="0" b="8255"/>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325" cy="63944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80200">
                          <w:pPr>
                            <w:rPr>
                              <w:rFonts w:ascii="Arial" w:hAnsi="Arial"/>
                              <w:b/>
                              <w:szCs w:val="22"/>
                            </w:rPr>
                          </w:pPr>
                          <w:r>
                            <w:rPr>
                              <w:rFonts w:ascii="Arial" w:hAnsi="Arial"/>
                              <w:b/>
                              <w:szCs w:val="22"/>
                            </w:rPr>
                            <w:t>Federal Communications Commission</w:t>
                          </w:r>
                        </w:p>
                        <w:p w:rsidR="00480200">
                          <w:pPr>
                            <w:rPr>
                              <w:rFonts w:ascii="Arial" w:hAnsi="Arial"/>
                              <w:b/>
                              <w:szCs w:val="22"/>
                            </w:rPr>
                          </w:pPr>
                          <w:smartTag w:uri="urn:schemas-microsoft-com:office:smarttags" w:element="address">
                            <w:smartTag w:uri="urn:schemas-microsoft-com:office:smarttags" w:element="Street">
                              <w:r>
                                <w:rPr>
                                  <w:rFonts w:ascii="Arial" w:hAnsi="Arial"/>
                                  <w:szCs w:val="22"/>
                                </w:rPr>
                                <w:t>445 12th St., S.W.</w:t>
                              </w:r>
                            </w:smartTag>
                          </w:smartTag>
                        </w:p>
                        <w:p w:rsidR="00480200">
                          <w:pPr>
                            <w:rPr>
                              <w:rFonts w:ascii="Arial" w:hAnsi="Arial"/>
                              <w:b/>
                              <w:szCs w:val="22"/>
                            </w:rPr>
                          </w:pPr>
                          <w:smartTag w:uri="urn:schemas-microsoft-com:office:smarttags" w:element="place">
                            <w:smartTag w:uri="urn:schemas-microsoft-com:office:smarttags" w:element="City">
                              <w:r>
                                <w:rPr>
                                  <w:rFonts w:ascii="Arial" w:hAnsi="Arial"/>
                                  <w:szCs w:val="22"/>
                                </w:rPr>
                                <w:t>Washington</w:t>
                              </w:r>
                            </w:smartTag>
                            <w:r>
                              <w:rPr>
                                <w:rFonts w:ascii="Arial" w:hAnsi="Arial"/>
                                <w:szCs w:val="22"/>
                              </w:rPr>
                              <w:t xml:space="preserve">, </w:t>
                            </w:r>
                            <w:smartTag w:uri="urn:schemas-microsoft-com:office:smarttags" w:element="PostalCode">
                              <w:smartTag w:uri="urn:schemas-microsoft-com:office:smarttags" w:element="State">
                                <w:r>
                                  <w:rPr>
                                    <w:rFonts w:ascii="Arial" w:hAnsi="Arial"/>
                                    <w:szCs w:val="22"/>
                                  </w:rPr>
                                  <w:t>D.C.</w:t>
                                </w:r>
                              </w:smartTag>
                            </w:smartTag>
                            <w:r>
                              <w:rPr>
                                <w:rFonts w:ascii="Arial" w:hAnsi="Arial"/>
                                <w:szCs w:val="22"/>
                              </w:rPr>
                              <w:t xml:space="preserve"> </w:t>
                            </w:r>
                            <w:smartTag w:uri="urn:schemas-microsoft-com:office:smarttags" w:element="place">
                              <w:r>
                                <w:rPr>
                                  <w:rFonts w:ascii="Arial" w:hAnsi="Arial"/>
                                  <w:szCs w:val="22"/>
                                </w:rPr>
                                <w:t>20554</w:t>
                              </w:r>
                            </w:smartTag>
                          </w:smartTag>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75pt;height:50.35pt;margin-top:7.2pt;margin-left:4.05pt;mso-height-percent:0;mso-height-relative:page;mso-width-percent:0;mso-width-relative:page;mso-wrap-distance-bottom:0;mso-wrap-distance-left:9.05pt;mso-wrap-distance-right:9.05pt;mso-wrap-distance-top:0;mso-wrap-style:square;position:absolute;visibility:visible;v-text-anchor:top;z-index:-251656192" stroked="f">
              <v:textbox inset="0,0,0,0">
                <w:txbxContent>
                  <w:p w:rsidR="00480200">
                    <w:pPr>
                      <w:rPr>
                        <w:rFonts w:ascii="Arial" w:hAnsi="Arial"/>
                        <w:b/>
                        <w:szCs w:val="22"/>
                      </w:rPr>
                    </w:pPr>
                    <w:r>
                      <w:rPr>
                        <w:rFonts w:ascii="Arial" w:hAnsi="Arial"/>
                        <w:b/>
                        <w:szCs w:val="22"/>
                      </w:rPr>
                      <w:t>Federal Communications Commission</w:t>
                    </w:r>
                  </w:p>
                  <w:p w:rsidR="00480200">
                    <w:pPr>
                      <w:rPr>
                        <w:rFonts w:ascii="Arial" w:hAnsi="Arial"/>
                        <w:b/>
                        <w:szCs w:val="22"/>
                      </w:rPr>
                    </w:pPr>
                    <w:smartTag w:uri="urn:schemas-microsoft-com:office:smarttags" w:element="address">
                      <w:smartTag w:uri="urn:schemas-microsoft-com:office:smarttags" w:element="Street">
                        <w:r>
                          <w:rPr>
                            <w:rFonts w:ascii="Arial" w:hAnsi="Arial"/>
                            <w:szCs w:val="22"/>
                          </w:rPr>
                          <w:t>445 12th St., S.W.</w:t>
                        </w:r>
                      </w:smartTag>
                    </w:smartTag>
                  </w:p>
                  <w:p w:rsidR="00480200">
                    <w:pPr>
                      <w:rPr>
                        <w:rFonts w:ascii="Arial" w:hAnsi="Arial"/>
                        <w:b/>
                        <w:szCs w:val="22"/>
                      </w:rPr>
                    </w:pPr>
                    <w:smartTag w:uri="urn:schemas-microsoft-com:office:smarttags" w:element="place">
                      <w:smartTag w:uri="urn:schemas-microsoft-com:office:smarttags" w:element="City">
                        <w:r>
                          <w:rPr>
                            <w:rFonts w:ascii="Arial" w:hAnsi="Arial"/>
                            <w:szCs w:val="22"/>
                          </w:rPr>
                          <w:t>Washington</w:t>
                        </w:r>
                      </w:smartTag>
                      <w:r>
                        <w:rPr>
                          <w:rFonts w:ascii="Arial" w:hAnsi="Arial"/>
                          <w:szCs w:val="22"/>
                        </w:rPr>
                        <w:t xml:space="preserve">, </w:t>
                      </w:r>
                      <w:smartTag w:uri="urn:schemas-microsoft-com:office:smarttags" w:element="PostalCode">
                        <w:smartTag w:uri="urn:schemas-microsoft-com:office:smarttags" w:element="State">
                          <w:r>
                            <w:rPr>
                              <w:rFonts w:ascii="Arial" w:hAnsi="Arial"/>
                              <w:szCs w:val="22"/>
                            </w:rPr>
                            <w:t>D.C.</w:t>
                          </w:r>
                        </w:smartTag>
                      </w:smartTag>
                      <w:r>
                        <w:rPr>
                          <w:rFonts w:ascii="Arial" w:hAnsi="Arial"/>
                          <w:szCs w:val="22"/>
                        </w:rPr>
                        <w:t xml:space="preserve"> </w:t>
                      </w:r>
                      <w:smartTag w:uri="urn:schemas-microsoft-com:office:smarttags" w:element="place">
                        <w:r>
                          <w:rPr>
                            <w:rFonts w:ascii="Arial" w:hAnsi="Arial"/>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61312" behindDoc="1" locked="0" layoutInCell="1" allowOverlap="1">
              <wp:simplePos x="0" y="0"/>
              <wp:positionH relativeFrom="column">
                <wp:posOffset>2908935</wp:posOffset>
              </wp:positionH>
              <wp:positionV relativeFrom="paragraph">
                <wp:posOffset>91440</wp:posOffset>
              </wp:positionV>
              <wp:extent cx="3053715" cy="667385"/>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53715" cy="66738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80200">
                          <w:pPr>
                            <w:spacing w:before="40"/>
                            <w:jc w:val="right"/>
                            <w:rPr>
                              <w:rFonts w:ascii="Arial" w:hAnsi="Arial"/>
                              <w:sz w:val="16"/>
                            </w:rPr>
                          </w:pPr>
                          <w:r>
                            <w:rPr>
                              <w:rFonts w:ascii="Arial" w:hAnsi="Arial"/>
                              <w:sz w:val="16"/>
                            </w:rPr>
                            <w:tab/>
                          </w:r>
                        </w:p>
                        <w:p w:rsidR="00480200">
                          <w:pPr>
                            <w:spacing w:before="40"/>
                            <w:jc w:val="right"/>
                            <w:rPr>
                              <w:rFonts w:ascii="Arial" w:hAnsi="Arial"/>
                              <w:b/>
                              <w:sz w:val="16"/>
                            </w:rPr>
                          </w:pPr>
                          <w:r>
                            <w:rPr>
                              <w:rFonts w:ascii="Arial" w:hAnsi="Arial"/>
                              <w:b/>
                              <w:sz w:val="16"/>
                            </w:rPr>
                            <w:t>News Media Information 202 / 418-0500</w:t>
                          </w:r>
                        </w:p>
                        <w:p w:rsidR="00480200">
                          <w:pPr>
                            <w:jc w:val="right"/>
                            <w:rPr>
                              <w:rFonts w:ascii="Arial" w:hAnsi="Arial"/>
                              <w:b/>
                              <w:sz w:val="16"/>
                            </w:rPr>
                          </w:pPr>
                          <w:r>
                            <w:rPr>
                              <w:rFonts w:ascii="Arial" w:hAnsi="Arial"/>
                              <w:b/>
                              <w:sz w:val="16"/>
                            </w:rPr>
                            <w:tab/>
                            <w:t>Internet: http://www.fcc.gov</w:t>
                          </w:r>
                        </w:p>
                        <w:p w:rsidR="00480200">
                          <w:pPr>
                            <w:jc w:val="right"/>
                            <w:rPr>
                              <w:rFonts w:ascii="Arial" w:hAnsi="Arial"/>
                              <w:b/>
                              <w:sz w:val="16"/>
                            </w:rPr>
                          </w:pPr>
                          <w:r>
                            <w:rPr>
                              <w:rFonts w:ascii="Arial" w:hAnsi="Arial"/>
                              <w:b/>
                              <w:sz w:val="16"/>
                            </w:rPr>
                            <w:t>TTY: 1-888-835-5322</w:t>
                          </w:r>
                        </w:p>
                        <w:p w:rsidR="00480200">
                          <w:pPr>
                            <w:jc w:val="right"/>
                          </w:pPr>
                        </w:p>
                        <w:p w:rsidR="00480200">
                          <w:pPr>
                            <w:jc w:val="right"/>
                            <w:rPr>
                              <w:rFonts w:ascii="Arial" w:hAnsi="Arial"/>
                              <w:sz w:val="16"/>
                            </w:rPr>
                          </w:pPr>
                        </w:p>
                        <w:p w:rsidR="00480200">
                          <w:pPr>
                            <w:jc w:val="right"/>
                            <w:rPr>
                              <w:rFonts w:ascii="Arial" w:hAnsi="Arial"/>
                              <w:sz w:val="16"/>
                            </w:rPr>
                          </w:pPr>
                          <w:r>
                            <w:rPr>
                              <w:rFonts w:ascii="Arial" w:hAnsi="Arial"/>
                              <w:sz w:val="16"/>
                            </w:rPr>
                            <w:tab/>
                          </w:r>
                        </w:p>
                        <w:p w:rsidR="00480200">
                          <w:pPr>
                            <w:jc w:val="right"/>
                            <w:rPr>
                              <w:rFonts w:ascii="Arial" w:hAnsi="Arial"/>
                              <w:sz w:val="16"/>
                            </w:rPr>
                          </w:pPr>
                          <w:r>
                            <w:rPr>
                              <w:rFonts w:ascii="Arial" w:hAnsi="Arial"/>
                              <w:sz w:val="16"/>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0.45pt;height:52.55pt;margin-top:7.2pt;margin-left:229.05pt;mso-height-percent:0;mso-height-relative:page;mso-width-percent:0;mso-width-relative:page;mso-wrap-distance-bottom:0;mso-wrap-distance-left:9.05pt;mso-wrap-distance-right:9.05pt;mso-wrap-distance-top:0;mso-wrap-style:square;position:absolute;visibility:visible;v-text-anchor:top;z-index:-251654144" stroked="f">
              <v:textbox inset="0,0,0,0">
                <w:txbxContent>
                  <w:p w:rsidR="00480200">
                    <w:pPr>
                      <w:spacing w:before="40"/>
                      <w:jc w:val="right"/>
                      <w:rPr>
                        <w:rFonts w:ascii="Arial" w:hAnsi="Arial"/>
                        <w:sz w:val="16"/>
                      </w:rPr>
                    </w:pPr>
                    <w:r>
                      <w:rPr>
                        <w:rFonts w:ascii="Arial" w:hAnsi="Arial"/>
                        <w:sz w:val="16"/>
                      </w:rPr>
                      <w:tab/>
                    </w:r>
                  </w:p>
                  <w:p w:rsidR="00480200">
                    <w:pPr>
                      <w:spacing w:before="40"/>
                      <w:jc w:val="right"/>
                      <w:rPr>
                        <w:rFonts w:ascii="Arial" w:hAnsi="Arial"/>
                        <w:b/>
                        <w:sz w:val="16"/>
                      </w:rPr>
                    </w:pPr>
                    <w:r>
                      <w:rPr>
                        <w:rFonts w:ascii="Arial" w:hAnsi="Arial"/>
                        <w:b/>
                        <w:sz w:val="16"/>
                      </w:rPr>
                      <w:t>News Media Information 202 / 418-0500</w:t>
                    </w:r>
                  </w:p>
                  <w:p w:rsidR="00480200">
                    <w:pPr>
                      <w:jc w:val="right"/>
                      <w:rPr>
                        <w:rFonts w:ascii="Arial" w:hAnsi="Arial"/>
                        <w:b/>
                        <w:sz w:val="16"/>
                      </w:rPr>
                    </w:pPr>
                    <w:r>
                      <w:rPr>
                        <w:rFonts w:ascii="Arial" w:hAnsi="Arial"/>
                        <w:b/>
                        <w:sz w:val="16"/>
                      </w:rPr>
                      <w:tab/>
                      <w:t>Internet: http://www.fcc.gov</w:t>
                    </w:r>
                  </w:p>
                  <w:p w:rsidR="00480200">
                    <w:pPr>
                      <w:jc w:val="right"/>
                      <w:rPr>
                        <w:rFonts w:ascii="Arial" w:hAnsi="Arial"/>
                        <w:b/>
                        <w:sz w:val="16"/>
                      </w:rPr>
                    </w:pPr>
                    <w:r>
                      <w:rPr>
                        <w:rFonts w:ascii="Arial" w:hAnsi="Arial"/>
                        <w:b/>
                        <w:sz w:val="16"/>
                      </w:rPr>
                      <w:t>TTY: 1-888-835-5322</w:t>
                    </w:r>
                  </w:p>
                  <w:p w:rsidR="00480200">
                    <w:pPr>
                      <w:jc w:val="right"/>
                    </w:pPr>
                  </w:p>
                  <w:p w:rsidR="00480200">
                    <w:pPr>
                      <w:jc w:val="right"/>
                      <w:rPr>
                        <w:rFonts w:ascii="Arial" w:hAnsi="Arial"/>
                        <w:sz w:val="16"/>
                      </w:rPr>
                    </w:pPr>
                  </w:p>
                  <w:p w:rsidR="00480200">
                    <w:pPr>
                      <w:jc w:val="right"/>
                      <w:rPr>
                        <w:rFonts w:ascii="Arial" w:hAnsi="Arial"/>
                        <w:sz w:val="16"/>
                      </w:rPr>
                    </w:pPr>
                    <w:r>
                      <w:rPr>
                        <w:rFonts w:ascii="Arial" w:hAnsi="Arial"/>
                        <w:sz w:val="16"/>
                      </w:rPr>
                      <w:tab/>
                    </w:r>
                  </w:p>
                  <w:p w:rsidR="00480200">
                    <w:pPr>
                      <w:jc w:val="right"/>
                      <w:rPr>
                        <w:rFonts w:ascii="Arial" w:hAnsi="Arial"/>
                        <w:sz w:val="16"/>
                      </w:rPr>
                    </w:pPr>
                    <w:r>
                      <w:rPr>
                        <w:rFonts w:ascii="Arial" w:hAnsi="Arial"/>
                        <w:sz w:val="16"/>
                      </w:rPr>
                      <w:tab/>
                    </w:r>
                  </w:p>
                </w:txbxContent>
              </v:textbox>
            </v:shape>
          </w:pict>
        </mc:Fallback>
      </mc:AlternateContent>
    </w:r>
  </w:p>
  <w:p w:rsidR="00480200">
    <w:pPr>
      <w:pStyle w:val="Header"/>
      <w:rPr>
        <w:rFonts w:ascii="Arial" w:hAnsi="Arial"/>
        <w:b w:val="0"/>
        <w:sz w:val="24"/>
        <w:szCs w:val="24"/>
      </w:rPr>
    </w:pPr>
  </w:p>
  <w:p w:rsidR="00480200">
    <w:pPr>
      <w:jc w:val="right"/>
      <w:rPr>
        <w:b/>
      </w:rPr>
    </w:pPr>
    <w:r>
      <w:rPr>
        <w:noProof/>
        <w:lang w:eastAsia="en-US"/>
      </w:rPr>
      <mc:AlternateContent>
        <mc:Choice Requires="wps">
          <w:drawing>
            <wp:anchor distT="0" distB="0" distL="114300" distR="114300" simplePos="0" relativeHeight="251663360" behindDoc="1" locked="0" layoutInCell="1" allowOverlap="1">
              <wp:simplePos x="0" y="0"/>
              <wp:positionH relativeFrom="column">
                <wp:posOffset>152400</wp:posOffset>
              </wp:positionH>
              <wp:positionV relativeFrom="paragraph">
                <wp:posOffset>82549</wp:posOffset>
              </wp:positionV>
              <wp:extent cx="5943600" cy="0"/>
              <wp:effectExtent l="0" t="0" r="19050" b="1905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80">
                        <a:solidFill>
                          <a:srgbClr val="000000"/>
                        </a:solidFill>
                        <a:miter lim="800000"/>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pt;mso-wrap-distance-left:9pt;mso-wrap-distance-right:9pt;mso-wrap-distance-top:0pt;mso-wrap-style:square;position:absolute;visibility:visible;z-index:-251652096" from="12pt,6.5pt" to="480pt,6.5pt" strokeweight="1.5pt">
              <v:stroke joinstyle="miter"/>
            </v:line>
          </w:pict>
        </mc:Fallback>
      </mc:AlternateContent>
    </w:r>
  </w:p>
  <w:p w:rsidR="0048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6">
    <w:nsid w:val="0FEF70C1"/>
    <w:multiLevelType w:val="hybridMultilevel"/>
    <w:tmpl w:val="E51C1A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9046CC6"/>
    <w:multiLevelType w:val="hybridMultilevel"/>
    <w:tmpl w:val="F29C0A92"/>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nsid w:val="2B2A2951"/>
    <w:multiLevelType w:val="hybridMultilevel"/>
    <w:tmpl w:val="2BEC4D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350B14DF"/>
    <w:multiLevelType w:val="hybridMultilevel"/>
    <w:tmpl w:val="72AE01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37673578"/>
    <w:multiLevelType w:val="hybridMultilevel"/>
    <w:tmpl w:val="E00008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0902D07C"/>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6">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55916516"/>
    <w:multiLevelType w:val="hybridMultilevel"/>
    <w:tmpl w:val="4BB6F7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6677B1D"/>
    <w:multiLevelType w:val="hybridMultilevel"/>
    <w:tmpl w:val="DB168A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A68CF9C8"/>
    <w:lvl w:ilvl="0">
      <w:start w:val="1"/>
      <w:numFmt w:val="decimal"/>
      <w:lvlText w:val="%1."/>
      <w:lvlJc w:val="left"/>
      <w:pPr>
        <w:tabs>
          <w:tab w:val="num" w:pos="1080"/>
        </w:tabs>
        <w:ind w:firstLine="720"/>
      </w:pPr>
      <w:rPr>
        <w:rFonts w:cs="Times New Roman"/>
      </w:rPr>
    </w:lvl>
  </w:abstractNum>
  <w:abstractNum w:abstractNumId="22">
    <w:nsid w:val="71BA2D83"/>
    <w:multiLevelType w:val="hybridMultilevel"/>
    <w:tmpl w:val="2DD490C8"/>
    <w:lvl w:ilvl="0">
      <w:start w:val="1"/>
      <w:numFmt w:val="upperLetter"/>
      <w:lvlText w:val="(%1)"/>
      <w:lvlJc w:val="left"/>
      <w:pPr>
        <w:tabs>
          <w:tab w:val="num" w:pos="1095"/>
        </w:tabs>
        <w:ind w:left="1095" w:hanging="375"/>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7F0406EE"/>
    <w:multiLevelType w:val="hybridMultilevel"/>
    <w:tmpl w:val="749E4CE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8"/>
  </w:num>
  <w:num w:numId="2">
    <w:abstractNumId w:val="21"/>
  </w:num>
  <w:num w:numId="3">
    <w:abstractNumId w:val="10"/>
  </w:num>
  <w:num w:numId="4">
    <w:abstractNumId w:val="18"/>
  </w:num>
  <w:num w:numId="5">
    <w:abstractNumId w:val="9"/>
  </w:num>
  <w:num w:numId="6">
    <w:abstractNumId w:val="5"/>
  </w:num>
  <w:num w:numId="7">
    <w:abstractNumId w:val="0"/>
  </w:num>
  <w:num w:numId="8">
    <w:abstractNumId w:val="1"/>
  </w:num>
  <w:num w:numId="9">
    <w:abstractNumId w:val="2"/>
  </w:num>
  <w:num w:numId="10">
    <w:abstractNumId w:val="3"/>
  </w:num>
  <w:num w:numId="11">
    <w:abstractNumId w:val="16"/>
  </w:num>
  <w:num w:numId="12">
    <w:abstractNumId w:val="11"/>
  </w:num>
  <w:num w:numId="13">
    <w:abstractNumId w:val="21"/>
    <w:lvlOverride w:ilvl="0">
      <w:startOverride w:val="1"/>
    </w:lvlOverride>
  </w:num>
  <w:num w:numId="14">
    <w:abstractNumId w:val="12"/>
  </w:num>
  <w:num w:numId="15">
    <w:abstractNumId w:val="4"/>
  </w:num>
  <w:num w:numId="16">
    <w:abstractNumId w:val="23"/>
  </w:num>
  <w:num w:numId="17">
    <w:abstractNumId w:val="7"/>
  </w:num>
  <w:num w:numId="18">
    <w:abstractNumId w:val="19"/>
  </w:num>
  <w:num w:numId="19">
    <w:abstractNumId w:val="6"/>
  </w:num>
  <w:num w:numId="20">
    <w:abstractNumId w:val="17"/>
  </w:num>
  <w:num w:numId="21">
    <w:abstractNumId w:val="22"/>
  </w:num>
  <w:num w:numId="22">
    <w:abstractNumId w:val="13"/>
  </w:num>
  <w:num w:numId="23">
    <w:abstractNumId w:val="2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61E"/>
    <w:pPr>
      <w:suppressAutoHyphens/>
    </w:pPr>
    <w:rPr>
      <w:szCs w:val="20"/>
      <w:lang w:eastAsia="ar-SA"/>
    </w:rPr>
  </w:style>
  <w:style w:type="paragraph" w:styleId="Heading1">
    <w:name w:val="heading 1"/>
    <w:basedOn w:val="Normal"/>
    <w:next w:val="ParaNum"/>
    <w:link w:val="Heading1Char"/>
    <w:uiPriority w:val="99"/>
    <w:qFormat/>
    <w:rsid w:val="00EB161E"/>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EB161E"/>
    <w:pPr>
      <w:keepNext/>
      <w:numPr>
        <w:ilvl w:val="1"/>
        <w:numId w:val="3"/>
      </w:numPr>
      <w:spacing w:after="120"/>
      <w:outlineLvl w:val="1"/>
    </w:pPr>
    <w:rPr>
      <w:b/>
    </w:rPr>
  </w:style>
  <w:style w:type="paragraph" w:styleId="Heading3">
    <w:name w:val="heading 3"/>
    <w:basedOn w:val="Normal"/>
    <w:next w:val="ParaNum"/>
    <w:link w:val="Heading3Char"/>
    <w:uiPriority w:val="99"/>
    <w:qFormat/>
    <w:rsid w:val="00EB161E"/>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EB161E"/>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EB161E"/>
    <w:pPr>
      <w:keepNext/>
      <w:numPr>
        <w:ilvl w:val="4"/>
        <w:numId w:val="3"/>
      </w:numPr>
      <w:tabs>
        <w:tab w:val="left" w:pos="3600"/>
      </w:tabs>
      <w:spacing w:after="120"/>
      <w:outlineLvl w:val="4"/>
    </w:pPr>
    <w:rPr>
      <w:b/>
    </w:rPr>
  </w:style>
  <w:style w:type="paragraph" w:styleId="Heading6">
    <w:name w:val="heading 6"/>
    <w:basedOn w:val="Normal"/>
    <w:next w:val="ParaNum"/>
    <w:link w:val="Heading6Char"/>
    <w:uiPriority w:val="99"/>
    <w:qFormat/>
    <w:rsid w:val="00EB161E"/>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EB161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EB161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EB16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F51"/>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881F51"/>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881F51"/>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881F51"/>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881F51"/>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881F51"/>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881F51"/>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881F51"/>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881F51"/>
    <w:rPr>
      <w:rFonts w:asciiTheme="majorHAnsi" w:eastAsiaTheme="majorEastAsia" w:hAnsiTheme="majorHAnsi" w:cstheme="majorBidi"/>
      <w:lang w:eastAsia="ar-SA"/>
    </w:rPr>
  </w:style>
  <w:style w:type="paragraph" w:customStyle="1" w:styleId="ParaNum">
    <w:name w:val="ParaNum"/>
    <w:basedOn w:val="Normal"/>
    <w:link w:val="ParaNumChar"/>
    <w:uiPriority w:val="99"/>
    <w:rsid w:val="00EB161E"/>
    <w:pPr>
      <w:spacing w:after="120"/>
    </w:pPr>
  </w:style>
  <w:style w:type="paragraph" w:styleId="EndnoteText">
    <w:name w:val="endnote text"/>
    <w:basedOn w:val="Normal"/>
    <w:link w:val="EndnoteTextChar"/>
    <w:uiPriority w:val="99"/>
    <w:semiHidden/>
    <w:rsid w:val="00EB161E"/>
    <w:rPr>
      <w:sz w:val="20"/>
    </w:rPr>
  </w:style>
  <w:style w:type="character" w:customStyle="1" w:styleId="EndnoteTextChar">
    <w:name w:val="Endnote Text Char"/>
    <w:basedOn w:val="DefaultParagraphFont"/>
    <w:link w:val="EndnoteText"/>
    <w:uiPriority w:val="99"/>
    <w:semiHidden/>
    <w:rsid w:val="00881F51"/>
    <w:rPr>
      <w:sz w:val="20"/>
      <w:szCs w:val="20"/>
      <w:lang w:eastAsia="ar-SA"/>
    </w:rPr>
  </w:style>
  <w:style w:type="character" w:styleId="EndnoteReference">
    <w:name w:val="endnote reference"/>
    <w:basedOn w:val="DefaultParagraphFont"/>
    <w:uiPriority w:val="99"/>
    <w:semiHidden/>
    <w:rsid w:val="00EB161E"/>
    <w:rPr>
      <w:rFonts w:cs="Times New Roman"/>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basedOn w:val="Normal"/>
    <w:link w:val="FootnoteTextChar1"/>
    <w:rsid w:val="00EB161E"/>
    <w:pPr>
      <w:suppressAutoHyphens w:val="0"/>
      <w:spacing w:after="120"/>
    </w:pPr>
    <w:rPr>
      <w:sz w:val="20"/>
      <w:lang w:eastAsia="en-US"/>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basedOn w:val="DefaultParagraphFont"/>
    <w:link w:val="FootnoteText"/>
    <w:uiPriority w:val="99"/>
    <w:locked/>
    <w:rsid w:val="00EB161E"/>
    <w:rPr>
      <w:lang w:val="en-US" w:eastAsia="en-US"/>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basedOn w:val="DefaultParagraphFont"/>
    <w:rsid w:val="00EB161E"/>
    <w:rPr>
      <w:rFonts w:ascii="Times New Roman" w:hAnsi="Times New Roman" w:cs="Times New Roman"/>
      <w:color w:val="auto"/>
      <w:sz w:val="22"/>
      <w:vertAlign w:val="superscript"/>
    </w:rPr>
  </w:style>
  <w:style w:type="paragraph" w:styleId="TOC1">
    <w:name w:val="toc 1"/>
    <w:basedOn w:val="Normal"/>
    <w:next w:val="Normal"/>
    <w:uiPriority w:val="99"/>
    <w:semiHidden/>
    <w:rsid w:val="00EB161E"/>
    <w:pPr>
      <w:tabs>
        <w:tab w:val="left" w:pos="360"/>
        <w:tab w:val="right" w:leader="dot" w:pos="9360"/>
      </w:tabs>
      <w:ind w:left="360" w:right="720" w:hanging="360"/>
    </w:pPr>
    <w:rPr>
      <w:caps/>
      <w:noProof/>
    </w:rPr>
  </w:style>
  <w:style w:type="paragraph" w:styleId="TOC2">
    <w:name w:val="toc 2"/>
    <w:basedOn w:val="Normal"/>
    <w:next w:val="Normal"/>
    <w:uiPriority w:val="99"/>
    <w:semiHidden/>
    <w:rsid w:val="00EB161E"/>
    <w:pPr>
      <w:tabs>
        <w:tab w:val="left" w:pos="720"/>
        <w:tab w:val="right" w:leader="dot" w:pos="9360"/>
      </w:tabs>
      <w:ind w:left="720" w:right="720" w:hanging="360"/>
    </w:pPr>
    <w:rPr>
      <w:noProof/>
    </w:rPr>
  </w:style>
  <w:style w:type="paragraph" w:styleId="TOC3">
    <w:name w:val="toc 3"/>
    <w:basedOn w:val="Normal"/>
    <w:next w:val="Normal"/>
    <w:uiPriority w:val="99"/>
    <w:semiHidden/>
    <w:rsid w:val="00EB161E"/>
    <w:pPr>
      <w:tabs>
        <w:tab w:val="left" w:pos="1080"/>
        <w:tab w:val="right" w:leader="dot" w:pos="9360"/>
      </w:tabs>
      <w:ind w:left="1080" w:right="720" w:hanging="360"/>
    </w:pPr>
    <w:rPr>
      <w:noProof/>
    </w:rPr>
  </w:style>
  <w:style w:type="paragraph" w:styleId="TOC4">
    <w:name w:val="toc 4"/>
    <w:basedOn w:val="Normal"/>
    <w:next w:val="Normal"/>
    <w:autoRedefine/>
    <w:uiPriority w:val="99"/>
    <w:semiHidden/>
    <w:rsid w:val="00EB161E"/>
    <w:pPr>
      <w:tabs>
        <w:tab w:val="left" w:pos="1440"/>
        <w:tab w:val="right" w:leader="dot" w:pos="9360"/>
      </w:tabs>
      <w:ind w:left="1440" w:right="720" w:hanging="360"/>
    </w:pPr>
    <w:rPr>
      <w:noProof/>
    </w:rPr>
  </w:style>
  <w:style w:type="paragraph" w:styleId="TOC5">
    <w:name w:val="toc 5"/>
    <w:basedOn w:val="Normal"/>
    <w:next w:val="Normal"/>
    <w:autoRedefine/>
    <w:uiPriority w:val="99"/>
    <w:semiHidden/>
    <w:rsid w:val="00EB161E"/>
    <w:pPr>
      <w:tabs>
        <w:tab w:val="left" w:pos="1800"/>
        <w:tab w:val="right" w:leader="dot" w:pos="9360"/>
      </w:tabs>
      <w:ind w:left="1800" w:right="720" w:hanging="360"/>
    </w:pPr>
    <w:rPr>
      <w:noProof/>
    </w:rPr>
  </w:style>
  <w:style w:type="paragraph" w:styleId="TOC6">
    <w:name w:val="toc 6"/>
    <w:basedOn w:val="Normal"/>
    <w:next w:val="Normal"/>
    <w:autoRedefine/>
    <w:uiPriority w:val="99"/>
    <w:semiHidden/>
    <w:rsid w:val="00EB161E"/>
    <w:pPr>
      <w:tabs>
        <w:tab w:val="left" w:pos="2160"/>
        <w:tab w:val="right" w:leader="dot" w:pos="9360"/>
      </w:tabs>
      <w:ind w:left="2160" w:hanging="360"/>
    </w:pPr>
    <w:rPr>
      <w:noProof/>
    </w:rPr>
  </w:style>
  <w:style w:type="paragraph" w:styleId="TOC7">
    <w:name w:val="toc 7"/>
    <w:basedOn w:val="Normal"/>
    <w:next w:val="Normal"/>
    <w:autoRedefine/>
    <w:uiPriority w:val="99"/>
    <w:semiHidden/>
    <w:rsid w:val="00EB161E"/>
    <w:pPr>
      <w:tabs>
        <w:tab w:val="left" w:pos="2520"/>
        <w:tab w:val="right" w:leader="dot" w:pos="9360"/>
      </w:tabs>
      <w:ind w:left="2520" w:hanging="360"/>
    </w:pPr>
    <w:rPr>
      <w:noProof/>
    </w:rPr>
  </w:style>
  <w:style w:type="paragraph" w:styleId="TOC8">
    <w:name w:val="toc 8"/>
    <w:basedOn w:val="Normal"/>
    <w:next w:val="Normal"/>
    <w:autoRedefine/>
    <w:uiPriority w:val="99"/>
    <w:semiHidden/>
    <w:rsid w:val="00EB161E"/>
    <w:pPr>
      <w:tabs>
        <w:tab w:val="left" w:pos="2880"/>
        <w:tab w:val="right" w:leader="dot" w:pos="9360"/>
      </w:tabs>
      <w:ind w:left="2880" w:hanging="360"/>
    </w:pPr>
    <w:rPr>
      <w:noProof/>
    </w:rPr>
  </w:style>
  <w:style w:type="paragraph" w:styleId="TOC9">
    <w:name w:val="toc 9"/>
    <w:basedOn w:val="Normal"/>
    <w:next w:val="Normal"/>
    <w:autoRedefine/>
    <w:uiPriority w:val="99"/>
    <w:semiHidden/>
    <w:rsid w:val="00EB161E"/>
    <w:pPr>
      <w:tabs>
        <w:tab w:val="left" w:pos="3240"/>
        <w:tab w:val="right" w:leader="dot" w:pos="9360"/>
      </w:tabs>
      <w:ind w:left="3240" w:hanging="360"/>
    </w:pPr>
    <w:rPr>
      <w:noProof/>
    </w:rPr>
  </w:style>
  <w:style w:type="paragraph" w:styleId="TOAHeading">
    <w:name w:val="toa heading"/>
    <w:basedOn w:val="Normal"/>
    <w:next w:val="Normal"/>
    <w:uiPriority w:val="99"/>
    <w:semiHidden/>
    <w:rsid w:val="00EB161E"/>
    <w:pPr>
      <w:tabs>
        <w:tab w:val="right" w:pos="9360"/>
      </w:tabs>
    </w:pPr>
  </w:style>
  <w:style w:type="character" w:customStyle="1" w:styleId="EquationCaption">
    <w:name w:val="_Equation Caption"/>
    <w:uiPriority w:val="99"/>
    <w:rsid w:val="00EB161E"/>
  </w:style>
  <w:style w:type="paragraph" w:styleId="Header">
    <w:name w:val="header"/>
    <w:basedOn w:val="Normal"/>
    <w:link w:val="HeaderChar"/>
    <w:autoRedefine/>
    <w:uiPriority w:val="99"/>
    <w:rsid w:val="00EB161E"/>
    <w:pPr>
      <w:tabs>
        <w:tab w:val="center" w:pos="4680"/>
        <w:tab w:val="right" w:pos="9360"/>
      </w:tabs>
    </w:pPr>
    <w:rPr>
      <w:b/>
    </w:rPr>
  </w:style>
  <w:style w:type="character" w:customStyle="1" w:styleId="HeaderChar">
    <w:name w:val="Header Char"/>
    <w:basedOn w:val="DefaultParagraphFont"/>
    <w:link w:val="Header"/>
    <w:uiPriority w:val="99"/>
    <w:semiHidden/>
    <w:rsid w:val="00881F51"/>
    <w:rPr>
      <w:szCs w:val="20"/>
      <w:lang w:eastAsia="ar-SA"/>
    </w:rPr>
  </w:style>
  <w:style w:type="paragraph" w:styleId="Footer">
    <w:name w:val="footer"/>
    <w:basedOn w:val="Normal"/>
    <w:link w:val="FooterChar"/>
    <w:uiPriority w:val="99"/>
    <w:rsid w:val="00EB161E"/>
    <w:pPr>
      <w:tabs>
        <w:tab w:val="center" w:pos="4320"/>
        <w:tab w:val="right" w:pos="8640"/>
      </w:tabs>
    </w:pPr>
  </w:style>
  <w:style w:type="character" w:customStyle="1" w:styleId="FooterChar">
    <w:name w:val="Footer Char"/>
    <w:basedOn w:val="DefaultParagraphFont"/>
    <w:link w:val="Footer"/>
    <w:uiPriority w:val="99"/>
    <w:semiHidden/>
    <w:rsid w:val="00881F51"/>
    <w:rPr>
      <w:szCs w:val="20"/>
      <w:lang w:eastAsia="ar-SA"/>
    </w:rPr>
  </w:style>
  <w:style w:type="character" w:styleId="PageNumber">
    <w:name w:val="page number"/>
    <w:basedOn w:val="DefaultParagraphFont"/>
    <w:uiPriority w:val="99"/>
    <w:rsid w:val="00EB161E"/>
    <w:rPr>
      <w:rFonts w:cs="Times New Roman"/>
    </w:rPr>
  </w:style>
  <w:style w:type="paragraph" w:styleId="BlockText">
    <w:name w:val="Block Text"/>
    <w:basedOn w:val="Normal"/>
    <w:uiPriority w:val="99"/>
    <w:rsid w:val="00EB161E"/>
    <w:pPr>
      <w:spacing w:after="240"/>
      <w:ind w:left="1440" w:right="1440"/>
    </w:pPr>
  </w:style>
  <w:style w:type="paragraph" w:customStyle="1" w:styleId="Paratitle">
    <w:name w:val="Para title"/>
    <w:basedOn w:val="Normal"/>
    <w:uiPriority w:val="99"/>
    <w:rsid w:val="00EB161E"/>
    <w:pPr>
      <w:tabs>
        <w:tab w:val="center" w:pos="9270"/>
      </w:tabs>
      <w:spacing w:after="240"/>
    </w:pPr>
    <w:rPr>
      <w:spacing w:val="-2"/>
    </w:rPr>
  </w:style>
  <w:style w:type="paragraph" w:customStyle="1" w:styleId="Bullet">
    <w:name w:val="Bullet"/>
    <w:basedOn w:val="Normal"/>
    <w:uiPriority w:val="99"/>
    <w:rsid w:val="00EB161E"/>
    <w:pPr>
      <w:numPr>
        <w:numId w:val="1"/>
      </w:numPr>
      <w:tabs>
        <w:tab w:val="clear" w:pos="360"/>
        <w:tab w:val="left" w:pos="2160"/>
      </w:tabs>
      <w:spacing w:after="220"/>
      <w:ind w:left="2160" w:hanging="720"/>
    </w:pPr>
  </w:style>
  <w:style w:type="paragraph" w:customStyle="1" w:styleId="TableFormat">
    <w:name w:val="TableFormat"/>
    <w:basedOn w:val="Bullet"/>
    <w:uiPriority w:val="99"/>
    <w:rsid w:val="00EB161E"/>
    <w:pPr>
      <w:numPr>
        <w:numId w:val="0"/>
      </w:numPr>
      <w:tabs>
        <w:tab w:val="clear" w:pos="2160"/>
        <w:tab w:val="left" w:pos="5040"/>
      </w:tabs>
      <w:ind w:left="5040" w:hanging="3600"/>
    </w:pPr>
  </w:style>
  <w:style w:type="paragraph" w:customStyle="1" w:styleId="TOCTitle">
    <w:name w:val="TOC Title"/>
    <w:basedOn w:val="Normal"/>
    <w:uiPriority w:val="99"/>
    <w:rsid w:val="00EB161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EB161E"/>
    <w:pPr>
      <w:jc w:val="center"/>
    </w:pPr>
    <w:rPr>
      <w:rFonts w:ascii="Times New Roman Bold" w:hAnsi="Times New Roman Bold"/>
      <w:b/>
      <w:bCs/>
      <w:caps/>
      <w:szCs w:val="22"/>
    </w:rPr>
  </w:style>
  <w:style w:type="character" w:styleId="Hyperlink">
    <w:name w:val="Hyperlink"/>
    <w:basedOn w:val="DefaultParagraphFont"/>
    <w:uiPriority w:val="99"/>
    <w:rsid w:val="00EB161E"/>
    <w:rPr>
      <w:rFonts w:cs="Times New Roman"/>
      <w:color w:val="0000FF"/>
      <w:u w:val="single"/>
    </w:rPr>
  </w:style>
  <w:style w:type="paragraph" w:styleId="BodyTextIndent">
    <w:name w:val="Body Text Indent"/>
    <w:basedOn w:val="Normal"/>
    <w:link w:val="BodyTextIndentChar"/>
    <w:uiPriority w:val="99"/>
    <w:rsid w:val="00EB161E"/>
    <w:pPr>
      <w:widowControl w:val="0"/>
      <w:ind w:firstLine="720"/>
    </w:pPr>
    <w:rPr>
      <w:kern w:val="1"/>
      <w:sz w:val="24"/>
    </w:rPr>
  </w:style>
  <w:style w:type="character" w:customStyle="1" w:styleId="BodyTextIndentChar">
    <w:name w:val="Body Text Indent Char"/>
    <w:basedOn w:val="DefaultParagraphFont"/>
    <w:link w:val="BodyTextIndent"/>
    <w:uiPriority w:val="99"/>
    <w:semiHidden/>
    <w:rsid w:val="00881F51"/>
    <w:rPr>
      <w:szCs w:val="20"/>
      <w:lang w:eastAsia="ar-SA"/>
    </w:rPr>
  </w:style>
  <w:style w:type="character" w:customStyle="1" w:styleId="ptext-1">
    <w:name w:val="ptext-1"/>
    <w:basedOn w:val="DefaultParagraphFont"/>
    <w:uiPriority w:val="99"/>
    <w:rsid w:val="00EB161E"/>
    <w:rPr>
      <w:rFonts w:cs="Times New Roman"/>
    </w:rPr>
  </w:style>
  <w:style w:type="paragraph" w:styleId="PlainText">
    <w:name w:val="Plain Text"/>
    <w:basedOn w:val="Normal"/>
    <w:link w:val="PlainTextChar"/>
    <w:uiPriority w:val="99"/>
    <w:rsid w:val="00EB161E"/>
    <w:pPr>
      <w:suppressAutoHyphens w:val="0"/>
    </w:pPr>
    <w:rPr>
      <w:rFonts w:ascii="Courier New" w:hAnsi="Courier New" w:cs="Courier New"/>
      <w:sz w:val="20"/>
      <w:lang w:eastAsia="en-US"/>
    </w:rPr>
  </w:style>
  <w:style w:type="character" w:customStyle="1" w:styleId="PlainTextChar">
    <w:name w:val="Plain Text Char"/>
    <w:basedOn w:val="DefaultParagraphFont"/>
    <w:link w:val="PlainText"/>
    <w:uiPriority w:val="99"/>
    <w:semiHidden/>
    <w:rsid w:val="00881F51"/>
    <w:rPr>
      <w:rFonts w:ascii="Courier New" w:hAnsi="Courier New" w:cs="Courier New"/>
      <w:sz w:val="20"/>
      <w:szCs w:val="20"/>
      <w:lang w:eastAsia="ar-SA"/>
    </w:rPr>
  </w:style>
  <w:style w:type="paragraph" w:styleId="BalloonText">
    <w:name w:val="Balloon Text"/>
    <w:basedOn w:val="Normal"/>
    <w:link w:val="BalloonTextChar"/>
    <w:uiPriority w:val="99"/>
    <w:semiHidden/>
    <w:rsid w:val="00EB161E"/>
    <w:rPr>
      <w:rFonts w:ascii="Tahoma" w:hAnsi="Tahoma" w:cs="Tahoma"/>
      <w:sz w:val="16"/>
      <w:szCs w:val="16"/>
    </w:rPr>
  </w:style>
  <w:style w:type="character" w:customStyle="1" w:styleId="BalloonTextChar">
    <w:name w:val="Balloon Text Char"/>
    <w:basedOn w:val="DefaultParagraphFont"/>
    <w:link w:val="BalloonText"/>
    <w:uiPriority w:val="99"/>
    <w:semiHidden/>
    <w:rsid w:val="00881F51"/>
    <w:rPr>
      <w:lang w:eastAsia="ar-SA"/>
    </w:rPr>
  </w:style>
  <w:style w:type="character" w:styleId="CommentReference">
    <w:name w:val="annotation reference"/>
    <w:basedOn w:val="DefaultParagraphFont"/>
    <w:uiPriority w:val="99"/>
    <w:semiHidden/>
    <w:rsid w:val="00EB161E"/>
    <w:rPr>
      <w:rFonts w:cs="Times New Roman"/>
      <w:sz w:val="16"/>
    </w:rPr>
  </w:style>
  <w:style w:type="paragraph" w:styleId="CommentText">
    <w:name w:val="annotation text"/>
    <w:basedOn w:val="Normal"/>
    <w:link w:val="CommentTextChar"/>
    <w:uiPriority w:val="99"/>
    <w:semiHidden/>
    <w:rsid w:val="00EB161E"/>
    <w:rPr>
      <w:sz w:val="20"/>
    </w:rPr>
  </w:style>
  <w:style w:type="character" w:customStyle="1" w:styleId="CommentTextChar">
    <w:name w:val="Comment Text Char"/>
    <w:basedOn w:val="DefaultParagraphFont"/>
    <w:link w:val="CommentText"/>
    <w:uiPriority w:val="99"/>
    <w:semiHidden/>
    <w:rsid w:val="00881F51"/>
    <w:rPr>
      <w:sz w:val="20"/>
      <w:szCs w:val="20"/>
      <w:lang w:eastAsia="ar-SA"/>
    </w:rPr>
  </w:style>
  <w:style w:type="paragraph" w:styleId="CommentSubject">
    <w:name w:val="annotation subject"/>
    <w:basedOn w:val="CommentText"/>
    <w:next w:val="CommentText"/>
    <w:link w:val="CommentSubjectChar"/>
    <w:uiPriority w:val="99"/>
    <w:semiHidden/>
    <w:rsid w:val="00EB161E"/>
    <w:rPr>
      <w:b/>
      <w:bCs/>
    </w:rPr>
  </w:style>
  <w:style w:type="character" w:customStyle="1" w:styleId="CommentSubjectChar">
    <w:name w:val="Comment Subject Char"/>
    <w:basedOn w:val="CommentTextChar"/>
    <w:link w:val="CommentSubject"/>
    <w:uiPriority w:val="99"/>
    <w:semiHidden/>
    <w:rsid w:val="00881F51"/>
    <w:rPr>
      <w:b/>
      <w:bCs/>
      <w:sz w:val="20"/>
      <w:szCs w:val="20"/>
      <w:lang w:eastAsia="ar-SA"/>
    </w:rPr>
  </w:style>
  <w:style w:type="character" w:customStyle="1" w:styleId="FootnoteTextChar5Char">
    <w:name w:val="Footnote Text Char5 Char"/>
    <w:aliases w:val="Footnote Text Char1 Char Char,Footnote Text Char1 Char Char Char Char Char,Footnote Text Char2 Char Char Char Char Char1 Char Char,Footnote Text Char2 Char1 Char Char1 Char,Footnote Text Char3 Char Char1 Char"/>
    <w:rsid w:val="00EB161E"/>
    <w:rPr>
      <w:sz w:val="22"/>
      <w:lang w:val="en-US" w:eastAsia="en-US"/>
    </w:rPr>
  </w:style>
  <w:style w:type="character" w:customStyle="1" w:styleId="informationalsmall4">
    <w:name w:val="informationalsmall4"/>
    <w:uiPriority w:val="99"/>
    <w:rsid w:val="00EB161E"/>
    <w:rPr>
      <w:rFonts w:ascii="Verdana" w:hAnsi="Verdana"/>
      <w:sz w:val="14"/>
    </w:rPr>
  </w:style>
  <w:style w:type="character" w:customStyle="1" w:styleId="ParaNumChar">
    <w:name w:val="ParaNum Char"/>
    <w:link w:val="ParaNum"/>
    <w:uiPriority w:val="99"/>
    <w:locked/>
    <w:rsid w:val="00EB161E"/>
    <w:rPr>
      <w:sz w:val="22"/>
      <w:lang w:val="en-US" w:eastAsia="ar-SA" w:bidi="ar-SA"/>
    </w:rPr>
  </w:style>
  <w:style w:type="character" w:styleId="FollowedHyperlink">
    <w:name w:val="FollowedHyperlink"/>
    <w:basedOn w:val="DefaultParagraphFont"/>
    <w:uiPriority w:val="99"/>
    <w:rsid w:val="00EB161E"/>
    <w:rPr>
      <w:rFonts w:cs="Times New Roman"/>
      <w:color w:val="800080"/>
      <w:u w:val="single"/>
    </w:rPr>
  </w:style>
  <w:style w:type="paragraph" w:customStyle="1" w:styleId="Paranum0">
    <w:name w:val="Paranum"/>
    <w:basedOn w:val="Normal"/>
    <w:uiPriority w:val="99"/>
    <w:rsid w:val="00930834"/>
    <w:pPr>
      <w:widowControl w:val="0"/>
      <w:suppressAutoHyphens w:val="0"/>
      <w:spacing w:after="220"/>
      <w:jc w:val="both"/>
    </w:pPr>
    <w:rPr>
      <w:lang w:eastAsia="en-US"/>
    </w:rPr>
  </w:style>
  <w:style w:type="paragraph" w:styleId="Revision">
    <w:name w:val="Revision"/>
    <w:hidden/>
    <w:uiPriority w:val="99"/>
    <w:semiHidden/>
    <w:rsid w:val="00C533E7"/>
    <w:rPr>
      <w:szCs w:val="20"/>
      <w:lang w:eastAsia="ar-SA"/>
    </w:rPr>
  </w:style>
  <w:style w:type="character" w:styleId="PlaceholderText">
    <w:name w:val="Placeholder Text"/>
    <w:basedOn w:val="DefaultParagraphFont"/>
    <w:uiPriority w:val="99"/>
    <w:semiHidden/>
    <w:rsid w:val="00B1316B"/>
    <w:rPr>
      <w:color w:val="808080"/>
    </w:rPr>
  </w:style>
  <w:style w:type="character" w:customStyle="1" w:styleId="UnresolvedMention">
    <w:name w:val="Unresolved Mention"/>
    <w:basedOn w:val="DefaultParagraphFont"/>
    <w:uiPriority w:val="99"/>
    <w:semiHidden/>
    <w:unhideWhenUsed/>
    <w:rsid w:val="000A4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