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6.3.0.0 -->
  <w:body>
    <w:p w:rsidR="005F3A0F">
      <w:pPr>
        <w:jc w:val="center"/>
        <w:rPr>
          <w:b/>
        </w:rPr>
      </w:pPr>
      <w:bookmarkStart w:id="0" w:name="_GoBack"/>
      <w:bookmarkEnd w:id="0"/>
      <w:r>
        <w:rPr>
          <w:rFonts w:ascii="Times New Roman Bold" w:hAnsi="Times New Roman Bold"/>
          <w:b/>
          <w:kern w:val="0"/>
          <w:szCs w:val="22"/>
        </w:rPr>
        <w:t>Before</w:t>
      </w:r>
      <w:r>
        <w:rPr>
          <w:b/>
        </w:rPr>
        <w:t xml:space="preserve"> the</w:t>
      </w:r>
    </w:p>
    <w:p w:rsidR="005F3A0F">
      <w:pPr>
        <w:pStyle w:val="StyleBoldCentered"/>
      </w:pPr>
      <w:r>
        <w:t>F</w:t>
      </w:r>
      <w:r>
        <w:rPr>
          <w:caps w:val="0"/>
        </w:rPr>
        <w:t>ederal Communications Commission</w:t>
      </w:r>
    </w:p>
    <w:p w:rsidR="005F3A0F">
      <w:pPr>
        <w:pStyle w:val="StyleBoldCentered"/>
      </w:pPr>
      <w:r>
        <w:t>Washington, D.C. 20554</w:t>
      </w:r>
    </w:p>
    <w:tbl>
      <w:tblPr>
        <w:tblW w:w="9648" w:type="dxa"/>
        <w:tblLayout w:type="fixed"/>
        <w:tblLook w:val="0000"/>
      </w:tblPr>
      <w:tblGrid>
        <w:gridCol w:w="4698"/>
        <w:gridCol w:w="720"/>
        <w:gridCol w:w="4230"/>
      </w:tblGrid>
      <w:tr w:rsidTr="00F37108">
        <w:tblPrEx>
          <w:tblW w:w="9648" w:type="dxa"/>
          <w:tblLayout w:type="fixed"/>
          <w:tblLook w:val="0000"/>
        </w:tblPrEx>
        <w:tc>
          <w:tcPr>
            <w:tcW w:w="4698" w:type="dxa"/>
          </w:tcPr>
          <w:p w:rsidR="00F37108">
            <w:pPr>
              <w:ind w:right="-18"/>
            </w:pPr>
            <w:r>
              <w:tab/>
            </w:r>
            <w:r>
              <w:tab/>
            </w:r>
            <w:r>
              <w:tab/>
            </w:r>
          </w:p>
          <w:p w:rsidR="0037767F">
            <w:pPr>
              <w:ind w:right="-18"/>
              <w:rPr>
                <w:szCs w:val="22"/>
              </w:rPr>
            </w:pPr>
          </w:p>
          <w:p w:rsidR="005F3A0F">
            <w:pPr>
              <w:ind w:right="-18"/>
              <w:rPr>
                <w:szCs w:val="22"/>
              </w:rPr>
            </w:pPr>
            <w:r>
              <w:rPr>
                <w:szCs w:val="22"/>
              </w:rPr>
              <w:t>In the Matter of</w:t>
            </w:r>
          </w:p>
          <w:p w:rsidR="005F3A0F">
            <w:pPr>
              <w:ind w:right="-18"/>
              <w:rPr>
                <w:szCs w:val="22"/>
              </w:rPr>
            </w:pPr>
          </w:p>
          <w:p w:rsidR="008E6C07" w:rsidP="00EC37EE">
            <w:pPr>
              <w:ind w:right="-18"/>
              <w:rPr>
                <w:color w:val="000000"/>
                <w:szCs w:val="22"/>
              </w:rPr>
            </w:pPr>
            <w:r>
              <w:rPr>
                <w:color w:val="000000"/>
                <w:szCs w:val="22"/>
              </w:rPr>
              <w:t xml:space="preserve">State of Maine – </w:t>
            </w:r>
          </w:p>
          <w:p w:rsidR="00693695" w:rsidRPr="009C0C43" w:rsidP="00EC37EE">
            <w:pPr>
              <w:ind w:right="-18"/>
              <w:rPr>
                <w:color w:val="000000"/>
                <w:szCs w:val="22"/>
              </w:rPr>
            </w:pPr>
            <w:r>
              <w:rPr>
                <w:color w:val="000000"/>
                <w:szCs w:val="22"/>
              </w:rPr>
              <w:t>MSCommNet Project</w:t>
            </w:r>
          </w:p>
        </w:tc>
        <w:tc>
          <w:tcPr>
            <w:tcW w:w="720" w:type="dxa"/>
          </w:tcPr>
          <w:p w:rsidR="005F3A0F">
            <w:pPr>
              <w:rPr>
                <w:b/>
                <w:szCs w:val="22"/>
              </w:rPr>
            </w:pPr>
          </w:p>
          <w:p w:rsidR="005F3A0F">
            <w:pPr>
              <w:rPr>
                <w:b/>
                <w:szCs w:val="22"/>
              </w:rPr>
            </w:pPr>
            <w:r>
              <w:rPr>
                <w:b/>
                <w:szCs w:val="22"/>
              </w:rPr>
              <w:t>)</w:t>
            </w:r>
          </w:p>
          <w:p w:rsidR="005F3A0F">
            <w:pPr>
              <w:rPr>
                <w:b/>
                <w:szCs w:val="22"/>
              </w:rPr>
            </w:pPr>
            <w:r>
              <w:rPr>
                <w:b/>
                <w:szCs w:val="22"/>
              </w:rPr>
              <w:t>)</w:t>
            </w:r>
          </w:p>
          <w:p w:rsidR="005F3A0F">
            <w:pPr>
              <w:rPr>
                <w:b/>
                <w:szCs w:val="22"/>
              </w:rPr>
            </w:pPr>
            <w:r>
              <w:rPr>
                <w:b/>
                <w:szCs w:val="22"/>
              </w:rPr>
              <w:t>)</w:t>
            </w:r>
          </w:p>
          <w:p w:rsidR="005F3A0F">
            <w:pPr>
              <w:rPr>
                <w:b/>
                <w:szCs w:val="22"/>
              </w:rPr>
            </w:pPr>
            <w:r>
              <w:rPr>
                <w:b/>
                <w:szCs w:val="22"/>
              </w:rPr>
              <w:t>)</w:t>
            </w:r>
          </w:p>
          <w:p w:rsidR="005F3A0F">
            <w:pPr>
              <w:rPr>
                <w:b/>
                <w:szCs w:val="22"/>
              </w:rPr>
            </w:pPr>
            <w:r>
              <w:rPr>
                <w:b/>
                <w:szCs w:val="22"/>
              </w:rPr>
              <w:t>)</w:t>
            </w:r>
          </w:p>
          <w:p w:rsidR="005F3A0F">
            <w:pPr>
              <w:rPr>
                <w:b/>
                <w:szCs w:val="22"/>
              </w:rPr>
            </w:pPr>
            <w:r>
              <w:rPr>
                <w:b/>
                <w:szCs w:val="22"/>
              </w:rPr>
              <w:t>)</w:t>
            </w:r>
          </w:p>
          <w:p w:rsidR="005F3A0F">
            <w:pPr>
              <w:rPr>
                <w:b/>
                <w:szCs w:val="22"/>
              </w:rPr>
            </w:pPr>
            <w:r>
              <w:rPr>
                <w:b/>
                <w:szCs w:val="22"/>
              </w:rPr>
              <w:t>)</w:t>
            </w:r>
          </w:p>
        </w:tc>
        <w:tc>
          <w:tcPr>
            <w:tcW w:w="4230" w:type="dxa"/>
          </w:tcPr>
          <w:p w:rsidR="005F3A0F" w:rsidRPr="0037767F">
            <w:pPr>
              <w:rPr>
                <w:szCs w:val="22"/>
              </w:rPr>
            </w:pPr>
          </w:p>
          <w:p w:rsidR="005F3A0F" w:rsidRPr="0037767F">
            <w:pPr>
              <w:rPr>
                <w:szCs w:val="22"/>
              </w:rPr>
            </w:pPr>
          </w:p>
          <w:p w:rsidR="000260AF" w:rsidRPr="0037767F" w:rsidP="00693695">
            <w:r w:rsidRPr="0037767F">
              <w:rPr>
                <w:spacing w:val="-2"/>
                <w:szCs w:val="22"/>
              </w:rPr>
              <w:t>File No</w:t>
            </w:r>
            <w:r w:rsidRPr="0037767F" w:rsidR="00E13409">
              <w:rPr>
                <w:spacing w:val="-2"/>
                <w:szCs w:val="22"/>
              </w:rPr>
              <w:t>s</w:t>
            </w:r>
            <w:r w:rsidRPr="0037767F">
              <w:rPr>
                <w:spacing w:val="-2"/>
                <w:szCs w:val="22"/>
              </w:rPr>
              <w:t>.</w:t>
            </w:r>
            <w:r w:rsidRPr="0037767F" w:rsidR="0037767F">
              <w:rPr>
                <w:spacing w:val="-2"/>
                <w:szCs w:val="22"/>
              </w:rPr>
              <w:t xml:space="preserve"> 0007903503</w:t>
            </w:r>
            <w:r w:rsidR="0037767F">
              <w:rPr>
                <w:spacing w:val="-2"/>
                <w:szCs w:val="22"/>
              </w:rPr>
              <w:t>,</w:t>
            </w:r>
            <w:r w:rsidRPr="0037767F" w:rsidR="0037767F">
              <w:rPr>
                <w:spacing w:val="-2"/>
                <w:szCs w:val="22"/>
              </w:rPr>
              <w:t xml:space="preserve"> </w:t>
            </w:r>
            <w:r w:rsidR="00900AA1">
              <w:rPr>
                <w:spacing w:val="-2"/>
                <w:szCs w:val="22"/>
              </w:rPr>
              <w:t>0007903504</w:t>
            </w:r>
            <w:r w:rsidR="0037767F">
              <w:rPr>
                <w:spacing w:val="-2"/>
                <w:szCs w:val="22"/>
              </w:rPr>
              <w:t xml:space="preserve">, </w:t>
            </w:r>
            <w:r w:rsidRPr="0037767F" w:rsidR="0037767F">
              <w:rPr>
                <w:spacing w:val="-2"/>
                <w:szCs w:val="22"/>
              </w:rPr>
              <w:t>000790350</w:t>
            </w:r>
            <w:r w:rsidR="00900AA1">
              <w:rPr>
                <w:spacing w:val="-2"/>
                <w:szCs w:val="22"/>
              </w:rPr>
              <w:t>5</w:t>
            </w:r>
            <w:r w:rsidR="0037767F">
              <w:rPr>
                <w:spacing w:val="-2"/>
                <w:szCs w:val="22"/>
              </w:rPr>
              <w:t>,</w:t>
            </w:r>
            <w:r w:rsidR="0037767F">
              <w:t xml:space="preserve"> </w:t>
            </w:r>
            <w:r w:rsidR="00900AA1">
              <w:rPr>
                <w:spacing w:val="-2"/>
                <w:szCs w:val="22"/>
              </w:rPr>
              <w:t>0007903506</w:t>
            </w:r>
            <w:r w:rsidR="0037767F">
              <w:rPr>
                <w:spacing w:val="-2"/>
                <w:szCs w:val="22"/>
              </w:rPr>
              <w:t xml:space="preserve">, </w:t>
            </w:r>
            <w:r w:rsidRPr="0037767F" w:rsidR="0037767F">
              <w:rPr>
                <w:spacing w:val="-2"/>
                <w:szCs w:val="22"/>
              </w:rPr>
              <w:t>000790350</w:t>
            </w:r>
            <w:r w:rsidR="00900AA1">
              <w:rPr>
                <w:spacing w:val="-2"/>
                <w:szCs w:val="22"/>
              </w:rPr>
              <w:t>7</w:t>
            </w:r>
            <w:r w:rsidR="0037767F">
              <w:rPr>
                <w:spacing w:val="-2"/>
                <w:szCs w:val="22"/>
              </w:rPr>
              <w:t xml:space="preserve">, </w:t>
            </w:r>
            <w:r w:rsidR="00900AA1">
              <w:rPr>
                <w:spacing w:val="-2"/>
                <w:szCs w:val="22"/>
              </w:rPr>
              <w:t>0007903508</w:t>
            </w:r>
            <w:r w:rsidR="0037767F">
              <w:rPr>
                <w:spacing w:val="-2"/>
                <w:szCs w:val="22"/>
              </w:rPr>
              <w:t xml:space="preserve">, </w:t>
            </w:r>
            <w:r w:rsidRPr="0037767F" w:rsidR="0037767F">
              <w:rPr>
                <w:spacing w:val="-2"/>
                <w:szCs w:val="22"/>
              </w:rPr>
              <w:t>000790350</w:t>
            </w:r>
            <w:r w:rsidR="00900AA1">
              <w:rPr>
                <w:spacing w:val="-2"/>
                <w:szCs w:val="22"/>
              </w:rPr>
              <w:t>9</w:t>
            </w:r>
            <w:r w:rsidR="0037767F">
              <w:rPr>
                <w:spacing w:val="-2"/>
                <w:szCs w:val="22"/>
              </w:rPr>
              <w:t xml:space="preserve">, </w:t>
            </w:r>
            <w:r w:rsidRPr="0037767F" w:rsidR="0037767F">
              <w:rPr>
                <w:spacing w:val="-2"/>
                <w:szCs w:val="22"/>
              </w:rPr>
              <w:t>00079035</w:t>
            </w:r>
            <w:r w:rsidR="00900AA1">
              <w:rPr>
                <w:spacing w:val="-2"/>
                <w:szCs w:val="22"/>
              </w:rPr>
              <w:t>10</w:t>
            </w:r>
            <w:r w:rsidR="0037767F">
              <w:rPr>
                <w:spacing w:val="-2"/>
                <w:szCs w:val="22"/>
              </w:rPr>
              <w:t xml:space="preserve">, </w:t>
            </w:r>
            <w:r w:rsidRPr="0037767F" w:rsidR="0037767F">
              <w:rPr>
                <w:spacing w:val="-2"/>
                <w:szCs w:val="22"/>
              </w:rPr>
              <w:t>00079035</w:t>
            </w:r>
            <w:r w:rsidR="00900AA1">
              <w:rPr>
                <w:spacing w:val="-2"/>
                <w:szCs w:val="22"/>
              </w:rPr>
              <w:t>11</w:t>
            </w:r>
            <w:r w:rsidR="0037767F">
              <w:rPr>
                <w:spacing w:val="-2"/>
                <w:szCs w:val="22"/>
              </w:rPr>
              <w:t xml:space="preserve">, </w:t>
            </w:r>
            <w:r w:rsidRPr="0037767F" w:rsidR="0037767F">
              <w:rPr>
                <w:spacing w:val="-2"/>
                <w:szCs w:val="22"/>
              </w:rPr>
              <w:t>00079035</w:t>
            </w:r>
            <w:r w:rsidR="00900AA1">
              <w:rPr>
                <w:spacing w:val="-2"/>
                <w:szCs w:val="22"/>
              </w:rPr>
              <w:t>12</w:t>
            </w:r>
          </w:p>
        </w:tc>
      </w:tr>
    </w:tbl>
    <w:p w:rsidR="00A5767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680"/>
        </w:tabs>
        <w:jc w:val="center"/>
        <w:rPr>
          <w:rFonts w:ascii="Times New Roman Bold" w:hAnsi="Times New Roman Bold"/>
          <w:b/>
          <w:caps/>
          <w:szCs w:val="22"/>
        </w:rPr>
      </w:pPr>
    </w:p>
    <w:p w:rsidR="00AD1B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680"/>
        </w:tabs>
        <w:jc w:val="center"/>
        <w:rPr>
          <w:rFonts w:ascii="Times New Roman Bold" w:hAnsi="Times New Roman Bold"/>
          <w:b/>
          <w:caps/>
          <w:szCs w:val="22"/>
        </w:rPr>
      </w:pPr>
      <w:r w:rsidRPr="00BB05FB">
        <w:rPr>
          <w:rFonts w:ascii="Times New Roman Bold" w:hAnsi="Times New Roman Bold"/>
          <w:b/>
          <w:caps/>
          <w:szCs w:val="22"/>
        </w:rPr>
        <w:t>ORDER</w:t>
      </w:r>
      <w:r w:rsidR="000F3EDE">
        <w:rPr>
          <w:rFonts w:ascii="Times New Roman Bold" w:hAnsi="Times New Roman Bold"/>
          <w:b/>
          <w:caps/>
          <w:szCs w:val="22"/>
        </w:rPr>
        <w:t xml:space="preserve"> and </w:t>
      </w:r>
      <w:r w:rsidR="000F3EDE">
        <w:rPr>
          <w:b/>
          <w:spacing w:val="-2"/>
          <w:szCs w:val="22"/>
        </w:rPr>
        <w:t>PROPOSED ORDER OF MODIFICATION</w:t>
      </w:r>
    </w:p>
    <w:p w:rsidR="005F3A0F" w:rsidRPr="009C0C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680"/>
        </w:tabs>
        <w:jc w:val="center"/>
        <w:rPr>
          <w:rFonts w:ascii="Times New Roman Bold" w:hAnsi="Times New Roman Bold"/>
          <w:b/>
          <w:caps/>
          <w:szCs w:val="22"/>
          <w:u w:val="single"/>
        </w:rPr>
      </w:pPr>
    </w:p>
    <w:p w:rsidR="005F3A0F">
      <w:pPr>
        <w:tabs>
          <w:tab w:val="left" w:pos="5760"/>
        </w:tabs>
        <w:jc w:val="both"/>
        <w:rPr>
          <w:b/>
          <w:szCs w:val="22"/>
        </w:rPr>
      </w:pPr>
      <w:r w:rsidRPr="00BB05FB">
        <w:rPr>
          <w:b/>
          <w:szCs w:val="22"/>
        </w:rPr>
        <w:t xml:space="preserve">Adopted:  </w:t>
      </w:r>
      <w:r w:rsidR="00EA00CC">
        <w:rPr>
          <w:b/>
          <w:szCs w:val="22"/>
        </w:rPr>
        <w:t>October 22, 2018</w:t>
      </w:r>
      <w:r w:rsidRPr="00BB05FB">
        <w:rPr>
          <w:b/>
          <w:szCs w:val="22"/>
        </w:rPr>
        <w:t xml:space="preserve">                                </w:t>
      </w:r>
      <w:r w:rsidRPr="00BB05FB">
        <w:rPr>
          <w:b/>
          <w:szCs w:val="22"/>
        </w:rPr>
        <w:t xml:space="preserve">                    </w:t>
      </w:r>
      <w:r w:rsidRPr="00BB05FB" w:rsidR="00074854">
        <w:rPr>
          <w:b/>
          <w:szCs w:val="22"/>
        </w:rPr>
        <w:t xml:space="preserve">        </w:t>
      </w:r>
      <w:r w:rsidR="00EA00CC">
        <w:rPr>
          <w:b/>
          <w:szCs w:val="22"/>
        </w:rPr>
        <w:tab/>
      </w:r>
      <w:r w:rsidRPr="00BB05FB">
        <w:rPr>
          <w:b/>
          <w:szCs w:val="22"/>
        </w:rPr>
        <w:t xml:space="preserve">Released:  </w:t>
      </w:r>
      <w:r w:rsidR="00EA00CC">
        <w:rPr>
          <w:b/>
          <w:szCs w:val="22"/>
        </w:rPr>
        <w:t>October 22, 2018</w:t>
      </w:r>
    </w:p>
    <w:p w:rsidR="005F3A0F">
      <w:pPr>
        <w:tabs>
          <w:tab w:val="left" w:pos="5760"/>
        </w:tabs>
        <w:jc w:val="both"/>
        <w:rPr>
          <w:b/>
          <w:szCs w:val="22"/>
        </w:rPr>
      </w:pPr>
    </w:p>
    <w:p w:rsidR="005F3A0F">
      <w:pPr>
        <w:tabs>
          <w:tab w:val="left" w:pos="5760"/>
        </w:tabs>
        <w:jc w:val="both"/>
        <w:rPr>
          <w:bCs/>
          <w:szCs w:val="22"/>
        </w:rPr>
      </w:pPr>
      <w:r>
        <w:rPr>
          <w:bCs/>
          <w:szCs w:val="22"/>
        </w:rPr>
        <w:t>By</w:t>
      </w:r>
      <w:r w:rsidR="00AD1BF7">
        <w:rPr>
          <w:bCs/>
          <w:szCs w:val="22"/>
        </w:rPr>
        <w:t xml:space="preserve"> the Chief, </w:t>
      </w:r>
      <w:r w:rsidR="001C3144">
        <w:rPr>
          <w:bCs/>
          <w:szCs w:val="22"/>
        </w:rPr>
        <w:t>Mobility Division</w:t>
      </w:r>
      <w:r w:rsidR="00F56EB8">
        <w:rPr>
          <w:bCs/>
          <w:szCs w:val="22"/>
        </w:rPr>
        <w:t xml:space="preserve">, </w:t>
      </w:r>
      <w:r w:rsidR="00AD1BF7">
        <w:rPr>
          <w:bCs/>
          <w:szCs w:val="22"/>
        </w:rPr>
        <w:t>Wir</w:t>
      </w:r>
      <w:r>
        <w:rPr>
          <w:bCs/>
          <w:spacing w:val="-2"/>
          <w:szCs w:val="22"/>
        </w:rPr>
        <w:t xml:space="preserve">eless Telecommunications </w:t>
      </w:r>
      <w:r w:rsidR="00AD1BF7">
        <w:rPr>
          <w:bCs/>
          <w:spacing w:val="-2"/>
          <w:szCs w:val="22"/>
        </w:rPr>
        <w:t>B</w:t>
      </w:r>
      <w:r>
        <w:rPr>
          <w:bCs/>
          <w:spacing w:val="-2"/>
          <w:szCs w:val="22"/>
        </w:rPr>
        <w:t xml:space="preserve">ureau: </w:t>
      </w:r>
    </w:p>
    <w:p w:rsidR="005F3A0F">
      <w:pPr>
        <w:tabs>
          <w:tab w:val="left" w:pos="5760"/>
        </w:tabs>
        <w:jc w:val="both"/>
        <w:rPr>
          <w:b/>
          <w:szCs w:val="22"/>
        </w:rPr>
      </w:pPr>
    </w:p>
    <w:p w:rsidR="00AF54E3" w:rsidP="001A1B0B">
      <w:pPr>
        <w:pStyle w:val="ParaNum"/>
      </w:pPr>
      <w:r>
        <w:rPr>
          <w:i/>
        </w:rPr>
        <w:t xml:space="preserve">Introduction.  </w:t>
      </w:r>
      <w:r w:rsidR="001956E3">
        <w:t xml:space="preserve">In this Order, the Mobility Division (Division) of the Wireless Telecommunications Bureau (Bureau) addresses the </w:t>
      </w:r>
      <w:r w:rsidR="00EC37EE">
        <w:t>request</w:t>
      </w:r>
      <w:r w:rsidRPr="008A76EE" w:rsidR="008A76EE">
        <w:t xml:space="preserve"> </w:t>
      </w:r>
      <w:r w:rsidR="00D44785">
        <w:t xml:space="preserve">by the </w:t>
      </w:r>
      <w:r w:rsidRPr="00BB05FB" w:rsidR="00BB05FB">
        <w:t xml:space="preserve">State of Maine </w:t>
      </w:r>
      <w:r>
        <w:t xml:space="preserve">(Maine or the </w:t>
      </w:r>
      <w:r w:rsidR="004A3578">
        <w:t>S</w:t>
      </w:r>
      <w:r>
        <w:t xml:space="preserve">tate) </w:t>
      </w:r>
      <w:r w:rsidRPr="00F56EB8" w:rsidR="008A76EE">
        <w:t xml:space="preserve">for </w:t>
      </w:r>
      <w:r w:rsidR="00852549">
        <w:t>a</w:t>
      </w:r>
      <w:r w:rsidR="004058CF">
        <w:t xml:space="preserve"> waiver to </w:t>
      </w:r>
      <w:r w:rsidR="00852549">
        <w:t>exten</w:t>
      </w:r>
      <w:r w:rsidR="004058CF">
        <w:t>d</w:t>
      </w:r>
      <w:r w:rsidR="00C668D1">
        <w:t xml:space="preserve"> the construction deadline </w:t>
      </w:r>
      <w:r w:rsidR="004A3578">
        <w:t xml:space="preserve">for </w:t>
      </w:r>
      <w:r>
        <w:t>ten Part 22</w:t>
      </w:r>
      <w:r w:rsidR="00612693">
        <w:t xml:space="preserve"> Paging</w:t>
      </w:r>
      <w:r w:rsidR="004A3578">
        <w:t xml:space="preserve"> and Radiotelephone Service</w:t>
      </w:r>
      <w:r>
        <w:t xml:space="preserve"> </w:t>
      </w:r>
      <w:r w:rsidR="00612693">
        <w:t xml:space="preserve">(paging) </w:t>
      </w:r>
      <w:r>
        <w:t>licenses</w:t>
      </w:r>
      <w:r w:rsidR="004A3578">
        <w:t>.  Maine operates</w:t>
      </w:r>
      <w:r>
        <w:t xml:space="preserve"> </w:t>
      </w:r>
      <w:r w:rsidR="004A3578">
        <w:t xml:space="preserve">the licenses </w:t>
      </w:r>
      <w:r>
        <w:t xml:space="preserve">as a part of </w:t>
      </w:r>
      <w:r w:rsidR="000849D5">
        <w:t xml:space="preserve">the Maine State Communications Network (MSCommNet), </w:t>
      </w:r>
      <w:r>
        <w:t>a statewide,</w:t>
      </w:r>
      <w:r w:rsidRPr="00AF54E3">
        <w:t xml:space="preserve"> </w:t>
      </w:r>
      <w:r>
        <w:t>interoperable public safety communications network</w:t>
      </w:r>
      <w:r w:rsidR="00953305">
        <w:t>.</w:t>
      </w:r>
      <w:r>
        <w:rPr>
          <w:rStyle w:val="FootnoteReference"/>
        </w:rPr>
        <w:footnoteReference w:id="3"/>
      </w:r>
      <w:r w:rsidR="00953305">
        <w:t xml:space="preserve">  </w:t>
      </w:r>
      <w:r w:rsidRPr="00F56EB8" w:rsidR="003E6E9E">
        <w:t xml:space="preserve">For the reasons stated below, </w:t>
      </w:r>
      <w:r w:rsidR="00EB3FE6">
        <w:t xml:space="preserve">the Division </w:t>
      </w:r>
      <w:r w:rsidR="00F27B59">
        <w:t xml:space="preserve">denies </w:t>
      </w:r>
      <w:r>
        <w:t>the request for extension and finds</w:t>
      </w:r>
      <w:r w:rsidR="003F182B">
        <w:t xml:space="preserve"> that Maine did not satisfy the</w:t>
      </w:r>
      <w:r>
        <w:t xml:space="preserve"> construction </w:t>
      </w:r>
      <w:r w:rsidR="003F182B">
        <w:t>requirement</w:t>
      </w:r>
      <w:r>
        <w:t xml:space="preserve"> for these licenses</w:t>
      </w:r>
      <w:r w:rsidR="00595546">
        <w:t>.</w:t>
      </w:r>
    </w:p>
    <w:p w:rsidR="00AF54E3" w:rsidRPr="00C63C19" w:rsidP="001A1B0B">
      <w:pPr>
        <w:pStyle w:val="ParaNum"/>
      </w:pPr>
      <w:r>
        <w:t xml:space="preserve">Based on our review of the record, </w:t>
      </w:r>
      <w:r w:rsidR="00B35BA9">
        <w:t xml:space="preserve">however, </w:t>
      </w:r>
      <w:r>
        <w:t>w</w:t>
      </w:r>
      <w:r>
        <w:t>e find</w:t>
      </w:r>
      <w:r w:rsidR="00612693">
        <w:t xml:space="preserve"> on our own motion</w:t>
      </w:r>
      <w:r>
        <w:t xml:space="preserve"> that the public interest </w:t>
      </w:r>
      <w:r w:rsidR="00BF1284">
        <w:t>support</w:t>
      </w:r>
      <w:r w:rsidR="00D903AD">
        <w:t>s</w:t>
      </w:r>
      <w:r>
        <w:t xml:space="preserve"> </w:t>
      </w:r>
      <w:r w:rsidRPr="00A4239C" w:rsidR="00456C1E">
        <w:t xml:space="preserve">a </w:t>
      </w:r>
      <w:r w:rsidRPr="00A4239C" w:rsidR="003F6828">
        <w:t xml:space="preserve">partial </w:t>
      </w:r>
      <w:r w:rsidRPr="00A4239C" w:rsidR="00456C1E">
        <w:t>waiver</w:t>
      </w:r>
      <w:r w:rsidR="00456C1E">
        <w:t xml:space="preserve"> </w:t>
      </w:r>
      <w:r>
        <w:t>of the construction requirement</w:t>
      </w:r>
      <w:r w:rsidR="00382467">
        <w:t>s</w:t>
      </w:r>
      <w:r>
        <w:t xml:space="preserve"> and of relevant technical rules</w:t>
      </w:r>
      <w:r w:rsidR="00612693">
        <w:t xml:space="preserve"> to the extent </w:t>
      </w:r>
      <w:r w:rsidR="00B35BA9">
        <w:t>necessary</w:t>
      </w:r>
      <w:r w:rsidR="00612693">
        <w:t xml:space="preserve"> to permit </w:t>
      </w:r>
      <w:r w:rsidR="000849D5">
        <w:t>continue</w:t>
      </w:r>
      <w:r w:rsidR="00612693">
        <w:t>d</w:t>
      </w:r>
      <w:r w:rsidR="000849D5">
        <w:t xml:space="preserve"> operation</w:t>
      </w:r>
      <w:r w:rsidR="00612693">
        <w:t xml:space="preserve"> on the Part 22 paging frequencies</w:t>
      </w:r>
      <w:r w:rsidR="00323929">
        <w:t xml:space="preserve"> in use</w:t>
      </w:r>
      <w:r w:rsidR="00ED6A5C">
        <w:t xml:space="preserve"> as of</w:t>
      </w:r>
      <w:r w:rsidR="009C5379">
        <w:t xml:space="preserve"> September 1, 2017</w:t>
      </w:r>
      <w:r w:rsidR="00C7458C">
        <w:t xml:space="preserve">, and supports a limited grant of special temporary authority to operate while </w:t>
      </w:r>
      <w:r w:rsidR="003F6828">
        <w:t xml:space="preserve">Maine </w:t>
      </w:r>
      <w:r w:rsidR="00C7458C">
        <w:t>bring</w:t>
      </w:r>
      <w:r w:rsidR="003F6828">
        <w:t>s</w:t>
      </w:r>
      <w:r w:rsidR="00C7458C">
        <w:t xml:space="preserve"> the system into compliance with our rules</w:t>
      </w:r>
      <w:r w:rsidR="0076320A">
        <w:t xml:space="preserve">.  </w:t>
      </w:r>
      <w:r w:rsidR="00B35BA9">
        <w:t xml:space="preserve">In light </w:t>
      </w:r>
      <w:r w:rsidR="0076320A">
        <w:t>of these waivers</w:t>
      </w:r>
      <w:r>
        <w:t>,</w:t>
      </w:r>
      <w:r w:rsidR="0076320A">
        <w:t xml:space="preserve"> we also propose to modify the geographic license area for the ten licenses at issue.  The </w:t>
      </w:r>
      <w:r>
        <w:t xml:space="preserve">technical </w:t>
      </w:r>
      <w:r w:rsidR="0076320A">
        <w:t>waivers are</w:t>
      </w:r>
      <w:r>
        <w:t xml:space="preserve"> conditioned on Maine </w:t>
      </w:r>
      <w:r>
        <w:t xml:space="preserve">obtaining </w:t>
      </w:r>
      <w:r w:rsidR="0076320A">
        <w:t>consent of relevant other licensees and completing</w:t>
      </w:r>
      <w:r w:rsidR="00E0617A">
        <w:t xml:space="preserve"> required</w:t>
      </w:r>
      <w:r w:rsidR="0076320A">
        <w:t xml:space="preserve"> international coordination within six months.  </w:t>
      </w:r>
      <w:r>
        <w:t xml:space="preserve">We conclude that such relief is in the public interest given the unique factual circumstances involved and that the conditions will promote use of spectrum for important public safety functions, while </w:t>
      </w:r>
      <w:r w:rsidR="00E0617A">
        <w:t xml:space="preserve">protecting against </w:t>
      </w:r>
      <w:r>
        <w:t>harmful interfe</w:t>
      </w:r>
      <w:r w:rsidR="00382467">
        <w:t>rence</w:t>
      </w:r>
      <w:r w:rsidR="00E0617A">
        <w:t xml:space="preserve"> to adjacent licensees</w:t>
      </w:r>
      <w:r>
        <w:t>.</w:t>
      </w:r>
    </w:p>
    <w:p w:rsidR="006D7B4A" w:rsidRPr="004B27AC" w:rsidP="00EE7C02">
      <w:pPr>
        <w:pStyle w:val="Heading1"/>
      </w:pPr>
      <w:r w:rsidRPr="004B27AC">
        <w:t>BACKGROUND</w:t>
      </w:r>
    </w:p>
    <w:p w:rsidR="008B6B17" w:rsidRPr="008B6B17" w:rsidP="00B35BA9">
      <w:pPr>
        <w:pStyle w:val="ParaNum"/>
        <w:rPr>
          <w:snapToGrid/>
          <w:kern w:val="0"/>
          <w:sz w:val="24"/>
          <w:szCs w:val="24"/>
        </w:rPr>
      </w:pPr>
      <w:r w:rsidRPr="003F5C77">
        <w:rPr>
          <w:i/>
        </w:rPr>
        <w:t xml:space="preserve">Construction Requirements.  </w:t>
      </w:r>
      <w:r w:rsidRPr="00E47B14">
        <w:t>Section 22.503(k) of the Commission's rules</w:t>
      </w:r>
      <w:r>
        <w:t xml:space="preserve"> requires </w:t>
      </w:r>
      <w:r w:rsidR="00B35BA9">
        <w:t xml:space="preserve">a </w:t>
      </w:r>
      <w:r>
        <w:t xml:space="preserve">Part 22 </w:t>
      </w:r>
      <w:r w:rsidR="00612693">
        <w:t xml:space="preserve">paging </w:t>
      </w:r>
      <w:r>
        <w:t>licensee to</w:t>
      </w:r>
      <w:r w:rsidRPr="00E47B14">
        <w:t xml:space="preserve"> construct and operate sufficient facilities to cover one-third of the population in its paging geographic area no later than three years after th</w:t>
      </w:r>
      <w:r>
        <w:t>e initial grant of its license, and cover two-thirds of the population within the final five-year deadline.</w:t>
      </w:r>
      <w:r>
        <w:rPr>
          <w:rStyle w:val="FootnoteReference"/>
        </w:rPr>
        <w:footnoteReference w:id="4"/>
      </w:r>
      <w:r w:rsidRPr="00E47B14">
        <w:t xml:space="preserve"> </w:t>
      </w:r>
      <w:r>
        <w:t xml:space="preserve"> </w:t>
      </w:r>
      <w:r w:rsidRPr="00E47B14">
        <w:t xml:space="preserve">A licensee may notify </w:t>
      </w:r>
      <w:r>
        <w:t>the Commission</w:t>
      </w:r>
      <w:r w:rsidRPr="00E47B14">
        <w:t xml:space="preserve"> at the three-year deadline </w:t>
      </w:r>
      <w:r>
        <w:t xml:space="preserve">that it </w:t>
      </w:r>
      <w:r w:rsidR="006A0F8B">
        <w:t xml:space="preserve">elects </w:t>
      </w:r>
      <w:r>
        <w:t>the alternative of providing</w:t>
      </w:r>
      <w:r w:rsidRPr="00E47B14">
        <w:t xml:space="preserve"> </w:t>
      </w:r>
      <w:r>
        <w:t>“</w:t>
      </w:r>
      <w:r w:rsidRPr="00E47B14">
        <w:t>substantial service</w:t>
      </w:r>
      <w:r>
        <w:t>”</w:t>
      </w:r>
      <w:r w:rsidRPr="00E47B14">
        <w:t xml:space="preserve"> in the paging geographic area </w:t>
      </w:r>
      <w:r>
        <w:t>by</w:t>
      </w:r>
      <w:r w:rsidRPr="00E47B14">
        <w:t xml:space="preserve"> the five-year constru</w:t>
      </w:r>
      <w:r>
        <w:t>ction deadline for the license.</w:t>
      </w:r>
      <w:r>
        <w:rPr>
          <w:rStyle w:val="FootnoteReference"/>
        </w:rPr>
        <w:footnoteReference w:id="5"/>
      </w:r>
      <w:r w:rsidRPr="00E47B14">
        <w:t xml:space="preserve"> </w:t>
      </w:r>
      <w:r>
        <w:t xml:space="preserve"> </w:t>
      </w:r>
      <w:r w:rsidRPr="00AB11D4" w:rsidR="006224FE">
        <w:t xml:space="preserve">Section 22.503(k)(3) defines “substantial service” </w:t>
      </w:r>
      <w:r w:rsidRPr="00AB11D4" w:rsidR="006224FE">
        <w:t>as service that is “sound, favorable, and substantially above a level of mediocre service that would barely warrant renewal.”</w:t>
      </w:r>
      <w:r>
        <w:rPr>
          <w:rStyle w:val="FootnoteReference"/>
        </w:rPr>
        <w:footnoteReference w:id="6"/>
      </w:r>
      <w:r w:rsidR="002246B5">
        <w:t xml:space="preserve">  If a licensee fails to make the required showing, the license automatically terminates as of the construction deadline.</w:t>
      </w:r>
      <w:r>
        <w:rPr>
          <w:rStyle w:val="FootnoteReference"/>
        </w:rPr>
        <w:footnoteReference w:id="7"/>
      </w:r>
      <w:r w:rsidR="00E0617A">
        <w:t xml:space="preserve"> </w:t>
      </w:r>
      <w:r w:rsidR="00220890">
        <w:t xml:space="preserve"> </w:t>
      </w:r>
      <w:r w:rsidRPr="00220890">
        <w:t xml:space="preserve">Licensees must file </w:t>
      </w:r>
      <w:r w:rsidR="00AB3EF0">
        <w:t xml:space="preserve">separate </w:t>
      </w:r>
      <w:r w:rsidRPr="00220890">
        <w:t>notifications showing they have met the construction requirements for each license.</w:t>
      </w:r>
      <w:r>
        <w:rPr>
          <w:vertAlign w:val="superscript"/>
        </w:rPr>
        <w:footnoteReference w:id="8"/>
      </w:r>
    </w:p>
    <w:p w:rsidR="003F5C77" w:rsidP="001A1B0B">
      <w:pPr>
        <w:pStyle w:val="ParaNum"/>
      </w:pPr>
      <w:r w:rsidRPr="00AB4078">
        <w:rPr>
          <w:i/>
        </w:rPr>
        <w:t>Canadian Coordination</w:t>
      </w:r>
      <w:r>
        <w:rPr>
          <w:i/>
        </w:rPr>
        <w:t xml:space="preserve"> Requirements</w:t>
      </w:r>
      <w:r>
        <w:t xml:space="preserve">. </w:t>
      </w:r>
      <w:r w:rsidRPr="00AB4078">
        <w:t>The Commission is bound by international agreement to coordinate with the Canadian government when a U.S. applicant proposes to operate stations</w:t>
      </w:r>
      <w:r w:rsidR="00D903AD">
        <w:t xml:space="preserve"> north of “Line A”</w:t>
      </w:r>
      <w:r w:rsidRPr="00AB4078">
        <w:t xml:space="preserve"> using fr</w:t>
      </w:r>
      <w:r>
        <w:t>equencies in the 30-174 MHz band</w:t>
      </w:r>
      <w:r w:rsidR="00D903AD">
        <w:t>.</w:t>
      </w:r>
      <w:r>
        <w:rPr>
          <w:rStyle w:val="FootnoteReference"/>
        </w:rPr>
        <w:footnoteReference w:id="9"/>
      </w:r>
      <w:r>
        <w:t xml:space="preserve">  </w:t>
      </w:r>
      <w:r w:rsidR="00674A21">
        <w:t>Line A is an imaginary line within the U.S. approximately paralleling the U.S.-Canadian border.</w:t>
      </w:r>
      <w:r>
        <w:rPr>
          <w:rStyle w:val="FootnoteReference"/>
        </w:rPr>
        <w:footnoteReference w:id="10"/>
      </w:r>
      <w:r w:rsidR="00674A21">
        <w:t xml:space="preserve">  </w:t>
      </w:r>
      <w:r w:rsidRPr="00AB4078">
        <w:t xml:space="preserve">Licensees </w:t>
      </w:r>
      <w:r>
        <w:t>may not</w:t>
      </w:r>
      <w:r w:rsidRPr="00AB4078">
        <w:t xml:space="preserve"> include a transmitter site located north of Line A for the purpose of meeting their construction obligations until Canada has approved the proposed s</w:t>
      </w:r>
      <w:r w:rsidR="00D903AD">
        <w:t>ite</w:t>
      </w:r>
      <w:r w:rsidRPr="00AB4078">
        <w:t>.</w:t>
      </w:r>
      <w:r>
        <w:rPr>
          <w:rStyle w:val="FootnoteReference"/>
        </w:rPr>
        <w:footnoteReference w:id="11"/>
      </w:r>
    </w:p>
    <w:p w:rsidR="001D4260" w:rsidP="001A1B0B">
      <w:pPr>
        <w:pStyle w:val="ParaNum"/>
      </w:pPr>
      <w:r>
        <w:rPr>
          <w:i/>
        </w:rPr>
        <w:t xml:space="preserve">Procedural History. </w:t>
      </w:r>
      <w:r>
        <w:t xml:space="preserve"> </w:t>
      </w:r>
      <w:r>
        <w:t xml:space="preserve">In the early 2000s, Maine began development of MSCommNet, an upgraded </w:t>
      </w:r>
      <w:r w:rsidR="0099766F">
        <w:t>state</w:t>
      </w:r>
      <w:r w:rsidRPr="0099766F" w:rsidR="0099766F">
        <w:t>wide public safety</w:t>
      </w:r>
      <w:r w:rsidR="003C6169">
        <w:t>/law enforcement</w:t>
      </w:r>
      <w:r w:rsidRPr="0099766F" w:rsidR="0099766F">
        <w:t xml:space="preserve"> radio communications network</w:t>
      </w:r>
      <w:r>
        <w:t xml:space="preserve"> serving the state’s law enforcement and public safety and public service agencies.</w:t>
      </w:r>
      <w:r>
        <w:rPr>
          <w:rStyle w:val="FootnoteReference"/>
        </w:rPr>
        <w:footnoteReference w:id="12"/>
      </w:r>
      <w:r>
        <w:t xml:space="preserve">  </w:t>
      </w:r>
      <w:r w:rsidR="00EB3FE6">
        <w:t xml:space="preserve">Maine described </w:t>
      </w:r>
      <w:r>
        <w:t>the prior</w:t>
      </w:r>
      <w:r w:rsidR="0099766F">
        <w:t xml:space="preserve"> systems</w:t>
      </w:r>
      <w:r w:rsidRPr="0099766F" w:rsidR="0099766F">
        <w:t xml:space="preserve"> as “outdated, difficult to maintain, and no longer adequate to serve respectiv</w:t>
      </w:r>
      <w:r w:rsidR="0099766F">
        <w:t>e departments’ critical needs,” and as suffering increasing outages, among other issues related to their obsolescence.</w:t>
      </w:r>
      <w:r>
        <w:rPr>
          <w:rStyle w:val="FootnoteReference"/>
        </w:rPr>
        <w:footnoteReference w:id="13"/>
      </w:r>
      <w:r w:rsidRPr="0099766F" w:rsidR="0099766F">
        <w:t xml:space="preserve"> </w:t>
      </w:r>
      <w:r w:rsidR="0099766F">
        <w:t xml:space="preserve"> </w:t>
      </w:r>
      <w:r>
        <w:t>MSCommNet</w:t>
      </w:r>
      <w:r w:rsidRPr="0099766F">
        <w:t xml:space="preserve"> </w:t>
      </w:r>
      <w:r>
        <w:t xml:space="preserve">would consolidate these multiple independent systems, </w:t>
      </w:r>
      <w:r w:rsidRPr="0099766F">
        <w:t>build</w:t>
      </w:r>
      <w:r>
        <w:t xml:space="preserve">ing out a </w:t>
      </w:r>
      <w:r w:rsidRPr="0099766F">
        <w:t xml:space="preserve">trunked statewide </w:t>
      </w:r>
      <w:r w:rsidR="00DE1C22">
        <w:t>private land mobile radio</w:t>
      </w:r>
      <w:r w:rsidRPr="0099766F">
        <w:t xml:space="preserve"> system using </w:t>
      </w:r>
      <w:r>
        <w:t>frequencies in the VHF band.</w:t>
      </w:r>
      <w:r>
        <w:rPr>
          <w:rStyle w:val="FootnoteReference"/>
        </w:rPr>
        <w:footnoteReference w:id="14"/>
      </w:r>
      <w:r>
        <w:t xml:space="preserve">  </w:t>
      </w:r>
      <w:r w:rsidR="002F0111">
        <w:t>In the course of planning the network, Maine was unable to find sufficient public safety channels in the VHF band to meet the system’s requirements, and sought additional spectrum.</w:t>
      </w:r>
      <w:r>
        <w:rPr>
          <w:rStyle w:val="FootnoteReference"/>
        </w:rPr>
        <w:footnoteReference w:id="15"/>
      </w:r>
    </w:p>
    <w:p w:rsidR="000271A8" w:rsidP="001A1B0B">
      <w:pPr>
        <w:pStyle w:val="ParaNum"/>
      </w:pPr>
      <w:r>
        <w:t>In 2010, the Commission held Auction 87 for licenses in the lower and upper paging bands.</w:t>
      </w:r>
      <w:r>
        <w:rPr>
          <w:rStyle w:val="FootnoteReference"/>
        </w:rPr>
        <w:footnoteReference w:id="16"/>
      </w:r>
      <w:r>
        <w:t xml:space="preserve">  </w:t>
      </w:r>
      <w:r w:rsidR="006224FE">
        <w:t>The ten licenses a</w:t>
      </w:r>
      <w:r>
        <w:t>t</w:t>
      </w:r>
      <w:r w:rsidR="006224FE">
        <w:t xml:space="preserve"> issue </w:t>
      </w:r>
      <w:r>
        <w:t xml:space="preserve">here </w:t>
      </w:r>
      <w:r w:rsidR="004058CF">
        <w:t xml:space="preserve">transmit on </w:t>
      </w:r>
      <w:r w:rsidR="00FC0B26">
        <w:t xml:space="preserve">Part 22 </w:t>
      </w:r>
      <w:r w:rsidR="004058CF">
        <w:t xml:space="preserve">VHF </w:t>
      </w:r>
      <w:r w:rsidR="00C12A63">
        <w:t>p</w:t>
      </w:r>
      <w:r w:rsidR="00FC0B26">
        <w:t xml:space="preserve">aging </w:t>
      </w:r>
      <w:r w:rsidR="004058CF">
        <w:t xml:space="preserve">channels and </w:t>
      </w:r>
      <w:r w:rsidR="006224FE">
        <w:t>were granted to Ha</w:t>
      </w:r>
      <w:r w:rsidR="009A7190">
        <w:t>rris Corporation o</w:t>
      </w:r>
      <w:r w:rsidR="00272021">
        <w:t xml:space="preserve">n November </w:t>
      </w:r>
      <w:r w:rsidR="009A7190">
        <w:t xml:space="preserve">3, </w:t>
      </w:r>
      <w:r w:rsidR="006224FE">
        <w:t>2010</w:t>
      </w:r>
      <w:r w:rsidR="00272021">
        <w:t>, creating a three-year construction deadline of November</w:t>
      </w:r>
      <w:r w:rsidR="009A7190">
        <w:t xml:space="preserve"> 3,</w:t>
      </w:r>
      <w:r w:rsidR="00272021">
        <w:t xml:space="preserve"> 2013 and a five-year deadline of November </w:t>
      </w:r>
      <w:r w:rsidR="009A7190">
        <w:t xml:space="preserve">3, </w:t>
      </w:r>
      <w:r w:rsidR="00272021">
        <w:t>2015</w:t>
      </w:r>
      <w:r w:rsidR="006224FE">
        <w:t>.</w:t>
      </w:r>
      <w:r>
        <w:rPr>
          <w:rStyle w:val="FootnoteReference"/>
        </w:rPr>
        <w:footnoteReference w:id="17"/>
      </w:r>
      <w:r w:rsidR="006224FE">
        <w:t xml:space="preserve">  </w:t>
      </w:r>
    </w:p>
    <w:p w:rsidR="0043648B" w:rsidP="001A1B0B">
      <w:pPr>
        <w:pStyle w:val="ParaNum"/>
      </w:pPr>
      <w:r>
        <w:t>On May 22,</w:t>
      </w:r>
      <w:r w:rsidR="001D4260">
        <w:t xml:space="preserve"> 2012, </w:t>
      </w:r>
      <w:r w:rsidR="006224FE">
        <w:t>Harris Corporation assigned the</w:t>
      </w:r>
      <w:r w:rsidR="00876606">
        <w:t xml:space="preserve"> Part 22 paging</w:t>
      </w:r>
      <w:r w:rsidR="006224FE">
        <w:t xml:space="preserve"> </w:t>
      </w:r>
      <w:r w:rsidR="001D4260">
        <w:t xml:space="preserve">licenses </w:t>
      </w:r>
      <w:r w:rsidR="006224FE">
        <w:t>to the State of Maine</w:t>
      </w:r>
      <w:r w:rsidR="001D4260">
        <w:t xml:space="preserve"> and </w:t>
      </w:r>
      <w:r w:rsidR="004A3578">
        <w:t>Maine</w:t>
      </w:r>
      <w:r w:rsidR="00876606">
        <w:t xml:space="preserve"> </w:t>
      </w:r>
      <w:r w:rsidR="001D4260">
        <w:t xml:space="preserve">requested various rule waivers </w:t>
      </w:r>
      <w:r w:rsidR="00876606">
        <w:t xml:space="preserve">from the Bureau and the Public Safety </w:t>
      </w:r>
      <w:r w:rsidR="006A0F8B">
        <w:t xml:space="preserve">and Homeland Security </w:t>
      </w:r>
      <w:r w:rsidR="00876606">
        <w:t xml:space="preserve">Bureau </w:t>
      </w:r>
      <w:r w:rsidR="006A0F8B">
        <w:t xml:space="preserve">(PSHSB) </w:t>
      </w:r>
      <w:r w:rsidR="001D4260">
        <w:t xml:space="preserve">to allow </w:t>
      </w:r>
      <w:r w:rsidR="0090337A">
        <w:t>it</w:t>
      </w:r>
      <w:r w:rsidR="001D4260">
        <w:t xml:space="preserve"> to operate the licenses </w:t>
      </w:r>
      <w:r w:rsidR="0090337A">
        <w:t xml:space="preserve">in conjunction with </w:t>
      </w:r>
      <w:r w:rsidR="002B4539">
        <w:t xml:space="preserve">its </w:t>
      </w:r>
      <w:r w:rsidR="0090337A">
        <w:t xml:space="preserve">Part 90 </w:t>
      </w:r>
      <w:r w:rsidR="002B4539">
        <w:t xml:space="preserve">VHF </w:t>
      </w:r>
      <w:r w:rsidR="0090337A">
        <w:t xml:space="preserve">public safety frequencies </w:t>
      </w:r>
      <w:r w:rsidR="001D4260">
        <w:t>as a part of MSCommNet.</w:t>
      </w:r>
      <w:r>
        <w:rPr>
          <w:rStyle w:val="FootnoteReference"/>
        </w:rPr>
        <w:footnoteReference w:id="18"/>
      </w:r>
      <w:r>
        <w:t xml:space="preserve">  Maine stated</w:t>
      </w:r>
      <w:r w:rsidR="002F0111">
        <w:t xml:space="preserve"> </w:t>
      </w:r>
      <w:r>
        <w:t xml:space="preserve">that MSCommNet would provide </w:t>
      </w:r>
      <w:r w:rsidRPr="00EB3FE6">
        <w:t>“improved geographic radio coverage, voice quali</w:t>
      </w:r>
      <w:r>
        <w:t>ty/clarity and channel capacity,</w:t>
      </w:r>
      <w:r w:rsidRPr="00EB3FE6">
        <w:t>”</w:t>
      </w:r>
      <w:r>
        <w:t xml:space="preserve"> </w:t>
      </w:r>
      <w:r w:rsidR="002F0111">
        <w:t xml:space="preserve">and </w:t>
      </w:r>
      <w:r>
        <w:t>that it would allow for “</w:t>
      </w:r>
      <w:r w:rsidRPr="00EB3FE6">
        <w:t>seamless interoperability across all levels of government</w:t>
      </w:r>
      <w:r>
        <w:t xml:space="preserve"> (including non-State agencies).</w:t>
      </w:r>
      <w:r w:rsidRPr="00EB3FE6">
        <w:t>”</w:t>
      </w:r>
      <w:r>
        <w:rPr>
          <w:rStyle w:val="FootnoteReference"/>
        </w:rPr>
        <w:footnoteReference w:id="19"/>
      </w:r>
      <w:r>
        <w:t xml:space="preserve">  Maine also noted that the VHF band (</w:t>
      </w:r>
      <w:r w:rsidR="00C12A63">
        <w:t xml:space="preserve">specifically, </w:t>
      </w:r>
      <w:r>
        <w:t>150-170 MHz) wa</w:t>
      </w:r>
      <w:r w:rsidRPr="00EB3FE6">
        <w:t xml:space="preserve">s the only </w:t>
      </w:r>
      <w:r>
        <w:t>suitable</w:t>
      </w:r>
      <w:r w:rsidRPr="00EB3FE6">
        <w:t xml:space="preserve"> frequency band for </w:t>
      </w:r>
      <w:r>
        <w:t>MSCommNet because</w:t>
      </w:r>
      <w:r w:rsidRPr="00EB3FE6">
        <w:t xml:space="preserve"> the band’s propagation ch</w:t>
      </w:r>
      <w:r>
        <w:t xml:space="preserve">aracteristics made it the sole viable option in the many areas of the state with </w:t>
      </w:r>
      <w:r w:rsidRPr="00EB3FE6">
        <w:t>sparse population and heavily forested terrain</w:t>
      </w:r>
      <w:r>
        <w:t>, and that the VHF band wa</w:t>
      </w:r>
      <w:r w:rsidRPr="001D4260">
        <w:t>s the only band that provide</w:t>
      </w:r>
      <w:r>
        <w:t>d</w:t>
      </w:r>
      <w:r w:rsidRPr="001D4260">
        <w:t xml:space="preserve"> “state-wide interoperability among federal, state and local public safety agencies.”</w:t>
      </w:r>
      <w:r>
        <w:rPr>
          <w:rStyle w:val="FootnoteReference"/>
        </w:rPr>
        <w:footnoteReference w:id="20"/>
      </w:r>
      <w:r>
        <w:t xml:space="preserve">  Maine also stated that it sought many unpaired frequency assignments as a result of a region of limited spectrum availability due largely to the shared border with Canada.</w:t>
      </w:r>
      <w:r>
        <w:rPr>
          <w:rStyle w:val="FootnoteReference"/>
        </w:rPr>
        <w:footnoteReference w:id="21"/>
      </w:r>
      <w:r>
        <w:t xml:space="preserve"> </w:t>
      </w:r>
    </w:p>
    <w:p w:rsidR="002246B5" w:rsidP="001A1B0B">
      <w:pPr>
        <w:pStyle w:val="ParaNum"/>
      </w:pPr>
      <w:r>
        <w:t>In July of 2012, t</w:t>
      </w:r>
      <w:r w:rsidR="00332373">
        <w:t xml:space="preserve">he </w:t>
      </w:r>
      <w:r w:rsidR="001D4260">
        <w:t>Division</w:t>
      </w:r>
      <w:r>
        <w:t xml:space="preserve"> granted Maine’s waiver requests via a joint order with </w:t>
      </w:r>
      <w:r w:rsidR="006A0F8B">
        <w:t>PSHSB’s</w:t>
      </w:r>
      <w:r w:rsidR="005C01D5">
        <w:t xml:space="preserve"> Policy and Licensing Division</w:t>
      </w:r>
      <w:r>
        <w:t>.</w:t>
      </w:r>
      <w:r>
        <w:rPr>
          <w:rStyle w:val="FootnoteReference"/>
        </w:rPr>
        <w:footnoteReference w:id="22"/>
      </w:r>
      <w:r>
        <w:t xml:space="preserve">  The </w:t>
      </w:r>
      <w:r w:rsidRPr="006A0F8B" w:rsidR="006A0F8B">
        <w:rPr>
          <w:i/>
        </w:rPr>
        <w:t>2012 Waiver Order</w:t>
      </w:r>
      <w:r w:rsidR="006A0F8B">
        <w:t xml:space="preserve"> </w:t>
      </w:r>
      <w:r w:rsidR="00332373">
        <w:t>found that Maine had</w:t>
      </w:r>
      <w:r w:rsidRPr="00332373" w:rsidR="00332373">
        <w:t xml:space="preserve"> a legitimate need to incorporate Part 22 </w:t>
      </w:r>
      <w:r w:rsidR="001D4260">
        <w:t>P</w:t>
      </w:r>
      <w:r w:rsidRPr="00332373" w:rsidR="00332373">
        <w:t>aging channels into its system</w:t>
      </w:r>
      <w:r w:rsidR="005C01D5">
        <w:t xml:space="preserve">, </w:t>
      </w:r>
      <w:r w:rsidR="00431F03">
        <w:t>finding</w:t>
      </w:r>
      <w:r w:rsidR="005C01D5">
        <w:t xml:space="preserve"> </w:t>
      </w:r>
      <w:r>
        <w:t xml:space="preserve">that </w:t>
      </w:r>
      <w:r w:rsidR="005C01D5">
        <w:t>it was in the public interest to provide waivers with respect to both the Part 90 and Part 22 frequencies, in furtherance of the interoperability and functionality of the statewide</w:t>
      </w:r>
      <w:r w:rsidR="004961C1">
        <w:t xml:space="preserve"> public safety</w:t>
      </w:r>
      <w:r w:rsidR="005C01D5">
        <w:t xml:space="preserve"> network</w:t>
      </w:r>
      <w:r w:rsidR="00332373">
        <w:t>.</w:t>
      </w:r>
      <w:r>
        <w:rPr>
          <w:rStyle w:val="FootnoteReference"/>
        </w:rPr>
        <w:footnoteReference w:id="23"/>
      </w:r>
      <w:r w:rsidR="005C01D5">
        <w:t xml:space="preserve">  </w:t>
      </w:r>
    </w:p>
    <w:p w:rsidR="000271A8" w:rsidP="001A1B0B">
      <w:pPr>
        <w:pStyle w:val="ParaNum"/>
      </w:pPr>
      <w:r>
        <w:t xml:space="preserve">At the three-year interim construction deadline in November 2013, Maine elected to demonstrate “substantial service” by the five-year deadline.  </w:t>
      </w:r>
      <w:r w:rsidR="00323929">
        <w:t xml:space="preserve">Maine </w:t>
      </w:r>
      <w:r w:rsidR="00455856">
        <w:t xml:space="preserve">failed to make </w:t>
      </w:r>
      <w:r w:rsidR="00342824">
        <w:t>the</w:t>
      </w:r>
      <w:r w:rsidR="00455856">
        <w:t xml:space="preserve"> final construction filing</w:t>
      </w:r>
      <w:r w:rsidR="00342824">
        <w:t>s</w:t>
      </w:r>
      <w:r w:rsidR="00455856">
        <w:t xml:space="preserve"> by </w:t>
      </w:r>
      <w:r w:rsidR="00903F8E">
        <w:t xml:space="preserve">the deadline of </w:t>
      </w:r>
      <w:r w:rsidR="00455856">
        <w:t>November 3, 2015, causing th</w:t>
      </w:r>
      <w:r w:rsidR="00A41EFB">
        <w:t>e</w:t>
      </w:r>
      <w:r w:rsidR="00455856">
        <w:t xml:space="preserve"> licenses to automatically move into termination pending status.  On January 8, 2016, Maine filed </w:t>
      </w:r>
      <w:r w:rsidR="008C4AA5">
        <w:t xml:space="preserve">one-page </w:t>
      </w:r>
      <w:r w:rsidR="00455856">
        <w:t>Petition</w:t>
      </w:r>
      <w:r w:rsidR="008C4AA5">
        <w:t>s</w:t>
      </w:r>
      <w:r w:rsidR="00455856">
        <w:t xml:space="preserve"> for Reconsideration</w:t>
      </w:r>
      <w:r w:rsidR="008C4AA5">
        <w:t xml:space="preserve"> for each call sign, </w:t>
      </w:r>
      <w:r w:rsidR="00DA4171">
        <w:t xml:space="preserve">asking </w:t>
      </w:r>
      <w:r w:rsidR="008C4AA5">
        <w:t>that the licenses be returned to active status because the “facilities were placed in operation” as of 2014 but omitting the required coverage showings</w:t>
      </w:r>
      <w:r w:rsidR="006341AC">
        <w:t xml:space="preserve"> that demonstrated that Maine was in compliance with </w:t>
      </w:r>
      <w:r w:rsidR="006341AC">
        <w:t>its construction obligations</w:t>
      </w:r>
      <w:r w:rsidR="00455856">
        <w:t>.</w:t>
      </w:r>
      <w:r>
        <w:rPr>
          <w:rStyle w:val="FootnoteReference"/>
        </w:rPr>
        <w:footnoteReference w:id="24"/>
      </w:r>
      <w:r w:rsidR="00455856">
        <w:t xml:space="preserve">  </w:t>
      </w:r>
      <w:r w:rsidR="0008688D">
        <w:t>T</w:t>
      </w:r>
      <w:r w:rsidR="00455856">
        <w:t>he Division</w:t>
      </w:r>
      <w:r w:rsidR="00342824">
        <w:t xml:space="preserve"> subsequently</w:t>
      </w:r>
      <w:r w:rsidR="00455856">
        <w:t xml:space="preserve"> returned the licenses to active status </w:t>
      </w:r>
      <w:r w:rsidR="00903F8E">
        <w:t>and granted a temporary</w:t>
      </w:r>
      <w:r w:rsidR="00455856">
        <w:t xml:space="preserve"> extension of the construction deadline</w:t>
      </w:r>
      <w:r w:rsidR="004129FF">
        <w:t xml:space="preserve"> to allow Maine to file </w:t>
      </w:r>
      <w:r w:rsidR="00903F8E">
        <w:t>construction notifications</w:t>
      </w:r>
      <w:r w:rsidR="00455856">
        <w:t xml:space="preserve">.  </w:t>
      </w:r>
      <w:r w:rsidR="00607EDA">
        <w:t xml:space="preserve">Maine </w:t>
      </w:r>
      <w:r w:rsidR="004129FF">
        <w:t>filed the notifications</w:t>
      </w:r>
      <w:r>
        <w:t xml:space="preserve"> </w:t>
      </w:r>
      <w:r w:rsidR="00607EDA">
        <w:t xml:space="preserve">on August 26, 2016, </w:t>
      </w:r>
      <w:r w:rsidR="004129FF">
        <w:t>w</w:t>
      </w:r>
      <w:r w:rsidR="00342824">
        <w:t xml:space="preserve">ith data </w:t>
      </w:r>
      <w:r w:rsidR="00607EDA">
        <w:t>showing</w:t>
      </w:r>
      <w:r w:rsidR="0008688D">
        <w:t xml:space="preserve"> only</w:t>
      </w:r>
      <w:r w:rsidR="00607EDA">
        <w:t xml:space="preserve"> partial constructi</w:t>
      </w:r>
      <w:r w:rsidR="0008688D">
        <w:t>on and use of the licenses</w:t>
      </w:r>
      <w:r w:rsidR="00607EDA">
        <w:t>.</w:t>
      </w:r>
      <w:r>
        <w:rPr>
          <w:rStyle w:val="FootnoteReference"/>
        </w:rPr>
        <w:footnoteReference w:id="25"/>
      </w:r>
      <w:r w:rsidR="004129FF">
        <w:t xml:space="preserve"> </w:t>
      </w:r>
    </w:p>
    <w:p w:rsidR="002246B5" w:rsidP="001A1B0B">
      <w:pPr>
        <w:pStyle w:val="ParaNum"/>
      </w:pPr>
      <w:r w:rsidRPr="000F3EDE">
        <w:t>On September 13, 20</w:t>
      </w:r>
      <w:r w:rsidRPr="000F3EDE" w:rsidR="00455856">
        <w:t>16</w:t>
      </w:r>
      <w:r w:rsidRPr="000F3EDE">
        <w:t>,</w:t>
      </w:r>
      <w:r w:rsidRPr="000F3EDE" w:rsidR="00455856">
        <w:t xml:space="preserve"> </w:t>
      </w:r>
      <w:r w:rsidRPr="000F3EDE">
        <w:t xml:space="preserve">the </w:t>
      </w:r>
      <w:r w:rsidR="00903776">
        <w:t xml:space="preserve">Division notified Maine that its filings did not show </w:t>
      </w:r>
      <w:r w:rsidR="00D903AD">
        <w:t xml:space="preserve">substantial service sufficient </w:t>
      </w:r>
      <w:r w:rsidR="00903776">
        <w:t xml:space="preserve">to meet the construction requirement, and </w:t>
      </w:r>
      <w:r w:rsidRPr="000F3EDE">
        <w:t xml:space="preserve">granted </w:t>
      </w:r>
      <w:r w:rsidR="00903776">
        <w:t>on our own motion</w:t>
      </w:r>
      <w:r w:rsidRPr="000F3EDE">
        <w:t xml:space="preserve"> </w:t>
      </w:r>
      <w:r w:rsidRPr="000F3EDE" w:rsidR="0008688D">
        <w:t>a waiver and extension of the deadline</w:t>
      </w:r>
      <w:r w:rsidR="004129FF">
        <w:t xml:space="preserve"> to September 1, 2017</w:t>
      </w:r>
      <w:r w:rsidR="00CB2BC4">
        <w:t xml:space="preserve"> (the extended construction deadline)</w:t>
      </w:r>
      <w:r w:rsidR="002327E4">
        <w:t>, similar to relief given to certain other paging licensees</w:t>
      </w:r>
      <w:r w:rsidR="004129FF">
        <w:t>.</w:t>
      </w:r>
      <w:r>
        <w:rPr>
          <w:rStyle w:val="FootnoteReference"/>
        </w:rPr>
        <w:footnoteReference w:id="26"/>
      </w:r>
      <w:r w:rsidR="004129FF">
        <w:t xml:space="preserve">  The Division also</w:t>
      </w:r>
      <w:r w:rsidRPr="000F3EDE" w:rsidR="00342824">
        <w:t xml:space="preserve"> dismissed without prejudice Maine’s pending construction notifications</w:t>
      </w:r>
      <w:r w:rsidRPr="000F3EDE" w:rsidR="0008688D">
        <w:t>.</w:t>
      </w:r>
      <w:r>
        <w:rPr>
          <w:rStyle w:val="FootnoteReference"/>
        </w:rPr>
        <w:footnoteReference w:id="27"/>
      </w:r>
      <w:r w:rsidRPr="000F3EDE" w:rsidR="0008688D">
        <w:t xml:space="preserve">  T</w:t>
      </w:r>
      <w:r w:rsidR="004129FF">
        <w:t>he</w:t>
      </w:r>
      <w:r w:rsidRPr="000F3EDE" w:rsidR="0008688D">
        <w:t xml:space="preserve"> </w:t>
      </w:r>
      <w:r w:rsidR="004129FF">
        <w:t xml:space="preserve">extension letter </w:t>
      </w:r>
      <w:r w:rsidR="00D903AD">
        <w:t>explain</w:t>
      </w:r>
      <w:r w:rsidR="004129FF">
        <w:t xml:space="preserve">ed that the additional time was </w:t>
      </w:r>
      <w:r w:rsidR="00D903AD">
        <w:t xml:space="preserve">to allow </w:t>
      </w:r>
      <w:r w:rsidRPr="000F3EDE" w:rsidR="00342824">
        <w:t xml:space="preserve">Maine </w:t>
      </w:r>
      <w:r w:rsidR="00D903AD">
        <w:t>to</w:t>
      </w:r>
      <w:r w:rsidR="004129FF">
        <w:t xml:space="preserve"> either</w:t>
      </w:r>
      <w:r w:rsidRPr="000F3EDE" w:rsidR="001A10A6">
        <w:t xml:space="preserve"> </w:t>
      </w:r>
      <w:r w:rsidRPr="000F3EDE" w:rsidR="0008688D">
        <w:t xml:space="preserve">meet the substantial service requirements for the entire </w:t>
      </w:r>
      <w:r w:rsidRPr="000F3EDE" w:rsidR="00342824">
        <w:t>market area</w:t>
      </w:r>
      <w:r w:rsidR="004129FF">
        <w:t>, or</w:t>
      </w:r>
      <w:r w:rsidRPr="000F3EDE" w:rsidR="0008688D">
        <w:t xml:space="preserve"> </w:t>
      </w:r>
      <w:r w:rsidR="00D903AD">
        <w:t xml:space="preserve">to </w:t>
      </w:r>
      <w:r w:rsidRPr="000F3EDE" w:rsidR="00342824">
        <w:t>file applications</w:t>
      </w:r>
      <w:r w:rsidRPr="000F3EDE" w:rsidR="001A10A6">
        <w:t xml:space="preserve"> partitioning the license</w:t>
      </w:r>
      <w:r w:rsidR="00D903AD">
        <w:t>,</w:t>
      </w:r>
      <w:r w:rsidRPr="000F3EDE" w:rsidR="001A10A6">
        <w:t xml:space="preserve"> cancelling the unused license area</w:t>
      </w:r>
      <w:r w:rsidRPr="000F3EDE" w:rsidR="000F3EDE">
        <w:t>, and filing a construction notification demonstrating substantial service for the retained license area</w:t>
      </w:r>
      <w:r w:rsidRPr="000F3EDE" w:rsidR="001A10A6">
        <w:t>.</w:t>
      </w:r>
      <w:r>
        <w:rPr>
          <w:rStyle w:val="FootnoteReference"/>
        </w:rPr>
        <w:footnoteReference w:id="28"/>
      </w:r>
      <w:r w:rsidR="004129FF">
        <w:t xml:space="preserve">  </w:t>
      </w:r>
    </w:p>
    <w:p w:rsidR="004129FF" w:rsidRPr="000F3EDE" w:rsidP="001A1B0B">
      <w:pPr>
        <w:pStyle w:val="ParaNum"/>
      </w:pPr>
      <w:r>
        <w:t>On June 29, 2017, well after the licenses had been in operation, Maine filed the required forms to begin the process of Canadian coordination for these and other licenses</w:t>
      </w:r>
      <w:r w:rsidR="002327E4">
        <w:t xml:space="preserve"> with operations</w:t>
      </w:r>
      <w:r w:rsidRPr="004129FF">
        <w:t xml:space="preserve"> </w:t>
      </w:r>
      <w:r w:rsidR="00D903AD">
        <w:t>above Line A</w:t>
      </w:r>
      <w:r>
        <w:t>.</w:t>
      </w:r>
      <w:r w:rsidR="00903776">
        <w:t xml:space="preserve">  </w:t>
      </w:r>
      <w:r w:rsidRPr="0021103A" w:rsidR="00903776">
        <w:t>These applications are still pending, and the</w:t>
      </w:r>
      <w:r w:rsidRPr="0021103A">
        <w:t xml:space="preserve"> Division’s review of the information </w:t>
      </w:r>
      <w:r w:rsidRPr="0021103A" w:rsidR="00903776">
        <w:t>therein</w:t>
      </w:r>
      <w:r w:rsidRPr="0021103A">
        <w:t xml:space="preserve"> shows that </w:t>
      </w:r>
      <w:r w:rsidRPr="0021103A" w:rsidR="00D903AD">
        <w:t xml:space="preserve">Maine appears to be </w:t>
      </w:r>
      <w:r w:rsidRPr="0021103A">
        <w:t>operating in violation of various of the Commission’s technical rules</w:t>
      </w:r>
      <w:r w:rsidR="00D9633D">
        <w:t>, including failing to complete the required international coordination prior to operations</w:t>
      </w:r>
      <w:r w:rsidR="0021103A">
        <w:t>.</w:t>
      </w:r>
    </w:p>
    <w:p w:rsidR="00CA7474" w:rsidRPr="00E47B14" w:rsidP="001A1B0B">
      <w:pPr>
        <w:pStyle w:val="ParaNum"/>
      </w:pPr>
      <w:r w:rsidRPr="003F5C77">
        <w:rPr>
          <w:i/>
        </w:rPr>
        <w:t>State of Maine’s</w:t>
      </w:r>
      <w:r w:rsidRPr="003F5C77" w:rsidR="00D24924">
        <w:rPr>
          <w:i/>
        </w:rPr>
        <w:t xml:space="preserve"> Request for </w:t>
      </w:r>
      <w:r w:rsidRPr="001A10A6" w:rsidR="00D24924">
        <w:rPr>
          <w:i/>
        </w:rPr>
        <w:t>Relief</w:t>
      </w:r>
      <w:r w:rsidR="003B1054">
        <w:t xml:space="preserve">.  </w:t>
      </w:r>
      <w:r w:rsidR="002246B5">
        <w:t>Maine</w:t>
      </w:r>
      <w:r w:rsidR="001A10A6">
        <w:t xml:space="preserve"> now</w:t>
      </w:r>
      <w:r w:rsidR="002246B5">
        <w:t xml:space="preserve"> </w:t>
      </w:r>
      <w:r w:rsidR="003F5C77">
        <w:t>seeks a</w:t>
      </w:r>
      <w:r w:rsidR="00DA4171">
        <w:t xml:space="preserve"> waiver pursuant to Section 1.925 of the Commission’s rules to extend the deadline</w:t>
      </w:r>
      <w:r w:rsidR="00417F2F">
        <w:t xml:space="preserve"> to September 1, 2018</w:t>
      </w:r>
      <w:r w:rsidR="003F5C77">
        <w:t xml:space="preserve"> to</w:t>
      </w:r>
      <w:r w:rsidR="00417F2F">
        <w:t xml:space="preserve"> allow more time to file c</w:t>
      </w:r>
      <w:r w:rsidR="00272021">
        <w:t>onstruction notifications as well as to</w:t>
      </w:r>
      <w:r w:rsidR="003F5C77">
        <w:t xml:space="preserve"> </w:t>
      </w:r>
      <w:r w:rsidR="00DA4171">
        <w:t xml:space="preserve">complete </w:t>
      </w:r>
      <w:r w:rsidR="003F5C77">
        <w:t>required</w:t>
      </w:r>
      <w:r w:rsidR="008E0750">
        <w:t xml:space="preserve"> international coordination with Canada</w:t>
      </w:r>
      <w:r w:rsidR="003F5C77">
        <w:t>.</w:t>
      </w:r>
      <w:r>
        <w:rPr>
          <w:rStyle w:val="FootnoteReference"/>
        </w:rPr>
        <w:footnoteReference w:id="29"/>
      </w:r>
      <w:r w:rsidR="003F5C77">
        <w:t xml:space="preserve">  </w:t>
      </w:r>
      <w:r w:rsidR="00DE1C22">
        <w:t xml:space="preserve">Maine </w:t>
      </w:r>
      <w:r w:rsidR="00417F2F">
        <w:t>represents that its notifications will show that it has met t</w:t>
      </w:r>
      <w:r w:rsidR="00D903AD">
        <w:t>he construction requirements, and states</w:t>
      </w:r>
      <w:r w:rsidR="000F3EDE">
        <w:t xml:space="preserve"> that it </w:t>
      </w:r>
      <w:r w:rsidR="00DE1C22">
        <w:t>has completed MSCom</w:t>
      </w:r>
      <w:r w:rsidR="00D903AD">
        <w:t>mNet</w:t>
      </w:r>
      <w:r w:rsidR="00DE1C22">
        <w:t xml:space="preserve"> with the frequencies at issue here fully incorporated into the network</w:t>
      </w:r>
      <w:r w:rsidR="000F3EDE">
        <w:t xml:space="preserve"> and no plans for additional construction</w:t>
      </w:r>
      <w:r w:rsidR="00DE1C22">
        <w:t>.</w:t>
      </w:r>
      <w:r>
        <w:rPr>
          <w:rStyle w:val="FootnoteReference"/>
        </w:rPr>
        <w:footnoteReference w:id="30"/>
      </w:r>
    </w:p>
    <w:p w:rsidR="00C679DB" w:rsidP="00C679DB">
      <w:pPr>
        <w:pStyle w:val="Heading1"/>
        <w:tabs>
          <w:tab w:val="left" w:pos="720"/>
        </w:tabs>
      </w:pPr>
      <w:r>
        <w:t>discussion</w:t>
      </w:r>
    </w:p>
    <w:p w:rsidR="00417F2F" w:rsidRPr="00417F2F" w:rsidP="00417F2F">
      <w:pPr>
        <w:pStyle w:val="Heading2"/>
      </w:pPr>
      <w:r>
        <w:t>Waiver of Construction and Technical Rules</w:t>
      </w:r>
    </w:p>
    <w:p w:rsidR="00417F2F" w:rsidP="001A1B0B">
      <w:pPr>
        <w:pStyle w:val="ParaNum"/>
      </w:pPr>
      <w:r>
        <w:t xml:space="preserve">Section 1.925 </w:t>
      </w:r>
      <w:r w:rsidR="003F5C77">
        <w:t xml:space="preserve">of the rules </w:t>
      </w:r>
      <w:r>
        <w:t xml:space="preserve">states that the Commission may grant a waiver when either </w:t>
      </w:r>
      <w:r w:rsidR="003F5C77">
        <w:t>t</w:t>
      </w:r>
      <w:r>
        <w:t>he underlying purpose of the rule</w:t>
      </w:r>
      <w:r w:rsidR="003F5C77">
        <w:t xml:space="preserve"> at issue</w:t>
      </w:r>
      <w:r>
        <w:t xml:space="preserve"> would not be served or would be frustrated by application to the instant case, and </w:t>
      </w:r>
      <w:r w:rsidR="003F5C77">
        <w:t>a</w:t>
      </w:r>
      <w:r>
        <w:t xml:space="preserve"> grant would be in the public interest, or </w:t>
      </w:r>
      <w:r w:rsidR="003F5C77">
        <w:t xml:space="preserve">where, “in view of </w:t>
      </w:r>
      <w:r>
        <w:t>unique or unusual factual circumstances,</w:t>
      </w:r>
      <w:r w:rsidR="003F5C77">
        <w:t>”</w:t>
      </w:r>
      <w:r>
        <w:t xml:space="preserve"> application of the rule would be inequitable, unduly burdensome or contrary to the public </w:t>
      </w:r>
      <w:r>
        <w:t>interest, or the applicant has no reasonable alternative.</w:t>
      </w:r>
      <w:r>
        <w:rPr>
          <w:rStyle w:val="FootnoteReference"/>
        </w:rPr>
        <w:footnoteReference w:id="31"/>
      </w:r>
      <w:r>
        <w:t xml:space="preserve">  </w:t>
      </w:r>
      <w:r w:rsidR="003F5C77">
        <w:t>In addition, Section 1.3 allows t</w:t>
      </w:r>
      <w:r w:rsidRPr="00332373" w:rsidR="00332373">
        <w:t xml:space="preserve">he Commission </w:t>
      </w:r>
      <w:r w:rsidR="003F5C77">
        <w:t>to</w:t>
      </w:r>
      <w:r w:rsidRPr="00332373" w:rsidR="00332373">
        <w:t xml:space="preserve"> wa</w:t>
      </w:r>
      <w:r w:rsidR="003F5C77">
        <w:t>i</w:t>
      </w:r>
      <w:r w:rsidRPr="00332373" w:rsidR="00332373">
        <w:t xml:space="preserve">ve any provision of its rules on its own motion </w:t>
      </w:r>
      <w:r w:rsidR="00332373">
        <w:t xml:space="preserve">for </w:t>
      </w:r>
      <w:r w:rsidRPr="00332373" w:rsidR="00332373">
        <w:t>good cause.</w:t>
      </w:r>
      <w:r>
        <w:rPr>
          <w:rStyle w:val="FootnoteReference"/>
        </w:rPr>
        <w:footnoteReference w:id="32"/>
      </w:r>
      <w:r w:rsidRPr="00332373" w:rsidR="00332373">
        <w:t xml:space="preserve"> </w:t>
      </w:r>
    </w:p>
    <w:p w:rsidR="00E771B7" w:rsidP="001A1B0B">
      <w:pPr>
        <w:pStyle w:val="ParaNum"/>
      </w:pPr>
      <w:r>
        <w:t xml:space="preserve"> </w:t>
      </w:r>
      <w:r w:rsidRPr="00417F2F" w:rsidR="00AB4078">
        <w:rPr>
          <w:i/>
        </w:rPr>
        <w:t>Construction Requirements</w:t>
      </w:r>
      <w:r w:rsidR="00E93A7C">
        <w:rPr>
          <w:i/>
        </w:rPr>
        <w:t xml:space="preserve"> and Request for Extension of Time</w:t>
      </w:r>
      <w:r w:rsidR="00AB4078">
        <w:t xml:space="preserve">.  </w:t>
      </w:r>
      <w:r w:rsidR="00903776">
        <w:t>Based on</w:t>
      </w:r>
      <w:r w:rsidR="00E93A7C">
        <w:t xml:space="preserve"> the information before us, we deny Maine’s request for extension of time.  </w:t>
      </w:r>
      <w:r w:rsidR="002F0E93">
        <w:t>Maine’s final construction deadline was</w:t>
      </w:r>
      <w:r w:rsidR="00AB3EF0">
        <w:t xml:space="preserve"> </w:t>
      </w:r>
      <w:r w:rsidR="00974414">
        <w:t>September 1, 2017</w:t>
      </w:r>
      <w:r w:rsidR="002F0E93">
        <w:t xml:space="preserve">, at which time the </w:t>
      </w:r>
      <w:r w:rsidR="004A3578">
        <w:t>S</w:t>
      </w:r>
      <w:r w:rsidR="002F0E93">
        <w:t xml:space="preserve">tate </w:t>
      </w:r>
      <w:r w:rsidRPr="00E771B7" w:rsidR="00AB3EF0">
        <w:rPr>
          <w:snapToGrid/>
          <w:shd w:val="clear" w:color="auto" w:fill="FFFFFF"/>
        </w:rPr>
        <w:t xml:space="preserve">was required to demonstrate </w:t>
      </w:r>
      <w:r w:rsidRPr="00E771B7" w:rsidR="002F0E93">
        <w:rPr>
          <w:snapToGrid/>
          <w:shd w:val="clear" w:color="auto" w:fill="FFFFFF"/>
        </w:rPr>
        <w:t>substantial service on an individual basis for each license</w:t>
      </w:r>
      <w:r w:rsidRPr="00E771B7" w:rsidR="00AB3EF0">
        <w:rPr>
          <w:snapToGrid/>
          <w:shd w:val="clear" w:color="auto" w:fill="FFFFFF"/>
        </w:rPr>
        <w:t>.</w:t>
      </w:r>
      <w:r>
        <w:rPr>
          <w:rStyle w:val="FootnoteReference"/>
          <w:snapToGrid/>
          <w:shd w:val="clear" w:color="auto" w:fill="FFFFFF"/>
        </w:rPr>
        <w:footnoteReference w:id="33"/>
      </w:r>
      <w:r w:rsidRPr="00E771B7" w:rsidR="002F0E93">
        <w:rPr>
          <w:snapToGrid/>
          <w:shd w:val="clear" w:color="auto" w:fill="FFFFFF"/>
        </w:rPr>
        <w:t xml:space="preserve">  </w:t>
      </w:r>
      <w:r w:rsidRPr="00E771B7" w:rsidR="00E46474">
        <w:rPr>
          <w:snapToGrid/>
          <w:shd w:val="clear" w:color="auto" w:fill="FFFFFF"/>
        </w:rPr>
        <w:t>Staff analysis of Maine’s</w:t>
      </w:r>
      <w:r w:rsidR="00E46474">
        <w:t xml:space="preserve"> submissions </w:t>
      </w:r>
      <w:r w:rsidR="00DE28C3">
        <w:t>indicate</w:t>
      </w:r>
      <w:r w:rsidR="00DA4171">
        <w:t>s</w:t>
      </w:r>
      <w:r w:rsidR="00DE28C3">
        <w:t xml:space="preserve"> that Maine’s </w:t>
      </w:r>
      <w:r w:rsidR="00974414">
        <w:t xml:space="preserve">service </w:t>
      </w:r>
      <w:r w:rsidR="00DE28C3">
        <w:t>coverage</w:t>
      </w:r>
      <w:r w:rsidR="005B4C53">
        <w:t>s</w:t>
      </w:r>
      <w:r w:rsidR="00DE28C3">
        <w:t xml:space="preserve"> </w:t>
      </w:r>
      <w:r w:rsidR="00974414">
        <w:t xml:space="preserve">for its licenses </w:t>
      </w:r>
      <w:r w:rsidR="00DE28C3">
        <w:t xml:space="preserve">are quite low, and no individual market </w:t>
      </w:r>
      <w:r w:rsidR="005B4C53">
        <w:t xml:space="preserve">reaches </w:t>
      </w:r>
      <w:r w:rsidR="00E46474">
        <w:t xml:space="preserve">a level that would be considered substantial or above mediocre.  </w:t>
      </w:r>
      <w:r w:rsidR="00974414">
        <w:t>Maine’s actual construction with respect to its Part 22 Paging licenses is low by any measure</w:t>
      </w:r>
      <w:r w:rsidR="002A0AF3">
        <w:t>,</w:t>
      </w:r>
      <w:r w:rsidR="003F6828">
        <w:t xml:space="preserve"> with</w:t>
      </w:r>
      <w:r w:rsidR="002A0AF3">
        <w:t xml:space="preserve"> the </w:t>
      </w:r>
      <w:r w:rsidR="004A3578">
        <w:t>S</w:t>
      </w:r>
      <w:r w:rsidR="002A0AF3">
        <w:t>tate having constructed only one or two Part 22 base stations in certain markets, or using the frequencies for mobile use only</w:t>
      </w:r>
      <w:r w:rsidR="00D9633D">
        <w:t>.</w:t>
      </w:r>
      <w:r>
        <w:rPr>
          <w:rStyle w:val="FootnoteReference"/>
        </w:rPr>
        <w:footnoteReference w:id="34"/>
      </w:r>
      <w:r w:rsidR="00974414">
        <w:t xml:space="preserve">  Viewing Maine’s operations from a population coverage standpoint, t</w:t>
      </w:r>
      <w:r w:rsidR="00E46474">
        <w:t xml:space="preserve">he ten markets range from several with zero percent coverage, to coverages for the rest of the markets </w:t>
      </w:r>
      <w:r w:rsidR="00DE28C3">
        <w:t>from four percent to thirty percent</w:t>
      </w:r>
      <w:r w:rsidR="00974414">
        <w:t xml:space="preserve">. </w:t>
      </w:r>
      <w:r w:rsidR="002D48A2">
        <w:t>It also appears</w:t>
      </w:r>
      <w:r w:rsidR="00E46474">
        <w:t xml:space="preserve"> that some of the</w:t>
      </w:r>
      <w:r w:rsidR="002D48A2">
        <w:t xml:space="preserve"> frequencies</w:t>
      </w:r>
      <w:r w:rsidR="00E46474">
        <w:t xml:space="preserve"> are only being used when overflow capacity is required.  </w:t>
      </w:r>
    </w:p>
    <w:p w:rsidR="007E40BD" w:rsidP="001A1B0B">
      <w:pPr>
        <w:pStyle w:val="ParaNum"/>
      </w:pPr>
      <w:r>
        <w:t>We recognize that Maine relies on these frequencies as part of a larger system,</w:t>
      </w:r>
      <w:r w:rsidR="002D48A2">
        <w:t xml:space="preserve"> and previously granted certain waivers to permit them to do so,</w:t>
      </w:r>
      <w:r>
        <w:t xml:space="preserve"> but this use does not relieve the </w:t>
      </w:r>
      <w:r w:rsidR="004A3578">
        <w:t>S</w:t>
      </w:r>
      <w:r>
        <w:t xml:space="preserve">tate </w:t>
      </w:r>
      <w:r w:rsidR="000D06D1">
        <w:t xml:space="preserve">of </w:t>
      </w:r>
      <w:r>
        <w:t>its</w:t>
      </w:r>
      <w:r w:rsidR="000D06D1">
        <w:t xml:space="preserve"> obligation</w:t>
      </w:r>
      <w:r>
        <w:t xml:space="preserve"> to meet the construction requirement for each license </w:t>
      </w:r>
      <w:r w:rsidR="002A0AF3">
        <w:t xml:space="preserve">individually.  Nor do our previous waivers relieve the </w:t>
      </w:r>
      <w:r w:rsidR="004A3578">
        <w:t>S</w:t>
      </w:r>
      <w:r w:rsidR="002A0AF3">
        <w:t xml:space="preserve">tate of the obligation to petition for </w:t>
      </w:r>
      <w:r w:rsidR="000A1129">
        <w:t xml:space="preserve">all necessary </w:t>
      </w:r>
      <w:r w:rsidR="002A0AF3">
        <w:t xml:space="preserve">waivers where, as here, its </w:t>
      </w:r>
      <w:r w:rsidR="00D9633D">
        <w:t xml:space="preserve">actual </w:t>
      </w:r>
      <w:r w:rsidR="002A0AF3">
        <w:t xml:space="preserve">use of the frequencies </w:t>
      </w:r>
      <w:r w:rsidR="000A1129">
        <w:t>do</w:t>
      </w:r>
      <w:r w:rsidR="00DB0AE6">
        <w:t>es</w:t>
      </w:r>
      <w:r w:rsidR="000A1129">
        <w:t xml:space="preserve"> not comport with</w:t>
      </w:r>
      <w:r w:rsidR="002A0AF3">
        <w:t xml:space="preserve"> our rules</w:t>
      </w:r>
      <w:r w:rsidR="00E46474">
        <w:t xml:space="preserve">.  </w:t>
      </w:r>
      <w:r w:rsidR="00E771B7">
        <w:t xml:space="preserve">In any event, and even </w:t>
      </w:r>
      <w:r w:rsidR="00334BAB">
        <w:t xml:space="preserve">if </w:t>
      </w:r>
      <w:r w:rsidR="00E771B7">
        <w:t xml:space="preserve">Maine had showed much </w:t>
      </w:r>
      <w:r w:rsidR="002D48A2">
        <w:t>greater service</w:t>
      </w:r>
      <w:r w:rsidR="00E771B7">
        <w:t xml:space="preserve"> coverage, Maine </w:t>
      </w:r>
      <w:r w:rsidR="000D06D1">
        <w:t>is operating most, if not all, of the licenses in violation of a Part 22 rule</w:t>
      </w:r>
      <w:r w:rsidR="00E771B7">
        <w:t xml:space="preserve"> and is operating each license </w:t>
      </w:r>
      <w:r w:rsidR="000D06D1">
        <w:t>without required coordination with Canada</w:t>
      </w:r>
      <w:r w:rsidR="008F0BF9">
        <w:t xml:space="preserve">, and therefore </w:t>
      </w:r>
      <w:r w:rsidR="00086651">
        <w:t xml:space="preserve">its operations </w:t>
      </w:r>
      <w:r w:rsidR="008F0BF9">
        <w:t>cannot be counted towards its construction obligations.</w:t>
      </w:r>
    </w:p>
    <w:p w:rsidR="007E40BD" w:rsidP="001A1B0B">
      <w:pPr>
        <w:pStyle w:val="ParaNum"/>
      </w:pPr>
      <w:r>
        <w:t xml:space="preserve">We note that since the original deadline in 2015, </w:t>
      </w:r>
      <w:r w:rsidRPr="006754FC">
        <w:t xml:space="preserve">Maine </w:t>
      </w:r>
      <w:r>
        <w:t>h</w:t>
      </w:r>
      <w:r w:rsidRPr="006754FC">
        <w:t xml:space="preserve">as </w:t>
      </w:r>
      <w:r>
        <w:t xml:space="preserve">been </w:t>
      </w:r>
      <w:r w:rsidRPr="006754FC">
        <w:t xml:space="preserve">given multiple opportunities </w:t>
      </w:r>
      <w:r>
        <w:t xml:space="preserve">and reminders </w:t>
      </w:r>
      <w:r w:rsidRPr="006754FC">
        <w:t xml:space="preserve">to comply with </w:t>
      </w:r>
      <w:r>
        <w:t xml:space="preserve">its </w:t>
      </w:r>
      <w:r w:rsidRPr="006754FC">
        <w:t>construction</w:t>
      </w:r>
      <w:r>
        <w:t xml:space="preserve"> obligations</w:t>
      </w:r>
      <w:r>
        <w:t xml:space="preserve">.  </w:t>
      </w:r>
      <w:r>
        <w:t xml:space="preserve">The Division has previously granted multiple extensions of time and none of the information Maine provided supports </w:t>
      </w:r>
      <w:r w:rsidR="008F0BF9">
        <w:t>a finding of completion of any</w:t>
      </w:r>
      <w:r>
        <w:t xml:space="preserve"> additional construction.  By Maine’s own assertion, it completed the network in 2015 and has no plans for additional construction</w:t>
      </w:r>
      <w:r w:rsidR="00DB3A6D">
        <w:t>, and believes its current showings are sufficient to demonstrate compliance</w:t>
      </w:r>
      <w:r>
        <w:t>.</w:t>
      </w:r>
      <w:r>
        <w:rPr>
          <w:rStyle w:val="FootnoteReference"/>
        </w:rPr>
        <w:footnoteReference w:id="35"/>
      </w:r>
      <w:r>
        <w:t xml:space="preserve">  </w:t>
      </w:r>
      <w:r w:rsidR="00DB3A6D">
        <w:t>The</w:t>
      </w:r>
      <w:r w:rsidR="006026DF">
        <w:t xml:space="preserve"> </w:t>
      </w:r>
      <w:r w:rsidR="004A3578">
        <w:t>S</w:t>
      </w:r>
      <w:r w:rsidR="00DB3A6D">
        <w:t>tate says that it requests more time only for Canadian coordination and to “afford the Commission and the State sufficient time to review the detailed Build-Out [sic] documentation,”</w:t>
      </w:r>
      <w:r>
        <w:rPr>
          <w:rStyle w:val="FootnoteReference"/>
        </w:rPr>
        <w:footnoteReference w:id="36"/>
      </w:r>
      <w:r w:rsidR="00DB3A6D">
        <w:t xml:space="preserve"> not to complete additional construction or provide more coverage.  </w:t>
      </w:r>
      <w:r>
        <w:t xml:space="preserve">None of its filings indicate that granting an extension of the deadline would result in </w:t>
      </w:r>
      <w:r w:rsidR="00DB3A6D">
        <w:t xml:space="preserve">the </w:t>
      </w:r>
      <w:r w:rsidR="004A3578">
        <w:t>S</w:t>
      </w:r>
      <w:r w:rsidR="00DB3A6D">
        <w:t>tate’s being able to meet its construction requirement</w:t>
      </w:r>
      <w:r>
        <w:t xml:space="preserve">.  Thus, we conclude that providing additional time would not be in the public interest. </w:t>
      </w:r>
    </w:p>
    <w:p w:rsidR="00464523" w:rsidP="001A1B0B">
      <w:pPr>
        <w:pStyle w:val="ParaNum"/>
      </w:pPr>
      <w:r>
        <w:t>W</w:t>
      </w:r>
      <w:r w:rsidR="008C7325">
        <w:t xml:space="preserve">hile we conclude that providing Maine an extension </w:t>
      </w:r>
      <w:r w:rsidR="00DA4171">
        <w:t>to meet</w:t>
      </w:r>
      <w:r w:rsidR="008C7325">
        <w:t xml:space="preserve"> its construction obligations is not warranted, w</w:t>
      </w:r>
      <w:r w:rsidR="00607EDA">
        <w:t>e find</w:t>
      </w:r>
      <w:r w:rsidR="00D903AD">
        <w:t xml:space="preserve"> on our own motion</w:t>
      </w:r>
      <w:r w:rsidR="00607EDA">
        <w:t xml:space="preserve"> that the unique circumstances present here justify granting </w:t>
      </w:r>
      <w:r w:rsidR="00B270BE">
        <w:t xml:space="preserve">limited relief to the </w:t>
      </w:r>
      <w:r w:rsidR="004A3578">
        <w:t>S</w:t>
      </w:r>
      <w:r w:rsidR="00B270BE">
        <w:t xml:space="preserve">tate of Maine via </w:t>
      </w:r>
      <w:r w:rsidR="00EA00CC">
        <w:t>a waiver of</w:t>
      </w:r>
      <w:r w:rsidR="00607EDA">
        <w:t xml:space="preserve"> </w:t>
      </w:r>
      <w:r w:rsidR="00382467">
        <w:t xml:space="preserve">Section 22.503(k) </w:t>
      </w:r>
      <w:r>
        <w:t xml:space="preserve">to the extent necessary to allow the </w:t>
      </w:r>
      <w:r w:rsidR="004A3578">
        <w:t>S</w:t>
      </w:r>
      <w:r>
        <w:t xml:space="preserve">tate to keep the portions of the </w:t>
      </w:r>
      <w:r w:rsidR="00382467">
        <w:t xml:space="preserve">license area </w:t>
      </w:r>
      <w:r w:rsidR="00B270BE">
        <w:t>where i</w:t>
      </w:r>
      <w:r w:rsidR="00382467">
        <w:t>t was operating</w:t>
      </w:r>
      <w:r>
        <w:t xml:space="preserve"> as of the </w:t>
      </w:r>
      <w:r w:rsidR="00086651">
        <w:t xml:space="preserve">extended construction </w:t>
      </w:r>
      <w:r w:rsidR="00086651">
        <w:t xml:space="preserve">deadline of </w:t>
      </w:r>
      <w:r w:rsidR="00382467">
        <w:t>September 1, 2017</w:t>
      </w:r>
      <w:r w:rsidR="00607EDA">
        <w:t xml:space="preserve">.  </w:t>
      </w:r>
      <w:r w:rsidR="008F0BF9">
        <w:t>Without such a waiver,</w:t>
      </w:r>
      <w:r w:rsidR="002B45A8">
        <w:t xml:space="preserve"> failure to meet the Commission’s construction requirements results in automatic termination of the entire license</w:t>
      </w:r>
      <w:r>
        <w:rPr>
          <w:rStyle w:val="FootnoteReference"/>
        </w:rPr>
        <w:footnoteReference w:id="37"/>
      </w:r>
      <w:r w:rsidR="00DA4171">
        <w:t xml:space="preserve"> and</w:t>
      </w:r>
      <w:r w:rsidR="00105ABC">
        <w:t xml:space="preserve"> would</w:t>
      </w:r>
      <w:r w:rsidR="00DA4171">
        <w:t xml:space="preserve"> disrupt the functioning of Maine’s public safety communications system</w:t>
      </w:r>
      <w:r w:rsidR="002B45A8">
        <w:t xml:space="preserve">.  </w:t>
      </w:r>
    </w:p>
    <w:p w:rsidR="00C54998" w:rsidP="001A1B0B">
      <w:pPr>
        <w:pStyle w:val="ParaNum"/>
      </w:pPr>
      <w:r>
        <w:t>Maine’s system is predicated on use of only the VHF band, as the only band allowing for statewide interoperability.  We have already recognized Maine’s legitimate need to incorporate these frequencies into its</w:t>
      </w:r>
      <w:r w:rsidR="004961C1">
        <w:t xml:space="preserve"> statewide public safety</w:t>
      </w:r>
      <w:r>
        <w:t xml:space="preserve"> network, and that it would be contrary to the public interest for Maine to build a statewide system that was incapable of interoperating</w:t>
      </w:r>
      <w:r w:rsidR="004961C1">
        <w:t xml:space="preserve"> </w:t>
      </w:r>
      <w:r>
        <w:t>throughout the state.</w:t>
      </w:r>
      <w:r>
        <w:rPr>
          <w:rStyle w:val="FootnoteReference"/>
        </w:rPr>
        <w:footnoteReference w:id="38"/>
      </w:r>
      <w:r>
        <w:t xml:space="preserve">  </w:t>
      </w:r>
      <w:r w:rsidR="00276B3E">
        <w:t>Given the nature of Maine’s use of the Part 22 licenses</w:t>
      </w:r>
      <w:r w:rsidR="00607EDA">
        <w:t>,</w:t>
      </w:r>
      <w:r w:rsidR="00276B3E">
        <w:t xml:space="preserve"> </w:t>
      </w:r>
      <w:r w:rsidR="00382467">
        <w:t xml:space="preserve">automatic </w:t>
      </w:r>
      <w:r w:rsidR="00276B3E">
        <w:t>terminat</w:t>
      </w:r>
      <w:r w:rsidR="00382467">
        <w:t>ion of</w:t>
      </w:r>
      <w:r w:rsidR="00276B3E">
        <w:t xml:space="preserve"> the licenses </w:t>
      </w:r>
      <w:r w:rsidR="007D4443">
        <w:t xml:space="preserve">wholesale </w:t>
      </w:r>
      <w:r>
        <w:t>would necessarily limit the statewide operation and interoperability between all levels of government that we have found to be in the public interest.</w:t>
      </w:r>
      <w:r>
        <w:rPr>
          <w:rStyle w:val="FootnoteReference"/>
        </w:rPr>
        <w:footnoteReference w:id="39"/>
      </w:r>
      <w:r>
        <w:t xml:space="preserve">  We thus conclude </w:t>
      </w:r>
      <w:r w:rsidR="008C7325">
        <w:t xml:space="preserve">that the public interest supports granting a waiver to permit the </w:t>
      </w:r>
      <w:r w:rsidR="004A3578">
        <w:t>S</w:t>
      </w:r>
      <w:r w:rsidR="008C7325">
        <w:t>tate to retain its operations</w:t>
      </w:r>
      <w:r w:rsidR="00974414">
        <w:t xml:space="preserve"> </w:t>
      </w:r>
      <w:r w:rsidR="00086651">
        <w:t xml:space="preserve">as of the extended construction deadline </w:t>
      </w:r>
      <w:r w:rsidR="00974414">
        <w:t>rather than terminating the licenses in their entirety</w:t>
      </w:r>
      <w:r w:rsidR="00CA236F">
        <w:t>.</w:t>
      </w:r>
      <w:r w:rsidR="00E24BC3">
        <w:t xml:space="preserve"> </w:t>
      </w:r>
    </w:p>
    <w:p w:rsidR="00021001" w:rsidP="001A1B0B">
      <w:pPr>
        <w:pStyle w:val="ParaNum"/>
      </w:pPr>
      <w:r>
        <w:t xml:space="preserve">Although </w:t>
      </w:r>
      <w:r w:rsidR="00C54998">
        <w:t xml:space="preserve">Maine has not established </w:t>
      </w:r>
      <w:r w:rsidR="005825D9">
        <w:t>a level of co</w:t>
      </w:r>
      <w:r w:rsidR="00185E7B">
        <w:t>nstruction and servic</w:t>
      </w:r>
      <w:r w:rsidR="005825D9">
        <w:t xml:space="preserve">e that would constitute </w:t>
      </w:r>
      <w:r w:rsidR="00C54998">
        <w:t>substantial service for any of its ten licenses</w:t>
      </w:r>
      <w:r w:rsidR="005825D9">
        <w:t>,</w:t>
      </w:r>
      <w:r w:rsidR="00C54998">
        <w:t xml:space="preserve"> we agree that it is</w:t>
      </w:r>
      <w:r w:rsidR="00974414">
        <w:t xml:space="preserve"> currently</w:t>
      </w:r>
      <w:r w:rsidR="00C54998">
        <w:t xml:space="preserve"> </w:t>
      </w:r>
      <w:r w:rsidR="00DA4171">
        <w:t xml:space="preserve">operating in </w:t>
      </w:r>
      <w:r w:rsidR="00C54998">
        <w:t xml:space="preserve">portions of </w:t>
      </w:r>
      <w:r w:rsidR="00431F03">
        <w:t>a given</w:t>
      </w:r>
      <w:r w:rsidR="00C54998">
        <w:t xml:space="preserve"> market</w:t>
      </w:r>
      <w:r w:rsidR="00B52DE6">
        <w:t xml:space="preserve"> </w:t>
      </w:r>
      <w:r w:rsidR="00947D78">
        <w:t xml:space="preserve">area for </w:t>
      </w:r>
      <w:r w:rsidR="00431F03">
        <w:t>each</w:t>
      </w:r>
      <w:r w:rsidR="00D903AD">
        <w:t xml:space="preserve"> license</w:t>
      </w:r>
      <w:r w:rsidR="00974414">
        <w:t xml:space="preserve"> as part of its statewide </w:t>
      </w:r>
      <w:r w:rsidR="005B4C53">
        <w:t xml:space="preserve">public safety </w:t>
      </w:r>
      <w:r w:rsidR="00974414">
        <w:t>system</w:t>
      </w:r>
      <w:r w:rsidR="00CA236F">
        <w:t>.</w:t>
      </w:r>
      <w:r w:rsidR="00C54998">
        <w:t xml:space="preserve">  We also agree that in doing so</w:t>
      </w:r>
      <w:r w:rsidR="005825D9">
        <w:t>, Maine</w:t>
      </w:r>
      <w:r w:rsidR="00C54998">
        <w:t xml:space="preserve"> is using the only spectrum available that can provide coverage in </w:t>
      </w:r>
      <w:r w:rsidR="00382467">
        <w:t xml:space="preserve">some </w:t>
      </w:r>
      <w:r w:rsidR="00C54998">
        <w:t>areas.  We</w:t>
      </w:r>
      <w:r>
        <w:t xml:space="preserve"> have previously granted </w:t>
      </w:r>
      <w:r w:rsidR="00974414">
        <w:t>relief</w:t>
      </w:r>
      <w:r>
        <w:t xml:space="preserve"> related to</w:t>
      </w:r>
      <w:r w:rsidR="00974414">
        <w:t xml:space="preserve"> these licenses in order to permit them to be used as part of the</w:t>
      </w:r>
      <w:r>
        <w:t xml:space="preserve"> </w:t>
      </w:r>
      <w:r w:rsidR="00C54998">
        <w:t>MSCommNet system</w:t>
      </w:r>
      <w:r>
        <w:t>, recognizing the benefits MSCommNet will provide to mission-critical public safety activities statewide.</w:t>
      </w:r>
      <w:r>
        <w:rPr>
          <w:rStyle w:val="FootnoteReference"/>
        </w:rPr>
        <w:footnoteReference w:id="40"/>
      </w:r>
      <w:r>
        <w:t xml:space="preserve">  This waiver </w:t>
      </w:r>
      <w:r w:rsidR="00276B3E">
        <w:t>allow</w:t>
      </w:r>
      <w:r>
        <w:t>s</w:t>
      </w:r>
      <w:r w:rsidR="00276B3E">
        <w:t xml:space="preserve"> the network to continue operating in those areas it </w:t>
      </w:r>
      <w:r w:rsidR="00086651">
        <w:t>was</w:t>
      </w:r>
      <w:r w:rsidR="00276B3E">
        <w:t xml:space="preserve"> serving</w:t>
      </w:r>
      <w:r w:rsidR="00086651">
        <w:t xml:space="preserve"> as of the extended construction deadline</w:t>
      </w:r>
      <w:r>
        <w:t xml:space="preserve">, maintaining the functionality of the network </w:t>
      </w:r>
      <w:r w:rsidR="00E10F5B">
        <w:t>in total</w:t>
      </w:r>
      <w:r w:rsidR="007D4443">
        <w:t xml:space="preserve">, while </w:t>
      </w:r>
      <w:r w:rsidR="008F0BF9">
        <w:t xml:space="preserve">ultimately requiring </w:t>
      </w:r>
      <w:r w:rsidR="007D4443">
        <w:t xml:space="preserve">return </w:t>
      </w:r>
      <w:r w:rsidR="008F0BF9">
        <w:t xml:space="preserve">of </w:t>
      </w:r>
      <w:r w:rsidR="007D4443">
        <w:t>spectrum not in use by MSCommNet to the Commission’s inventory</w:t>
      </w:r>
      <w:r w:rsidR="00B52DE6">
        <w:t>.</w:t>
      </w:r>
    </w:p>
    <w:p w:rsidR="0076320A" w:rsidP="001A1B0B">
      <w:pPr>
        <w:pStyle w:val="ParaNum"/>
      </w:pPr>
      <w:r w:rsidRPr="00276B3E">
        <w:rPr>
          <w:i/>
        </w:rPr>
        <w:t>Technical Waivers</w:t>
      </w:r>
      <w:r w:rsidR="008722F7">
        <w:rPr>
          <w:i/>
        </w:rPr>
        <w:t xml:space="preserve"> and </w:t>
      </w:r>
      <w:r w:rsidR="000A1129">
        <w:rPr>
          <w:i/>
        </w:rPr>
        <w:t xml:space="preserve">Special </w:t>
      </w:r>
      <w:r w:rsidR="008722F7">
        <w:rPr>
          <w:i/>
        </w:rPr>
        <w:t>Temporary Authority to Continue Operations</w:t>
      </w:r>
      <w:r>
        <w:t xml:space="preserve">. </w:t>
      </w:r>
      <w:r w:rsidR="00276B3E">
        <w:t xml:space="preserve"> </w:t>
      </w:r>
      <w:r w:rsidR="00381C3E">
        <w:t xml:space="preserve">Maine is operating its Part 22 </w:t>
      </w:r>
      <w:r w:rsidR="00D434AC">
        <w:t xml:space="preserve">paging </w:t>
      </w:r>
      <w:r w:rsidR="00381C3E">
        <w:t xml:space="preserve">licenses within a public safety system made up of primarily Part 90 </w:t>
      </w:r>
      <w:r>
        <w:t xml:space="preserve">and other non-Part 22 licenses, and this operation has resulted in </w:t>
      </w:r>
      <w:r w:rsidR="00381C3E">
        <w:t xml:space="preserve">multiple inconsistencies between the operation of the </w:t>
      </w:r>
      <w:r>
        <w:t xml:space="preserve">Part 22 </w:t>
      </w:r>
      <w:r w:rsidR="00381C3E">
        <w:t xml:space="preserve">licenses and our technical rules.  </w:t>
      </w:r>
      <w:r w:rsidR="00431F03">
        <w:t xml:space="preserve">Our review of the information Maine provided revealed that the </w:t>
      </w:r>
      <w:r w:rsidR="004A3578">
        <w:t>S</w:t>
      </w:r>
      <w:r w:rsidR="00431F03">
        <w:t xml:space="preserve">tate requires additional rule waivers beyond those that </w:t>
      </w:r>
      <w:r w:rsidR="004A3578">
        <w:t>it</w:t>
      </w:r>
      <w:r w:rsidR="00431F03">
        <w:t xml:space="preserve"> has already requested from this Bureau and </w:t>
      </w:r>
      <w:r w:rsidR="008F0BF9">
        <w:t>PSHSB</w:t>
      </w:r>
      <w:r w:rsidR="00431F03">
        <w:t>.</w:t>
      </w:r>
      <w:r>
        <w:rPr>
          <w:rStyle w:val="FootnoteReference"/>
        </w:rPr>
        <w:footnoteReference w:id="41"/>
      </w:r>
      <w:r w:rsidR="00431F03">
        <w:t xml:space="preserve">  </w:t>
      </w:r>
      <w:r w:rsidR="00974414">
        <w:t xml:space="preserve">While we are permitting Maine to retain areas in which it </w:t>
      </w:r>
      <w:r w:rsidR="00086651">
        <w:t>was</w:t>
      </w:r>
      <w:r w:rsidR="00974414">
        <w:t xml:space="preserve"> operating</w:t>
      </w:r>
      <w:r w:rsidR="00086651">
        <w:t xml:space="preserve"> as of the extended construction deadline</w:t>
      </w:r>
      <w:r w:rsidR="00B270BE">
        <w:t xml:space="preserve">, Maine’s operation of </w:t>
      </w:r>
      <w:r w:rsidR="00A96A21">
        <w:t>these licenses</w:t>
      </w:r>
      <w:r w:rsidR="00DD0447">
        <w:t xml:space="preserve"> </w:t>
      </w:r>
      <w:r w:rsidR="00B270BE">
        <w:t>would remain out of compliance with our rules, and we therefore grant limited waivers of certain technical rules to enable continued use of the licenses.</w:t>
      </w:r>
      <w:r w:rsidR="00431F03">
        <w:t xml:space="preserve">  As we recognized in the </w:t>
      </w:r>
      <w:r w:rsidRPr="00431F03" w:rsidR="00431F03">
        <w:rPr>
          <w:i/>
        </w:rPr>
        <w:t>2012</w:t>
      </w:r>
      <w:r w:rsidR="00431F03">
        <w:rPr>
          <w:i/>
        </w:rPr>
        <w:t xml:space="preserve"> Waiver Order</w:t>
      </w:r>
      <w:r w:rsidR="00431F03">
        <w:t>, it is in the public interest to facilitate</w:t>
      </w:r>
      <w:r w:rsidR="00421182">
        <w:t xml:space="preserve"> operation of</w:t>
      </w:r>
      <w:r w:rsidR="00431F03">
        <w:t xml:space="preserve"> </w:t>
      </w:r>
      <w:r w:rsidR="00421182">
        <w:t xml:space="preserve">the statewide network and its </w:t>
      </w:r>
      <w:r w:rsidR="00431F03">
        <w:t>interoperability</w:t>
      </w:r>
      <w:r w:rsidR="00421182">
        <w:t xml:space="preserve"> for federal, state, and local public safety</w:t>
      </w:r>
      <w:r w:rsidR="00464523">
        <w:t xml:space="preserve"> entities</w:t>
      </w:r>
      <w:r w:rsidR="00431F03">
        <w:t>.</w:t>
      </w:r>
      <w:r>
        <w:rPr>
          <w:rStyle w:val="FootnoteReference"/>
        </w:rPr>
        <w:footnoteReference w:id="42"/>
      </w:r>
      <w:r w:rsidR="00431F03">
        <w:t xml:space="preserve">  </w:t>
      </w:r>
    </w:p>
    <w:p w:rsidR="00AB11D4" w:rsidP="001A1B0B">
      <w:pPr>
        <w:pStyle w:val="ParaNum"/>
      </w:pPr>
      <w:r>
        <w:t>To</w:t>
      </w:r>
      <w:r w:rsidR="003D7892">
        <w:t xml:space="preserve"> bring MSCommNet’s operations into compliance with the rules, w</w:t>
      </w:r>
      <w:r w:rsidR="0076320A">
        <w:t>e</w:t>
      </w:r>
      <w:r w:rsidR="00607EDA">
        <w:t xml:space="preserve"> grant waivers on our own motion for the technical rules discussed below</w:t>
      </w:r>
      <w:r w:rsidR="001B05C0">
        <w:t>, as well as special temporary authority (STA) for these stations to continue operating for a</w:t>
      </w:r>
      <w:r w:rsidR="008722F7">
        <w:t>n interim</w:t>
      </w:r>
      <w:r w:rsidR="001B05C0">
        <w:t xml:space="preserve"> period of six months</w:t>
      </w:r>
      <w:r w:rsidR="008722F7">
        <w:t xml:space="preserve"> while the </w:t>
      </w:r>
      <w:r w:rsidR="004A3578">
        <w:t>S</w:t>
      </w:r>
      <w:r w:rsidR="008722F7">
        <w:t xml:space="preserve">tate </w:t>
      </w:r>
      <w:r w:rsidR="00A236CD">
        <w:t xml:space="preserve">comes into </w:t>
      </w:r>
      <w:r w:rsidR="008722F7">
        <w:t xml:space="preserve">compliance </w:t>
      </w:r>
      <w:r w:rsidR="008722F7">
        <w:t xml:space="preserve">with the conditions set out in </w:t>
      </w:r>
      <w:r w:rsidR="00715126">
        <w:t>this section</w:t>
      </w:r>
      <w:r w:rsidR="003D7892">
        <w:t>.</w:t>
      </w:r>
      <w:r>
        <w:rPr>
          <w:rStyle w:val="FootnoteReference"/>
        </w:rPr>
        <w:footnoteReference w:id="43"/>
      </w:r>
      <w:r w:rsidR="003D7892">
        <w:t xml:space="preserve">  </w:t>
      </w:r>
      <w:r w:rsidR="00421182">
        <w:t xml:space="preserve">Each of these waivers is specifically conditioned </w:t>
      </w:r>
      <w:r w:rsidR="008722F7">
        <w:t>on</w:t>
      </w:r>
      <w:r w:rsidR="00421182">
        <w:t xml:space="preserve"> </w:t>
      </w:r>
      <w:r w:rsidR="007C11E5">
        <w:t xml:space="preserve">the </w:t>
      </w:r>
      <w:r w:rsidR="0076320A">
        <w:t>concurrence of</w:t>
      </w:r>
      <w:r w:rsidR="007C11E5">
        <w:t xml:space="preserve"> licensees</w:t>
      </w:r>
      <w:r w:rsidR="0076320A">
        <w:t xml:space="preserve"> </w:t>
      </w:r>
      <w:r w:rsidR="00B270BE">
        <w:t xml:space="preserve">who would potentially be affected by </w:t>
      </w:r>
      <w:r w:rsidR="0076320A">
        <w:t xml:space="preserve">Maine’s operation of MSCommNet at the waived </w:t>
      </w:r>
      <w:r w:rsidR="008F0BF9">
        <w:t xml:space="preserve">technical </w:t>
      </w:r>
      <w:r w:rsidR="0076320A">
        <w:t>parameters</w:t>
      </w:r>
      <w:r w:rsidR="00204272">
        <w:t xml:space="preserve"> in order to ensure </w:t>
      </w:r>
      <w:r w:rsidR="009C5379">
        <w:t xml:space="preserve">protection from harmful </w:t>
      </w:r>
      <w:r w:rsidR="00A236CD">
        <w:t xml:space="preserve">interference </w:t>
      </w:r>
      <w:r w:rsidR="00204272">
        <w:t>for other licensees</w:t>
      </w:r>
      <w:r w:rsidR="007C11E5">
        <w:t xml:space="preserve">.  </w:t>
      </w:r>
      <w:r w:rsidR="003D7892">
        <w:t>Maine is using these licenses to fill gaps where traditional public safety spectrum is not available, and we find that the following waivers</w:t>
      </w:r>
      <w:r w:rsidR="0076320A">
        <w:t xml:space="preserve">, as conditioned, will bring its </w:t>
      </w:r>
      <w:r w:rsidR="003D7892">
        <w:t xml:space="preserve">operations into compliance with </w:t>
      </w:r>
      <w:r w:rsidR="00B270BE">
        <w:t xml:space="preserve">the </w:t>
      </w:r>
      <w:r w:rsidR="003D7892">
        <w:t xml:space="preserve">rules </w:t>
      </w:r>
      <w:r w:rsidR="00B270BE">
        <w:t>while</w:t>
      </w:r>
      <w:r w:rsidR="003D7892">
        <w:t xml:space="preserve"> maintaining MSCommNet’s functionality and minimizing the risk of harmful interference. </w:t>
      </w:r>
    </w:p>
    <w:p w:rsidR="006F1765" w:rsidP="001A1B0B">
      <w:pPr>
        <w:pStyle w:val="ParaNum"/>
        <w:numPr>
          <w:ilvl w:val="0"/>
          <w:numId w:val="28"/>
        </w:numPr>
        <w:rPr>
          <w:i/>
        </w:rPr>
      </w:pPr>
      <w:bookmarkStart w:id="1" w:name="_Hlk520447774"/>
      <w:r w:rsidRPr="00381C3E">
        <w:rPr>
          <w:i/>
        </w:rPr>
        <w:t>Section 22.503</w:t>
      </w:r>
      <w:r>
        <w:t>.  Section 22.503(j)</w:t>
      </w:r>
      <w:r w:rsidR="00E377EA">
        <w:t xml:space="preserve"> contains a s</w:t>
      </w:r>
      <w:r w:rsidRPr="00E377EA" w:rsidR="00E377EA">
        <w:t>ite location restriction</w:t>
      </w:r>
      <w:r w:rsidR="00E377EA">
        <w:t xml:space="preserve"> requiring t</w:t>
      </w:r>
      <w:r w:rsidRPr="00E377EA" w:rsidR="00E377EA">
        <w:t xml:space="preserve">he transmitting antenna of each facility </w:t>
      </w:r>
      <w:r w:rsidRPr="005928E3" w:rsidR="005928E3">
        <w:t>to be constructed and placed into operation within the geographic market for which it is authorized</w:t>
      </w:r>
      <w:r w:rsidRPr="00E377EA" w:rsidR="00E377EA">
        <w:t>.</w:t>
      </w:r>
      <w:r>
        <w:rPr>
          <w:rStyle w:val="FootnoteReference"/>
        </w:rPr>
        <w:footnoteReference w:id="44"/>
      </w:r>
      <w:r w:rsidR="00E377EA">
        <w:t xml:space="preserve">  </w:t>
      </w:r>
      <w:r w:rsidR="005C5F47">
        <w:t xml:space="preserve">Here, </w:t>
      </w:r>
      <w:r w:rsidR="005928E3">
        <w:t>WQMT760 is</w:t>
      </w:r>
      <w:r w:rsidRPr="005928E3" w:rsidR="005928E3">
        <w:t xml:space="preserve"> licensed </w:t>
      </w:r>
      <w:r w:rsidR="00AE642D">
        <w:t xml:space="preserve">only </w:t>
      </w:r>
      <w:r w:rsidRPr="005928E3" w:rsidR="005928E3">
        <w:t>for market BEA002</w:t>
      </w:r>
      <w:r w:rsidR="005928E3">
        <w:t xml:space="preserve">, but is currently operating </w:t>
      </w:r>
      <w:r w:rsidRPr="005928E3" w:rsidR="005928E3">
        <w:t xml:space="preserve">one </w:t>
      </w:r>
      <w:r w:rsidR="005928E3">
        <w:t xml:space="preserve">base station, Cook Hill, that </w:t>
      </w:r>
      <w:r w:rsidRPr="005928E3" w:rsidR="005928E3">
        <w:t>re</w:t>
      </w:r>
      <w:r w:rsidR="005928E3">
        <w:t>sides in market BEA001.  The</w:t>
      </w:r>
      <w:r w:rsidRPr="005928E3" w:rsidR="005928E3">
        <w:t xml:space="preserve"> </w:t>
      </w:r>
      <w:r w:rsidR="005928E3">
        <w:t>Cook Hill base station</w:t>
      </w:r>
      <w:r w:rsidR="00B94F4B">
        <w:t xml:space="preserve"> in BEA001</w:t>
      </w:r>
      <w:r w:rsidR="005928E3">
        <w:t xml:space="preserve"> transmits</w:t>
      </w:r>
      <w:r w:rsidRPr="005928E3" w:rsidR="005928E3">
        <w:t xml:space="preserve"> </w:t>
      </w:r>
      <w:r w:rsidR="00B94F4B">
        <w:t xml:space="preserve">to mobiles in BEA002 </w:t>
      </w:r>
      <w:r w:rsidRPr="005928E3" w:rsidR="005928E3">
        <w:t>on the paired FP channel block</w:t>
      </w:r>
      <w:r w:rsidR="005928E3">
        <w:t>,</w:t>
      </w:r>
      <w:r>
        <w:rPr>
          <w:rStyle w:val="FootnoteReference"/>
        </w:rPr>
        <w:footnoteReference w:id="45"/>
      </w:r>
      <w:r w:rsidR="005928E3">
        <w:t xml:space="preserve"> </w:t>
      </w:r>
      <w:r w:rsidR="00B94F4B">
        <w:t>even though t</w:t>
      </w:r>
      <w:r w:rsidRPr="005928E3" w:rsidR="00B94F4B">
        <w:t xml:space="preserve">he State of Maine is not licensed </w:t>
      </w:r>
      <w:r w:rsidR="00B94F4B">
        <w:t>in</w:t>
      </w:r>
      <w:r w:rsidRPr="005928E3" w:rsidR="00B94F4B">
        <w:t xml:space="preserve"> BEA001 for the FP channel block</w:t>
      </w:r>
      <w:r w:rsidRPr="005928E3" w:rsidR="005928E3">
        <w:t xml:space="preserve">.  We waive 22.503 (j) to the extent the </w:t>
      </w:r>
      <w:r w:rsidR="004A3578">
        <w:t>S</w:t>
      </w:r>
      <w:r w:rsidRPr="005928E3" w:rsidR="005928E3">
        <w:t xml:space="preserve">tate of Maine obtains a lease agreement with the adjacent licensee in BEA001 to operate the Cook Hill base station on the FP channel block </w:t>
      </w:r>
      <w:r w:rsidR="00EC286B">
        <w:t>(</w:t>
      </w:r>
      <w:r w:rsidRPr="005928E3" w:rsidR="005928E3">
        <w:t>which is necessary for the mobile operations in BEA002</w:t>
      </w:r>
      <w:r w:rsidR="00EC286B">
        <w:t>)</w:t>
      </w:r>
      <w:r w:rsidR="008722F7">
        <w:t xml:space="preserve">, and as further conditioned below. </w:t>
      </w:r>
      <w:r w:rsidRPr="005928E3" w:rsidR="005928E3">
        <w:t xml:space="preserve">  </w:t>
      </w:r>
    </w:p>
    <w:p w:rsidR="00537187" w:rsidP="001A1B0B">
      <w:pPr>
        <w:pStyle w:val="ParaNum"/>
        <w:numPr>
          <w:ilvl w:val="0"/>
          <w:numId w:val="28"/>
        </w:numPr>
      </w:pPr>
      <w:r w:rsidRPr="00477A35">
        <w:rPr>
          <w:i/>
        </w:rPr>
        <w:t>Section 22.515.</w:t>
      </w:r>
      <w:r>
        <w:t xml:space="preserve"> </w:t>
      </w:r>
      <w:r w:rsidR="00477A35">
        <w:t xml:space="preserve"> </w:t>
      </w:r>
      <w:r>
        <w:t xml:space="preserve">Section 22.515 provides that, for all paging </w:t>
      </w:r>
      <w:r w:rsidR="00A236CD">
        <w:t>licenses</w:t>
      </w:r>
      <w:r>
        <w:t>, mobile stations may communicate only with and through base stations</w:t>
      </w:r>
      <w:r w:rsidR="00477A35">
        <w:t>, and vice versa</w:t>
      </w:r>
      <w:r>
        <w:t>.</w:t>
      </w:r>
      <w:r>
        <w:rPr>
          <w:rStyle w:val="FootnoteReference"/>
        </w:rPr>
        <w:footnoteReference w:id="46"/>
      </w:r>
      <w:r>
        <w:t xml:space="preserve">  </w:t>
      </w:r>
      <w:r w:rsidRPr="00537187">
        <w:t xml:space="preserve">Maine has elected to configure </w:t>
      </w:r>
      <w:r w:rsidR="00A236CD">
        <w:t>its</w:t>
      </w:r>
      <w:r w:rsidRPr="00537187" w:rsidR="00A236CD">
        <w:t xml:space="preserve"> </w:t>
      </w:r>
      <w:r w:rsidRPr="00537187">
        <w:t xml:space="preserve">licenses in a manner </w:t>
      </w:r>
      <w:r w:rsidR="00477A35">
        <w:t>that results in</w:t>
      </w:r>
      <w:r w:rsidRPr="00537187">
        <w:t xml:space="preserve"> either the mobiles or </w:t>
      </w:r>
      <w:r w:rsidR="00477A35">
        <w:t xml:space="preserve">the </w:t>
      </w:r>
      <w:r w:rsidRPr="00537187">
        <w:t>base stations communicating with and through non-Part 22 licenses</w:t>
      </w:r>
      <w:r w:rsidR="00477A35">
        <w:t xml:space="preserve"> (</w:t>
      </w:r>
      <w:r w:rsidRPr="00477A35" w:rsidR="00477A35">
        <w:rPr>
          <w:i/>
        </w:rPr>
        <w:t>e.g.</w:t>
      </w:r>
      <w:r w:rsidR="00477A35">
        <w:t>, a Part 22 mobile is communicating with a Part 90 base station)</w:t>
      </w:r>
      <w:r w:rsidRPr="00537187">
        <w:t xml:space="preserve">.  We waive </w:t>
      </w:r>
      <w:r w:rsidR="00477A35">
        <w:t xml:space="preserve">Section </w:t>
      </w:r>
      <w:r w:rsidRPr="00537187">
        <w:t>22.515 to</w:t>
      </w:r>
      <w:r w:rsidR="00477A35">
        <w:t xml:space="preserve"> allow Maine to continue to operate in this manner with respect to call signs </w:t>
      </w:r>
      <w:r w:rsidRPr="00381C3E" w:rsidR="00477A35">
        <w:t xml:space="preserve">WQMT752, WQMT753, WQMT754, WQMT755, WQMT757, WQMT758, WQMT759, WQMT760, </w:t>
      </w:r>
      <w:r w:rsidR="00477A35">
        <w:t xml:space="preserve">and </w:t>
      </w:r>
      <w:r w:rsidRPr="00381C3E" w:rsidR="00477A35">
        <w:t>WQMT761</w:t>
      </w:r>
      <w:r w:rsidR="00477A35">
        <w:t xml:space="preserve">, but only to the extent </w:t>
      </w:r>
      <w:r w:rsidRPr="00537187">
        <w:t xml:space="preserve">Maine continues to observe the </w:t>
      </w:r>
      <w:r w:rsidR="00477A35">
        <w:t xml:space="preserve">Part 22 rules regarding the </w:t>
      </w:r>
      <w:r w:rsidRPr="00537187">
        <w:t>permissible path of a mobile communicating only with and through a base</w:t>
      </w:r>
      <w:r w:rsidR="00477A35">
        <w:t xml:space="preserve"> station,</w:t>
      </w:r>
      <w:r w:rsidRPr="00537187">
        <w:t xml:space="preserve"> and vice versa</w:t>
      </w:r>
      <w:r w:rsidR="008722F7">
        <w:t>, and as further conditioned below</w:t>
      </w:r>
      <w:r w:rsidRPr="00537187">
        <w:t xml:space="preserve">. </w:t>
      </w:r>
    </w:p>
    <w:p w:rsidR="006F1765" w:rsidP="001A1B0B">
      <w:pPr>
        <w:pStyle w:val="ParaNum"/>
        <w:numPr>
          <w:ilvl w:val="0"/>
          <w:numId w:val="28"/>
        </w:numPr>
      </w:pPr>
      <w:r w:rsidRPr="00537187">
        <w:rPr>
          <w:i/>
        </w:rPr>
        <w:t>Section 22.531</w:t>
      </w:r>
      <w:r>
        <w:t xml:space="preserve">. </w:t>
      </w:r>
      <w:r w:rsidRPr="00AA2A33">
        <w:t>Section 22.531 provid</w:t>
      </w:r>
      <w:r>
        <w:t>es that certain</w:t>
      </w:r>
      <w:r w:rsidR="00736E11">
        <w:t xml:space="preserve"> unpaired,</w:t>
      </w:r>
      <w:r w:rsidRPr="00AA2A33">
        <w:t xml:space="preserve"> </w:t>
      </w:r>
      <w:r>
        <w:t xml:space="preserve">high VHF </w:t>
      </w:r>
      <w:r w:rsidR="00712B17">
        <w:t>channels</w:t>
      </w:r>
      <w:r>
        <w:t xml:space="preserve"> </w:t>
      </w:r>
      <w:r w:rsidR="00AB0610">
        <w:t xml:space="preserve">for paging operation </w:t>
      </w:r>
      <w:r w:rsidR="00712B17">
        <w:t>are allocated</w:t>
      </w:r>
      <w:r w:rsidR="00DD0447">
        <w:t xml:space="preserve"> only</w:t>
      </w:r>
      <w:r w:rsidR="00712B17">
        <w:t xml:space="preserve"> for use </w:t>
      </w:r>
      <w:r w:rsidR="000E69DB">
        <w:t>as</w:t>
      </w:r>
      <w:r w:rsidRPr="00AA2A33" w:rsidR="000E69DB">
        <w:t xml:space="preserve"> </w:t>
      </w:r>
      <w:r w:rsidRPr="00AA2A33">
        <w:t>base transmitters</w:t>
      </w:r>
      <w:r>
        <w:t xml:space="preserve">, and that all channels have a bandwidth of 20 kHz and are designated by their center frequencies in </w:t>
      </w:r>
      <w:r w:rsidR="00DD0447">
        <w:t>megahertz</w:t>
      </w:r>
      <w:r>
        <w:t>.</w:t>
      </w:r>
      <w:r>
        <w:rPr>
          <w:rStyle w:val="FootnoteReference"/>
        </w:rPr>
        <w:footnoteReference w:id="47"/>
      </w:r>
      <w:r>
        <w:t xml:space="preserve">  </w:t>
      </w:r>
      <w:r w:rsidR="00805F86">
        <w:t xml:space="preserve">Maine is making mobile use of the frequencies associated with </w:t>
      </w:r>
      <w:r w:rsidR="00537187">
        <w:t>call signs WQMT757, WQMT760, and WQM</w:t>
      </w:r>
      <w:r w:rsidR="00AB0610">
        <w:t>T</w:t>
      </w:r>
      <w:r w:rsidR="00537187">
        <w:t>761</w:t>
      </w:r>
      <w:r w:rsidR="00805F86">
        <w:t>, in contravention of the rule.  W</w:t>
      </w:r>
      <w:r w:rsidR="00086E2F">
        <w:t>e grant a waiver of th</w:t>
      </w:r>
      <w:r w:rsidR="00805F86">
        <w:t>e</w:t>
      </w:r>
      <w:r w:rsidR="00715126">
        <w:t xml:space="preserve"> requirement to use these frequencies only </w:t>
      </w:r>
      <w:r w:rsidR="00805F86">
        <w:t>as</w:t>
      </w:r>
      <w:r w:rsidR="00715126">
        <w:t xml:space="preserve"> base transmitters, </w:t>
      </w:r>
      <w:r w:rsidR="00086E2F">
        <w:t>to the extent th</w:t>
      </w:r>
      <w:r w:rsidR="00805F86">
        <w:t>at Maine obtains concurrence as per the conditions below, and does not exceed the boundary set forth in</w:t>
      </w:r>
      <w:r w:rsidR="00A236CD">
        <w:t xml:space="preserve"> the</w:t>
      </w:r>
      <w:r w:rsidR="00805F86">
        <w:t xml:space="preserve"> proposed order of modification and attached Appendix.</w:t>
      </w:r>
      <w:r w:rsidR="00805F86">
        <w:t xml:space="preserve"> </w:t>
      </w:r>
    </w:p>
    <w:p w:rsidR="0057600F" w:rsidP="001A1B0B">
      <w:pPr>
        <w:pStyle w:val="ParaNum"/>
        <w:numPr>
          <w:ilvl w:val="0"/>
          <w:numId w:val="0"/>
        </w:numPr>
        <w:ind w:left="630"/>
      </w:pPr>
      <w:r>
        <w:t xml:space="preserve">We also understand </w:t>
      </w:r>
      <w:r w:rsidR="00715126">
        <w:t>that</w:t>
      </w:r>
      <w:r>
        <w:t xml:space="preserve"> Maine may be operating </w:t>
      </w:r>
      <w:r w:rsidRPr="000532C8" w:rsidR="00715126">
        <w:t>WQMT756, WQMT757, WQMT758, WQMT759, WQMT760, and WQMT761</w:t>
      </w:r>
      <w:r w:rsidR="00715126">
        <w:t xml:space="preserve"> </w:t>
      </w:r>
      <w:r>
        <w:t xml:space="preserve">such that the bandwidth exceeds the limits in </w:t>
      </w:r>
      <w:r w:rsidR="00A236CD">
        <w:t>Section 22.531</w:t>
      </w:r>
      <w:r>
        <w:t xml:space="preserve">.  </w:t>
      </w:r>
      <w:r>
        <w:t xml:space="preserve">These licenses have center frequencies in the 152 </w:t>
      </w:r>
      <w:r w:rsidR="00A02DBD">
        <w:t xml:space="preserve">through </w:t>
      </w:r>
      <w:r>
        <w:t>158 MHz frequency band as identified in Section 22.531.  The</w:t>
      </w:r>
      <w:r w:rsidR="004A3578">
        <w:t xml:space="preserve"> S</w:t>
      </w:r>
      <w:r>
        <w:t xml:space="preserve">tate of Maine has chosen to use channel “offsets” for these </w:t>
      </w:r>
      <w:r>
        <w:t xml:space="preserve">licenses, an intentional slight shift of a broadcast channel with an alternate center frequency that resides within the authorized channel block.  </w:t>
      </w:r>
      <w:r w:rsidR="005F155B">
        <w:t>T</w:t>
      </w:r>
      <w:r>
        <w:t>he offset causes Maine to exceed the bandwidth edge, which could cause spectrally adjacent channel interference.</w:t>
      </w:r>
      <w:r>
        <w:rPr>
          <w:rStyle w:val="FootnoteReference"/>
        </w:rPr>
        <w:footnoteReference w:id="48"/>
      </w:r>
      <w:r>
        <w:t xml:space="preserve">  We waive Section 22.531 for the listed call signs</w:t>
      </w:r>
      <w:r w:rsidR="00736E11">
        <w:t>, as conditioned below.</w:t>
      </w:r>
      <w:r>
        <w:t xml:space="preserve">  </w:t>
      </w:r>
    </w:p>
    <w:p w:rsidR="00086E2F" w:rsidP="001A1B0B">
      <w:pPr>
        <w:pStyle w:val="ParaNum"/>
        <w:numPr>
          <w:ilvl w:val="0"/>
          <w:numId w:val="28"/>
        </w:numPr>
      </w:pPr>
      <w:r w:rsidRPr="00086E2F">
        <w:rPr>
          <w:i/>
        </w:rPr>
        <w:t>Section 22.561</w:t>
      </w:r>
      <w:r>
        <w:t xml:space="preserve">.  Section 22.561 provides </w:t>
      </w:r>
      <w:r w:rsidR="00736E11">
        <w:t>a similar restriction as 22.531, but for</w:t>
      </w:r>
      <w:r w:rsidR="00AB0610">
        <w:t xml:space="preserve"> the one-way or two-way mobile operation for </w:t>
      </w:r>
      <w:r>
        <w:t>the</w:t>
      </w:r>
      <w:r w:rsidR="00736E11">
        <w:t xml:space="preserve"> paired</w:t>
      </w:r>
      <w:r>
        <w:t xml:space="preserve"> channel</w:t>
      </w:r>
      <w:r w:rsidR="00736E11">
        <w:t xml:space="preserve"> block</w:t>
      </w:r>
      <w:r>
        <w:t>s listed in the rule</w:t>
      </w:r>
      <w:r w:rsidR="00736E11">
        <w:t>.  Under this section</w:t>
      </w:r>
      <w:r>
        <w:t xml:space="preserve"> the bandwidth is </w:t>
      </w:r>
      <w:r w:rsidR="00736E11">
        <w:t xml:space="preserve">also </w:t>
      </w:r>
      <w:r>
        <w:t>20 kHz, designated by their center frequencies in MHz.</w:t>
      </w:r>
      <w:r>
        <w:rPr>
          <w:rStyle w:val="FootnoteReference"/>
        </w:rPr>
        <w:footnoteReference w:id="49"/>
      </w:r>
      <w:r>
        <w:t xml:space="preserve">  </w:t>
      </w:r>
      <w:r w:rsidR="002D5D98">
        <w:t xml:space="preserve">These licenses have center frequencies in the 152 through 159 MHz frequency band as identified in Section 22.561.  </w:t>
      </w:r>
      <w:r>
        <w:t xml:space="preserve">For licenses </w:t>
      </w:r>
      <w:r w:rsidRPr="000532C8" w:rsidR="004E7CE4">
        <w:t>WQMT752, WQMT753, WQMT754, and WQMT755</w:t>
      </w:r>
      <w:r>
        <w:t>, we grant a waiver of this rule to the extent those</w:t>
      </w:r>
      <w:r w:rsidR="002D5D98">
        <w:t xml:space="preserve"> licenses</w:t>
      </w:r>
      <w:r>
        <w:t xml:space="preserve"> are operating outside of the prescribed bandwidth</w:t>
      </w:r>
      <w:r w:rsidR="002D5D98">
        <w:t>, as conditioned below</w:t>
      </w:r>
      <w:r>
        <w:t>.</w:t>
      </w:r>
      <w:r>
        <w:rPr>
          <w:rStyle w:val="FootnoteReference"/>
        </w:rPr>
        <w:footnoteReference w:id="50"/>
      </w:r>
      <w:r>
        <w:t xml:space="preserve">  </w:t>
      </w:r>
    </w:p>
    <w:p w:rsidR="00086E2F" w:rsidRPr="00A02DBD" w:rsidP="001A1B0B">
      <w:pPr>
        <w:pStyle w:val="ParaNum"/>
        <w:numPr>
          <w:ilvl w:val="0"/>
          <w:numId w:val="28"/>
        </w:numPr>
        <w:rPr>
          <w:snapToGrid/>
          <w:kern w:val="0"/>
        </w:rPr>
      </w:pPr>
      <w:r w:rsidRPr="00A02DBD">
        <w:rPr>
          <w:i/>
        </w:rPr>
        <w:t>Power Limits</w:t>
      </w:r>
      <w:r>
        <w:t xml:space="preserve">.  Maine is currently operating licenses with call signs </w:t>
      </w:r>
      <w:r w:rsidRPr="000532C8" w:rsidR="004E7CE4">
        <w:t>WQMT756, WQMT757, WQMT758, WQMT759</w:t>
      </w:r>
      <w:r w:rsidRPr="00FC437F" w:rsidR="004E7CE4">
        <w:t xml:space="preserve">, </w:t>
      </w:r>
      <w:r w:rsidRPr="000532C8" w:rsidR="004E7CE4">
        <w:t>WQMT760, and WQMT761</w:t>
      </w:r>
      <w:r>
        <w:t xml:space="preserve"> outside of the limits contained in Section 22.535(c),</w:t>
      </w:r>
      <w:r>
        <w:rPr>
          <w:rStyle w:val="FootnoteReference"/>
        </w:rPr>
        <w:footnoteReference w:id="51"/>
      </w:r>
      <w:r>
        <w:t xml:space="preserve"> and operating licenses with call signs </w:t>
      </w:r>
      <w:r w:rsidRPr="000532C8" w:rsidR="004E7CE4">
        <w:t>WQMT752,</w:t>
      </w:r>
      <w:r w:rsidRPr="00FC437F" w:rsidR="004E7CE4">
        <w:t xml:space="preserve"> </w:t>
      </w:r>
      <w:r w:rsidRPr="000532C8" w:rsidR="004E7CE4">
        <w:t>WQMT753, WQMT754, and WQMT755</w:t>
      </w:r>
      <w:r w:rsidR="004E7CE4">
        <w:t xml:space="preserve"> </w:t>
      </w:r>
      <w:r>
        <w:t>outside of the limits contained in Section 22.565(c).</w:t>
      </w:r>
      <w:r>
        <w:rPr>
          <w:rStyle w:val="FootnoteReference"/>
        </w:rPr>
        <w:footnoteReference w:id="52"/>
      </w:r>
      <w:r>
        <w:t xml:space="preserve">  </w:t>
      </w:r>
      <w:r w:rsidRPr="00A02DBD">
        <w:rPr>
          <w:snapToGrid/>
          <w:kern w:val="0"/>
        </w:rPr>
        <w:t>We waive Sections 22.535(c) and 22.565(c) for the listed call signs as applicable in order</w:t>
      </w:r>
      <w:r>
        <w:t xml:space="preserve"> to allow Maine to maintain its current power levels for these licenses</w:t>
      </w:r>
      <w:r w:rsidRPr="00A02DBD">
        <w:rPr>
          <w:snapToGrid/>
          <w:kern w:val="0"/>
        </w:rPr>
        <w:t xml:space="preserve">, </w:t>
      </w:r>
      <w:r w:rsidRPr="00A02DBD" w:rsidR="00736E11">
        <w:rPr>
          <w:snapToGrid/>
          <w:kern w:val="0"/>
        </w:rPr>
        <w:t>as conditioned below</w:t>
      </w:r>
      <w:r w:rsidRPr="00A02DBD">
        <w:rPr>
          <w:snapToGrid/>
          <w:kern w:val="0"/>
        </w:rPr>
        <w:t>.</w:t>
      </w:r>
    </w:p>
    <w:p w:rsidR="00537187" w:rsidRPr="00537187" w:rsidP="001A1B0B">
      <w:pPr>
        <w:pStyle w:val="ParaNum"/>
        <w:numPr>
          <w:ilvl w:val="1"/>
          <w:numId w:val="28"/>
        </w:numPr>
        <w:rPr>
          <w:snapToGrid/>
          <w:kern w:val="0"/>
        </w:rPr>
      </w:pPr>
      <w:r>
        <w:t>W</w:t>
      </w:r>
      <w:r w:rsidRPr="00B94970">
        <w:t>e</w:t>
      </w:r>
      <w:r>
        <w:t xml:space="preserve"> note that </w:t>
      </w:r>
      <w:r w:rsidR="00A96A21">
        <w:t xml:space="preserve">the </w:t>
      </w:r>
      <w:r w:rsidRPr="007D46E6">
        <w:rPr>
          <w:i/>
        </w:rPr>
        <w:t xml:space="preserve">2012 </w:t>
      </w:r>
      <w:r w:rsidRPr="007D46E6" w:rsidR="00A96A21">
        <w:rPr>
          <w:i/>
        </w:rPr>
        <w:t>W</w:t>
      </w:r>
      <w:r w:rsidRPr="007D46E6">
        <w:rPr>
          <w:i/>
        </w:rPr>
        <w:t xml:space="preserve">aiver </w:t>
      </w:r>
      <w:r w:rsidRPr="007D46E6" w:rsidR="00A96A21">
        <w:rPr>
          <w:i/>
        </w:rPr>
        <w:t>O</w:t>
      </w:r>
      <w:r w:rsidRPr="007D46E6">
        <w:rPr>
          <w:i/>
        </w:rPr>
        <w:t>rder</w:t>
      </w:r>
      <w:r>
        <w:t xml:space="preserve"> </w:t>
      </w:r>
      <w:r w:rsidRPr="00B94970">
        <w:t>require</w:t>
      </w:r>
      <w:r>
        <w:t>d</w:t>
      </w:r>
      <w:r w:rsidRPr="00B94970">
        <w:t xml:space="preserve"> Maine</w:t>
      </w:r>
      <w:r>
        <w:t xml:space="preserve"> t</w:t>
      </w:r>
      <w:r w:rsidRPr="00B94970">
        <w:t>o operate its mobile units at least 8 kilometers from the edge of its Part 22 service area</w:t>
      </w:r>
      <w:r>
        <w:rPr>
          <w:rStyle w:val="FootnoteReference"/>
        </w:rPr>
        <w:footnoteReference w:id="53"/>
      </w:r>
      <w:r w:rsidRPr="00B94970">
        <w:t xml:space="preserve"> when transmitting at power levels above 60 watts </w:t>
      </w:r>
      <w:r>
        <w:t xml:space="preserve">on Part 22 paging frequencies and </w:t>
      </w:r>
      <w:r w:rsidR="002F7AA8">
        <w:t xml:space="preserve">specified </w:t>
      </w:r>
      <w:r>
        <w:t>that the</w:t>
      </w:r>
      <w:r w:rsidRPr="00B94970">
        <w:t xml:space="preserve"> restriction </w:t>
      </w:r>
      <w:r>
        <w:t xml:space="preserve">would </w:t>
      </w:r>
      <w:r w:rsidRPr="00B94970">
        <w:t>remain in effect unless Maine obtains the consent of the Part 22 licensee in the adjacent regions.</w:t>
      </w:r>
      <w:r>
        <w:rPr>
          <w:rStyle w:val="FootnoteReference"/>
        </w:rPr>
        <w:footnoteReference w:id="54"/>
      </w:r>
      <w:r w:rsidRPr="00B94970">
        <w:t xml:space="preserve">  </w:t>
      </w:r>
      <w:r>
        <w:t xml:space="preserve">The 2012 condition remains in effect, and we clarify that it applies to higher-power use of Part 22 mobiles, </w:t>
      </w:r>
      <w:r w:rsidRPr="00B94970">
        <w:t>regardless</w:t>
      </w:r>
      <w:r>
        <w:t xml:space="preserve"> of whether they are communicating with Part 22 or Part 90 base stations.  </w:t>
      </w:r>
    </w:p>
    <w:p w:rsidR="00C579E8" w:rsidP="001A1B0B">
      <w:pPr>
        <w:pStyle w:val="ParaNum"/>
        <w:numPr>
          <w:ilvl w:val="0"/>
          <w:numId w:val="28"/>
        </w:numPr>
        <w:rPr>
          <w:snapToGrid/>
          <w:kern w:val="0"/>
        </w:rPr>
      </w:pPr>
      <w:bookmarkEnd w:id="1"/>
      <w:r w:rsidRPr="001A1B0B">
        <w:rPr>
          <w:i/>
        </w:rPr>
        <w:t>Conditions</w:t>
      </w:r>
      <w:r w:rsidRPr="001A1B0B" w:rsidR="00A70844">
        <w:t>.</w:t>
      </w:r>
      <w:r w:rsidRPr="001A1B0B" w:rsidR="00A8074C">
        <w:t xml:space="preserve"> </w:t>
      </w:r>
      <w:r w:rsidRPr="001A1B0B" w:rsidR="00A8074C">
        <w:rPr>
          <w:sz w:val="24"/>
          <w:szCs w:val="24"/>
        </w:rPr>
        <w:t xml:space="preserve"> </w:t>
      </w:r>
      <w:r w:rsidRPr="001A1B0B" w:rsidR="000B5729">
        <w:t>We</w:t>
      </w:r>
      <w:r w:rsidRPr="000B5729" w:rsidR="000B5729">
        <w:t xml:space="preserve"> find it </w:t>
      </w:r>
      <w:r w:rsidR="00A96A21">
        <w:t>necessary</w:t>
      </w:r>
      <w:r w:rsidR="000B5729">
        <w:t xml:space="preserve"> to </w:t>
      </w:r>
      <w:r w:rsidRPr="000B5729" w:rsidR="00A8074C">
        <w:t>condition</w:t>
      </w:r>
      <w:r w:rsidR="000B5729">
        <w:t xml:space="preserve"> the relief</w:t>
      </w:r>
      <w:r w:rsidR="003A5DBC">
        <w:t xml:space="preserve"> granted</w:t>
      </w:r>
      <w:r w:rsidR="00E74A4A">
        <w:t xml:space="preserve"> in order to meet the expectations of neighboring licensees that their operations will be free from </w:t>
      </w:r>
      <w:r w:rsidR="00CB2BC4">
        <w:t xml:space="preserve">harmful </w:t>
      </w:r>
      <w:r w:rsidR="00E74A4A">
        <w:t>interference</w:t>
      </w:r>
      <w:r w:rsidR="003A5DBC">
        <w:t xml:space="preserve">.  </w:t>
      </w:r>
      <w:r w:rsidRPr="00723CF5" w:rsidR="001E03D2">
        <w:t>Failure to comply with these conditions will result in</w:t>
      </w:r>
      <w:r w:rsidR="00C63D34">
        <w:t xml:space="preserve"> automatic</w:t>
      </w:r>
      <w:r w:rsidRPr="00723CF5" w:rsidR="001E03D2">
        <w:t xml:space="preserve"> termination of the </w:t>
      </w:r>
      <w:r w:rsidR="00A02DBD">
        <w:t xml:space="preserve">technical </w:t>
      </w:r>
      <w:r w:rsidRPr="00723CF5" w:rsidR="001E03D2">
        <w:t xml:space="preserve">waiver </w:t>
      </w:r>
      <w:r w:rsidR="001E03D2">
        <w:t xml:space="preserve">with respect to the license at issue. </w:t>
      </w:r>
      <w:r w:rsidRPr="00723CF5" w:rsidR="001E03D2">
        <w:t xml:space="preserve"> </w:t>
      </w:r>
      <w:bookmarkStart w:id="2" w:name="_Hlk520451152"/>
      <w:r>
        <w:t>The technical rule waivers are conditioned on the</w:t>
      </w:r>
      <w:r w:rsidR="006F1765">
        <w:t xml:space="preserve"> concurrence</w:t>
      </w:r>
      <w:r>
        <w:t xml:space="preserve"> </w:t>
      </w:r>
      <w:r w:rsidR="006F1765">
        <w:t>of</w:t>
      </w:r>
      <w:r>
        <w:t xml:space="preserve"> geographic or spectral neighbors that would potentially be affected</w:t>
      </w:r>
      <w:r w:rsidR="00204D38">
        <w:t>.</w:t>
      </w:r>
      <w:r w:rsidR="00A02DBD">
        <w:t xml:space="preserve"> </w:t>
      </w:r>
      <w:r w:rsidR="008B2CC8">
        <w:t xml:space="preserve"> </w:t>
      </w:r>
      <w:r w:rsidR="00D453A4">
        <w:t xml:space="preserve">Coordination with neighboring geographic or spectral licensees </w:t>
      </w:r>
      <w:r w:rsidR="00A02DBD">
        <w:t xml:space="preserve">shall </w:t>
      </w:r>
      <w:r w:rsidR="00D453A4">
        <w:t xml:space="preserve">be conducted </w:t>
      </w:r>
      <w:r w:rsidR="008B2CC8">
        <w:t xml:space="preserve">consistent with the </w:t>
      </w:r>
      <w:r w:rsidR="00D453A4">
        <w:t xml:space="preserve">process </w:t>
      </w:r>
      <w:r w:rsidR="008B2CC8">
        <w:t>in</w:t>
      </w:r>
      <w:r w:rsidR="00D453A4">
        <w:t xml:space="preserve"> </w:t>
      </w:r>
      <w:r w:rsidR="008B2CC8">
        <w:t xml:space="preserve">Sections 22.503(h) and (i) of our rules that seek to protect adjacent geographic and co-channel licensees from </w:t>
      </w:r>
      <w:r w:rsidR="009C5379">
        <w:t xml:space="preserve">harmful </w:t>
      </w:r>
      <w:r w:rsidR="008B2CC8">
        <w:t>interference.</w:t>
      </w:r>
      <w:r>
        <w:rPr>
          <w:rStyle w:val="FootnoteReference"/>
        </w:rPr>
        <w:footnoteReference w:id="55"/>
      </w:r>
      <w:r w:rsidR="008B2CC8">
        <w:t xml:space="preserve">  </w:t>
      </w:r>
      <w:r>
        <w:t>Specifically:  </w:t>
      </w:r>
    </w:p>
    <w:p w:rsidR="00C579E8" w:rsidP="001A1B0B">
      <w:pPr>
        <w:pStyle w:val="ParaNum"/>
        <w:numPr>
          <w:ilvl w:val="1"/>
          <w:numId w:val="28"/>
        </w:numPr>
      </w:pPr>
      <w:r>
        <w:t>Waivers of the following rules have the potential to affect adjacent licensees and are conditioned on the concurrence of those licensees.</w:t>
      </w:r>
    </w:p>
    <w:p w:rsidR="004E7CE4" w:rsidP="001A1B0B">
      <w:pPr>
        <w:pStyle w:val="ParaNum"/>
        <w:numPr>
          <w:ilvl w:val="2"/>
          <w:numId w:val="5"/>
        </w:numPr>
      </w:pPr>
      <w:bookmarkEnd w:id="2"/>
      <w:r>
        <w:t>Section 22.515 waiver for WQMT752, WQMT753, WQMT754, WQMT755, WQMT756, WQMT757, WQMT758, WQMT759, WQMT760, and WQMT761.</w:t>
      </w:r>
    </w:p>
    <w:p w:rsidR="004E7CE4" w:rsidP="001A1B0B">
      <w:pPr>
        <w:pStyle w:val="ParaNum"/>
        <w:numPr>
          <w:ilvl w:val="2"/>
          <w:numId w:val="5"/>
        </w:numPr>
      </w:pPr>
      <w:r>
        <w:t>Section 22.531 waiver for WQMT756, WQMT757, WQMT758, WQMT759, WQMT760, and WQMT761.</w:t>
      </w:r>
    </w:p>
    <w:p w:rsidR="004E7CE4" w:rsidP="001A1B0B">
      <w:pPr>
        <w:pStyle w:val="ParaNum"/>
        <w:numPr>
          <w:ilvl w:val="2"/>
          <w:numId w:val="5"/>
        </w:numPr>
      </w:pPr>
      <w:r>
        <w:t>Section 22.561 waiver for WQMT752, WQMT753, WQMT754, and WQMT755.</w:t>
      </w:r>
    </w:p>
    <w:p w:rsidR="004E7CE4" w:rsidP="001A1B0B">
      <w:pPr>
        <w:pStyle w:val="ParaNum"/>
        <w:numPr>
          <w:ilvl w:val="1"/>
          <w:numId w:val="28"/>
        </w:numPr>
      </w:pPr>
      <w:r>
        <w:t>Our waivers of the follow rules have the potential to affect co-channel licensees and are conditioned on the concurrence of those licensees:</w:t>
      </w:r>
    </w:p>
    <w:p w:rsidR="004E7CE4" w:rsidP="001A1B0B">
      <w:pPr>
        <w:pStyle w:val="ParaNum"/>
        <w:numPr>
          <w:ilvl w:val="2"/>
          <w:numId w:val="5"/>
        </w:numPr>
      </w:pPr>
      <w:r>
        <w:t>Section 22.503(j) waiver for WQMT760.</w:t>
      </w:r>
    </w:p>
    <w:p w:rsidR="004E7CE4" w:rsidP="001A1B0B">
      <w:pPr>
        <w:pStyle w:val="ParaNum"/>
        <w:numPr>
          <w:ilvl w:val="2"/>
          <w:numId w:val="5"/>
        </w:numPr>
      </w:pPr>
      <w:r>
        <w:t>Section 22.515 waiver for WQMT752, WQMT753, WQMT754, WQMT755, WQMT756, WQMT757, WQMT758, WQMT759, WQMT760, and WQMT761.</w:t>
      </w:r>
    </w:p>
    <w:p w:rsidR="004E7CE4" w:rsidP="001A1B0B">
      <w:pPr>
        <w:pStyle w:val="ParaNum"/>
        <w:numPr>
          <w:ilvl w:val="2"/>
          <w:numId w:val="5"/>
        </w:numPr>
      </w:pPr>
      <w:r>
        <w:t>Section 22.531 waiver for WQMT757, WQMT760, and WQM761.</w:t>
      </w:r>
    </w:p>
    <w:p w:rsidR="004E7CE4" w:rsidP="001A1B0B">
      <w:pPr>
        <w:pStyle w:val="ParaNum"/>
        <w:numPr>
          <w:ilvl w:val="2"/>
          <w:numId w:val="5"/>
        </w:numPr>
      </w:pPr>
      <w:r>
        <w:t>Section 22.535(c) waiver for WQMT756, WQMT757, WQMT758, WQMT759.</w:t>
      </w:r>
    </w:p>
    <w:p w:rsidR="004E7CE4" w:rsidP="001A1B0B">
      <w:pPr>
        <w:pStyle w:val="ParaNum"/>
        <w:numPr>
          <w:ilvl w:val="2"/>
          <w:numId w:val="5"/>
        </w:numPr>
      </w:pPr>
      <w:r>
        <w:t>Section 22.565(c) waiver for WQMT753, WQMT754, WQMT755.</w:t>
      </w:r>
    </w:p>
    <w:p w:rsidR="00736E11" w:rsidP="001A1B0B">
      <w:pPr>
        <w:pStyle w:val="ParaNum"/>
        <w:numPr>
          <w:ilvl w:val="1"/>
          <w:numId w:val="28"/>
        </w:numPr>
      </w:pPr>
      <w:r>
        <w:t xml:space="preserve">In seeking concurrence, Maine must provide these licensees with any technical information requested for testing purposes, in order to ensure no harmful interference will exist. </w:t>
      </w:r>
    </w:p>
    <w:p w:rsidR="00A96A21" w:rsidP="001A1B0B">
      <w:pPr>
        <w:pStyle w:val="ParaNum"/>
        <w:numPr>
          <w:ilvl w:val="1"/>
          <w:numId w:val="28"/>
        </w:numPr>
      </w:pPr>
      <w:r>
        <w:t xml:space="preserve">Within </w:t>
      </w:r>
      <w:r w:rsidR="00715126">
        <w:t>six months</w:t>
      </w:r>
      <w:r w:rsidR="004C178A">
        <w:t xml:space="preserve"> </w:t>
      </w:r>
      <w:r>
        <w:t xml:space="preserve">of the effective date of this </w:t>
      </w:r>
      <w:r w:rsidR="001A473A">
        <w:t>O</w:t>
      </w:r>
      <w:r>
        <w:t xml:space="preserve">rder, the </w:t>
      </w:r>
      <w:r w:rsidR="004A3578">
        <w:t>S</w:t>
      </w:r>
      <w:r>
        <w:t xml:space="preserve">tate of Maine must submit copies of </w:t>
      </w:r>
      <w:r>
        <w:t xml:space="preserve">concurrences </w:t>
      </w:r>
      <w:r>
        <w:t xml:space="preserve">in ULS under the applicable license. </w:t>
      </w:r>
    </w:p>
    <w:p w:rsidR="004164B4" w:rsidP="001A1B0B">
      <w:pPr>
        <w:pStyle w:val="ParaNum"/>
        <w:numPr>
          <w:ilvl w:val="1"/>
          <w:numId w:val="28"/>
        </w:numPr>
      </w:pPr>
      <w:r w:rsidRPr="005928E3">
        <w:t>In the event t</w:t>
      </w:r>
      <w:r>
        <w:t xml:space="preserve">he </w:t>
      </w:r>
      <w:r w:rsidR="004A3578">
        <w:t>S</w:t>
      </w:r>
      <w:r>
        <w:t>tate of Maine cannot comply with the conditions of the technical waivers, it</w:t>
      </w:r>
      <w:r w:rsidRPr="005928E3">
        <w:t xml:space="preserve"> </w:t>
      </w:r>
      <w:r w:rsidR="00715126">
        <w:t>may choose to forgo the waiver and</w:t>
      </w:r>
      <w:r w:rsidRPr="005928E3">
        <w:t xml:space="preserve"> </w:t>
      </w:r>
      <w:r>
        <w:t>implement</w:t>
      </w:r>
      <w:r w:rsidRPr="005928E3">
        <w:t xml:space="preserve"> an alternative </w:t>
      </w:r>
      <w:r w:rsidR="00A02DBD">
        <w:t xml:space="preserve">operational </w:t>
      </w:r>
      <w:r w:rsidRPr="005928E3">
        <w:t>solution that complies with Part 22 rules</w:t>
      </w:r>
      <w:r>
        <w:t>,</w:t>
      </w:r>
      <w:r w:rsidRPr="005928E3">
        <w:t xml:space="preserve"> or </w:t>
      </w:r>
      <w:r w:rsidR="00715126">
        <w:t xml:space="preserve">to </w:t>
      </w:r>
      <w:r w:rsidRPr="005928E3">
        <w:t>cease operations from th</w:t>
      </w:r>
      <w:r>
        <w:t>e</w:t>
      </w:r>
      <w:r w:rsidRPr="005928E3">
        <w:t xml:space="preserve"> </w:t>
      </w:r>
      <w:r w:rsidR="00D453A4">
        <w:t xml:space="preserve">applicable </w:t>
      </w:r>
      <w:r w:rsidRPr="005928E3">
        <w:t>site</w:t>
      </w:r>
      <w:r w:rsidR="00D453A4">
        <w:t>(s)</w:t>
      </w:r>
      <w:r>
        <w:t xml:space="preserve">.  </w:t>
      </w:r>
      <w:r w:rsidR="002F7AA8">
        <w:t>If Maine cannot comply with the conditions, then w</w:t>
      </w:r>
      <w:r w:rsidR="00BD70C0">
        <w:t>ithin six months</w:t>
      </w:r>
      <w:r w:rsidR="001A473A">
        <w:t xml:space="preserve"> of the effective date of this O</w:t>
      </w:r>
      <w:r w:rsidR="00BD70C0">
        <w:t xml:space="preserve">rder, </w:t>
      </w:r>
      <w:r w:rsidR="00715126">
        <w:t>Maine shall notify the Division</w:t>
      </w:r>
      <w:r w:rsidR="00BD70C0">
        <w:t xml:space="preserve"> that it has implemented an alternative solution</w:t>
      </w:r>
      <w:r w:rsidR="00086651">
        <w:t xml:space="preserve"> that complies with the rules</w:t>
      </w:r>
      <w:r w:rsidR="00BD70C0">
        <w:t xml:space="preserve"> or </w:t>
      </w:r>
      <w:r w:rsidR="00086651">
        <w:t xml:space="preserve">has </w:t>
      </w:r>
      <w:r w:rsidR="00BD70C0">
        <w:t>ceased operations</w:t>
      </w:r>
      <w:r w:rsidR="00715126">
        <w:t xml:space="preserve">.  </w:t>
      </w:r>
      <w:r>
        <w:t>Any licenses that do not comply with the Part 22 rules or with the waiver conditions</w:t>
      </w:r>
      <w:r w:rsidR="00715126">
        <w:t xml:space="preserve"> by the end of this</w:t>
      </w:r>
      <w:r w:rsidR="00BD70C0">
        <w:t xml:space="preserve"> six-month</w:t>
      </w:r>
      <w:r w:rsidR="00715126">
        <w:t xml:space="preserve"> timeframe will automatically terminate.</w:t>
      </w:r>
      <w:r>
        <w:t xml:space="preserve"> </w:t>
      </w:r>
      <w:r w:rsidRPr="005928E3">
        <w:t xml:space="preserve"> </w:t>
      </w:r>
    </w:p>
    <w:p w:rsidR="00AB11D4" w:rsidRPr="000B132D" w:rsidP="001A1B0B">
      <w:pPr>
        <w:pStyle w:val="ParaNum"/>
        <w:numPr>
          <w:ilvl w:val="1"/>
          <w:numId w:val="28"/>
        </w:numPr>
      </w:pPr>
      <w:r>
        <w:t xml:space="preserve">The </w:t>
      </w:r>
      <w:r w:rsidR="004A3578">
        <w:t>S</w:t>
      </w:r>
      <w:r>
        <w:t xml:space="preserve">tate </w:t>
      </w:r>
      <w:r w:rsidR="00C579E8">
        <w:t xml:space="preserve">of Maine </w:t>
      </w:r>
      <w:r>
        <w:t xml:space="preserve">must successfully complete coordination with Canada </w:t>
      </w:r>
      <w:r w:rsidR="00811986">
        <w:t xml:space="preserve">for operations above Line A </w:t>
      </w:r>
      <w:r>
        <w:t>within six</w:t>
      </w:r>
      <w:r w:rsidR="006F1765">
        <w:t xml:space="preserve"> </w:t>
      </w:r>
      <w:r>
        <w:t>month</w:t>
      </w:r>
      <w:r w:rsidR="00811986">
        <w:t>s</w:t>
      </w:r>
      <w:r w:rsidR="001A473A">
        <w:t xml:space="preserve"> of the effective date of this O</w:t>
      </w:r>
      <w:r>
        <w:t>rder.</w:t>
      </w:r>
      <w:r w:rsidR="00C01FDC">
        <w:t xml:space="preserve">  </w:t>
      </w:r>
      <w:r w:rsidR="00C579E8">
        <w:t xml:space="preserve">Any licenses that have not completed coordination by the end of </w:t>
      </w:r>
      <w:r w:rsidR="00C01FDC">
        <w:t>this</w:t>
      </w:r>
      <w:r w:rsidR="00BD70C0">
        <w:t xml:space="preserve"> six-month</w:t>
      </w:r>
      <w:r w:rsidR="00C01FDC">
        <w:t xml:space="preserve"> timeframe will automatically terminate.</w:t>
      </w:r>
      <w:r w:rsidR="00CD10B5">
        <w:t xml:space="preserve">  We will not entertain requests for replacement frequencies.</w:t>
      </w:r>
    </w:p>
    <w:p w:rsidR="00AB11D4" w:rsidRPr="00AB11D4" w:rsidP="00C01FDC">
      <w:pPr>
        <w:pStyle w:val="Heading2"/>
        <w:rPr>
          <w:szCs w:val="22"/>
        </w:rPr>
      </w:pPr>
      <w:r w:rsidRPr="00AB11D4">
        <w:rPr>
          <w:szCs w:val="22"/>
        </w:rPr>
        <w:t xml:space="preserve">Order of </w:t>
      </w:r>
      <w:r w:rsidR="00C01FDC">
        <w:rPr>
          <w:szCs w:val="22"/>
        </w:rPr>
        <w:t>P</w:t>
      </w:r>
      <w:r w:rsidRPr="00C01FDC">
        <w:t>roposed</w:t>
      </w:r>
      <w:r w:rsidRPr="00AB11D4">
        <w:rPr>
          <w:szCs w:val="22"/>
        </w:rPr>
        <w:t xml:space="preserve"> </w:t>
      </w:r>
      <w:r w:rsidR="00C01FDC">
        <w:rPr>
          <w:szCs w:val="22"/>
        </w:rPr>
        <w:t>M</w:t>
      </w:r>
      <w:r w:rsidRPr="00AB11D4">
        <w:rPr>
          <w:szCs w:val="22"/>
        </w:rPr>
        <w:t>odification</w:t>
      </w:r>
    </w:p>
    <w:p w:rsidR="007D491B" w:rsidRPr="005825D9" w:rsidP="001A1B0B">
      <w:pPr>
        <w:pStyle w:val="ParaNum"/>
      </w:pPr>
      <w:r w:rsidRPr="005825D9">
        <w:t>Section 316(a)(1) authori</w:t>
      </w:r>
      <w:r w:rsidRPr="005825D9" w:rsidR="000862BC">
        <w:t>zes the Commission to modify a station license if, in our judgment, “</w:t>
      </w:r>
      <w:r w:rsidRPr="005825D9">
        <w:t>such action will promote the public interest, convenience, and necessity, or the provisions of this chapter [</w:t>
      </w:r>
      <w:r w:rsidRPr="005825D9">
        <w:rPr>
          <w:i/>
        </w:rPr>
        <w:t>i.e.</w:t>
      </w:r>
      <w:r w:rsidRPr="005825D9">
        <w:t>, the Communications Act] or of any treaty ratified by the United States will be more fully complied with.”</w:t>
      </w:r>
      <w:r>
        <w:rPr>
          <w:rStyle w:val="FootnoteReference"/>
        </w:rPr>
        <w:footnoteReference w:id="56"/>
      </w:r>
      <w:r w:rsidRPr="005825D9">
        <w:t xml:space="preserve">  </w:t>
      </w:r>
      <w:r w:rsidRPr="005825D9" w:rsidR="000862BC">
        <w:t>The authority to modify licenses under Section 316(a)(1) is well established and courts have recognized the Commission’s “broad power” to do so, explaining that the Commission “need only find that the proposed modification serves the public interest, convenience and necessity.”</w:t>
      </w:r>
      <w:r>
        <w:rPr>
          <w:rStyle w:val="FootnoteReference"/>
          <w:iCs/>
        </w:rPr>
        <w:footnoteReference w:id="57"/>
      </w:r>
      <w:r w:rsidRPr="005825D9" w:rsidR="000862BC">
        <w:t xml:space="preserve">  </w:t>
      </w:r>
    </w:p>
    <w:p w:rsidR="00AB11D4" w:rsidP="001A1B0B">
      <w:pPr>
        <w:pStyle w:val="ParaNum"/>
      </w:pPr>
      <w:r w:rsidRPr="005825D9">
        <w:t xml:space="preserve">We find that </w:t>
      </w:r>
      <w:r w:rsidRPr="005825D9" w:rsidR="000862BC">
        <w:t>a</w:t>
      </w:r>
      <w:r w:rsidR="00BD70C0">
        <w:t xml:space="preserve"> proposed</w:t>
      </w:r>
      <w:r w:rsidRPr="005825D9">
        <w:t xml:space="preserve"> modification of </w:t>
      </w:r>
      <w:r w:rsidRPr="005825D9" w:rsidR="000862BC">
        <w:t xml:space="preserve">the ten Part 22 Paging licenses here will </w:t>
      </w:r>
      <w:r w:rsidRPr="005825D9">
        <w:t>promote the public interest, convenience, and necessity</w:t>
      </w:r>
      <w:r w:rsidRPr="005825D9" w:rsidR="000862BC">
        <w:t>.  Given the role the licenses play in a public safety network that supports over a dozen governmental agencies, we also find that the</w:t>
      </w:r>
      <w:r w:rsidRPr="005825D9">
        <w:t xml:space="preserve"> proposed modification is consistent with</w:t>
      </w:r>
      <w:r w:rsidR="00CA236F">
        <w:t xml:space="preserve"> </w:t>
      </w:r>
      <w:r w:rsidRPr="005825D9" w:rsidR="000862BC">
        <w:t>our fundamental obligation to promote</w:t>
      </w:r>
      <w:r w:rsidRPr="005825D9">
        <w:t xml:space="preserve"> safety of life and property through the use of </w:t>
      </w:r>
      <w:r w:rsidRPr="005825D9" w:rsidR="000862BC">
        <w:t>wire and radio communications.</w:t>
      </w:r>
      <w:r>
        <w:rPr>
          <w:vertAlign w:val="superscript"/>
        </w:rPr>
        <w:footnoteReference w:id="58"/>
      </w:r>
      <w:r w:rsidR="00996900">
        <w:t xml:space="preserve">  </w:t>
      </w:r>
      <w:r w:rsidRPr="005825D9">
        <w:t xml:space="preserve">In view of the foregoing and pursuant to Section 316(a)(1) of the Act, we propose to modify </w:t>
      </w:r>
      <w:r w:rsidRPr="005825D9" w:rsidR="00213719">
        <w:t>the geographic authorizations</w:t>
      </w:r>
      <w:r w:rsidR="00213719">
        <w:t xml:space="preserve"> as described below, subject to </w:t>
      </w:r>
      <w:r w:rsidR="00900AA1">
        <w:t xml:space="preserve">Maine satisfying the </w:t>
      </w:r>
      <w:r w:rsidR="00213719">
        <w:t>conditions</w:t>
      </w:r>
      <w:r w:rsidR="00900AA1">
        <w:t xml:space="preserve"> of the </w:t>
      </w:r>
      <w:r w:rsidR="00086651">
        <w:t xml:space="preserve">construction and </w:t>
      </w:r>
      <w:r w:rsidR="00900AA1">
        <w:t>technical waivers above</w:t>
      </w:r>
      <w:r w:rsidR="00213719">
        <w:t xml:space="preserve">.  </w:t>
      </w:r>
      <w:r w:rsidR="00634870">
        <w:t>If</w:t>
      </w:r>
      <w:r w:rsidR="00C02674">
        <w:t xml:space="preserve"> Maine does not comply with all conditions, we propose to modify the licenses </w:t>
      </w:r>
      <w:r w:rsidR="00634870">
        <w:t xml:space="preserve">solely to the extent the </w:t>
      </w:r>
      <w:r w:rsidR="004A3578">
        <w:t>S</w:t>
      </w:r>
      <w:r w:rsidR="00634870">
        <w:t xml:space="preserve">tate is able to provide </w:t>
      </w:r>
      <w:r w:rsidRPr="005928E3" w:rsidR="00634870">
        <w:t xml:space="preserve">alternative </w:t>
      </w:r>
      <w:r w:rsidR="00634870">
        <w:t xml:space="preserve">operational </w:t>
      </w:r>
      <w:r w:rsidRPr="005928E3" w:rsidR="00634870">
        <w:t>solution</w:t>
      </w:r>
      <w:r w:rsidR="00634870">
        <w:t>s that comply</w:t>
      </w:r>
      <w:r w:rsidRPr="005928E3" w:rsidR="00634870">
        <w:t xml:space="preserve"> with Part 22 rules</w:t>
      </w:r>
      <w:r w:rsidR="00F3203B">
        <w:t xml:space="preserve">, as described above in the conditions and within </w:t>
      </w:r>
      <w:r w:rsidRPr="00EB1BE5" w:rsidR="002E1B68">
        <w:t>the</w:t>
      </w:r>
      <w:r w:rsidR="00F3203B">
        <w:t xml:space="preserve"> six-month timeframe</w:t>
      </w:r>
      <w:r w:rsidR="00C02674">
        <w:t xml:space="preserve">. </w:t>
      </w:r>
    </w:p>
    <w:p w:rsidR="00900AA1" w:rsidP="001A1B0B">
      <w:pPr>
        <w:pStyle w:val="ParaNum"/>
      </w:pPr>
      <w:r>
        <w:rPr>
          <w:i/>
        </w:rPr>
        <w:t xml:space="preserve">Modified License Area.  </w:t>
      </w:r>
      <w:r w:rsidRPr="00C01FDC">
        <w:t>For each license</w:t>
      </w:r>
      <w:r w:rsidR="007A048A">
        <w:t xml:space="preserve"> listed in the extension request,</w:t>
      </w:r>
      <w:r>
        <w:rPr>
          <w:rStyle w:val="FootnoteReference"/>
        </w:rPr>
        <w:footnoteReference w:id="59"/>
      </w:r>
      <w:r w:rsidR="007A048A">
        <w:t xml:space="preserve"> </w:t>
      </w:r>
      <w:r w:rsidRPr="00C01FDC">
        <w:t xml:space="preserve">we propose that Maine retain the areas </w:t>
      </w:r>
      <w:r w:rsidR="005F155B">
        <w:t>in which it is using its Part 22 Paging frequencies</w:t>
      </w:r>
      <w:r>
        <w:t>, with the</w:t>
      </w:r>
      <w:r w:rsidR="00CD10B5">
        <w:t xml:space="preserve"> modified</w:t>
      </w:r>
      <w:r>
        <w:t xml:space="preserve"> boundaries of the license determined by the formula in the Part 22 rules</w:t>
      </w:r>
      <w:r w:rsidRPr="00C01FDC">
        <w:t>.</w:t>
      </w:r>
      <w:r>
        <w:rPr>
          <w:rStyle w:val="FootnoteReference"/>
        </w:rPr>
        <w:footnoteReference w:id="60"/>
      </w:r>
      <w:r w:rsidRPr="00C01FDC">
        <w:t xml:space="preserve">  The remainder of the license</w:t>
      </w:r>
      <w:r w:rsidR="00CD10B5">
        <w:t>d market</w:t>
      </w:r>
      <w:r w:rsidRPr="00C01FDC">
        <w:t xml:space="preserve"> areas </w:t>
      </w:r>
      <w:r w:rsidR="00374BA9">
        <w:t>will b</w:t>
      </w:r>
      <w:r w:rsidRPr="00C01FDC">
        <w:t xml:space="preserve">e terminated and revert to the Commission.  </w:t>
      </w:r>
    </w:p>
    <w:p w:rsidR="009166F3" w:rsidRPr="009C5379" w:rsidP="001A1B0B">
      <w:pPr>
        <w:pStyle w:val="ParaNum"/>
        <w:rPr>
          <w:color w:val="auto"/>
        </w:rPr>
      </w:pPr>
      <w:r w:rsidRPr="009C5379">
        <w:rPr>
          <w:color w:val="auto"/>
        </w:rPr>
        <w:t xml:space="preserve">Sections 22.537(d) and 22.567(d) of our rules describe the formulas to be used in determining a VHF channel transmitter’s interfering contour (the area beyond which signals from the transmitter </w:t>
      </w:r>
      <w:r w:rsidRPr="009C5379" w:rsidR="009C5379">
        <w:rPr>
          <w:color w:val="auto"/>
        </w:rPr>
        <w:t>are</w:t>
      </w:r>
      <w:r w:rsidRPr="009C5379">
        <w:rPr>
          <w:color w:val="auto"/>
        </w:rPr>
        <w:t xml:space="preserve"> deemed not to be causing interference to another transmitter).  </w:t>
      </w:r>
      <w:r w:rsidRPr="009C5379" w:rsidR="00C01FDC">
        <w:rPr>
          <w:color w:val="auto"/>
        </w:rPr>
        <w:t xml:space="preserve">Using the </w:t>
      </w:r>
      <w:r w:rsidRPr="009C5379">
        <w:rPr>
          <w:color w:val="auto"/>
        </w:rPr>
        <w:t xml:space="preserve">technical parameters of Maine’s operations </w:t>
      </w:r>
      <w:r w:rsidRPr="009C5379">
        <w:rPr>
          <w:color w:val="auto"/>
        </w:rPr>
        <w:t xml:space="preserve">as they are today, we have calculated an interfering contour </w:t>
      </w:r>
      <w:r w:rsidRPr="009C5379" w:rsidR="001A473A">
        <w:rPr>
          <w:color w:val="auto"/>
        </w:rPr>
        <w:t xml:space="preserve">with either </w:t>
      </w:r>
      <w:r w:rsidRPr="009C5379">
        <w:rPr>
          <w:color w:val="auto"/>
        </w:rPr>
        <w:t xml:space="preserve">Section 22.537(d) </w:t>
      </w:r>
      <w:r w:rsidRPr="009C5379" w:rsidR="009C5379">
        <w:rPr>
          <w:color w:val="auto"/>
        </w:rPr>
        <w:t>or</w:t>
      </w:r>
      <w:r w:rsidRPr="009C5379">
        <w:rPr>
          <w:color w:val="auto"/>
        </w:rPr>
        <w:t xml:space="preserve"> 22.567(d), as applicable,</w:t>
      </w:r>
      <w:r>
        <w:rPr>
          <w:rStyle w:val="FootnoteReference"/>
        </w:rPr>
        <w:footnoteReference w:id="61"/>
      </w:r>
      <w:r w:rsidRPr="009C5379">
        <w:rPr>
          <w:color w:val="auto"/>
        </w:rPr>
        <w:t xml:space="preserve"> and </w:t>
      </w:r>
      <w:r w:rsidRPr="009C5379" w:rsidR="00C01FDC">
        <w:rPr>
          <w:color w:val="auto"/>
        </w:rPr>
        <w:t xml:space="preserve">propose </w:t>
      </w:r>
      <w:r w:rsidRPr="009C5379" w:rsidR="00900AA1">
        <w:rPr>
          <w:color w:val="auto"/>
        </w:rPr>
        <w:t xml:space="preserve">a modified </w:t>
      </w:r>
      <w:r w:rsidRPr="009C5379" w:rsidR="00C01FDC">
        <w:rPr>
          <w:color w:val="auto"/>
        </w:rPr>
        <w:t>license boundary for each license at issue</w:t>
      </w:r>
      <w:r w:rsidRPr="009C5379">
        <w:rPr>
          <w:color w:val="auto"/>
        </w:rPr>
        <w:t xml:space="preserve"> based on the interfering contour.</w:t>
      </w:r>
      <w:r w:rsidRPr="009C5379">
        <w:rPr>
          <w:color w:val="auto"/>
        </w:rPr>
        <w:t xml:space="preserve"> </w:t>
      </w:r>
      <w:r w:rsidRPr="009C5379">
        <w:rPr>
          <w:color w:val="auto"/>
        </w:rPr>
        <w:t xml:space="preserve"> These </w:t>
      </w:r>
      <w:r w:rsidRPr="009C5379" w:rsidR="00CB2BC4">
        <w:rPr>
          <w:color w:val="auto"/>
        </w:rPr>
        <w:t>modified</w:t>
      </w:r>
      <w:r w:rsidRPr="009C5379">
        <w:rPr>
          <w:color w:val="auto"/>
        </w:rPr>
        <w:t xml:space="preserve"> license boundaries are shown</w:t>
      </w:r>
      <w:r w:rsidRPr="009C5379" w:rsidR="00C01FDC">
        <w:rPr>
          <w:color w:val="auto"/>
        </w:rPr>
        <w:t xml:space="preserve"> in the attached Appendix.  </w:t>
      </w:r>
    </w:p>
    <w:p w:rsidR="00FC7414" w:rsidP="001A1B0B">
      <w:pPr>
        <w:pStyle w:val="ParaNum"/>
      </w:pPr>
      <w:r w:rsidRPr="009C5379">
        <w:rPr>
          <w:color w:val="auto"/>
        </w:rPr>
        <w:t>The</w:t>
      </w:r>
      <w:r w:rsidRPr="009C5379" w:rsidR="009166F3">
        <w:rPr>
          <w:color w:val="auto"/>
        </w:rPr>
        <w:t xml:space="preserve"> interfering contour as calculated above will define the</w:t>
      </w:r>
      <w:r w:rsidRPr="009C5379">
        <w:rPr>
          <w:color w:val="auto"/>
        </w:rPr>
        <w:t xml:space="preserve"> modified license boundary </w:t>
      </w:r>
      <w:r w:rsidRPr="009C5379" w:rsidR="009166F3">
        <w:rPr>
          <w:color w:val="auto"/>
        </w:rPr>
        <w:t xml:space="preserve">for each </w:t>
      </w:r>
      <w:r w:rsidR="009166F3">
        <w:t>call sign,</w:t>
      </w:r>
      <w:r w:rsidRPr="00C01FDC">
        <w:t xml:space="preserve"> except where that contour would </w:t>
      </w:r>
      <w:r w:rsidR="009166F3">
        <w:t>reach</w:t>
      </w:r>
      <w:r w:rsidRPr="00C01FDC" w:rsidR="009166F3">
        <w:t xml:space="preserve"> </w:t>
      </w:r>
      <w:r w:rsidRPr="00C01FDC">
        <w:t xml:space="preserve">beyond the </w:t>
      </w:r>
      <w:r w:rsidR="00CD10B5">
        <w:t>geographic</w:t>
      </w:r>
      <w:r w:rsidRPr="00C01FDC" w:rsidR="00CD10B5">
        <w:t xml:space="preserve"> </w:t>
      </w:r>
      <w:r w:rsidRPr="00C01FDC">
        <w:t xml:space="preserve">market boundary.  In those cases, the </w:t>
      </w:r>
      <w:r w:rsidR="00CB2BC4">
        <w:t>modified</w:t>
      </w:r>
      <w:r w:rsidRPr="00C01FDC">
        <w:t xml:space="preserve"> license area will end at the market boundary.  </w:t>
      </w:r>
    </w:p>
    <w:p w:rsidR="007A048A" w:rsidP="001A1B0B">
      <w:pPr>
        <w:pStyle w:val="ParaNum"/>
      </w:pPr>
      <w:r>
        <w:t>While we</w:t>
      </w:r>
      <w:r w:rsidR="00374BA9">
        <w:t xml:space="preserve"> propose</w:t>
      </w:r>
      <w:r w:rsidR="00315EED">
        <w:t xml:space="preserve"> </w:t>
      </w:r>
      <w:r w:rsidR="009166F3">
        <w:t xml:space="preserve">to </w:t>
      </w:r>
      <w:r w:rsidR="00315EED">
        <w:t xml:space="preserve">allow Maine to retain the areas </w:t>
      </w:r>
      <w:r>
        <w:t>in which they are providing service,</w:t>
      </w:r>
      <w:r w:rsidR="00315EED">
        <w:t xml:space="preserve"> we are also mindful of the expectations of</w:t>
      </w:r>
      <w:r w:rsidR="00E174E1">
        <w:t>, and effect of Maine’s operations on,</w:t>
      </w:r>
      <w:r w:rsidR="00315EED">
        <w:t xml:space="preserve"> other licensee</w:t>
      </w:r>
      <w:r w:rsidR="00CA236F">
        <w:t xml:space="preserve">s.  </w:t>
      </w:r>
      <w:r>
        <w:t xml:space="preserve">We note that where Maine is making mobile use of a Part 22 license in conjunction with a non-Part 22 base station, the expectation of </w:t>
      </w:r>
      <w:r w:rsidR="00E174E1">
        <w:t xml:space="preserve">neighboring </w:t>
      </w:r>
      <w:r>
        <w:t>licensees to be free from</w:t>
      </w:r>
      <w:r w:rsidR="00CB2BC4">
        <w:t xml:space="preserve"> harmful</w:t>
      </w:r>
      <w:r>
        <w:t xml:space="preserve"> interference is based on </w:t>
      </w:r>
      <w:r w:rsidR="00E174E1">
        <w:t xml:space="preserve">the assumption that </w:t>
      </w:r>
      <w:r>
        <w:t xml:space="preserve">the operation of the mobile channel </w:t>
      </w:r>
      <w:r w:rsidR="00E174E1">
        <w:t xml:space="preserve">is </w:t>
      </w:r>
      <w:r>
        <w:t>in compliance with Part 22</w:t>
      </w:r>
      <w:r w:rsidR="00E174E1">
        <w:t xml:space="preserve"> paging rules</w:t>
      </w:r>
      <w:r>
        <w:t xml:space="preserve">.  We therefore determined the proposed license area in those cases based on the Part 22 rules, rather than the </w:t>
      </w:r>
      <w:r w:rsidR="00E174E1">
        <w:t>technical parameters</w:t>
      </w:r>
      <w:r>
        <w:t xml:space="preserve"> </w:t>
      </w:r>
      <w:r w:rsidR="00E174E1">
        <w:t>being used by the non-Part 22 base station</w:t>
      </w:r>
      <w:r>
        <w:t>.</w:t>
      </w:r>
    </w:p>
    <w:p w:rsidR="009249CE" w:rsidP="001A1B0B">
      <w:pPr>
        <w:pStyle w:val="ParaNum"/>
      </w:pPr>
      <w:r>
        <w:t>In addition to</w:t>
      </w:r>
      <w:r w:rsidR="00374BA9">
        <w:t xml:space="preserve"> proposing to</w:t>
      </w:r>
      <w:r>
        <w:t xml:space="preserve"> limit the modified license areas to the market boundary, the </w:t>
      </w:r>
      <w:r w:rsidR="00374BA9">
        <w:t xml:space="preserve">proposed </w:t>
      </w:r>
      <w:r w:rsidR="007A048A">
        <w:t>license</w:t>
      </w:r>
      <w:r>
        <w:t xml:space="preserve"> areas </w:t>
      </w:r>
      <w:r w:rsidR="007A048A">
        <w:t>in the Appendix were</w:t>
      </w:r>
      <w:r>
        <w:t xml:space="preserve"> </w:t>
      </w:r>
      <w:r w:rsidR="00315EED">
        <w:t xml:space="preserve">calculated </w:t>
      </w:r>
      <w:r w:rsidR="007A048A">
        <w:t>using</w:t>
      </w:r>
      <w:r w:rsidR="00315EED">
        <w:t xml:space="preserve"> Maine’s current technical parameters.  As </w:t>
      </w:r>
      <w:r w:rsidR="007A048A">
        <w:t>discusse</w:t>
      </w:r>
      <w:r w:rsidR="00315EED">
        <w:t>d above, these parameters require us to waive certain technical rules that have the potential to a</w:t>
      </w:r>
      <w:r w:rsidRPr="00FC7414" w:rsidR="00FC7414">
        <w:t xml:space="preserve">ffect </w:t>
      </w:r>
      <w:r w:rsidR="00315EED">
        <w:t>other licensees.  Per the condi</w:t>
      </w:r>
      <w:r w:rsidR="00B52DE6">
        <w:t>tions o</w:t>
      </w:r>
      <w:r w:rsidR="00374BA9">
        <w:t>f</w:t>
      </w:r>
      <w:r w:rsidR="00B52DE6">
        <w:t xml:space="preserve"> the technical waivers,</w:t>
      </w:r>
      <w:r w:rsidRPr="00FC7414" w:rsidR="00FC7414">
        <w:t xml:space="preserve"> </w:t>
      </w:r>
      <w:r>
        <w:t xml:space="preserve">Maine </w:t>
      </w:r>
      <w:r w:rsidR="00374BA9">
        <w:t xml:space="preserve">is required to </w:t>
      </w:r>
      <w:r w:rsidR="00715126">
        <w:t>notify the</w:t>
      </w:r>
      <w:r>
        <w:t xml:space="preserve"> Division</w:t>
      </w:r>
      <w:r w:rsidR="007A048A">
        <w:t xml:space="preserve"> </w:t>
      </w:r>
      <w:r w:rsidR="00715126">
        <w:t>within six months</w:t>
      </w:r>
      <w:r w:rsidR="001A473A">
        <w:t xml:space="preserve"> of the effective date of this O</w:t>
      </w:r>
      <w:r w:rsidR="00715126">
        <w:t xml:space="preserve">rder </w:t>
      </w:r>
      <w:r w:rsidR="00374BA9">
        <w:t>that it has obtained the required concurrences</w:t>
      </w:r>
      <w:r w:rsidR="00644494">
        <w:t xml:space="preserve"> or forgone the waiver, and therefore either</w:t>
      </w:r>
      <w:r w:rsidR="00374BA9">
        <w:t xml:space="preserve"> implemented an alternative solution </w:t>
      </w:r>
      <w:r w:rsidR="00CB2BC4">
        <w:t xml:space="preserve">that complies with our current rules </w:t>
      </w:r>
      <w:r w:rsidR="00374BA9">
        <w:t xml:space="preserve">or </w:t>
      </w:r>
      <w:r w:rsidR="00644494">
        <w:t>ceased operation</w:t>
      </w:r>
      <w:r w:rsidR="00374BA9">
        <w:t xml:space="preserve">. </w:t>
      </w:r>
    </w:p>
    <w:p w:rsidR="00FC7414" w:rsidRPr="00374BA9" w:rsidP="001A1B0B">
      <w:pPr>
        <w:pStyle w:val="ParaNum"/>
        <w:rPr>
          <w:szCs w:val="20"/>
        </w:rPr>
      </w:pPr>
      <w:bookmarkStart w:id="3" w:name="_Toc432754501"/>
      <w:bookmarkStart w:id="4" w:name="_Toc432767974"/>
      <w:bookmarkStart w:id="5" w:name="_Toc433108656"/>
      <w:bookmarkStart w:id="6" w:name="_Toc433202779"/>
      <w:bookmarkStart w:id="7" w:name="_Toc433264851"/>
      <w:bookmarkStart w:id="8" w:name="_Toc434509979"/>
      <w:bookmarkStart w:id="9" w:name="_Toc434511192"/>
      <w:bookmarkStart w:id="10" w:name="_Toc434582095"/>
      <w:bookmarkStart w:id="11" w:name="_Toc435612729"/>
      <w:bookmarkStart w:id="12" w:name="_Toc437511255"/>
      <w:bookmarkStart w:id="13" w:name="_Toc439765319"/>
      <w:bookmarkStart w:id="14" w:name="_Toc439855365"/>
      <w:bookmarkStart w:id="15" w:name="_Toc441061386"/>
      <w:r w:rsidRPr="00374BA9">
        <w:rPr>
          <w:i/>
        </w:rPr>
        <w:t>Protest Rights</w:t>
      </w:r>
      <w:r w:rsidRPr="00374BA9" w:rsidR="0021103A">
        <w:rPr>
          <w:i/>
        </w:rPr>
        <w:t xml:space="preserve"> and</w:t>
      </w:r>
      <w:r w:rsidRPr="00374BA9">
        <w:rPr>
          <w:i/>
        </w:rPr>
        <w:t xml:space="preserve"> Procedures</w:t>
      </w:r>
      <w:bookmarkEnd w:id="3"/>
      <w:bookmarkEnd w:id="4"/>
      <w:bookmarkEnd w:id="5"/>
      <w:bookmarkEnd w:id="6"/>
      <w:bookmarkEnd w:id="7"/>
      <w:bookmarkEnd w:id="8"/>
      <w:bookmarkEnd w:id="9"/>
      <w:bookmarkEnd w:id="10"/>
      <w:bookmarkEnd w:id="11"/>
      <w:bookmarkEnd w:id="12"/>
      <w:bookmarkEnd w:id="13"/>
      <w:bookmarkEnd w:id="14"/>
      <w:bookmarkEnd w:id="15"/>
      <w:r>
        <w:t xml:space="preserve">.  </w:t>
      </w:r>
      <w:r w:rsidRPr="00374BA9">
        <w:rPr>
          <w:lang w:val="en"/>
        </w:rPr>
        <w:t xml:space="preserve">Section 316(a)(1) of the Act provides that no proposed order of </w:t>
      </w:r>
      <w:r w:rsidRPr="00FC7414">
        <w:t>modification</w:t>
      </w:r>
      <w:r w:rsidRPr="00374BA9">
        <w:rPr>
          <w:lang w:val="en"/>
        </w:rPr>
        <w:t xml:space="preserve"> shall become fina</w:t>
      </w:r>
      <w:r w:rsidR="00CB2BC4">
        <w:rPr>
          <w:lang w:val="en"/>
        </w:rPr>
        <w:t>l</w:t>
      </w:r>
      <w:r w:rsidRPr="00374BA9">
        <w:rPr>
          <w:lang w:val="en"/>
        </w:rPr>
        <w:t xml:space="preserve"> until the license holder has been provided at least 30 days to protest the proposed order.</w:t>
      </w:r>
      <w:r>
        <w:rPr>
          <w:rStyle w:val="FootnoteReference"/>
          <w:lang w:val="en"/>
        </w:rPr>
        <w:footnoteReference w:id="62"/>
      </w:r>
      <w:r w:rsidRPr="00374BA9">
        <w:rPr>
          <w:lang w:val="en"/>
        </w:rPr>
        <w:t xml:space="preserve">  We will </w:t>
      </w:r>
      <w:r w:rsidRPr="00374BA9" w:rsidR="004164B4">
        <w:rPr>
          <w:lang w:val="en"/>
        </w:rPr>
        <w:t xml:space="preserve">thus </w:t>
      </w:r>
      <w:r w:rsidRPr="00374BA9">
        <w:rPr>
          <w:lang w:val="en"/>
        </w:rPr>
        <w:t xml:space="preserve">provide Maine with 30 days from the release date of this </w:t>
      </w:r>
      <w:r w:rsidRPr="00534959">
        <w:t>Proposed Order of Modification</w:t>
      </w:r>
      <w:r w:rsidRPr="00374BA9">
        <w:rPr>
          <w:lang w:val="en"/>
        </w:rPr>
        <w:t xml:space="preserve"> to file a protest.  Section 316(a)(2)</w:t>
      </w:r>
      <w:r w:rsidRPr="00374BA9" w:rsidR="004164B4">
        <w:rPr>
          <w:lang w:val="en"/>
        </w:rPr>
        <w:t xml:space="preserve"> and (3)</w:t>
      </w:r>
      <w:r w:rsidRPr="00374BA9">
        <w:rPr>
          <w:lang w:val="en"/>
        </w:rPr>
        <w:t xml:space="preserve"> of the Act </w:t>
      </w:r>
      <w:r w:rsidRPr="00374BA9" w:rsidR="004164B4">
        <w:rPr>
          <w:lang w:val="en"/>
        </w:rPr>
        <w:t>also provide</w:t>
      </w:r>
      <w:r w:rsidRPr="00374BA9">
        <w:rPr>
          <w:lang w:val="en"/>
        </w:rPr>
        <w:t xml:space="preserve"> that </w:t>
      </w:r>
      <w:r w:rsidR="004164B4">
        <w:t>a</w:t>
      </w:r>
      <w:r w:rsidRPr="00534959">
        <w:t>ny other licensee or permittee who believes its license or permit would be modified by the proposed action may also protest the proposed a</w:t>
      </w:r>
      <w:r w:rsidR="004164B4">
        <w:t xml:space="preserve">ction before its effective date and that any </w:t>
      </w:r>
      <w:r w:rsidRPr="00534959">
        <w:t xml:space="preserve">protest </w:t>
      </w:r>
      <w:r w:rsidR="004164B4">
        <w:t>is</w:t>
      </w:r>
      <w:r w:rsidRPr="00534959">
        <w:t xml:space="preserve"> subject to </w:t>
      </w:r>
      <w:r w:rsidR="004164B4">
        <w:t>the requirements of Section 309</w:t>
      </w:r>
      <w:r w:rsidRPr="00534959">
        <w:t xml:space="preserve"> for petitions to deny.</w:t>
      </w:r>
      <w:r>
        <w:rPr>
          <w:rStyle w:val="FootnoteReference"/>
        </w:rPr>
        <w:footnoteReference w:id="63"/>
      </w:r>
      <w:r w:rsidRPr="00534959">
        <w:t xml:space="preserve">  Section 309(d) in turn provides that a petition to deny must </w:t>
      </w:r>
      <w:r w:rsidR="004164B4">
        <w:t xml:space="preserve">show that the party has standing </w:t>
      </w:r>
      <w:r w:rsidRPr="00534959">
        <w:t>and that the Commission’s action would be contrary to the public interest.</w:t>
      </w:r>
      <w:r>
        <w:rPr>
          <w:rStyle w:val="FootnoteReference"/>
        </w:rPr>
        <w:footnoteReference w:id="64"/>
      </w:r>
    </w:p>
    <w:p w:rsidR="006D7B4A" w:rsidRPr="00F56EB8" w:rsidP="00EE7C02">
      <w:pPr>
        <w:pStyle w:val="Heading1"/>
        <w:rPr>
          <w:rFonts w:ascii="Times New Roman" w:hAnsi="Times New Roman"/>
          <w:szCs w:val="22"/>
        </w:rPr>
      </w:pPr>
      <w:r w:rsidRPr="00F56EB8">
        <w:rPr>
          <w:rFonts w:ascii="Times New Roman" w:hAnsi="Times New Roman"/>
          <w:szCs w:val="22"/>
        </w:rPr>
        <w:t>ORDERING CLAUSE</w:t>
      </w:r>
      <w:r w:rsidR="00715126">
        <w:rPr>
          <w:rFonts w:ascii="Times New Roman" w:hAnsi="Times New Roman"/>
          <w:szCs w:val="22"/>
        </w:rPr>
        <w:t>S</w:t>
      </w:r>
    </w:p>
    <w:p w:rsidR="002841A2" w:rsidRPr="005616C4" w:rsidP="001A1B0B">
      <w:pPr>
        <w:pStyle w:val="ParaNum"/>
      </w:pPr>
      <w:r w:rsidRPr="00F56EB8">
        <w:t>Accordingly</w:t>
      </w:r>
      <w:r w:rsidRPr="00F56EB8" w:rsidR="002C7F34">
        <w:t xml:space="preserve">, </w:t>
      </w:r>
      <w:r w:rsidRPr="005616C4">
        <w:t xml:space="preserve">IT IS ORDERED that, pursuant to Section 4(i) of the Communications Act, as amended, 47 U.S.C. § 154(i), and Section 1.925 of the Commission’s rules, 47 CFR § 1.925, the </w:t>
      </w:r>
      <w:r w:rsidR="00E174E1">
        <w:t xml:space="preserve">State of Maine’s </w:t>
      </w:r>
      <w:r w:rsidRPr="005616C4">
        <w:t xml:space="preserve">request for </w:t>
      </w:r>
      <w:r>
        <w:t>extension of time to meet the requirements of Section 22.503(k) of the Commission</w:t>
      </w:r>
      <w:r w:rsidR="00644494">
        <w:t>’</w:t>
      </w:r>
      <w:r>
        <w:t xml:space="preserve">s rules, 47 CFR § 22.503(k), </w:t>
      </w:r>
      <w:r w:rsidRPr="005616C4">
        <w:t>is DENIED.</w:t>
      </w:r>
    </w:p>
    <w:p w:rsidR="000F5310" w:rsidRPr="000B132D" w:rsidP="001A1B0B">
      <w:pPr>
        <w:pStyle w:val="ParaNum"/>
        <w:rPr>
          <w:b/>
        </w:rPr>
      </w:pPr>
      <w:r w:rsidRPr="00F56EB8">
        <w:t xml:space="preserve">IT IS </w:t>
      </w:r>
      <w:r w:rsidR="002841A2">
        <w:t xml:space="preserve">FURTHER </w:t>
      </w:r>
      <w:r w:rsidRPr="00F56EB8">
        <w:t>ORDERED</w:t>
      </w:r>
      <w:r w:rsidR="00F6534D">
        <w:t xml:space="preserve"> that</w:t>
      </w:r>
      <w:r w:rsidR="00C10311">
        <w:t xml:space="preserve">, </w:t>
      </w:r>
      <w:r w:rsidRPr="00C10311" w:rsidR="00C10311">
        <w:t>pu</w:t>
      </w:r>
      <w:r w:rsidR="00C10311">
        <w:t>rsuant to S</w:t>
      </w:r>
      <w:r w:rsidR="006F678E">
        <w:t>ection</w:t>
      </w:r>
      <w:r w:rsidR="00C10311">
        <w:t xml:space="preserve"> 4(i) </w:t>
      </w:r>
      <w:r w:rsidRPr="00C10311" w:rsidR="00C10311">
        <w:t>of the Communications Act of 1934, as ame</w:t>
      </w:r>
      <w:r w:rsidR="00C10311">
        <w:t>nded, 47 U.S.C. § 154(i),</w:t>
      </w:r>
      <w:r w:rsidRPr="00F56EB8">
        <w:rPr>
          <w:i/>
        </w:rPr>
        <w:t xml:space="preserve"> </w:t>
      </w:r>
      <w:r w:rsidR="003F49D8">
        <w:t>and S</w:t>
      </w:r>
      <w:r w:rsidR="00C10311">
        <w:t>ection</w:t>
      </w:r>
      <w:r w:rsidR="00E174E1">
        <w:t>s</w:t>
      </w:r>
      <w:r w:rsidR="00C10311">
        <w:t xml:space="preserve"> </w:t>
      </w:r>
      <w:r w:rsidR="004164B4">
        <w:t>1.3</w:t>
      </w:r>
      <w:r w:rsidR="00C10311">
        <w:t xml:space="preserve"> </w:t>
      </w:r>
      <w:r w:rsidR="00E174E1">
        <w:t xml:space="preserve">and 1.925 </w:t>
      </w:r>
      <w:r w:rsidR="00C10311">
        <w:t>of the Commission’s rules, 47 CFR §</w:t>
      </w:r>
      <w:r w:rsidR="004164B4">
        <w:t>§</w:t>
      </w:r>
      <w:r w:rsidR="00C10311">
        <w:t xml:space="preserve"> </w:t>
      </w:r>
      <w:r w:rsidR="003F49D8">
        <w:t>1.3</w:t>
      </w:r>
      <w:r w:rsidR="00C10311">
        <w:t xml:space="preserve">, </w:t>
      </w:r>
      <w:r w:rsidR="00E174E1">
        <w:t xml:space="preserve">1.925, </w:t>
      </w:r>
      <w:r w:rsidR="000B132D">
        <w:t>waiver of Sections 22.503</w:t>
      </w:r>
      <w:r w:rsidR="002841A2">
        <w:t>(k)-(j), 22.515, 22.531, 22.535(c), 22.561, and 22.565(c) of the Commission’s rules</w:t>
      </w:r>
      <w:r w:rsidR="000B132D">
        <w:t>,</w:t>
      </w:r>
      <w:r w:rsidR="002841A2">
        <w:t xml:space="preserve"> </w:t>
      </w:r>
      <w:r w:rsidR="00E174E1">
        <w:t xml:space="preserve">47 CFR §§ 22.503(k)-(j), 22.515, 22.531, 22.535(c), 22.561, and 22.565(c), </w:t>
      </w:r>
      <w:r w:rsidRPr="00F56EB8">
        <w:t xml:space="preserve">is </w:t>
      </w:r>
      <w:r w:rsidR="000B132D">
        <w:t xml:space="preserve">CONDITIONALLY </w:t>
      </w:r>
      <w:r w:rsidRPr="00F56EB8">
        <w:t>GRANTE</w:t>
      </w:r>
      <w:r w:rsidRPr="00F56EB8" w:rsidR="000F77F1">
        <w:t xml:space="preserve">D </w:t>
      </w:r>
      <w:r w:rsidR="000B132D">
        <w:t>TO THE EXTENT PROVIDED ABOVE</w:t>
      </w:r>
      <w:r w:rsidR="00F6534D">
        <w:t>.</w:t>
      </w:r>
    </w:p>
    <w:p w:rsidR="006F1765" w:rsidP="001A1B0B">
      <w:pPr>
        <w:pStyle w:val="ParaNum"/>
      </w:pPr>
      <w:r w:rsidRPr="005616C4">
        <w:t xml:space="preserve">IT IS </w:t>
      </w:r>
      <w:r>
        <w:t xml:space="preserve">FURTHER </w:t>
      </w:r>
      <w:r>
        <w:t>ORDERED that</w:t>
      </w:r>
      <w:r w:rsidR="00644494">
        <w:t>,</w:t>
      </w:r>
      <w:r w:rsidR="00496601">
        <w:t xml:space="preserve"> </w:t>
      </w:r>
      <w:r w:rsidRPr="00534959" w:rsidR="00496601">
        <w:t xml:space="preserve">pursuant to Sections 4(i) and </w:t>
      </w:r>
      <w:r>
        <w:fldChar w:fldCharType="begin"/>
      </w:r>
      <w:r>
        <w:instrText xml:space="preserve"> HYPERLINK "https://a.next.westlaw.com/Link/Document/FullText?findType=L&amp;pubNum=1000546&amp;cite=47USCAS316&amp;originatingDoc=If0bcd4d0419011e39ac8bab74931929c&amp;refType=LQ&amp;originationContext=document&amp;transitionType=DocumentItem&amp;contextData=(sc.Search)" </w:instrText>
      </w:r>
      <w:r>
        <w:fldChar w:fldCharType="separate"/>
      </w:r>
      <w:r w:rsidRPr="00534959" w:rsidR="00496601">
        <w:t>316(a)</w:t>
      </w:r>
      <w:r>
        <w:fldChar w:fldCharType="end"/>
      </w:r>
      <w:r w:rsidRPr="00534959" w:rsidR="00496601">
        <w:t xml:space="preserve"> of the Communications Act of 1934, as amended, 47 U.S.C. §§ 154(i), </w:t>
      </w:r>
      <w:r>
        <w:fldChar w:fldCharType="begin"/>
      </w:r>
      <w:r>
        <w:instrText xml:space="preserve"> HYPERLINK "https://a.next.westlaw.com/Link/Document/FullText?findType=L&amp;pubNum=1000546&amp;cite=47USCAS316&amp;originatingDoc=If0bcd4d0419011e39ac8bab74931929c&amp;refType=LQ&amp;originationContext=document&amp;transitionType=DocumentItem&amp;contextData=(sc.Search)" </w:instrText>
      </w:r>
      <w:r>
        <w:fldChar w:fldCharType="separate"/>
      </w:r>
      <w:r w:rsidRPr="00534959" w:rsidR="00496601">
        <w:t>316</w:t>
      </w:r>
      <w:r>
        <w:fldChar w:fldCharType="end"/>
      </w:r>
      <w:r w:rsidRPr="00534959" w:rsidR="00496601">
        <w:t>(a),</w:t>
      </w:r>
      <w:r w:rsidR="00496601">
        <w:t xml:space="preserve"> the Proposed Order of Modification is ADOPTED.</w:t>
      </w:r>
    </w:p>
    <w:p w:rsidR="002841A2" w:rsidRPr="00534959" w:rsidP="001A1B0B">
      <w:pPr>
        <w:pStyle w:val="ParaNum"/>
      </w:pPr>
      <w:r>
        <w:t xml:space="preserve">IT IS FURTHER </w:t>
      </w:r>
      <w:r>
        <w:t>PROPOSED that</w:t>
      </w:r>
      <w:r w:rsidR="00644494">
        <w:t>,</w:t>
      </w:r>
      <w:r>
        <w:t xml:space="preserve"> </w:t>
      </w:r>
      <w:r w:rsidRPr="00534959">
        <w:t xml:space="preserve">pursuant to Sections 4(i) and </w:t>
      </w:r>
      <w:r>
        <w:fldChar w:fldCharType="begin"/>
      </w:r>
      <w:r>
        <w:instrText xml:space="preserve"> HYPERLINK "https://a.next.westlaw.com/Link/Document/FullText?findType=L&amp;pubNum=1000546&amp;cite=47USCAS316&amp;originatingDoc=If0bcd4d0419011e39ac8bab74931929c&amp;refType=LQ&amp;originationContext=document&amp;transitionType=DocumentItem&amp;contextData=(sc.Search)" </w:instrText>
      </w:r>
      <w:r>
        <w:fldChar w:fldCharType="separate"/>
      </w:r>
      <w:r w:rsidRPr="00534959">
        <w:t>316(a)</w:t>
      </w:r>
      <w:r>
        <w:fldChar w:fldCharType="end"/>
      </w:r>
      <w:r w:rsidRPr="00534959">
        <w:t xml:space="preserve"> of the Communications Act of 1934, as amended, 47 U.S.C. §§ 154(i), </w:t>
      </w:r>
      <w:r>
        <w:fldChar w:fldCharType="begin"/>
      </w:r>
      <w:r>
        <w:instrText xml:space="preserve"> HYPERLINK "https://a.next.westlaw.com/Link/Document/FullText?findType=L&amp;pubNum=1000546&amp;cite=47USCAS316&amp;originatingDoc=If0bcd4d0419011e39ac8bab74931929c&amp;refType=LQ&amp;originationContext=document&amp;transitionType=DocumentItem&amp;contextData=(sc.Search)" </w:instrText>
      </w:r>
      <w:r>
        <w:fldChar w:fldCharType="separate"/>
      </w:r>
      <w:r w:rsidRPr="00534959">
        <w:t>316</w:t>
      </w:r>
      <w:r>
        <w:fldChar w:fldCharType="end"/>
      </w:r>
      <w:r w:rsidRPr="00534959">
        <w:t xml:space="preserve">(a), </w:t>
      </w:r>
      <w:r w:rsidR="00644494">
        <w:t xml:space="preserve">the </w:t>
      </w:r>
      <w:r>
        <w:t xml:space="preserve">call signs </w:t>
      </w:r>
      <w:r w:rsidR="0005325A">
        <w:t xml:space="preserve">listed in the Appendix and </w:t>
      </w:r>
      <w:r w:rsidRPr="00534959">
        <w:t xml:space="preserve">licensed to the </w:t>
      </w:r>
      <w:r>
        <w:t>State of Maine</w:t>
      </w:r>
      <w:r w:rsidRPr="00534959">
        <w:t xml:space="preserve"> BE MODIFIED consistent with Section </w:t>
      </w:r>
      <w:r>
        <w:t>II.B.</w:t>
      </w:r>
      <w:r w:rsidRPr="00534959">
        <w:t xml:space="preserve"> </w:t>
      </w:r>
      <w:r>
        <w:t xml:space="preserve">and the Appendix </w:t>
      </w:r>
      <w:r w:rsidRPr="00534959">
        <w:t>of this Order</w:t>
      </w:r>
      <w:r>
        <w:t xml:space="preserve"> and </w:t>
      </w:r>
      <w:r w:rsidRPr="00534959">
        <w:t xml:space="preserve">Proposed Order of </w:t>
      </w:r>
      <w:r>
        <w:t>Modification</w:t>
      </w:r>
      <w:r w:rsidRPr="00534959">
        <w:t xml:space="preserve">.  </w:t>
      </w:r>
    </w:p>
    <w:p w:rsidR="000B132D" w:rsidRPr="00F56EB8" w:rsidP="001A1B0B">
      <w:pPr>
        <w:pStyle w:val="ParaNum"/>
      </w:pPr>
      <w:r w:rsidRPr="00534959">
        <w:t>IT IS FURTHER ORDERED that</w:t>
      </w:r>
      <w:r w:rsidR="00644494">
        <w:t>,</w:t>
      </w:r>
      <w:r w:rsidRPr="00534959">
        <w:t xml:space="preserve"> pursuant to Section 316(a)(1) of the Communications Act of 1934, as amended, 47 U.S.C. § 316(a)(1), the Wireless Telecommunications Bureau SHALL SEND this </w:t>
      </w:r>
      <w:r>
        <w:t xml:space="preserve">Order and </w:t>
      </w:r>
      <w:r w:rsidRPr="00534959">
        <w:t>Proposed Order of Modification by certified mail, return receipt requested</w:t>
      </w:r>
      <w:r w:rsidR="00E21ED7">
        <w:t>,</w:t>
      </w:r>
      <w:r w:rsidRPr="00534959">
        <w:t xml:space="preserve"> to the </w:t>
      </w:r>
      <w:r>
        <w:t>State of Maine</w:t>
      </w:r>
      <w:r w:rsidRPr="00534959">
        <w:t>.</w:t>
      </w:r>
    </w:p>
    <w:p w:rsidR="000F5310" w:rsidRPr="00F56EB8" w:rsidP="001A1B0B">
      <w:pPr>
        <w:pStyle w:val="ParaNum"/>
      </w:pPr>
      <w:r w:rsidRPr="00F56EB8">
        <w:t xml:space="preserve">These actions are taken under delegated authority pursuant to sections </w:t>
      </w:r>
      <w:r w:rsidRPr="00F56EB8" w:rsidR="000F77F1">
        <w:t>0</w:t>
      </w:r>
      <w:r w:rsidRPr="00F56EB8">
        <w:t>.131 and 0.331 of the Commission’s rules, 47 CFR §§ 0.131, 0.331.</w:t>
      </w:r>
    </w:p>
    <w:p w:rsidR="005F3A0F" w:rsidRPr="00F56EB8" w:rsidP="00D50901">
      <w:pPr>
        <w:ind w:left="4320"/>
        <w:rPr>
          <w:szCs w:val="22"/>
        </w:rPr>
      </w:pPr>
      <w:r w:rsidRPr="00F56EB8">
        <w:rPr>
          <w:szCs w:val="22"/>
        </w:rPr>
        <w:t>FEDERAL COMMUNICATIONS COMMISSION</w:t>
      </w:r>
    </w:p>
    <w:p w:rsidR="008318B0" w:rsidP="00D50901">
      <w:pPr>
        <w:keepNext/>
        <w:keepLines/>
        <w:tabs>
          <w:tab w:val="left" w:pos="-1440"/>
          <w:tab w:val="left" w:pos="-720"/>
          <w:tab w:val="left" w:pos="0"/>
          <w:tab w:val="left" w:pos="720"/>
          <w:tab w:val="left" w:pos="1080"/>
          <w:tab w:val="left" w:pos="1440"/>
        </w:tabs>
        <w:suppressAutoHyphens/>
        <w:ind w:left="720"/>
        <w:rPr>
          <w:szCs w:val="22"/>
        </w:rPr>
      </w:pPr>
      <w:r w:rsidRPr="00F56EB8">
        <w:rPr>
          <w:szCs w:val="22"/>
        </w:rPr>
        <w:tab/>
      </w:r>
      <w:r w:rsidRPr="00F56EB8">
        <w:rPr>
          <w:szCs w:val="22"/>
        </w:rPr>
        <w:tab/>
      </w:r>
      <w:r w:rsidRPr="00F56EB8">
        <w:rPr>
          <w:szCs w:val="22"/>
        </w:rPr>
        <w:tab/>
      </w:r>
      <w:r w:rsidRPr="00F56EB8">
        <w:rPr>
          <w:szCs w:val="22"/>
        </w:rPr>
        <w:tab/>
      </w:r>
    </w:p>
    <w:p w:rsidR="003B45E0" w:rsidP="00D50901">
      <w:pPr>
        <w:keepNext/>
        <w:keepLines/>
        <w:tabs>
          <w:tab w:val="left" w:pos="-1440"/>
          <w:tab w:val="left" w:pos="-720"/>
          <w:tab w:val="left" w:pos="0"/>
          <w:tab w:val="left" w:pos="720"/>
          <w:tab w:val="left" w:pos="1080"/>
          <w:tab w:val="left" w:pos="1440"/>
        </w:tabs>
        <w:suppressAutoHyphens/>
        <w:ind w:left="720"/>
        <w:rPr>
          <w:szCs w:val="22"/>
        </w:rPr>
      </w:pPr>
    </w:p>
    <w:p w:rsidR="003B45E0" w:rsidRPr="00F56EB8" w:rsidP="00D50901">
      <w:pPr>
        <w:keepNext/>
        <w:keepLines/>
        <w:tabs>
          <w:tab w:val="left" w:pos="-1440"/>
          <w:tab w:val="left" w:pos="-720"/>
          <w:tab w:val="left" w:pos="0"/>
          <w:tab w:val="left" w:pos="720"/>
          <w:tab w:val="left" w:pos="1080"/>
          <w:tab w:val="left" w:pos="1440"/>
        </w:tabs>
        <w:suppressAutoHyphens/>
        <w:ind w:left="720"/>
        <w:rPr>
          <w:szCs w:val="22"/>
        </w:rPr>
      </w:pPr>
    </w:p>
    <w:p w:rsidR="008318B0" w:rsidP="00D50901">
      <w:pPr>
        <w:keepNext/>
        <w:keepLines/>
        <w:tabs>
          <w:tab w:val="left" w:pos="-1440"/>
          <w:tab w:val="left" w:pos="-720"/>
          <w:tab w:val="left" w:pos="0"/>
          <w:tab w:val="left" w:pos="720"/>
          <w:tab w:val="left" w:pos="1080"/>
          <w:tab w:val="left" w:pos="1440"/>
        </w:tabs>
        <w:suppressAutoHyphens/>
        <w:ind w:left="720"/>
        <w:rPr>
          <w:szCs w:val="22"/>
        </w:rPr>
      </w:pPr>
    </w:p>
    <w:p w:rsidR="005F3A0F" w:rsidRPr="00F56EB8" w:rsidP="00D50901">
      <w:pPr>
        <w:keepNext/>
        <w:keepLines/>
        <w:tabs>
          <w:tab w:val="left" w:pos="-1440"/>
          <w:tab w:val="left" w:pos="-720"/>
          <w:tab w:val="left" w:pos="0"/>
          <w:tab w:val="left" w:pos="720"/>
          <w:tab w:val="left" w:pos="1080"/>
          <w:tab w:val="left" w:pos="1440"/>
        </w:tabs>
        <w:suppressAutoHyphens/>
        <w:ind w:left="720"/>
        <w:rPr>
          <w:szCs w:val="22"/>
        </w:rPr>
      </w:pPr>
      <w:r w:rsidRPr="00F56EB8">
        <w:rPr>
          <w:szCs w:val="22"/>
        </w:rPr>
        <w:tab/>
      </w:r>
      <w:r w:rsidRPr="00F56EB8">
        <w:rPr>
          <w:szCs w:val="22"/>
        </w:rPr>
        <w:tab/>
      </w:r>
      <w:r w:rsidRPr="00F56EB8">
        <w:rPr>
          <w:szCs w:val="22"/>
        </w:rPr>
        <w:tab/>
      </w:r>
      <w:r w:rsidRPr="00F56EB8">
        <w:rPr>
          <w:szCs w:val="22"/>
        </w:rPr>
        <w:tab/>
      </w:r>
      <w:r w:rsidRPr="00F56EB8">
        <w:rPr>
          <w:szCs w:val="22"/>
        </w:rPr>
        <w:tab/>
      </w:r>
      <w:r w:rsidRPr="00F56EB8">
        <w:rPr>
          <w:szCs w:val="22"/>
        </w:rPr>
        <w:tab/>
      </w:r>
      <w:r w:rsidRPr="00F56EB8" w:rsidR="007F1935">
        <w:rPr>
          <w:szCs w:val="22"/>
        </w:rPr>
        <w:t xml:space="preserve">Roger </w:t>
      </w:r>
      <w:r w:rsidR="00521CB9">
        <w:rPr>
          <w:szCs w:val="22"/>
        </w:rPr>
        <w:t xml:space="preserve">S. </w:t>
      </w:r>
      <w:r w:rsidRPr="00F56EB8" w:rsidR="007F1935">
        <w:rPr>
          <w:szCs w:val="22"/>
        </w:rPr>
        <w:t>Noel</w:t>
      </w:r>
      <w:r w:rsidRPr="00F56EB8">
        <w:rPr>
          <w:szCs w:val="22"/>
        </w:rPr>
        <w:tab/>
      </w:r>
      <w:r w:rsidRPr="00F56EB8">
        <w:rPr>
          <w:szCs w:val="22"/>
        </w:rPr>
        <w:tab/>
      </w:r>
      <w:r w:rsidRPr="00F56EB8">
        <w:rPr>
          <w:szCs w:val="22"/>
        </w:rPr>
        <w:tab/>
      </w:r>
      <w:r w:rsidRPr="00F56EB8">
        <w:rPr>
          <w:szCs w:val="22"/>
        </w:rPr>
        <w:tab/>
      </w:r>
      <w:r w:rsidRPr="00F56EB8">
        <w:rPr>
          <w:szCs w:val="22"/>
        </w:rPr>
        <w:tab/>
      </w:r>
      <w:r w:rsidR="00F6534D">
        <w:rPr>
          <w:szCs w:val="22"/>
        </w:rPr>
        <w:tab/>
      </w:r>
      <w:r w:rsidR="00F6534D">
        <w:rPr>
          <w:szCs w:val="22"/>
        </w:rPr>
        <w:tab/>
      </w:r>
      <w:r w:rsidR="00F6534D">
        <w:rPr>
          <w:szCs w:val="22"/>
        </w:rPr>
        <w:tab/>
      </w:r>
      <w:r w:rsidR="00F6534D">
        <w:rPr>
          <w:szCs w:val="22"/>
        </w:rPr>
        <w:tab/>
      </w:r>
      <w:r w:rsidR="00F6534D">
        <w:rPr>
          <w:szCs w:val="22"/>
        </w:rPr>
        <w:tab/>
      </w:r>
      <w:r w:rsidR="00F6534D">
        <w:rPr>
          <w:szCs w:val="22"/>
        </w:rPr>
        <w:tab/>
      </w:r>
      <w:r w:rsidR="00C91E3A">
        <w:rPr>
          <w:szCs w:val="22"/>
        </w:rPr>
        <w:tab/>
        <w:t xml:space="preserve">Chief, </w:t>
      </w:r>
      <w:r w:rsidRPr="00F56EB8" w:rsidR="002F635C">
        <w:rPr>
          <w:szCs w:val="22"/>
        </w:rPr>
        <w:t>Mobility Division</w:t>
      </w:r>
    </w:p>
    <w:p w:rsidR="00F7499C" w:rsidP="00D50901">
      <w:pPr>
        <w:keepNext/>
        <w:keepLines/>
        <w:tabs>
          <w:tab w:val="left" w:pos="-1440"/>
          <w:tab w:val="left" w:pos="-720"/>
          <w:tab w:val="left" w:pos="0"/>
          <w:tab w:val="left" w:pos="720"/>
          <w:tab w:val="left" w:pos="1080"/>
          <w:tab w:val="left" w:pos="1440"/>
        </w:tabs>
        <w:suppressAutoHyphens/>
        <w:ind w:left="720"/>
        <w:rPr>
          <w:szCs w:val="22"/>
        </w:rPr>
      </w:pPr>
      <w:r w:rsidRPr="00F56EB8">
        <w:rPr>
          <w:szCs w:val="22"/>
        </w:rPr>
        <w:tab/>
      </w:r>
      <w:r w:rsidRPr="00F56EB8">
        <w:rPr>
          <w:szCs w:val="22"/>
        </w:rPr>
        <w:tab/>
      </w:r>
      <w:r w:rsidRPr="00F56EB8">
        <w:rPr>
          <w:szCs w:val="22"/>
        </w:rPr>
        <w:tab/>
      </w:r>
      <w:r w:rsidRPr="00F56EB8" w:rsidR="002F635C">
        <w:rPr>
          <w:szCs w:val="22"/>
        </w:rPr>
        <w:tab/>
      </w:r>
      <w:r w:rsidRPr="00F56EB8" w:rsidR="002F635C">
        <w:rPr>
          <w:szCs w:val="22"/>
        </w:rPr>
        <w:tab/>
      </w:r>
      <w:r w:rsidRPr="00F56EB8" w:rsidR="002F635C">
        <w:rPr>
          <w:szCs w:val="22"/>
        </w:rPr>
        <w:tab/>
      </w:r>
      <w:r w:rsidRPr="00F56EB8">
        <w:rPr>
          <w:szCs w:val="22"/>
        </w:rPr>
        <w:t>Wireless Telecommunications Bureau</w:t>
      </w:r>
    </w:p>
    <w:p w:rsidR="002841A2" w:rsidP="00D50901">
      <w:pPr>
        <w:keepNext/>
        <w:keepLines/>
        <w:tabs>
          <w:tab w:val="left" w:pos="-1440"/>
          <w:tab w:val="left" w:pos="-720"/>
          <w:tab w:val="left" w:pos="0"/>
          <w:tab w:val="left" w:pos="720"/>
          <w:tab w:val="left" w:pos="1080"/>
          <w:tab w:val="left" w:pos="1440"/>
        </w:tabs>
        <w:suppressAutoHyphens/>
        <w:ind w:left="720"/>
        <w:rPr>
          <w:szCs w:val="22"/>
        </w:rPr>
      </w:pPr>
    </w:p>
    <w:p w:rsidR="002841A2" w:rsidP="00D50901">
      <w:pPr>
        <w:keepNext/>
        <w:keepLines/>
        <w:tabs>
          <w:tab w:val="left" w:pos="-1440"/>
          <w:tab w:val="left" w:pos="-720"/>
          <w:tab w:val="left" w:pos="0"/>
          <w:tab w:val="left" w:pos="720"/>
          <w:tab w:val="left" w:pos="1080"/>
          <w:tab w:val="left" w:pos="1440"/>
        </w:tabs>
        <w:suppressAutoHyphens/>
        <w:ind w:left="720"/>
        <w:rPr>
          <w:szCs w:val="22"/>
        </w:rPr>
      </w:pPr>
    </w:p>
    <w:p w:rsidR="002841A2" w:rsidP="00D50901">
      <w:pPr>
        <w:keepNext/>
        <w:keepLines/>
        <w:tabs>
          <w:tab w:val="left" w:pos="-1440"/>
          <w:tab w:val="left" w:pos="-720"/>
          <w:tab w:val="left" w:pos="0"/>
          <w:tab w:val="left" w:pos="720"/>
          <w:tab w:val="left" w:pos="1080"/>
          <w:tab w:val="left" w:pos="1440"/>
        </w:tabs>
        <w:suppressAutoHyphens/>
        <w:ind w:left="720"/>
        <w:rPr>
          <w:szCs w:val="22"/>
        </w:rPr>
      </w:pPr>
    </w:p>
    <w:p w:rsidR="002841A2" w:rsidP="00D50901">
      <w:pPr>
        <w:keepNext/>
        <w:keepLines/>
        <w:tabs>
          <w:tab w:val="left" w:pos="-1440"/>
          <w:tab w:val="left" w:pos="-720"/>
          <w:tab w:val="left" w:pos="0"/>
          <w:tab w:val="left" w:pos="720"/>
          <w:tab w:val="left" w:pos="1080"/>
          <w:tab w:val="left" w:pos="1440"/>
        </w:tabs>
        <w:suppressAutoHyphens/>
        <w:ind w:left="720"/>
        <w:rPr>
          <w:szCs w:val="22"/>
        </w:rPr>
      </w:pPr>
    </w:p>
    <w:p w:rsidR="002841A2" w:rsidP="00D50901">
      <w:pPr>
        <w:keepNext/>
        <w:keepLines/>
        <w:tabs>
          <w:tab w:val="left" w:pos="-1440"/>
          <w:tab w:val="left" w:pos="-720"/>
          <w:tab w:val="left" w:pos="0"/>
          <w:tab w:val="left" w:pos="720"/>
          <w:tab w:val="left" w:pos="1080"/>
          <w:tab w:val="left" w:pos="1440"/>
        </w:tabs>
        <w:suppressAutoHyphens/>
        <w:ind w:left="720"/>
        <w:rPr>
          <w:szCs w:val="22"/>
        </w:rPr>
      </w:pPr>
    </w:p>
    <w:p w:rsidR="002841A2" w:rsidP="002841A2">
      <w:pPr>
        <w:keepNext/>
        <w:keepLines/>
        <w:tabs>
          <w:tab w:val="left" w:pos="-1440"/>
          <w:tab w:val="left" w:pos="-720"/>
          <w:tab w:val="left" w:pos="0"/>
          <w:tab w:val="left" w:pos="720"/>
          <w:tab w:val="left" w:pos="1080"/>
          <w:tab w:val="left" w:pos="1440"/>
        </w:tabs>
        <w:suppressAutoHyphens/>
        <w:ind w:left="720" w:hanging="720"/>
        <w:jc w:val="center"/>
        <w:rPr>
          <w:b/>
          <w:szCs w:val="22"/>
        </w:rPr>
      </w:pPr>
      <w:r>
        <w:rPr>
          <w:szCs w:val="22"/>
        </w:rPr>
        <w:br w:type="page"/>
      </w:r>
      <w:r w:rsidRPr="002841A2">
        <w:rPr>
          <w:b/>
          <w:szCs w:val="22"/>
        </w:rPr>
        <w:t>APPENDIX</w:t>
      </w:r>
    </w:p>
    <w:p w:rsidR="0005325A" w:rsidP="002841A2">
      <w:pPr>
        <w:keepNext/>
        <w:keepLines/>
        <w:tabs>
          <w:tab w:val="left" w:pos="-1440"/>
          <w:tab w:val="left" w:pos="-720"/>
          <w:tab w:val="left" w:pos="0"/>
          <w:tab w:val="left" w:pos="720"/>
          <w:tab w:val="left" w:pos="1080"/>
          <w:tab w:val="left" w:pos="1440"/>
        </w:tabs>
        <w:suppressAutoHyphens/>
        <w:ind w:left="720" w:hanging="720"/>
        <w:jc w:val="center"/>
        <w:rPr>
          <w:szCs w:val="22"/>
        </w:rPr>
      </w:pPr>
    </w:p>
    <w:p w:rsidR="004325DB" w:rsidP="004325DB">
      <w:pPr>
        <w:rPr>
          <w:b/>
        </w:rPr>
      </w:pPr>
      <w:r>
        <w:rPr>
          <w:b/>
        </w:rPr>
        <w:t>Call Signs</w:t>
      </w:r>
    </w:p>
    <w:p w:rsidR="004325DB" w:rsidRPr="004325DB" w:rsidP="004325DB">
      <w:pPr>
        <w:jc w:val="center"/>
        <w:rPr>
          <w:b/>
        </w:rPr>
      </w:pPr>
    </w:p>
    <w:p w:rsidR="0005325A" w:rsidP="0005325A">
      <w:pPr>
        <w:keepNext/>
        <w:keepLines/>
        <w:tabs>
          <w:tab w:val="left" w:pos="-1440"/>
          <w:tab w:val="left" w:pos="-720"/>
          <w:tab w:val="left" w:pos="0"/>
          <w:tab w:val="left" w:pos="720"/>
          <w:tab w:val="left" w:pos="1080"/>
          <w:tab w:val="left" w:pos="1440"/>
        </w:tabs>
        <w:suppressAutoHyphens/>
      </w:pPr>
      <w:r w:rsidRPr="00B61481">
        <w:t xml:space="preserve">WQMT752, WQMT753, WQMT754, WQMT755, </w:t>
      </w:r>
      <w:r>
        <w:t xml:space="preserve">WQMT756, </w:t>
      </w:r>
      <w:r w:rsidRPr="00B61481">
        <w:t xml:space="preserve">WQMT757, WQMT758, WQMT759, WQMT760, </w:t>
      </w:r>
      <w:r>
        <w:t xml:space="preserve">and </w:t>
      </w:r>
      <w:r w:rsidRPr="00B61481">
        <w:t>WQMT761</w:t>
      </w:r>
    </w:p>
    <w:p w:rsidR="00ED3116" w:rsidP="0005325A">
      <w:pPr>
        <w:keepNext/>
        <w:keepLines/>
        <w:tabs>
          <w:tab w:val="left" w:pos="-1440"/>
          <w:tab w:val="left" w:pos="-720"/>
          <w:tab w:val="left" w:pos="0"/>
          <w:tab w:val="left" w:pos="720"/>
          <w:tab w:val="left" w:pos="1080"/>
          <w:tab w:val="left" w:pos="1440"/>
        </w:tabs>
        <w:suppressAutoHyphens/>
      </w:pPr>
    </w:p>
    <w:p w:rsidR="004325DB" w:rsidP="004325DB">
      <w:pPr>
        <w:rPr>
          <w:b/>
        </w:rPr>
      </w:pPr>
      <w:r w:rsidRPr="00F843BB">
        <w:rPr>
          <w:b/>
        </w:rPr>
        <w:t>Proposed Modified License Areas</w:t>
      </w:r>
    </w:p>
    <w:p w:rsidR="004325DB" w:rsidP="004325DB">
      <w:pPr>
        <w:jc w:val="center"/>
        <w:rPr>
          <w:b/>
        </w:rPr>
      </w:pPr>
    </w:p>
    <w:p w:rsidR="004325DB" w:rsidP="004325DB">
      <w:r>
        <w:t xml:space="preserve">The proposed modified boundaries of each license area will be defined by the interference contour(s) of its base transmitter(s) as calculated pursuant to Section 22.537(d) or 22.567(d), as applicable.  </w:t>
      </w:r>
    </w:p>
    <w:p w:rsidR="004325DB" w:rsidP="004325DB">
      <w:r>
        <w:t xml:space="preserve">The </w:t>
      </w:r>
      <w:r w:rsidRPr="0003418D">
        <w:t>following maps</w:t>
      </w:r>
      <w:r>
        <w:t xml:space="preserve"> depicting the proposed modified license areas of each call sign were derived using technical information provided by the State of Maine (Maine).</w:t>
      </w:r>
      <w:r>
        <w:rPr>
          <w:rStyle w:val="FootnoteReference"/>
        </w:rPr>
        <w:footnoteReference w:id="65"/>
      </w:r>
      <w:r>
        <w:t xml:space="preserve"> The tables below detail the base transmitter information provided by Maine, including location(s) of the base transmitter(s) being used for the call sign, effective radiated power (ERP), antenna height, and height above average terrain (HAAT) data.</w:t>
      </w:r>
      <w:r>
        <w:rPr>
          <w:rStyle w:val="FootnoteReference"/>
        </w:rPr>
        <w:footnoteReference w:id="66"/>
      </w:r>
      <w:r>
        <w:t xml:space="preserve">  The tables also specify the distances from each base transmitter to its interfering contour along the eight radials that were calculated using Maine’s technical data.</w:t>
      </w:r>
      <w:r>
        <w:rPr>
          <w:rStyle w:val="FootnoteReference"/>
        </w:rPr>
        <w:footnoteReference w:id="67"/>
      </w:r>
      <w:r>
        <w:t xml:space="preserve"> </w:t>
      </w:r>
    </w:p>
    <w:p w:rsidR="004325DB" w:rsidP="004325DB"/>
    <w:p w:rsidR="004325DB" w:rsidRPr="00C34BA0" w:rsidP="004325DB">
      <w:pPr>
        <w:rPr>
          <w:b/>
          <w:u w:val="single"/>
        </w:rPr>
      </w:pPr>
      <w:r>
        <w:rPr>
          <w:b/>
          <w:u w:val="single"/>
        </w:rPr>
        <w:t>Proposed Modified License Area/Contour</w:t>
      </w:r>
      <w:r w:rsidRPr="00C34BA0">
        <w:rPr>
          <w:b/>
          <w:u w:val="single"/>
        </w:rPr>
        <w:t xml:space="preserve"> Information for Calls Signs subject to Section 22.537(d)</w:t>
      </w:r>
    </w:p>
    <w:tbl>
      <w:tblPr>
        <w:tblStyle w:val="TableGrid"/>
        <w:tblW w:w="9445" w:type="dxa"/>
        <w:jc w:val="center"/>
        <w:tblLook w:val="04A0"/>
      </w:tblPr>
      <w:tblGrid>
        <w:gridCol w:w="1236"/>
        <w:gridCol w:w="1236"/>
        <w:gridCol w:w="1236"/>
        <w:gridCol w:w="1237"/>
        <w:gridCol w:w="1125"/>
        <w:gridCol w:w="1125"/>
        <w:gridCol w:w="1125"/>
        <w:gridCol w:w="1125"/>
      </w:tblGrid>
      <w:tr w:rsidTr="00EB7336">
        <w:tblPrEx>
          <w:tblW w:w="9445" w:type="dxa"/>
          <w:jc w:val="center"/>
          <w:tblLook w:val="04A0"/>
        </w:tblPrEx>
        <w:trPr>
          <w:trHeight w:val="288"/>
          <w:jc w:val="center"/>
        </w:trPr>
        <w:tc>
          <w:tcPr>
            <w:tcW w:w="9445" w:type="dxa"/>
            <w:gridSpan w:val="8"/>
            <w:tcBorders>
              <w:top w:val="nil"/>
              <w:left w:val="nil"/>
              <w:bottom w:val="single" w:sz="4" w:space="0" w:color="auto"/>
              <w:right w:val="nil"/>
            </w:tcBorders>
            <w:vAlign w:val="bottom"/>
          </w:tcPr>
          <w:p w:rsidR="004325DB" w:rsidRPr="00107CB5" w:rsidP="00EB7336">
            <w:pPr>
              <w:rPr>
                <w:rFonts w:asciiTheme="minorHAnsi" w:hAnsiTheme="minorHAnsi" w:cstheme="minorHAnsi"/>
                <w:b/>
                <w:sz w:val="16"/>
                <w:szCs w:val="16"/>
              </w:rPr>
            </w:pPr>
            <w:r>
              <w:rPr>
                <w:rFonts w:asciiTheme="minorHAnsi" w:hAnsiTheme="minorHAnsi" w:cstheme="minorHAnsi"/>
                <w:sz w:val="18"/>
                <w:szCs w:val="18"/>
              </w:rPr>
              <w:t>Base transmitter information provided by State of Maine – 22.537(d)</w:t>
            </w:r>
          </w:p>
        </w:tc>
      </w:tr>
      <w:tr w:rsidTr="00EB7336">
        <w:tblPrEx>
          <w:tblW w:w="9445" w:type="dxa"/>
          <w:jc w:val="center"/>
          <w:tblLook w:val="04A0"/>
        </w:tblPrEx>
        <w:trPr>
          <w:trHeight w:val="432"/>
          <w:jc w:val="center"/>
        </w:trPr>
        <w:tc>
          <w:tcPr>
            <w:tcW w:w="1236" w:type="dxa"/>
            <w:tcBorders>
              <w:bottom w:val="single" w:sz="4" w:space="0" w:color="auto"/>
            </w:tcBorders>
            <w:shd w:val="clear" w:color="auto" w:fill="DEEAF6" w:themeFill="accent5" w:themeFillTint="33"/>
            <w:vAlign w:val="center"/>
          </w:tcPr>
          <w:p w:rsidR="004325DB" w:rsidRPr="00E64A61" w:rsidP="00EB7336">
            <w:pPr>
              <w:rPr>
                <w:rFonts w:asciiTheme="minorHAnsi" w:hAnsiTheme="minorHAnsi" w:cstheme="minorHAnsi"/>
                <w:b/>
                <w:sz w:val="16"/>
                <w:szCs w:val="16"/>
              </w:rPr>
            </w:pPr>
            <w:r w:rsidRPr="00E64A61">
              <w:rPr>
                <w:rFonts w:asciiTheme="minorHAnsi" w:hAnsiTheme="minorHAnsi" w:cstheme="minorHAnsi"/>
                <w:b/>
                <w:sz w:val="16"/>
                <w:szCs w:val="16"/>
              </w:rPr>
              <w:t>Call Sign</w:t>
            </w:r>
          </w:p>
        </w:tc>
        <w:tc>
          <w:tcPr>
            <w:tcW w:w="1236" w:type="dxa"/>
            <w:shd w:val="clear" w:color="auto" w:fill="DEEAF6" w:themeFill="accent5" w:themeFillTint="33"/>
            <w:vAlign w:val="center"/>
          </w:tcPr>
          <w:p w:rsidR="004325DB" w:rsidRPr="00E64A61" w:rsidP="00EB7336">
            <w:pPr>
              <w:jc w:val="center"/>
              <w:rPr>
                <w:rFonts w:asciiTheme="minorHAnsi" w:hAnsiTheme="minorHAnsi" w:cstheme="minorHAnsi"/>
                <w:b/>
                <w:sz w:val="16"/>
                <w:szCs w:val="16"/>
              </w:rPr>
            </w:pPr>
            <w:r w:rsidRPr="00E64A61">
              <w:rPr>
                <w:rFonts w:asciiTheme="minorHAnsi" w:hAnsiTheme="minorHAnsi" w:cstheme="minorHAnsi"/>
                <w:b/>
                <w:sz w:val="16"/>
                <w:szCs w:val="16"/>
              </w:rPr>
              <w:t>Location</w:t>
            </w:r>
          </w:p>
        </w:tc>
        <w:tc>
          <w:tcPr>
            <w:tcW w:w="1236" w:type="dxa"/>
            <w:shd w:val="clear" w:color="auto" w:fill="DEEAF6" w:themeFill="accent5" w:themeFillTint="33"/>
            <w:vAlign w:val="center"/>
          </w:tcPr>
          <w:p w:rsidR="004325DB" w:rsidRPr="00E64A61" w:rsidP="00EB7336">
            <w:pPr>
              <w:jc w:val="center"/>
              <w:rPr>
                <w:rFonts w:asciiTheme="minorHAnsi" w:hAnsiTheme="minorHAnsi" w:cstheme="minorHAnsi"/>
                <w:b/>
                <w:sz w:val="16"/>
                <w:szCs w:val="16"/>
              </w:rPr>
            </w:pPr>
            <w:r w:rsidRPr="00E64A61">
              <w:rPr>
                <w:rFonts w:asciiTheme="minorHAnsi" w:hAnsiTheme="minorHAnsi" w:cstheme="minorHAnsi"/>
                <w:b/>
                <w:sz w:val="16"/>
                <w:szCs w:val="16"/>
              </w:rPr>
              <w:t>Latitude</w:t>
            </w:r>
          </w:p>
        </w:tc>
        <w:tc>
          <w:tcPr>
            <w:tcW w:w="1237" w:type="dxa"/>
            <w:shd w:val="clear" w:color="auto" w:fill="DEEAF6" w:themeFill="accent5" w:themeFillTint="33"/>
            <w:vAlign w:val="center"/>
          </w:tcPr>
          <w:p w:rsidR="004325DB" w:rsidRPr="00E64A61" w:rsidP="00EB7336">
            <w:pPr>
              <w:jc w:val="center"/>
              <w:rPr>
                <w:rFonts w:asciiTheme="minorHAnsi" w:hAnsiTheme="minorHAnsi" w:cstheme="minorHAnsi"/>
                <w:b/>
                <w:sz w:val="16"/>
                <w:szCs w:val="16"/>
              </w:rPr>
            </w:pPr>
            <w:r w:rsidRPr="00E64A61">
              <w:rPr>
                <w:rFonts w:asciiTheme="minorHAnsi" w:hAnsiTheme="minorHAnsi" w:cstheme="minorHAnsi"/>
                <w:b/>
                <w:sz w:val="16"/>
                <w:szCs w:val="16"/>
              </w:rPr>
              <w:t>Longitude</w:t>
            </w:r>
          </w:p>
        </w:tc>
        <w:tc>
          <w:tcPr>
            <w:tcW w:w="1125" w:type="dxa"/>
            <w:shd w:val="clear" w:color="auto" w:fill="DEEAF6" w:themeFill="accent5" w:themeFillTint="33"/>
            <w:vAlign w:val="center"/>
          </w:tcPr>
          <w:p w:rsidR="004325DB" w:rsidRPr="00E64A61" w:rsidP="00EB7336">
            <w:pPr>
              <w:jc w:val="center"/>
              <w:rPr>
                <w:rFonts w:asciiTheme="minorHAnsi" w:hAnsiTheme="minorHAnsi" w:cstheme="minorHAnsi"/>
                <w:b/>
                <w:sz w:val="16"/>
                <w:szCs w:val="16"/>
              </w:rPr>
            </w:pPr>
            <w:r w:rsidRPr="00E64A61">
              <w:rPr>
                <w:rFonts w:asciiTheme="minorHAnsi" w:hAnsiTheme="minorHAnsi" w:cstheme="minorHAnsi"/>
                <w:b/>
                <w:sz w:val="16"/>
                <w:szCs w:val="16"/>
              </w:rPr>
              <w:t>Elevation (m)</w:t>
            </w:r>
          </w:p>
        </w:tc>
        <w:tc>
          <w:tcPr>
            <w:tcW w:w="1125" w:type="dxa"/>
            <w:shd w:val="clear" w:color="auto" w:fill="DEEAF6" w:themeFill="accent5" w:themeFillTint="33"/>
            <w:vAlign w:val="center"/>
          </w:tcPr>
          <w:p w:rsidR="004325DB" w:rsidRPr="00E64A61" w:rsidP="00EB7336">
            <w:pPr>
              <w:jc w:val="center"/>
              <w:rPr>
                <w:rFonts w:asciiTheme="minorHAnsi" w:hAnsiTheme="minorHAnsi" w:cstheme="minorHAnsi"/>
                <w:b/>
                <w:sz w:val="16"/>
                <w:szCs w:val="16"/>
              </w:rPr>
            </w:pPr>
            <w:r w:rsidRPr="00E64A61">
              <w:rPr>
                <w:rFonts w:asciiTheme="minorHAnsi" w:hAnsiTheme="minorHAnsi" w:cstheme="minorHAnsi"/>
                <w:b/>
                <w:sz w:val="16"/>
                <w:szCs w:val="16"/>
              </w:rPr>
              <w:t>Antenna Height (m)</w:t>
            </w:r>
          </w:p>
        </w:tc>
        <w:tc>
          <w:tcPr>
            <w:tcW w:w="1125" w:type="dxa"/>
            <w:shd w:val="clear" w:color="auto" w:fill="DEEAF6" w:themeFill="accent5" w:themeFillTint="33"/>
            <w:vAlign w:val="center"/>
          </w:tcPr>
          <w:p w:rsidR="004325DB" w:rsidRPr="00E64A61" w:rsidP="00EB7336">
            <w:pPr>
              <w:jc w:val="center"/>
              <w:rPr>
                <w:rFonts w:asciiTheme="minorHAnsi" w:hAnsiTheme="minorHAnsi" w:cstheme="minorHAnsi"/>
                <w:b/>
                <w:sz w:val="16"/>
                <w:szCs w:val="16"/>
              </w:rPr>
            </w:pPr>
            <w:r w:rsidRPr="00E64A61">
              <w:rPr>
                <w:rFonts w:asciiTheme="minorHAnsi" w:hAnsiTheme="minorHAnsi" w:cstheme="minorHAnsi"/>
                <w:b/>
                <w:sz w:val="16"/>
                <w:szCs w:val="16"/>
              </w:rPr>
              <w:t>ERP (W)</w:t>
            </w:r>
          </w:p>
        </w:tc>
        <w:tc>
          <w:tcPr>
            <w:tcW w:w="1125" w:type="dxa"/>
            <w:shd w:val="clear" w:color="auto" w:fill="DEEAF6" w:themeFill="accent5" w:themeFillTint="33"/>
            <w:vAlign w:val="center"/>
          </w:tcPr>
          <w:p w:rsidR="004325DB" w:rsidRPr="00E64A61" w:rsidP="00EB7336">
            <w:pPr>
              <w:jc w:val="center"/>
              <w:rPr>
                <w:rFonts w:asciiTheme="minorHAnsi" w:hAnsiTheme="minorHAnsi" w:cstheme="minorHAnsi"/>
                <w:b/>
                <w:sz w:val="16"/>
                <w:szCs w:val="16"/>
              </w:rPr>
            </w:pPr>
            <w:r w:rsidRPr="00E64A61">
              <w:rPr>
                <w:rFonts w:asciiTheme="minorHAnsi" w:hAnsiTheme="minorHAnsi" w:cstheme="minorHAnsi"/>
                <w:b/>
                <w:sz w:val="16"/>
                <w:szCs w:val="16"/>
              </w:rPr>
              <w:t>HAAT (m)</w:t>
            </w:r>
          </w:p>
        </w:tc>
      </w:tr>
      <w:tr w:rsidTr="00EB7336">
        <w:tblPrEx>
          <w:tblW w:w="9445" w:type="dxa"/>
          <w:jc w:val="center"/>
          <w:tblLook w:val="04A0"/>
        </w:tblPrEx>
        <w:trPr>
          <w:trHeight w:val="288"/>
          <w:jc w:val="center"/>
        </w:trPr>
        <w:tc>
          <w:tcPr>
            <w:tcW w:w="1236" w:type="dxa"/>
            <w:tcBorders>
              <w:bottom w:val="nil"/>
            </w:tcBorders>
            <w:vAlign w:val="center"/>
          </w:tcPr>
          <w:p w:rsidR="004325DB" w:rsidRPr="00E64A61" w:rsidP="00EB7336">
            <w:pPr>
              <w:rPr>
                <w:rFonts w:asciiTheme="minorHAnsi" w:hAnsiTheme="minorHAnsi" w:cstheme="minorHAnsi"/>
                <w:b/>
                <w:sz w:val="16"/>
                <w:szCs w:val="16"/>
              </w:rPr>
            </w:pPr>
            <w:r w:rsidRPr="00E64A61">
              <w:rPr>
                <w:rFonts w:asciiTheme="minorHAnsi" w:hAnsiTheme="minorHAnsi" w:cstheme="minorHAnsi"/>
                <w:b/>
                <w:sz w:val="16"/>
                <w:szCs w:val="16"/>
              </w:rPr>
              <w:t>WQMT756</w:t>
            </w:r>
          </w:p>
        </w:tc>
        <w:tc>
          <w:tcPr>
            <w:tcW w:w="1236" w:type="dxa"/>
            <w:vAlign w:val="center"/>
          </w:tcPr>
          <w:p w:rsidR="004325DB" w:rsidRPr="00E64A61" w:rsidP="00EB7336">
            <w:pPr>
              <w:rPr>
                <w:rFonts w:asciiTheme="minorHAnsi" w:hAnsiTheme="minorHAnsi" w:cstheme="minorHAnsi"/>
                <w:sz w:val="16"/>
                <w:szCs w:val="16"/>
              </w:rPr>
            </w:pPr>
            <w:r w:rsidRPr="00E64A61">
              <w:rPr>
                <w:rFonts w:asciiTheme="minorHAnsi" w:hAnsiTheme="minorHAnsi" w:cstheme="minorHAnsi"/>
                <w:sz w:val="16"/>
                <w:szCs w:val="16"/>
              </w:rPr>
              <w:t>Cooper Mountain</w:t>
            </w:r>
          </w:p>
        </w:tc>
        <w:tc>
          <w:tcPr>
            <w:tcW w:w="1236" w:type="dxa"/>
            <w:vAlign w:val="center"/>
          </w:tcPr>
          <w:p w:rsidR="004325DB" w:rsidRPr="00E64A61" w:rsidP="00EB7336">
            <w:pPr>
              <w:jc w:val="center"/>
              <w:rPr>
                <w:sz w:val="16"/>
                <w:szCs w:val="16"/>
              </w:rPr>
            </w:pPr>
            <w:r w:rsidRPr="00E64A61">
              <w:rPr>
                <w:rFonts w:ascii="Calibri" w:hAnsi="Calibri" w:cs="Calibri"/>
                <w:color w:val="000000"/>
                <w:sz w:val="16"/>
                <w:szCs w:val="16"/>
              </w:rPr>
              <w:t>44° 59' 12.7" N</w:t>
            </w:r>
          </w:p>
        </w:tc>
        <w:tc>
          <w:tcPr>
            <w:tcW w:w="1237" w:type="dxa"/>
            <w:vAlign w:val="center"/>
          </w:tcPr>
          <w:p w:rsidR="004325DB" w:rsidRPr="00E64A61" w:rsidP="00EB7336">
            <w:pPr>
              <w:jc w:val="center"/>
              <w:rPr>
                <w:sz w:val="16"/>
                <w:szCs w:val="16"/>
              </w:rPr>
            </w:pPr>
            <w:r w:rsidRPr="00E64A61">
              <w:rPr>
                <w:rFonts w:ascii="Calibri" w:hAnsi="Calibri" w:cs="Calibri"/>
                <w:color w:val="000000"/>
                <w:sz w:val="16"/>
                <w:szCs w:val="16"/>
              </w:rPr>
              <w:t>67° 28' 01.8" W</w:t>
            </w:r>
          </w:p>
        </w:tc>
        <w:tc>
          <w:tcPr>
            <w:tcW w:w="1125" w:type="dxa"/>
            <w:vAlign w:val="center"/>
          </w:tcPr>
          <w:p w:rsidR="004325DB" w:rsidRPr="00E64A61" w:rsidP="00EB7336">
            <w:pPr>
              <w:jc w:val="center"/>
              <w:rPr>
                <w:sz w:val="16"/>
                <w:szCs w:val="16"/>
              </w:rPr>
            </w:pPr>
            <w:r>
              <w:rPr>
                <w:rFonts w:ascii="Calibri" w:hAnsi="Calibri" w:cs="Calibri"/>
                <w:color w:val="000000"/>
                <w:sz w:val="16"/>
                <w:szCs w:val="16"/>
              </w:rPr>
              <w:t xml:space="preserve">216.7 </w:t>
            </w:r>
          </w:p>
        </w:tc>
        <w:tc>
          <w:tcPr>
            <w:tcW w:w="1125" w:type="dxa"/>
            <w:vAlign w:val="center"/>
          </w:tcPr>
          <w:p w:rsidR="004325DB" w:rsidRPr="00E64A61" w:rsidP="00EB7336">
            <w:pPr>
              <w:jc w:val="center"/>
              <w:rPr>
                <w:sz w:val="16"/>
                <w:szCs w:val="16"/>
              </w:rPr>
            </w:pPr>
            <w:r>
              <w:rPr>
                <w:rFonts w:ascii="Calibri" w:hAnsi="Calibri" w:cs="Calibri"/>
                <w:color w:val="000000"/>
                <w:sz w:val="16"/>
                <w:szCs w:val="16"/>
              </w:rPr>
              <w:t>46.6344</w:t>
            </w:r>
          </w:p>
        </w:tc>
        <w:tc>
          <w:tcPr>
            <w:tcW w:w="1125" w:type="dxa"/>
            <w:vAlign w:val="center"/>
          </w:tcPr>
          <w:p w:rsidR="004325DB" w:rsidRPr="00E64A61" w:rsidP="00EB7336">
            <w:pPr>
              <w:jc w:val="center"/>
              <w:rPr>
                <w:sz w:val="16"/>
                <w:szCs w:val="16"/>
              </w:rPr>
            </w:pPr>
            <w:r>
              <w:rPr>
                <w:rFonts w:ascii="Calibri" w:hAnsi="Calibri" w:cs="Calibri"/>
                <w:color w:val="000000"/>
                <w:sz w:val="16"/>
                <w:szCs w:val="16"/>
              </w:rPr>
              <w:t>39.81</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192.4</w:t>
            </w:r>
            <w:r>
              <w:rPr>
                <w:rFonts w:ascii="Calibri" w:hAnsi="Calibri" w:cs="Calibri"/>
                <w:color w:val="000000"/>
                <w:sz w:val="16"/>
                <w:szCs w:val="16"/>
              </w:rPr>
              <w:t xml:space="preserve"> </w:t>
            </w:r>
          </w:p>
        </w:tc>
      </w:tr>
      <w:tr w:rsidTr="00EB7336">
        <w:tblPrEx>
          <w:tblW w:w="9445" w:type="dxa"/>
          <w:jc w:val="center"/>
          <w:tblLook w:val="04A0"/>
        </w:tblPrEx>
        <w:trPr>
          <w:trHeight w:val="288"/>
          <w:jc w:val="center"/>
        </w:trPr>
        <w:tc>
          <w:tcPr>
            <w:tcW w:w="1236" w:type="dxa"/>
            <w:tcBorders>
              <w:top w:val="nil"/>
              <w:bottom w:val="single" w:sz="4" w:space="0" w:color="auto"/>
            </w:tcBorders>
            <w:vAlign w:val="center"/>
          </w:tcPr>
          <w:p w:rsidR="004325DB" w:rsidRPr="00E64A61" w:rsidP="00EB7336">
            <w:pPr>
              <w:rPr>
                <w:rFonts w:asciiTheme="minorHAnsi" w:hAnsiTheme="minorHAnsi" w:cstheme="minorHAnsi"/>
                <w:b/>
                <w:sz w:val="16"/>
                <w:szCs w:val="16"/>
              </w:rPr>
            </w:pPr>
          </w:p>
        </w:tc>
        <w:tc>
          <w:tcPr>
            <w:tcW w:w="1236" w:type="dxa"/>
            <w:vAlign w:val="center"/>
          </w:tcPr>
          <w:p w:rsidR="004325DB" w:rsidRPr="00E64A61" w:rsidP="00EB7336">
            <w:pPr>
              <w:rPr>
                <w:rFonts w:asciiTheme="minorHAnsi" w:hAnsiTheme="minorHAnsi" w:cstheme="minorHAnsi"/>
                <w:sz w:val="16"/>
                <w:szCs w:val="16"/>
              </w:rPr>
            </w:pPr>
            <w:r w:rsidRPr="00E64A61">
              <w:rPr>
                <w:rFonts w:asciiTheme="minorHAnsi" w:hAnsiTheme="minorHAnsi" w:cstheme="minorHAnsi"/>
                <w:sz w:val="16"/>
                <w:szCs w:val="16"/>
              </w:rPr>
              <w:t>Musquash Mtn</w:t>
            </w:r>
          </w:p>
        </w:tc>
        <w:tc>
          <w:tcPr>
            <w:tcW w:w="1236" w:type="dxa"/>
            <w:vAlign w:val="center"/>
          </w:tcPr>
          <w:p w:rsidR="004325DB" w:rsidRPr="00E64A61" w:rsidP="00EB7336">
            <w:pPr>
              <w:jc w:val="center"/>
              <w:rPr>
                <w:sz w:val="16"/>
                <w:szCs w:val="16"/>
              </w:rPr>
            </w:pPr>
            <w:r w:rsidRPr="00E64A61">
              <w:rPr>
                <w:rFonts w:ascii="Calibri" w:hAnsi="Calibri" w:cs="Calibri"/>
                <w:color w:val="000000"/>
                <w:sz w:val="16"/>
                <w:szCs w:val="16"/>
              </w:rPr>
              <w:t>45° 23' 19.6" N</w:t>
            </w:r>
          </w:p>
        </w:tc>
        <w:tc>
          <w:tcPr>
            <w:tcW w:w="1237" w:type="dxa"/>
            <w:vAlign w:val="center"/>
          </w:tcPr>
          <w:p w:rsidR="004325DB" w:rsidRPr="00E64A61" w:rsidP="00EB7336">
            <w:pPr>
              <w:jc w:val="center"/>
              <w:rPr>
                <w:sz w:val="16"/>
                <w:szCs w:val="16"/>
              </w:rPr>
            </w:pPr>
            <w:r w:rsidRPr="00E64A61">
              <w:rPr>
                <w:rFonts w:ascii="Calibri" w:hAnsi="Calibri" w:cs="Calibri"/>
                <w:color w:val="000000"/>
                <w:sz w:val="16"/>
                <w:szCs w:val="16"/>
              </w:rPr>
              <w:t>67° 47' 49.2" W</w:t>
            </w:r>
          </w:p>
        </w:tc>
        <w:tc>
          <w:tcPr>
            <w:tcW w:w="1125" w:type="dxa"/>
            <w:vAlign w:val="center"/>
          </w:tcPr>
          <w:p w:rsidR="004325DB" w:rsidRPr="00E64A61" w:rsidP="00EB7336">
            <w:pPr>
              <w:jc w:val="center"/>
              <w:rPr>
                <w:sz w:val="16"/>
                <w:szCs w:val="16"/>
              </w:rPr>
            </w:pPr>
            <w:r>
              <w:rPr>
                <w:rFonts w:ascii="Calibri" w:hAnsi="Calibri" w:cs="Calibri"/>
                <w:color w:val="000000"/>
                <w:sz w:val="16"/>
                <w:szCs w:val="16"/>
              </w:rPr>
              <w:t xml:space="preserve">374.8 </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24.384</w:t>
            </w:r>
            <w:r>
              <w:rPr>
                <w:rFonts w:ascii="Calibri" w:hAnsi="Calibri" w:cs="Calibri"/>
                <w:color w:val="000000"/>
                <w:sz w:val="16"/>
                <w:szCs w:val="16"/>
              </w:rPr>
              <w:t xml:space="preserve"> </w:t>
            </w:r>
          </w:p>
        </w:tc>
        <w:tc>
          <w:tcPr>
            <w:tcW w:w="1125" w:type="dxa"/>
            <w:vAlign w:val="center"/>
          </w:tcPr>
          <w:p w:rsidR="004325DB" w:rsidRPr="00E64A61" w:rsidP="00EB7336">
            <w:pPr>
              <w:jc w:val="center"/>
              <w:rPr>
                <w:sz w:val="16"/>
                <w:szCs w:val="16"/>
              </w:rPr>
            </w:pPr>
            <w:r>
              <w:rPr>
                <w:rFonts w:ascii="Calibri" w:hAnsi="Calibri" w:cs="Calibri"/>
                <w:color w:val="000000"/>
                <w:sz w:val="16"/>
                <w:szCs w:val="16"/>
              </w:rPr>
              <w:t>26.30</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260.2</w:t>
            </w:r>
            <w:r>
              <w:rPr>
                <w:rFonts w:ascii="Calibri" w:hAnsi="Calibri" w:cs="Calibri"/>
                <w:color w:val="000000"/>
                <w:sz w:val="16"/>
                <w:szCs w:val="16"/>
              </w:rPr>
              <w:t xml:space="preserve"> </w:t>
            </w:r>
          </w:p>
        </w:tc>
      </w:tr>
      <w:tr w:rsidTr="00EB7336">
        <w:tblPrEx>
          <w:tblW w:w="9445" w:type="dxa"/>
          <w:jc w:val="center"/>
          <w:tblLook w:val="04A0"/>
        </w:tblPrEx>
        <w:trPr>
          <w:trHeight w:val="288"/>
          <w:jc w:val="center"/>
        </w:trPr>
        <w:tc>
          <w:tcPr>
            <w:tcW w:w="1236" w:type="dxa"/>
            <w:tcBorders>
              <w:bottom w:val="nil"/>
            </w:tcBorders>
            <w:vAlign w:val="center"/>
          </w:tcPr>
          <w:p w:rsidR="004325DB" w:rsidRPr="00E64A61" w:rsidP="00EB7336">
            <w:pPr>
              <w:rPr>
                <w:rFonts w:asciiTheme="minorHAnsi" w:hAnsiTheme="minorHAnsi" w:cstheme="minorHAnsi"/>
                <w:b/>
                <w:sz w:val="16"/>
                <w:szCs w:val="16"/>
              </w:rPr>
            </w:pPr>
            <w:r w:rsidRPr="00E64A61">
              <w:rPr>
                <w:rFonts w:asciiTheme="minorHAnsi" w:hAnsiTheme="minorHAnsi" w:cstheme="minorHAnsi"/>
                <w:b/>
                <w:sz w:val="16"/>
                <w:szCs w:val="16"/>
              </w:rPr>
              <w:t>WQMT757</w:t>
            </w:r>
          </w:p>
        </w:tc>
        <w:tc>
          <w:tcPr>
            <w:tcW w:w="1236" w:type="dxa"/>
            <w:vAlign w:val="center"/>
          </w:tcPr>
          <w:p w:rsidR="004325DB" w:rsidRPr="00E64A61" w:rsidP="00EB7336">
            <w:pPr>
              <w:rPr>
                <w:rFonts w:asciiTheme="minorHAnsi" w:hAnsiTheme="minorHAnsi" w:cstheme="minorHAnsi"/>
                <w:sz w:val="16"/>
                <w:szCs w:val="16"/>
              </w:rPr>
            </w:pPr>
            <w:r w:rsidRPr="00E64A61">
              <w:rPr>
                <w:rFonts w:asciiTheme="minorHAnsi" w:hAnsiTheme="minorHAnsi" w:cstheme="minorHAnsi"/>
                <w:sz w:val="16"/>
                <w:szCs w:val="16"/>
              </w:rPr>
              <w:t>Priestly Mtn</w:t>
            </w:r>
          </w:p>
        </w:tc>
        <w:tc>
          <w:tcPr>
            <w:tcW w:w="1236" w:type="dxa"/>
            <w:vAlign w:val="center"/>
          </w:tcPr>
          <w:p w:rsidR="004325DB" w:rsidRPr="00E64A61" w:rsidP="00EB7336">
            <w:pPr>
              <w:jc w:val="center"/>
              <w:rPr>
                <w:sz w:val="16"/>
                <w:szCs w:val="16"/>
              </w:rPr>
            </w:pPr>
            <w:r w:rsidRPr="00E64A61">
              <w:rPr>
                <w:rFonts w:ascii="Calibri" w:hAnsi="Calibri" w:cs="Calibri"/>
                <w:color w:val="000000"/>
                <w:sz w:val="16"/>
                <w:szCs w:val="16"/>
              </w:rPr>
              <w:t>46° 32' 54.3" N</w:t>
            </w:r>
          </w:p>
        </w:tc>
        <w:tc>
          <w:tcPr>
            <w:tcW w:w="1237" w:type="dxa"/>
            <w:vAlign w:val="center"/>
          </w:tcPr>
          <w:p w:rsidR="004325DB" w:rsidRPr="00E64A61" w:rsidP="00EB7336">
            <w:pPr>
              <w:jc w:val="center"/>
              <w:rPr>
                <w:sz w:val="16"/>
                <w:szCs w:val="16"/>
              </w:rPr>
            </w:pPr>
            <w:r w:rsidRPr="00E64A61">
              <w:rPr>
                <w:rFonts w:ascii="Calibri" w:hAnsi="Calibri" w:cs="Calibri"/>
                <w:color w:val="000000"/>
                <w:sz w:val="16"/>
                <w:szCs w:val="16"/>
              </w:rPr>
              <w:t>69° 24' 19.1" W</w:t>
            </w:r>
          </w:p>
        </w:tc>
        <w:tc>
          <w:tcPr>
            <w:tcW w:w="1125" w:type="dxa"/>
            <w:vAlign w:val="center"/>
          </w:tcPr>
          <w:p w:rsidR="004325DB" w:rsidRPr="00E64A61" w:rsidP="00EB7336">
            <w:pPr>
              <w:jc w:val="center"/>
              <w:rPr>
                <w:sz w:val="16"/>
                <w:szCs w:val="16"/>
              </w:rPr>
            </w:pPr>
            <w:r>
              <w:rPr>
                <w:rFonts w:ascii="Calibri" w:hAnsi="Calibri" w:cs="Calibri"/>
                <w:color w:val="000000"/>
                <w:sz w:val="16"/>
                <w:szCs w:val="16"/>
              </w:rPr>
              <w:t>573.4</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18.288</w:t>
            </w:r>
            <w:r>
              <w:rPr>
                <w:rFonts w:ascii="Calibri" w:hAnsi="Calibri" w:cs="Calibri"/>
                <w:color w:val="000000"/>
                <w:sz w:val="16"/>
                <w:szCs w:val="16"/>
              </w:rPr>
              <w:t xml:space="preserve"> </w:t>
            </w:r>
          </w:p>
        </w:tc>
        <w:tc>
          <w:tcPr>
            <w:tcW w:w="1125" w:type="dxa"/>
            <w:vAlign w:val="center"/>
          </w:tcPr>
          <w:p w:rsidR="004325DB" w:rsidRPr="00E64A61" w:rsidP="00EB7336">
            <w:pPr>
              <w:jc w:val="center"/>
              <w:rPr>
                <w:sz w:val="16"/>
                <w:szCs w:val="16"/>
              </w:rPr>
            </w:pPr>
            <w:r>
              <w:rPr>
                <w:rFonts w:ascii="Calibri" w:hAnsi="Calibri" w:cs="Calibri"/>
                <w:color w:val="000000"/>
                <w:sz w:val="16"/>
                <w:szCs w:val="16"/>
              </w:rPr>
              <w:t>48.98</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233.8</w:t>
            </w:r>
            <w:r>
              <w:rPr>
                <w:rFonts w:ascii="Calibri" w:hAnsi="Calibri" w:cs="Calibri"/>
                <w:color w:val="000000"/>
                <w:sz w:val="16"/>
                <w:szCs w:val="16"/>
              </w:rPr>
              <w:t xml:space="preserve"> </w:t>
            </w:r>
          </w:p>
        </w:tc>
      </w:tr>
      <w:tr w:rsidTr="00EB7336">
        <w:tblPrEx>
          <w:tblW w:w="9445" w:type="dxa"/>
          <w:jc w:val="center"/>
          <w:tblLook w:val="04A0"/>
        </w:tblPrEx>
        <w:trPr>
          <w:trHeight w:val="288"/>
          <w:jc w:val="center"/>
        </w:trPr>
        <w:tc>
          <w:tcPr>
            <w:tcW w:w="1236" w:type="dxa"/>
            <w:tcBorders>
              <w:top w:val="nil"/>
              <w:bottom w:val="nil"/>
            </w:tcBorders>
            <w:vAlign w:val="center"/>
          </w:tcPr>
          <w:p w:rsidR="004325DB" w:rsidRPr="00E64A61" w:rsidP="00EB7336">
            <w:pPr>
              <w:rPr>
                <w:rFonts w:asciiTheme="minorHAnsi" w:hAnsiTheme="minorHAnsi" w:cstheme="minorHAnsi"/>
                <w:b/>
                <w:sz w:val="16"/>
                <w:szCs w:val="16"/>
              </w:rPr>
            </w:pPr>
          </w:p>
        </w:tc>
        <w:tc>
          <w:tcPr>
            <w:tcW w:w="1236" w:type="dxa"/>
            <w:vAlign w:val="center"/>
          </w:tcPr>
          <w:p w:rsidR="004325DB" w:rsidRPr="00E64A61" w:rsidP="00EB7336">
            <w:pPr>
              <w:rPr>
                <w:rFonts w:asciiTheme="minorHAnsi" w:hAnsiTheme="minorHAnsi" w:cstheme="minorHAnsi"/>
                <w:sz w:val="16"/>
                <w:szCs w:val="16"/>
              </w:rPr>
            </w:pPr>
            <w:r w:rsidRPr="00E64A61">
              <w:rPr>
                <w:rFonts w:asciiTheme="minorHAnsi" w:hAnsiTheme="minorHAnsi" w:cstheme="minorHAnsi"/>
                <w:sz w:val="16"/>
                <w:szCs w:val="16"/>
              </w:rPr>
              <w:t>Chase</w:t>
            </w:r>
          </w:p>
        </w:tc>
        <w:tc>
          <w:tcPr>
            <w:tcW w:w="1236" w:type="dxa"/>
            <w:vAlign w:val="center"/>
          </w:tcPr>
          <w:p w:rsidR="004325DB" w:rsidRPr="00E64A61" w:rsidP="00EB7336">
            <w:pPr>
              <w:jc w:val="center"/>
              <w:rPr>
                <w:sz w:val="16"/>
                <w:szCs w:val="16"/>
              </w:rPr>
            </w:pPr>
            <w:r w:rsidRPr="00E64A61">
              <w:rPr>
                <w:rFonts w:ascii="Calibri" w:hAnsi="Calibri" w:cs="Calibri"/>
                <w:color w:val="000000"/>
                <w:sz w:val="16"/>
                <w:szCs w:val="16"/>
              </w:rPr>
              <w:t>46° 51' 01.3" N</w:t>
            </w:r>
          </w:p>
        </w:tc>
        <w:tc>
          <w:tcPr>
            <w:tcW w:w="1237" w:type="dxa"/>
            <w:vAlign w:val="center"/>
          </w:tcPr>
          <w:p w:rsidR="004325DB" w:rsidRPr="00E64A61" w:rsidP="00EB7336">
            <w:pPr>
              <w:jc w:val="center"/>
              <w:rPr>
                <w:sz w:val="16"/>
                <w:szCs w:val="16"/>
              </w:rPr>
            </w:pPr>
            <w:r w:rsidRPr="00E64A61">
              <w:rPr>
                <w:rFonts w:ascii="Calibri" w:hAnsi="Calibri" w:cs="Calibri"/>
                <w:color w:val="000000"/>
                <w:sz w:val="16"/>
                <w:szCs w:val="16"/>
              </w:rPr>
              <w:t>68° 56' 16.9" W</w:t>
            </w:r>
          </w:p>
        </w:tc>
        <w:tc>
          <w:tcPr>
            <w:tcW w:w="1125" w:type="dxa"/>
            <w:vAlign w:val="center"/>
          </w:tcPr>
          <w:p w:rsidR="004325DB" w:rsidRPr="00E64A61" w:rsidP="00EB7336">
            <w:pPr>
              <w:jc w:val="center"/>
              <w:rPr>
                <w:sz w:val="16"/>
                <w:szCs w:val="16"/>
              </w:rPr>
            </w:pPr>
            <w:r>
              <w:rPr>
                <w:rFonts w:ascii="Calibri" w:hAnsi="Calibri" w:cs="Calibri"/>
                <w:color w:val="000000"/>
                <w:sz w:val="16"/>
                <w:szCs w:val="16"/>
              </w:rPr>
              <w:t>585.2</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21.336</w:t>
            </w:r>
            <w:r>
              <w:rPr>
                <w:rFonts w:ascii="Calibri" w:hAnsi="Calibri" w:cs="Calibri"/>
                <w:color w:val="000000"/>
                <w:sz w:val="16"/>
                <w:szCs w:val="16"/>
              </w:rPr>
              <w:t xml:space="preserve"> </w:t>
            </w:r>
          </w:p>
        </w:tc>
        <w:tc>
          <w:tcPr>
            <w:tcW w:w="1125" w:type="dxa"/>
            <w:vAlign w:val="center"/>
          </w:tcPr>
          <w:p w:rsidR="004325DB" w:rsidRPr="00E64A61" w:rsidP="00EB7336">
            <w:pPr>
              <w:jc w:val="center"/>
              <w:rPr>
                <w:sz w:val="16"/>
                <w:szCs w:val="16"/>
              </w:rPr>
            </w:pPr>
            <w:r>
              <w:rPr>
                <w:rFonts w:ascii="Calibri" w:hAnsi="Calibri" w:cs="Calibri"/>
                <w:color w:val="000000"/>
                <w:sz w:val="16"/>
                <w:szCs w:val="16"/>
              </w:rPr>
              <w:t>42.66</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213.5</w:t>
            </w:r>
            <w:r>
              <w:rPr>
                <w:rFonts w:ascii="Calibri" w:hAnsi="Calibri" w:cs="Calibri"/>
                <w:color w:val="000000"/>
                <w:sz w:val="16"/>
                <w:szCs w:val="16"/>
              </w:rPr>
              <w:t xml:space="preserve"> </w:t>
            </w:r>
          </w:p>
        </w:tc>
      </w:tr>
      <w:tr w:rsidTr="00EB7336">
        <w:tblPrEx>
          <w:tblW w:w="9445" w:type="dxa"/>
          <w:jc w:val="center"/>
          <w:tblLook w:val="04A0"/>
        </w:tblPrEx>
        <w:trPr>
          <w:trHeight w:val="288"/>
          <w:jc w:val="center"/>
        </w:trPr>
        <w:tc>
          <w:tcPr>
            <w:tcW w:w="1236" w:type="dxa"/>
            <w:tcBorders>
              <w:top w:val="nil"/>
              <w:bottom w:val="single" w:sz="4" w:space="0" w:color="auto"/>
            </w:tcBorders>
            <w:vAlign w:val="center"/>
          </w:tcPr>
          <w:p w:rsidR="004325DB" w:rsidRPr="00E64A61" w:rsidP="00EB7336">
            <w:pPr>
              <w:rPr>
                <w:rFonts w:asciiTheme="minorHAnsi" w:hAnsiTheme="minorHAnsi" w:cstheme="minorHAnsi"/>
                <w:b/>
                <w:sz w:val="16"/>
                <w:szCs w:val="16"/>
              </w:rPr>
            </w:pPr>
          </w:p>
        </w:tc>
        <w:tc>
          <w:tcPr>
            <w:tcW w:w="1236" w:type="dxa"/>
            <w:vAlign w:val="center"/>
          </w:tcPr>
          <w:p w:rsidR="004325DB" w:rsidRPr="00E64A61" w:rsidP="00EB7336">
            <w:pPr>
              <w:rPr>
                <w:rFonts w:asciiTheme="minorHAnsi" w:hAnsiTheme="minorHAnsi" w:cstheme="minorHAnsi"/>
                <w:sz w:val="16"/>
                <w:szCs w:val="16"/>
              </w:rPr>
            </w:pPr>
            <w:r w:rsidRPr="00E64A61">
              <w:rPr>
                <w:rFonts w:asciiTheme="minorHAnsi" w:hAnsiTheme="minorHAnsi" w:cstheme="minorHAnsi"/>
                <w:sz w:val="16"/>
                <w:szCs w:val="16"/>
              </w:rPr>
              <w:t>Cooper Mountain</w:t>
            </w:r>
          </w:p>
        </w:tc>
        <w:tc>
          <w:tcPr>
            <w:tcW w:w="1236" w:type="dxa"/>
            <w:vAlign w:val="center"/>
          </w:tcPr>
          <w:p w:rsidR="004325DB" w:rsidRPr="00E64A61" w:rsidP="00EB7336">
            <w:pPr>
              <w:jc w:val="center"/>
              <w:rPr>
                <w:sz w:val="16"/>
                <w:szCs w:val="16"/>
              </w:rPr>
            </w:pPr>
            <w:r w:rsidRPr="00E64A61">
              <w:rPr>
                <w:rFonts w:ascii="Calibri" w:hAnsi="Calibri" w:cs="Calibri"/>
                <w:color w:val="000000"/>
                <w:sz w:val="16"/>
                <w:szCs w:val="16"/>
              </w:rPr>
              <w:t>44° 59' 12.7" N</w:t>
            </w:r>
          </w:p>
        </w:tc>
        <w:tc>
          <w:tcPr>
            <w:tcW w:w="1237" w:type="dxa"/>
            <w:vAlign w:val="center"/>
          </w:tcPr>
          <w:p w:rsidR="004325DB" w:rsidRPr="00E64A61" w:rsidP="00EB7336">
            <w:pPr>
              <w:jc w:val="center"/>
              <w:rPr>
                <w:sz w:val="16"/>
                <w:szCs w:val="16"/>
              </w:rPr>
            </w:pPr>
            <w:r w:rsidRPr="00E64A61">
              <w:rPr>
                <w:rFonts w:ascii="Calibri" w:hAnsi="Calibri" w:cs="Calibri"/>
                <w:color w:val="000000"/>
                <w:sz w:val="16"/>
                <w:szCs w:val="16"/>
              </w:rPr>
              <w:t>67° 28' 01.8" W</w:t>
            </w:r>
          </w:p>
        </w:tc>
        <w:tc>
          <w:tcPr>
            <w:tcW w:w="1125" w:type="dxa"/>
            <w:vAlign w:val="center"/>
          </w:tcPr>
          <w:p w:rsidR="004325DB" w:rsidRPr="00E64A61" w:rsidP="00EB7336">
            <w:pPr>
              <w:jc w:val="center"/>
              <w:rPr>
                <w:sz w:val="16"/>
                <w:szCs w:val="16"/>
              </w:rPr>
            </w:pPr>
            <w:r>
              <w:rPr>
                <w:rFonts w:ascii="Calibri" w:hAnsi="Calibri" w:cs="Calibri"/>
                <w:color w:val="000000"/>
                <w:sz w:val="16"/>
                <w:szCs w:val="16"/>
              </w:rPr>
              <w:t>216.7</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46.6344</w:t>
            </w:r>
            <w:r>
              <w:rPr>
                <w:rFonts w:ascii="Calibri" w:hAnsi="Calibri" w:cs="Calibri"/>
                <w:color w:val="000000"/>
                <w:sz w:val="16"/>
                <w:szCs w:val="16"/>
              </w:rPr>
              <w:t xml:space="preserve"> </w:t>
            </w:r>
          </w:p>
        </w:tc>
        <w:tc>
          <w:tcPr>
            <w:tcW w:w="1125" w:type="dxa"/>
            <w:vAlign w:val="center"/>
          </w:tcPr>
          <w:p w:rsidR="004325DB" w:rsidRPr="00E64A61" w:rsidP="00EB7336">
            <w:pPr>
              <w:jc w:val="center"/>
              <w:rPr>
                <w:sz w:val="16"/>
                <w:szCs w:val="16"/>
              </w:rPr>
            </w:pPr>
            <w:r>
              <w:rPr>
                <w:rFonts w:ascii="Calibri" w:hAnsi="Calibri" w:cs="Calibri"/>
                <w:color w:val="000000"/>
                <w:sz w:val="16"/>
                <w:szCs w:val="16"/>
              </w:rPr>
              <w:t>39.81</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192.4</w:t>
            </w:r>
            <w:r>
              <w:rPr>
                <w:rFonts w:ascii="Calibri" w:hAnsi="Calibri" w:cs="Calibri"/>
                <w:color w:val="000000"/>
                <w:sz w:val="16"/>
                <w:szCs w:val="16"/>
              </w:rPr>
              <w:t xml:space="preserve"> </w:t>
            </w:r>
          </w:p>
        </w:tc>
      </w:tr>
      <w:tr w:rsidTr="00EB7336">
        <w:tblPrEx>
          <w:tblW w:w="9445" w:type="dxa"/>
          <w:jc w:val="center"/>
          <w:tblLook w:val="04A0"/>
        </w:tblPrEx>
        <w:trPr>
          <w:trHeight w:val="288"/>
          <w:jc w:val="center"/>
        </w:trPr>
        <w:tc>
          <w:tcPr>
            <w:tcW w:w="1236" w:type="dxa"/>
            <w:tcBorders>
              <w:bottom w:val="nil"/>
            </w:tcBorders>
            <w:vAlign w:val="center"/>
          </w:tcPr>
          <w:p w:rsidR="004325DB" w:rsidRPr="00E64A61" w:rsidP="00EB7336">
            <w:pPr>
              <w:rPr>
                <w:rFonts w:asciiTheme="minorHAnsi" w:hAnsiTheme="minorHAnsi" w:cstheme="minorHAnsi"/>
                <w:b/>
                <w:sz w:val="16"/>
                <w:szCs w:val="16"/>
              </w:rPr>
            </w:pPr>
            <w:r w:rsidRPr="00E64A61">
              <w:rPr>
                <w:rFonts w:asciiTheme="minorHAnsi" w:hAnsiTheme="minorHAnsi" w:cstheme="minorHAnsi"/>
                <w:b/>
                <w:sz w:val="16"/>
                <w:szCs w:val="16"/>
              </w:rPr>
              <w:t>WQMT758</w:t>
            </w:r>
          </w:p>
        </w:tc>
        <w:tc>
          <w:tcPr>
            <w:tcW w:w="1236" w:type="dxa"/>
            <w:vAlign w:val="center"/>
          </w:tcPr>
          <w:p w:rsidR="004325DB" w:rsidRPr="00E64A61" w:rsidP="00EB7336">
            <w:pPr>
              <w:rPr>
                <w:rFonts w:asciiTheme="minorHAnsi" w:hAnsiTheme="minorHAnsi" w:cstheme="minorHAnsi"/>
                <w:sz w:val="16"/>
                <w:szCs w:val="16"/>
              </w:rPr>
            </w:pPr>
            <w:r w:rsidRPr="00E64A61">
              <w:rPr>
                <w:rFonts w:asciiTheme="minorHAnsi" w:hAnsiTheme="minorHAnsi" w:cstheme="minorHAnsi"/>
                <w:sz w:val="16"/>
                <w:szCs w:val="16"/>
              </w:rPr>
              <w:t>Coggans Hill</w:t>
            </w:r>
          </w:p>
        </w:tc>
        <w:tc>
          <w:tcPr>
            <w:tcW w:w="1236" w:type="dxa"/>
            <w:vAlign w:val="center"/>
          </w:tcPr>
          <w:p w:rsidR="004325DB" w:rsidRPr="00E64A61" w:rsidP="00EB7336">
            <w:pPr>
              <w:jc w:val="center"/>
              <w:rPr>
                <w:sz w:val="16"/>
                <w:szCs w:val="16"/>
              </w:rPr>
            </w:pPr>
            <w:r w:rsidRPr="00E64A61">
              <w:rPr>
                <w:rFonts w:ascii="Calibri" w:hAnsi="Calibri" w:cs="Calibri"/>
                <w:color w:val="000000"/>
                <w:sz w:val="16"/>
                <w:szCs w:val="16"/>
              </w:rPr>
              <w:t>44° 14' 59.4" N</w:t>
            </w:r>
          </w:p>
        </w:tc>
        <w:tc>
          <w:tcPr>
            <w:tcW w:w="1237" w:type="dxa"/>
            <w:vAlign w:val="center"/>
          </w:tcPr>
          <w:p w:rsidR="004325DB" w:rsidRPr="00E64A61" w:rsidP="00EB7336">
            <w:pPr>
              <w:jc w:val="center"/>
              <w:rPr>
                <w:sz w:val="16"/>
                <w:szCs w:val="16"/>
              </w:rPr>
            </w:pPr>
            <w:r w:rsidRPr="00E64A61">
              <w:rPr>
                <w:rFonts w:ascii="Calibri" w:hAnsi="Calibri" w:cs="Calibri"/>
                <w:color w:val="000000"/>
                <w:sz w:val="16"/>
                <w:szCs w:val="16"/>
              </w:rPr>
              <w:t>69° 18' 28.2" W</w:t>
            </w:r>
          </w:p>
        </w:tc>
        <w:tc>
          <w:tcPr>
            <w:tcW w:w="1125" w:type="dxa"/>
            <w:vAlign w:val="center"/>
          </w:tcPr>
          <w:p w:rsidR="004325DB" w:rsidRPr="00E64A61" w:rsidP="00EB7336">
            <w:pPr>
              <w:jc w:val="center"/>
              <w:rPr>
                <w:sz w:val="16"/>
                <w:szCs w:val="16"/>
              </w:rPr>
            </w:pPr>
            <w:r>
              <w:rPr>
                <w:rFonts w:ascii="Calibri" w:hAnsi="Calibri" w:cs="Calibri"/>
                <w:color w:val="000000"/>
                <w:sz w:val="16"/>
                <w:szCs w:val="16"/>
              </w:rPr>
              <w:t>243.4</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46.6344</w:t>
            </w:r>
            <w:r>
              <w:rPr>
                <w:rFonts w:ascii="Calibri" w:hAnsi="Calibri" w:cs="Calibri"/>
                <w:color w:val="000000"/>
                <w:sz w:val="16"/>
                <w:szCs w:val="16"/>
              </w:rPr>
              <w:t xml:space="preserve"> </w:t>
            </w:r>
          </w:p>
        </w:tc>
        <w:tc>
          <w:tcPr>
            <w:tcW w:w="1125" w:type="dxa"/>
            <w:vAlign w:val="center"/>
          </w:tcPr>
          <w:p w:rsidR="004325DB" w:rsidRPr="00E64A61" w:rsidP="00EB7336">
            <w:pPr>
              <w:jc w:val="center"/>
              <w:rPr>
                <w:sz w:val="16"/>
                <w:szCs w:val="16"/>
              </w:rPr>
            </w:pPr>
            <w:r>
              <w:rPr>
                <w:rFonts w:ascii="Calibri" w:hAnsi="Calibri" w:cs="Calibri"/>
                <w:color w:val="000000"/>
                <w:sz w:val="16"/>
                <w:szCs w:val="16"/>
              </w:rPr>
              <w:t>36.31</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202.0</w:t>
            </w:r>
            <w:r>
              <w:rPr>
                <w:rFonts w:ascii="Calibri" w:hAnsi="Calibri" w:cs="Calibri"/>
                <w:color w:val="000000"/>
                <w:sz w:val="16"/>
                <w:szCs w:val="16"/>
              </w:rPr>
              <w:t xml:space="preserve"> </w:t>
            </w:r>
          </w:p>
        </w:tc>
      </w:tr>
      <w:tr w:rsidTr="00EB7336">
        <w:tblPrEx>
          <w:tblW w:w="9445" w:type="dxa"/>
          <w:jc w:val="center"/>
          <w:tblLook w:val="04A0"/>
        </w:tblPrEx>
        <w:trPr>
          <w:trHeight w:val="288"/>
          <w:jc w:val="center"/>
        </w:trPr>
        <w:tc>
          <w:tcPr>
            <w:tcW w:w="1236" w:type="dxa"/>
            <w:tcBorders>
              <w:top w:val="nil"/>
              <w:bottom w:val="single" w:sz="4" w:space="0" w:color="auto"/>
            </w:tcBorders>
            <w:vAlign w:val="center"/>
          </w:tcPr>
          <w:p w:rsidR="004325DB" w:rsidRPr="00E64A61" w:rsidP="00EB7336">
            <w:pPr>
              <w:rPr>
                <w:rFonts w:asciiTheme="minorHAnsi" w:hAnsiTheme="minorHAnsi" w:cstheme="minorHAnsi"/>
                <w:b/>
                <w:sz w:val="16"/>
                <w:szCs w:val="16"/>
              </w:rPr>
            </w:pPr>
          </w:p>
        </w:tc>
        <w:tc>
          <w:tcPr>
            <w:tcW w:w="1236" w:type="dxa"/>
            <w:vAlign w:val="center"/>
          </w:tcPr>
          <w:p w:rsidR="004325DB" w:rsidRPr="00E64A61" w:rsidP="00EB7336">
            <w:pPr>
              <w:rPr>
                <w:rFonts w:asciiTheme="minorHAnsi" w:hAnsiTheme="minorHAnsi" w:cstheme="minorHAnsi"/>
                <w:sz w:val="16"/>
                <w:szCs w:val="16"/>
              </w:rPr>
            </w:pPr>
            <w:r w:rsidRPr="00E64A61">
              <w:rPr>
                <w:rFonts w:asciiTheme="minorHAnsi" w:hAnsiTheme="minorHAnsi" w:cstheme="minorHAnsi"/>
                <w:sz w:val="16"/>
                <w:szCs w:val="16"/>
              </w:rPr>
              <w:t>Gray RCC</w:t>
            </w:r>
          </w:p>
        </w:tc>
        <w:tc>
          <w:tcPr>
            <w:tcW w:w="1236" w:type="dxa"/>
            <w:vAlign w:val="center"/>
          </w:tcPr>
          <w:p w:rsidR="004325DB" w:rsidRPr="00E64A61" w:rsidP="00EB7336">
            <w:pPr>
              <w:jc w:val="center"/>
              <w:rPr>
                <w:sz w:val="16"/>
                <w:szCs w:val="16"/>
              </w:rPr>
            </w:pPr>
            <w:r w:rsidRPr="00E64A61">
              <w:rPr>
                <w:rFonts w:ascii="Calibri" w:hAnsi="Calibri" w:cs="Calibri"/>
                <w:color w:val="000000"/>
                <w:sz w:val="16"/>
                <w:szCs w:val="16"/>
              </w:rPr>
              <w:t>43° 55' 46.2" N</w:t>
            </w:r>
          </w:p>
        </w:tc>
        <w:tc>
          <w:tcPr>
            <w:tcW w:w="1237" w:type="dxa"/>
            <w:vAlign w:val="center"/>
          </w:tcPr>
          <w:p w:rsidR="004325DB" w:rsidRPr="00E64A61" w:rsidP="00EB7336">
            <w:pPr>
              <w:jc w:val="center"/>
              <w:rPr>
                <w:sz w:val="16"/>
                <w:szCs w:val="16"/>
              </w:rPr>
            </w:pPr>
            <w:r w:rsidRPr="00E64A61">
              <w:rPr>
                <w:rFonts w:ascii="Calibri" w:hAnsi="Calibri" w:cs="Calibri"/>
                <w:color w:val="000000"/>
                <w:sz w:val="16"/>
                <w:szCs w:val="16"/>
              </w:rPr>
              <w:t>70° 21' 06.1" W</w:t>
            </w:r>
          </w:p>
        </w:tc>
        <w:tc>
          <w:tcPr>
            <w:tcW w:w="1125" w:type="dxa"/>
            <w:vAlign w:val="center"/>
          </w:tcPr>
          <w:p w:rsidR="004325DB" w:rsidRPr="00E64A61" w:rsidP="00EB7336">
            <w:pPr>
              <w:jc w:val="center"/>
              <w:rPr>
                <w:sz w:val="16"/>
                <w:szCs w:val="16"/>
              </w:rPr>
            </w:pPr>
            <w:r>
              <w:rPr>
                <w:rFonts w:ascii="Calibri" w:hAnsi="Calibri" w:cs="Calibri"/>
                <w:color w:val="000000"/>
                <w:sz w:val="16"/>
                <w:szCs w:val="16"/>
              </w:rPr>
              <w:t>96.0</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70.104</w:t>
            </w:r>
            <w:r>
              <w:rPr>
                <w:rFonts w:ascii="Calibri" w:hAnsi="Calibri" w:cs="Calibri"/>
                <w:color w:val="000000"/>
                <w:sz w:val="16"/>
                <w:szCs w:val="16"/>
              </w:rPr>
              <w:t xml:space="preserve"> </w:t>
            </w:r>
          </w:p>
        </w:tc>
        <w:tc>
          <w:tcPr>
            <w:tcW w:w="1125" w:type="dxa"/>
            <w:vAlign w:val="center"/>
          </w:tcPr>
          <w:p w:rsidR="004325DB" w:rsidRPr="00E64A61" w:rsidP="00EB7336">
            <w:pPr>
              <w:jc w:val="center"/>
              <w:rPr>
                <w:sz w:val="16"/>
                <w:szCs w:val="16"/>
              </w:rPr>
            </w:pPr>
            <w:r>
              <w:rPr>
                <w:rFonts w:ascii="Calibri" w:hAnsi="Calibri" w:cs="Calibri"/>
                <w:color w:val="000000"/>
                <w:sz w:val="16"/>
                <w:szCs w:val="16"/>
              </w:rPr>
              <w:t>41.69</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68.0</w:t>
            </w:r>
            <w:r>
              <w:rPr>
                <w:rFonts w:ascii="Calibri" w:hAnsi="Calibri" w:cs="Calibri"/>
                <w:color w:val="000000"/>
                <w:sz w:val="16"/>
                <w:szCs w:val="16"/>
              </w:rPr>
              <w:t xml:space="preserve"> </w:t>
            </w:r>
          </w:p>
        </w:tc>
      </w:tr>
      <w:tr w:rsidTr="00EB7336">
        <w:tblPrEx>
          <w:tblW w:w="9445" w:type="dxa"/>
          <w:jc w:val="center"/>
          <w:tblLook w:val="04A0"/>
        </w:tblPrEx>
        <w:trPr>
          <w:trHeight w:val="288"/>
          <w:jc w:val="center"/>
        </w:trPr>
        <w:tc>
          <w:tcPr>
            <w:tcW w:w="1236" w:type="dxa"/>
            <w:tcBorders>
              <w:bottom w:val="nil"/>
            </w:tcBorders>
            <w:vAlign w:val="center"/>
          </w:tcPr>
          <w:p w:rsidR="004325DB" w:rsidRPr="00E64A61" w:rsidP="00EB7336">
            <w:pPr>
              <w:rPr>
                <w:rFonts w:asciiTheme="minorHAnsi" w:hAnsiTheme="minorHAnsi" w:cstheme="minorHAnsi"/>
                <w:b/>
                <w:sz w:val="16"/>
                <w:szCs w:val="16"/>
              </w:rPr>
            </w:pPr>
            <w:r w:rsidRPr="00E64A61">
              <w:rPr>
                <w:rFonts w:asciiTheme="minorHAnsi" w:hAnsiTheme="minorHAnsi" w:cstheme="minorHAnsi"/>
                <w:b/>
                <w:sz w:val="16"/>
                <w:szCs w:val="16"/>
              </w:rPr>
              <w:t>WQMT759</w:t>
            </w:r>
          </w:p>
        </w:tc>
        <w:tc>
          <w:tcPr>
            <w:tcW w:w="1236" w:type="dxa"/>
            <w:vAlign w:val="center"/>
          </w:tcPr>
          <w:p w:rsidR="004325DB" w:rsidRPr="00E64A61" w:rsidP="00EB7336">
            <w:pPr>
              <w:rPr>
                <w:rFonts w:asciiTheme="minorHAnsi" w:hAnsiTheme="minorHAnsi" w:cstheme="minorHAnsi"/>
                <w:sz w:val="16"/>
                <w:szCs w:val="16"/>
              </w:rPr>
            </w:pPr>
            <w:r w:rsidRPr="00E64A61">
              <w:rPr>
                <w:rFonts w:asciiTheme="minorHAnsi" w:hAnsiTheme="minorHAnsi" w:cstheme="minorHAnsi"/>
                <w:sz w:val="16"/>
                <w:szCs w:val="16"/>
              </w:rPr>
              <w:t>Mt Blue</w:t>
            </w:r>
          </w:p>
        </w:tc>
        <w:tc>
          <w:tcPr>
            <w:tcW w:w="1236" w:type="dxa"/>
            <w:vAlign w:val="center"/>
          </w:tcPr>
          <w:p w:rsidR="004325DB" w:rsidRPr="00E64A61" w:rsidP="00EB7336">
            <w:pPr>
              <w:jc w:val="center"/>
              <w:rPr>
                <w:sz w:val="16"/>
                <w:szCs w:val="16"/>
              </w:rPr>
            </w:pPr>
            <w:r w:rsidRPr="00E64A61">
              <w:rPr>
                <w:rFonts w:ascii="Calibri" w:hAnsi="Calibri" w:cs="Calibri"/>
                <w:color w:val="000000"/>
                <w:sz w:val="16"/>
                <w:szCs w:val="16"/>
              </w:rPr>
              <w:t>44° 43' 41.1" N</w:t>
            </w:r>
          </w:p>
        </w:tc>
        <w:tc>
          <w:tcPr>
            <w:tcW w:w="1237" w:type="dxa"/>
            <w:vAlign w:val="center"/>
          </w:tcPr>
          <w:p w:rsidR="004325DB" w:rsidRPr="00E64A61" w:rsidP="00EB7336">
            <w:pPr>
              <w:jc w:val="center"/>
              <w:rPr>
                <w:sz w:val="16"/>
                <w:szCs w:val="16"/>
              </w:rPr>
            </w:pPr>
            <w:r w:rsidRPr="00E64A61">
              <w:rPr>
                <w:rFonts w:ascii="Calibri" w:hAnsi="Calibri" w:cs="Calibri"/>
                <w:color w:val="000000"/>
                <w:sz w:val="16"/>
                <w:szCs w:val="16"/>
              </w:rPr>
              <w:t>70° 20' 31.2" W</w:t>
            </w:r>
          </w:p>
        </w:tc>
        <w:tc>
          <w:tcPr>
            <w:tcW w:w="1125" w:type="dxa"/>
            <w:vAlign w:val="center"/>
          </w:tcPr>
          <w:p w:rsidR="004325DB" w:rsidRPr="00E64A61" w:rsidP="00EB7336">
            <w:pPr>
              <w:jc w:val="center"/>
              <w:rPr>
                <w:sz w:val="16"/>
                <w:szCs w:val="16"/>
              </w:rPr>
            </w:pPr>
            <w:r>
              <w:rPr>
                <w:rFonts w:ascii="Calibri" w:hAnsi="Calibri" w:cs="Calibri"/>
                <w:color w:val="000000"/>
                <w:sz w:val="16"/>
                <w:szCs w:val="16"/>
              </w:rPr>
              <w:t>965.9</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41.148</w:t>
            </w:r>
            <w:r>
              <w:rPr>
                <w:rFonts w:ascii="Calibri" w:hAnsi="Calibri" w:cs="Calibri"/>
                <w:color w:val="000000"/>
                <w:sz w:val="16"/>
                <w:szCs w:val="16"/>
              </w:rPr>
              <w:t xml:space="preserve"> </w:t>
            </w:r>
          </w:p>
        </w:tc>
        <w:tc>
          <w:tcPr>
            <w:tcW w:w="1125" w:type="dxa"/>
            <w:vAlign w:val="center"/>
          </w:tcPr>
          <w:p w:rsidR="004325DB" w:rsidRPr="00E64A61" w:rsidP="00EB7336">
            <w:pPr>
              <w:jc w:val="center"/>
              <w:rPr>
                <w:sz w:val="16"/>
                <w:szCs w:val="16"/>
              </w:rPr>
            </w:pPr>
            <w:r>
              <w:rPr>
                <w:rFonts w:ascii="Calibri" w:hAnsi="Calibri" w:cs="Calibri"/>
                <w:color w:val="000000"/>
                <w:sz w:val="16"/>
                <w:szCs w:val="16"/>
              </w:rPr>
              <w:t>44.67</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667.5</w:t>
            </w:r>
            <w:r>
              <w:rPr>
                <w:rFonts w:ascii="Calibri" w:hAnsi="Calibri" w:cs="Calibri"/>
                <w:color w:val="000000"/>
                <w:sz w:val="16"/>
                <w:szCs w:val="16"/>
              </w:rPr>
              <w:t xml:space="preserve"> </w:t>
            </w:r>
          </w:p>
        </w:tc>
      </w:tr>
      <w:tr w:rsidTr="00EB7336">
        <w:tblPrEx>
          <w:tblW w:w="9445" w:type="dxa"/>
          <w:jc w:val="center"/>
          <w:tblLook w:val="04A0"/>
        </w:tblPrEx>
        <w:trPr>
          <w:trHeight w:val="288"/>
          <w:jc w:val="center"/>
        </w:trPr>
        <w:tc>
          <w:tcPr>
            <w:tcW w:w="1236" w:type="dxa"/>
            <w:tcBorders>
              <w:top w:val="nil"/>
              <w:bottom w:val="single" w:sz="4" w:space="0" w:color="auto"/>
            </w:tcBorders>
            <w:vAlign w:val="center"/>
          </w:tcPr>
          <w:p w:rsidR="004325DB" w:rsidRPr="00E64A61" w:rsidP="00EB7336">
            <w:pPr>
              <w:rPr>
                <w:rFonts w:asciiTheme="minorHAnsi" w:hAnsiTheme="minorHAnsi" w:cstheme="minorHAnsi"/>
                <w:b/>
                <w:sz w:val="16"/>
                <w:szCs w:val="16"/>
              </w:rPr>
            </w:pPr>
          </w:p>
        </w:tc>
        <w:tc>
          <w:tcPr>
            <w:tcW w:w="1236" w:type="dxa"/>
            <w:vAlign w:val="center"/>
          </w:tcPr>
          <w:p w:rsidR="004325DB" w:rsidRPr="00E64A61" w:rsidP="00EB7336">
            <w:pPr>
              <w:rPr>
                <w:rFonts w:asciiTheme="minorHAnsi" w:hAnsiTheme="minorHAnsi" w:cstheme="minorHAnsi"/>
                <w:sz w:val="16"/>
                <w:szCs w:val="16"/>
              </w:rPr>
            </w:pPr>
            <w:r w:rsidRPr="00E64A61">
              <w:rPr>
                <w:rFonts w:asciiTheme="minorHAnsi" w:hAnsiTheme="minorHAnsi" w:cstheme="minorHAnsi"/>
                <w:sz w:val="16"/>
                <w:szCs w:val="16"/>
              </w:rPr>
              <w:t>Whitten Hill</w:t>
            </w:r>
          </w:p>
        </w:tc>
        <w:tc>
          <w:tcPr>
            <w:tcW w:w="1236" w:type="dxa"/>
            <w:vAlign w:val="center"/>
          </w:tcPr>
          <w:p w:rsidR="004325DB" w:rsidRPr="00E64A61" w:rsidP="00EB7336">
            <w:pPr>
              <w:jc w:val="center"/>
              <w:rPr>
                <w:sz w:val="16"/>
                <w:szCs w:val="16"/>
              </w:rPr>
            </w:pPr>
            <w:r w:rsidRPr="00E64A61">
              <w:rPr>
                <w:rFonts w:ascii="Calibri" w:hAnsi="Calibri" w:cs="Calibri"/>
                <w:color w:val="000000"/>
                <w:sz w:val="16"/>
                <w:szCs w:val="16"/>
              </w:rPr>
              <w:t>44° 06' 06.6" N</w:t>
            </w:r>
          </w:p>
        </w:tc>
        <w:tc>
          <w:tcPr>
            <w:tcW w:w="1237" w:type="dxa"/>
            <w:vAlign w:val="center"/>
          </w:tcPr>
          <w:p w:rsidR="004325DB" w:rsidRPr="00E64A61" w:rsidP="00EB7336">
            <w:pPr>
              <w:jc w:val="center"/>
              <w:rPr>
                <w:sz w:val="16"/>
                <w:szCs w:val="16"/>
              </w:rPr>
            </w:pPr>
            <w:r w:rsidRPr="00E64A61">
              <w:rPr>
                <w:rFonts w:ascii="Calibri" w:hAnsi="Calibri" w:cs="Calibri"/>
                <w:color w:val="000000"/>
                <w:sz w:val="16"/>
                <w:szCs w:val="16"/>
              </w:rPr>
              <w:t>70° 00' 14.5" W</w:t>
            </w:r>
          </w:p>
        </w:tc>
        <w:tc>
          <w:tcPr>
            <w:tcW w:w="1125" w:type="dxa"/>
            <w:vAlign w:val="center"/>
          </w:tcPr>
          <w:p w:rsidR="004325DB" w:rsidRPr="00E64A61" w:rsidP="00EB7336">
            <w:pPr>
              <w:jc w:val="center"/>
              <w:rPr>
                <w:sz w:val="16"/>
                <w:szCs w:val="16"/>
              </w:rPr>
            </w:pPr>
            <w:r>
              <w:rPr>
                <w:rFonts w:ascii="Calibri" w:hAnsi="Calibri" w:cs="Calibri"/>
                <w:color w:val="000000"/>
                <w:sz w:val="16"/>
                <w:szCs w:val="16"/>
              </w:rPr>
              <w:t>183.2</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17.3736</w:t>
            </w:r>
            <w:r>
              <w:rPr>
                <w:rFonts w:ascii="Calibri" w:hAnsi="Calibri" w:cs="Calibri"/>
                <w:color w:val="000000"/>
                <w:sz w:val="16"/>
                <w:szCs w:val="16"/>
              </w:rPr>
              <w:t xml:space="preserve"> </w:t>
            </w:r>
          </w:p>
        </w:tc>
        <w:tc>
          <w:tcPr>
            <w:tcW w:w="1125" w:type="dxa"/>
            <w:vAlign w:val="center"/>
          </w:tcPr>
          <w:p w:rsidR="004325DB" w:rsidRPr="00E64A61" w:rsidP="00EB7336">
            <w:pPr>
              <w:jc w:val="center"/>
              <w:rPr>
                <w:sz w:val="16"/>
                <w:szCs w:val="16"/>
              </w:rPr>
            </w:pPr>
            <w:r>
              <w:rPr>
                <w:rFonts w:ascii="Calibri" w:hAnsi="Calibri" w:cs="Calibri"/>
                <w:color w:val="000000"/>
                <w:sz w:val="16"/>
                <w:szCs w:val="16"/>
              </w:rPr>
              <w:t>38.02</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123.7</w:t>
            </w:r>
            <w:r>
              <w:rPr>
                <w:rFonts w:ascii="Calibri" w:hAnsi="Calibri" w:cs="Calibri"/>
                <w:color w:val="000000"/>
                <w:sz w:val="16"/>
                <w:szCs w:val="16"/>
              </w:rPr>
              <w:t xml:space="preserve"> </w:t>
            </w:r>
          </w:p>
        </w:tc>
      </w:tr>
      <w:tr w:rsidTr="00EB7336">
        <w:tblPrEx>
          <w:tblW w:w="9445" w:type="dxa"/>
          <w:jc w:val="center"/>
          <w:tblLook w:val="04A0"/>
        </w:tblPrEx>
        <w:trPr>
          <w:trHeight w:val="288"/>
          <w:jc w:val="center"/>
        </w:trPr>
        <w:tc>
          <w:tcPr>
            <w:tcW w:w="1236" w:type="dxa"/>
            <w:tcBorders>
              <w:bottom w:val="nil"/>
            </w:tcBorders>
            <w:vAlign w:val="center"/>
          </w:tcPr>
          <w:p w:rsidR="004325DB" w:rsidRPr="00E64A61" w:rsidP="00EB7336">
            <w:pPr>
              <w:rPr>
                <w:rFonts w:asciiTheme="minorHAnsi" w:hAnsiTheme="minorHAnsi" w:cstheme="minorHAnsi"/>
                <w:b/>
                <w:sz w:val="16"/>
                <w:szCs w:val="16"/>
              </w:rPr>
            </w:pPr>
            <w:r w:rsidRPr="00E64A61">
              <w:rPr>
                <w:rFonts w:asciiTheme="minorHAnsi" w:hAnsiTheme="minorHAnsi" w:cstheme="minorHAnsi"/>
                <w:b/>
                <w:sz w:val="16"/>
                <w:szCs w:val="16"/>
              </w:rPr>
              <w:t>WQMT760</w:t>
            </w:r>
          </w:p>
        </w:tc>
        <w:tc>
          <w:tcPr>
            <w:tcW w:w="1236" w:type="dxa"/>
            <w:vAlign w:val="center"/>
          </w:tcPr>
          <w:p w:rsidR="004325DB" w:rsidRPr="00E64A61" w:rsidP="00EB7336">
            <w:pPr>
              <w:rPr>
                <w:rFonts w:asciiTheme="minorHAnsi" w:hAnsiTheme="minorHAnsi" w:cstheme="minorHAnsi"/>
                <w:sz w:val="16"/>
                <w:szCs w:val="16"/>
              </w:rPr>
            </w:pPr>
            <w:r w:rsidRPr="00E64A61">
              <w:rPr>
                <w:rFonts w:asciiTheme="minorHAnsi" w:hAnsiTheme="minorHAnsi" w:cstheme="minorHAnsi"/>
                <w:sz w:val="16"/>
                <w:szCs w:val="16"/>
              </w:rPr>
              <w:t>Cook Hill</w:t>
            </w:r>
          </w:p>
        </w:tc>
        <w:tc>
          <w:tcPr>
            <w:tcW w:w="1236" w:type="dxa"/>
            <w:vAlign w:val="center"/>
          </w:tcPr>
          <w:p w:rsidR="004325DB" w:rsidRPr="00E64A61" w:rsidP="00EB7336">
            <w:pPr>
              <w:jc w:val="center"/>
              <w:rPr>
                <w:sz w:val="16"/>
                <w:szCs w:val="16"/>
              </w:rPr>
            </w:pPr>
            <w:r w:rsidRPr="00E64A61">
              <w:rPr>
                <w:rFonts w:ascii="Calibri" w:hAnsi="Calibri" w:cs="Calibri"/>
                <w:color w:val="000000"/>
                <w:sz w:val="16"/>
                <w:szCs w:val="16"/>
              </w:rPr>
              <w:t>44° 29' 20.7" N</w:t>
            </w:r>
          </w:p>
        </w:tc>
        <w:tc>
          <w:tcPr>
            <w:tcW w:w="1237" w:type="dxa"/>
            <w:vAlign w:val="center"/>
          </w:tcPr>
          <w:p w:rsidR="004325DB" w:rsidRPr="00E64A61" w:rsidP="00EB7336">
            <w:pPr>
              <w:jc w:val="center"/>
              <w:rPr>
                <w:sz w:val="16"/>
                <w:szCs w:val="16"/>
              </w:rPr>
            </w:pPr>
            <w:r w:rsidRPr="00E64A61">
              <w:rPr>
                <w:rFonts w:ascii="Calibri" w:hAnsi="Calibri" w:cs="Calibri"/>
                <w:color w:val="000000"/>
                <w:sz w:val="16"/>
                <w:szCs w:val="16"/>
              </w:rPr>
              <w:t>69° 39' 03.4" W</w:t>
            </w:r>
          </w:p>
        </w:tc>
        <w:tc>
          <w:tcPr>
            <w:tcW w:w="1125" w:type="dxa"/>
            <w:vAlign w:val="center"/>
          </w:tcPr>
          <w:p w:rsidR="004325DB" w:rsidRPr="00E64A61" w:rsidP="00EB7336">
            <w:pPr>
              <w:jc w:val="center"/>
              <w:rPr>
                <w:sz w:val="16"/>
                <w:szCs w:val="16"/>
              </w:rPr>
            </w:pPr>
            <w:r>
              <w:rPr>
                <w:rFonts w:ascii="Calibri" w:hAnsi="Calibri" w:cs="Calibri"/>
                <w:color w:val="000000"/>
                <w:sz w:val="16"/>
                <w:szCs w:val="16"/>
              </w:rPr>
              <w:t>139.8</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22.86</w:t>
            </w:r>
            <w:r>
              <w:rPr>
                <w:rFonts w:ascii="Calibri" w:hAnsi="Calibri" w:cs="Calibri"/>
                <w:color w:val="000000"/>
                <w:sz w:val="16"/>
                <w:szCs w:val="16"/>
              </w:rPr>
              <w:t xml:space="preserve"> </w:t>
            </w:r>
          </w:p>
        </w:tc>
        <w:tc>
          <w:tcPr>
            <w:tcW w:w="1125" w:type="dxa"/>
            <w:vAlign w:val="center"/>
          </w:tcPr>
          <w:p w:rsidR="004325DB" w:rsidRPr="00E64A61" w:rsidP="00EB7336">
            <w:pPr>
              <w:jc w:val="center"/>
              <w:rPr>
                <w:sz w:val="16"/>
                <w:szCs w:val="16"/>
              </w:rPr>
            </w:pPr>
            <w:r>
              <w:rPr>
                <w:rFonts w:ascii="Calibri" w:hAnsi="Calibri" w:cs="Calibri"/>
                <w:color w:val="000000"/>
                <w:sz w:val="16"/>
                <w:szCs w:val="16"/>
              </w:rPr>
              <w:t>47.86</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103.632</w:t>
            </w:r>
            <w:r>
              <w:rPr>
                <w:rFonts w:ascii="Calibri" w:hAnsi="Calibri" w:cs="Calibri"/>
                <w:color w:val="000000"/>
                <w:sz w:val="16"/>
                <w:szCs w:val="16"/>
              </w:rPr>
              <w:t xml:space="preserve"> </w:t>
            </w:r>
          </w:p>
        </w:tc>
      </w:tr>
      <w:tr w:rsidTr="00EB7336">
        <w:tblPrEx>
          <w:tblW w:w="9445" w:type="dxa"/>
          <w:jc w:val="center"/>
          <w:tblLook w:val="04A0"/>
        </w:tblPrEx>
        <w:trPr>
          <w:trHeight w:val="288"/>
          <w:jc w:val="center"/>
        </w:trPr>
        <w:tc>
          <w:tcPr>
            <w:tcW w:w="1236" w:type="dxa"/>
            <w:tcBorders>
              <w:top w:val="nil"/>
              <w:bottom w:val="nil"/>
            </w:tcBorders>
            <w:vAlign w:val="center"/>
          </w:tcPr>
          <w:p w:rsidR="004325DB" w:rsidRPr="00E64A61" w:rsidP="00EB7336">
            <w:pPr>
              <w:rPr>
                <w:rFonts w:asciiTheme="minorHAnsi" w:hAnsiTheme="minorHAnsi" w:cstheme="minorHAnsi"/>
                <w:b/>
                <w:sz w:val="16"/>
                <w:szCs w:val="16"/>
              </w:rPr>
            </w:pPr>
          </w:p>
        </w:tc>
        <w:tc>
          <w:tcPr>
            <w:tcW w:w="1236" w:type="dxa"/>
            <w:vAlign w:val="center"/>
          </w:tcPr>
          <w:p w:rsidR="004325DB" w:rsidRPr="00E64A61" w:rsidP="00EB7336">
            <w:pPr>
              <w:rPr>
                <w:rFonts w:asciiTheme="minorHAnsi" w:hAnsiTheme="minorHAnsi" w:cstheme="minorHAnsi"/>
                <w:sz w:val="16"/>
                <w:szCs w:val="16"/>
              </w:rPr>
            </w:pPr>
            <w:r w:rsidRPr="00E64A61">
              <w:rPr>
                <w:rFonts w:asciiTheme="minorHAnsi" w:hAnsiTheme="minorHAnsi" w:cstheme="minorHAnsi"/>
                <w:sz w:val="16"/>
                <w:szCs w:val="16"/>
              </w:rPr>
              <w:t>Granite Hill</w:t>
            </w:r>
          </w:p>
        </w:tc>
        <w:tc>
          <w:tcPr>
            <w:tcW w:w="1236" w:type="dxa"/>
            <w:vAlign w:val="center"/>
          </w:tcPr>
          <w:p w:rsidR="004325DB" w:rsidRPr="00E64A61" w:rsidP="00EB7336">
            <w:pPr>
              <w:jc w:val="center"/>
              <w:rPr>
                <w:sz w:val="16"/>
                <w:szCs w:val="16"/>
              </w:rPr>
            </w:pPr>
            <w:r w:rsidRPr="00E64A61">
              <w:rPr>
                <w:rFonts w:ascii="Calibri" w:hAnsi="Calibri" w:cs="Calibri"/>
                <w:color w:val="000000"/>
                <w:sz w:val="16"/>
                <w:szCs w:val="16"/>
              </w:rPr>
              <w:t>44° 18' 30.0" N</w:t>
            </w:r>
          </w:p>
        </w:tc>
        <w:tc>
          <w:tcPr>
            <w:tcW w:w="1237" w:type="dxa"/>
            <w:vAlign w:val="center"/>
          </w:tcPr>
          <w:p w:rsidR="004325DB" w:rsidRPr="00E64A61" w:rsidP="00EB7336">
            <w:pPr>
              <w:jc w:val="center"/>
              <w:rPr>
                <w:sz w:val="16"/>
                <w:szCs w:val="16"/>
              </w:rPr>
            </w:pPr>
            <w:r w:rsidRPr="00E64A61">
              <w:rPr>
                <w:rFonts w:ascii="Calibri" w:hAnsi="Calibri" w:cs="Calibri"/>
                <w:color w:val="000000"/>
                <w:sz w:val="16"/>
                <w:szCs w:val="16"/>
              </w:rPr>
              <w:t>69° 49' 58.7" W</w:t>
            </w:r>
          </w:p>
        </w:tc>
        <w:tc>
          <w:tcPr>
            <w:tcW w:w="1125" w:type="dxa"/>
            <w:vAlign w:val="center"/>
          </w:tcPr>
          <w:p w:rsidR="004325DB" w:rsidRPr="00E64A61" w:rsidP="00EB7336">
            <w:pPr>
              <w:jc w:val="center"/>
              <w:rPr>
                <w:sz w:val="16"/>
                <w:szCs w:val="16"/>
              </w:rPr>
            </w:pPr>
            <w:r>
              <w:rPr>
                <w:rFonts w:ascii="Calibri" w:hAnsi="Calibri" w:cs="Calibri"/>
                <w:color w:val="000000"/>
                <w:sz w:val="16"/>
                <w:szCs w:val="16"/>
              </w:rPr>
              <w:t>144.4</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46.0248</w:t>
            </w:r>
            <w:r>
              <w:rPr>
                <w:rFonts w:ascii="Calibri" w:hAnsi="Calibri" w:cs="Calibri"/>
                <w:color w:val="000000"/>
                <w:sz w:val="16"/>
                <w:szCs w:val="16"/>
              </w:rPr>
              <w:t xml:space="preserve"> </w:t>
            </w:r>
          </w:p>
        </w:tc>
        <w:tc>
          <w:tcPr>
            <w:tcW w:w="1125" w:type="dxa"/>
            <w:vAlign w:val="center"/>
          </w:tcPr>
          <w:p w:rsidR="004325DB" w:rsidRPr="00E64A61" w:rsidP="00EB7336">
            <w:pPr>
              <w:jc w:val="center"/>
              <w:rPr>
                <w:sz w:val="16"/>
                <w:szCs w:val="16"/>
              </w:rPr>
            </w:pPr>
            <w:r>
              <w:rPr>
                <w:rFonts w:ascii="Calibri" w:hAnsi="Calibri" w:cs="Calibri"/>
                <w:color w:val="000000"/>
                <w:sz w:val="16"/>
                <w:szCs w:val="16"/>
              </w:rPr>
              <w:t>44.67</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124.968</w:t>
            </w:r>
            <w:r>
              <w:rPr>
                <w:rFonts w:ascii="Calibri" w:hAnsi="Calibri" w:cs="Calibri"/>
                <w:color w:val="000000"/>
                <w:sz w:val="16"/>
                <w:szCs w:val="16"/>
              </w:rPr>
              <w:t xml:space="preserve"> </w:t>
            </w:r>
          </w:p>
        </w:tc>
      </w:tr>
      <w:tr w:rsidTr="00EB7336">
        <w:tblPrEx>
          <w:tblW w:w="9445" w:type="dxa"/>
          <w:jc w:val="center"/>
          <w:tblLook w:val="04A0"/>
        </w:tblPrEx>
        <w:trPr>
          <w:trHeight w:val="288"/>
          <w:jc w:val="center"/>
        </w:trPr>
        <w:tc>
          <w:tcPr>
            <w:tcW w:w="1236" w:type="dxa"/>
            <w:tcBorders>
              <w:top w:val="nil"/>
              <w:bottom w:val="single" w:sz="4" w:space="0" w:color="auto"/>
            </w:tcBorders>
            <w:vAlign w:val="center"/>
          </w:tcPr>
          <w:p w:rsidR="004325DB" w:rsidRPr="00E64A61" w:rsidP="00EB7336">
            <w:pPr>
              <w:rPr>
                <w:rFonts w:asciiTheme="minorHAnsi" w:hAnsiTheme="minorHAnsi" w:cstheme="minorHAnsi"/>
                <w:b/>
                <w:sz w:val="16"/>
                <w:szCs w:val="16"/>
              </w:rPr>
            </w:pPr>
          </w:p>
        </w:tc>
        <w:tc>
          <w:tcPr>
            <w:tcW w:w="1236" w:type="dxa"/>
            <w:vAlign w:val="center"/>
          </w:tcPr>
          <w:p w:rsidR="004325DB" w:rsidRPr="00E64A61" w:rsidP="00EB7336">
            <w:pPr>
              <w:rPr>
                <w:rFonts w:asciiTheme="minorHAnsi" w:hAnsiTheme="minorHAnsi" w:cstheme="minorHAnsi"/>
                <w:sz w:val="16"/>
                <w:szCs w:val="16"/>
              </w:rPr>
            </w:pPr>
            <w:r w:rsidRPr="00E64A61">
              <w:rPr>
                <w:rFonts w:asciiTheme="minorHAnsi" w:hAnsiTheme="minorHAnsi" w:cstheme="minorHAnsi"/>
                <w:sz w:val="16"/>
                <w:szCs w:val="16"/>
              </w:rPr>
              <w:t>Ossipee Mtn</w:t>
            </w:r>
          </w:p>
        </w:tc>
        <w:tc>
          <w:tcPr>
            <w:tcW w:w="1236" w:type="dxa"/>
            <w:vAlign w:val="center"/>
          </w:tcPr>
          <w:p w:rsidR="004325DB" w:rsidRPr="00E64A61" w:rsidP="00EB7336">
            <w:pPr>
              <w:jc w:val="center"/>
              <w:rPr>
                <w:sz w:val="16"/>
                <w:szCs w:val="16"/>
              </w:rPr>
            </w:pPr>
            <w:r w:rsidRPr="00E64A61">
              <w:rPr>
                <w:rFonts w:ascii="Calibri" w:hAnsi="Calibri" w:cs="Calibri"/>
                <w:color w:val="000000"/>
                <w:sz w:val="16"/>
                <w:szCs w:val="16"/>
              </w:rPr>
              <w:t>43° 35' 16.3" N</w:t>
            </w:r>
          </w:p>
        </w:tc>
        <w:tc>
          <w:tcPr>
            <w:tcW w:w="1237" w:type="dxa"/>
            <w:vAlign w:val="center"/>
          </w:tcPr>
          <w:p w:rsidR="004325DB" w:rsidRPr="00E64A61" w:rsidP="00EB7336">
            <w:pPr>
              <w:jc w:val="center"/>
              <w:rPr>
                <w:sz w:val="16"/>
                <w:szCs w:val="16"/>
              </w:rPr>
            </w:pPr>
            <w:r w:rsidRPr="00E64A61">
              <w:rPr>
                <w:rFonts w:ascii="Calibri" w:hAnsi="Calibri" w:cs="Calibri"/>
                <w:color w:val="000000"/>
                <w:sz w:val="16"/>
                <w:szCs w:val="16"/>
              </w:rPr>
              <w:t>70° 44' 22.7" W</w:t>
            </w:r>
          </w:p>
        </w:tc>
        <w:tc>
          <w:tcPr>
            <w:tcW w:w="1125" w:type="dxa"/>
            <w:vAlign w:val="center"/>
          </w:tcPr>
          <w:p w:rsidR="004325DB" w:rsidRPr="00E64A61" w:rsidP="00EB7336">
            <w:pPr>
              <w:jc w:val="center"/>
              <w:rPr>
                <w:sz w:val="16"/>
                <w:szCs w:val="16"/>
              </w:rPr>
            </w:pPr>
            <w:r>
              <w:rPr>
                <w:rFonts w:ascii="Calibri" w:hAnsi="Calibri" w:cs="Calibri"/>
                <w:color w:val="000000"/>
                <w:sz w:val="16"/>
                <w:szCs w:val="16"/>
              </w:rPr>
              <w:t>317.6</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41.148</w:t>
            </w:r>
            <w:r>
              <w:rPr>
                <w:rFonts w:ascii="Calibri" w:hAnsi="Calibri" w:cs="Calibri"/>
                <w:color w:val="000000"/>
                <w:sz w:val="16"/>
                <w:szCs w:val="16"/>
              </w:rPr>
              <w:t xml:space="preserve"> </w:t>
            </w:r>
          </w:p>
        </w:tc>
        <w:tc>
          <w:tcPr>
            <w:tcW w:w="1125" w:type="dxa"/>
            <w:vAlign w:val="center"/>
          </w:tcPr>
          <w:p w:rsidR="004325DB" w:rsidRPr="00E64A61" w:rsidP="00EB7336">
            <w:pPr>
              <w:jc w:val="center"/>
              <w:rPr>
                <w:sz w:val="16"/>
                <w:szCs w:val="16"/>
              </w:rPr>
            </w:pPr>
            <w:r>
              <w:rPr>
                <w:rFonts w:ascii="Calibri" w:hAnsi="Calibri" w:cs="Calibri"/>
                <w:color w:val="000000"/>
                <w:sz w:val="16"/>
                <w:szCs w:val="16"/>
              </w:rPr>
              <w:t>29.51</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238.049</w:t>
            </w:r>
            <w:r>
              <w:rPr>
                <w:rFonts w:ascii="Calibri" w:hAnsi="Calibri" w:cs="Calibri"/>
                <w:color w:val="000000"/>
                <w:sz w:val="16"/>
                <w:szCs w:val="16"/>
              </w:rPr>
              <w:t xml:space="preserve"> </w:t>
            </w:r>
          </w:p>
        </w:tc>
      </w:tr>
      <w:tr w:rsidTr="00EB7336">
        <w:tblPrEx>
          <w:tblW w:w="9445" w:type="dxa"/>
          <w:jc w:val="center"/>
          <w:tblLook w:val="04A0"/>
        </w:tblPrEx>
        <w:trPr>
          <w:trHeight w:val="288"/>
          <w:jc w:val="center"/>
        </w:trPr>
        <w:tc>
          <w:tcPr>
            <w:tcW w:w="1236" w:type="dxa"/>
            <w:tcBorders>
              <w:bottom w:val="nil"/>
            </w:tcBorders>
            <w:vAlign w:val="center"/>
          </w:tcPr>
          <w:p w:rsidR="004325DB" w:rsidRPr="00E64A61" w:rsidP="00EB7336">
            <w:pPr>
              <w:rPr>
                <w:rFonts w:asciiTheme="minorHAnsi" w:hAnsiTheme="minorHAnsi" w:cstheme="minorHAnsi"/>
                <w:b/>
                <w:sz w:val="16"/>
                <w:szCs w:val="16"/>
              </w:rPr>
            </w:pPr>
            <w:r w:rsidRPr="00E64A61">
              <w:rPr>
                <w:rFonts w:asciiTheme="minorHAnsi" w:hAnsiTheme="minorHAnsi" w:cstheme="minorHAnsi"/>
                <w:b/>
                <w:sz w:val="16"/>
                <w:szCs w:val="16"/>
              </w:rPr>
              <w:t>WQMT761</w:t>
            </w:r>
          </w:p>
        </w:tc>
        <w:tc>
          <w:tcPr>
            <w:tcW w:w="1236" w:type="dxa"/>
            <w:vAlign w:val="center"/>
          </w:tcPr>
          <w:p w:rsidR="004325DB" w:rsidRPr="00E64A61" w:rsidP="00EB7336">
            <w:pPr>
              <w:rPr>
                <w:rFonts w:asciiTheme="minorHAnsi" w:hAnsiTheme="minorHAnsi" w:cstheme="minorHAnsi"/>
                <w:sz w:val="16"/>
                <w:szCs w:val="16"/>
              </w:rPr>
            </w:pPr>
            <w:r w:rsidRPr="00E64A61">
              <w:rPr>
                <w:rFonts w:asciiTheme="minorHAnsi" w:hAnsiTheme="minorHAnsi" w:cstheme="minorHAnsi"/>
                <w:sz w:val="16"/>
                <w:szCs w:val="16"/>
              </w:rPr>
              <w:t>Whitten Hill</w:t>
            </w:r>
          </w:p>
        </w:tc>
        <w:tc>
          <w:tcPr>
            <w:tcW w:w="1236" w:type="dxa"/>
            <w:vAlign w:val="center"/>
          </w:tcPr>
          <w:p w:rsidR="004325DB" w:rsidRPr="00E64A61" w:rsidP="00EB7336">
            <w:pPr>
              <w:jc w:val="center"/>
              <w:rPr>
                <w:sz w:val="16"/>
                <w:szCs w:val="16"/>
              </w:rPr>
            </w:pPr>
            <w:r w:rsidRPr="00E64A61">
              <w:rPr>
                <w:rFonts w:ascii="Calibri" w:hAnsi="Calibri" w:cs="Calibri"/>
                <w:color w:val="000000"/>
                <w:sz w:val="16"/>
                <w:szCs w:val="16"/>
              </w:rPr>
              <w:t>44° 06' 06.6" N</w:t>
            </w:r>
          </w:p>
        </w:tc>
        <w:tc>
          <w:tcPr>
            <w:tcW w:w="1237" w:type="dxa"/>
            <w:vAlign w:val="center"/>
          </w:tcPr>
          <w:p w:rsidR="004325DB" w:rsidRPr="00E64A61" w:rsidP="00EB7336">
            <w:pPr>
              <w:jc w:val="center"/>
              <w:rPr>
                <w:sz w:val="16"/>
                <w:szCs w:val="16"/>
              </w:rPr>
            </w:pPr>
            <w:r w:rsidRPr="00E64A61">
              <w:rPr>
                <w:rFonts w:ascii="Calibri" w:hAnsi="Calibri" w:cs="Calibri"/>
                <w:color w:val="000000"/>
                <w:sz w:val="16"/>
                <w:szCs w:val="16"/>
              </w:rPr>
              <w:t>70° 00' 14.5" W</w:t>
            </w:r>
          </w:p>
        </w:tc>
        <w:tc>
          <w:tcPr>
            <w:tcW w:w="1125" w:type="dxa"/>
            <w:vAlign w:val="center"/>
          </w:tcPr>
          <w:p w:rsidR="004325DB" w:rsidRPr="00E64A61" w:rsidP="00EB7336">
            <w:pPr>
              <w:jc w:val="center"/>
              <w:rPr>
                <w:sz w:val="16"/>
                <w:szCs w:val="16"/>
              </w:rPr>
            </w:pPr>
            <w:r>
              <w:rPr>
                <w:rFonts w:ascii="Calibri" w:hAnsi="Calibri" w:cs="Calibri"/>
                <w:color w:val="000000"/>
                <w:sz w:val="16"/>
                <w:szCs w:val="16"/>
              </w:rPr>
              <w:t>183.2</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17.3736</w:t>
            </w:r>
            <w:r>
              <w:rPr>
                <w:rFonts w:ascii="Calibri" w:hAnsi="Calibri" w:cs="Calibri"/>
                <w:color w:val="000000"/>
                <w:sz w:val="16"/>
                <w:szCs w:val="16"/>
              </w:rPr>
              <w:t xml:space="preserve"> </w:t>
            </w:r>
          </w:p>
        </w:tc>
        <w:tc>
          <w:tcPr>
            <w:tcW w:w="1125" w:type="dxa"/>
            <w:vAlign w:val="center"/>
          </w:tcPr>
          <w:p w:rsidR="004325DB" w:rsidRPr="00E64A61" w:rsidP="00EB7336">
            <w:pPr>
              <w:jc w:val="center"/>
              <w:rPr>
                <w:sz w:val="16"/>
                <w:szCs w:val="16"/>
              </w:rPr>
            </w:pPr>
            <w:r>
              <w:rPr>
                <w:rFonts w:ascii="Calibri" w:hAnsi="Calibri" w:cs="Calibri"/>
                <w:color w:val="000000"/>
                <w:sz w:val="16"/>
                <w:szCs w:val="16"/>
              </w:rPr>
              <w:t>38.02</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123.7</w:t>
            </w:r>
            <w:r>
              <w:rPr>
                <w:rFonts w:ascii="Calibri" w:hAnsi="Calibri" w:cs="Calibri"/>
                <w:color w:val="000000"/>
                <w:sz w:val="16"/>
                <w:szCs w:val="16"/>
              </w:rPr>
              <w:t xml:space="preserve"> </w:t>
            </w:r>
          </w:p>
        </w:tc>
      </w:tr>
      <w:tr w:rsidTr="00EB7336">
        <w:tblPrEx>
          <w:tblW w:w="9445" w:type="dxa"/>
          <w:jc w:val="center"/>
          <w:tblLook w:val="04A0"/>
        </w:tblPrEx>
        <w:trPr>
          <w:trHeight w:val="288"/>
          <w:jc w:val="center"/>
        </w:trPr>
        <w:tc>
          <w:tcPr>
            <w:tcW w:w="1236" w:type="dxa"/>
            <w:tcBorders>
              <w:top w:val="nil"/>
            </w:tcBorders>
            <w:vAlign w:val="center"/>
          </w:tcPr>
          <w:p w:rsidR="004325DB" w:rsidRPr="00E64A61" w:rsidP="00EB7336">
            <w:pPr>
              <w:rPr>
                <w:rFonts w:asciiTheme="minorHAnsi" w:hAnsiTheme="minorHAnsi" w:cstheme="minorHAnsi"/>
                <w:b/>
                <w:sz w:val="16"/>
                <w:szCs w:val="16"/>
              </w:rPr>
            </w:pPr>
          </w:p>
        </w:tc>
        <w:tc>
          <w:tcPr>
            <w:tcW w:w="1236" w:type="dxa"/>
            <w:vAlign w:val="center"/>
          </w:tcPr>
          <w:p w:rsidR="004325DB" w:rsidRPr="00E64A61" w:rsidP="00EB7336">
            <w:pPr>
              <w:rPr>
                <w:rFonts w:asciiTheme="minorHAnsi" w:hAnsiTheme="minorHAnsi" w:cstheme="minorHAnsi"/>
                <w:sz w:val="16"/>
                <w:szCs w:val="16"/>
              </w:rPr>
            </w:pPr>
            <w:r w:rsidRPr="00E64A61">
              <w:rPr>
                <w:rFonts w:asciiTheme="minorHAnsi" w:hAnsiTheme="minorHAnsi" w:cstheme="minorHAnsi"/>
                <w:sz w:val="16"/>
                <w:szCs w:val="16"/>
              </w:rPr>
              <w:t>Huntoon</w:t>
            </w:r>
          </w:p>
        </w:tc>
        <w:tc>
          <w:tcPr>
            <w:tcW w:w="1236" w:type="dxa"/>
            <w:vAlign w:val="center"/>
          </w:tcPr>
          <w:p w:rsidR="004325DB" w:rsidRPr="00E64A61" w:rsidP="00EB7336">
            <w:pPr>
              <w:jc w:val="center"/>
              <w:rPr>
                <w:sz w:val="16"/>
                <w:szCs w:val="16"/>
              </w:rPr>
            </w:pPr>
            <w:r w:rsidRPr="00E64A61">
              <w:rPr>
                <w:rFonts w:ascii="Calibri" w:hAnsi="Calibri" w:cs="Calibri"/>
                <w:color w:val="000000"/>
                <w:sz w:val="16"/>
                <w:szCs w:val="16"/>
              </w:rPr>
              <w:t>44° 02' 04.7" N</w:t>
            </w:r>
          </w:p>
        </w:tc>
        <w:tc>
          <w:tcPr>
            <w:tcW w:w="1237" w:type="dxa"/>
            <w:vAlign w:val="center"/>
          </w:tcPr>
          <w:p w:rsidR="004325DB" w:rsidRPr="00E64A61" w:rsidP="00EB7336">
            <w:pPr>
              <w:jc w:val="center"/>
              <w:rPr>
                <w:sz w:val="16"/>
                <w:szCs w:val="16"/>
              </w:rPr>
            </w:pPr>
            <w:r w:rsidRPr="00E64A61">
              <w:rPr>
                <w:rFonts w:ascii="Calibri" w:hAnsi="Calibri" w:cs="Calibri"/>
                <w:color w:val="000000"/>
                <w:sz w:val="16"/>
                <w:szCs w:val="16"/>
              </w:rPr>
              <w:t>69° 40' 08.0" W</w:t>
            </w:r>
          </w:p>
        </w:tc>
        <w:tc>
          <w:tcPr>
            <w:tcW w:w="1125" w:type="dxa"/>
            <w:vAlign w:val="center"/>
          </w:tcPr>
          <w:p w:rsidR="004325DB" w:rsidRPr="00E64A61" w:rsidP="00EB7336">
            <w:pPr>
              <w:jc w:val="center"/>
              <w:rPr>
                <w:sz w:val="16"/>
                <w:szCs w:val="16"/>
              </w:rPr>
            </w:pPr>
            <w:r>
              <w:rPr>
                <w:rFonts w:ascii="Calibri" w:hAnsi="Calibri" w:cs="Calibri"/>
                <w:color w:val="000000"/>
                <w:sz w:val="16"/>
                <w:szCs w:val="16"/>
              </w:rPr>
              <w:t>66.8</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41.148</w:t>
            </w:r>
            <w:r>
              <w:rPr>
                <w:rFonts w:ascii="Calibri" w:hAnsi="Calibri" w:cs="Calibri"/>
                <w:color w:val="000000"/>
                <w:sz w:val="16"/>
                <w:szCs w:val="16"/>
              </w:rPr>
              <w:t xml:space="preserve"> </w:t>
            </w:r>
          </w:p>
        </w:tc>
        <w:tc>
          <w:tcPr>
            <w:tcW w:w="1125" w:type="dxa"/>
            <w:vAlign w:val="center"/>
          </w:tcPr>
          <w:p w:rsidR="004325DB" w:rsidRPr="00E64A61" w:rsidP="00EB7336">
            <w:pPr>
              <w:jc w:val="center"/>
              <w:rPr>
                <w:sz w:val="16"/>
                <w:szCs w:val="16"/>
              </w:rPr>
            </w:pPr>
            <w:r>
              <w:rPr>
                <w:rFonts w:ascii="Calibri" w:hAnsi="Calibri" w:cs="Calibri"/>
                <w:color w:val="000000"/>
                <w:sz w:val="16"/>
                <w:szCs w:val="16"/>
              </w:rPr>
              <w:t>35.48</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87.1728</w:t>
            </w:r>
            <w:r>
              <w:rPr>
                <w:rFonts w:ascii="Calibri" w:hAnsi="Calibri" w:cs="Calibri"/>
                <w:color w:val="000000"/>
                <w:sz w:val="16"/>
                <w:szCs w:val="16"/>
              </w:rPr>
              <w:t xml:space="preserve"> </w:t>
            </w:r>
          </w:p>
        </w:tc>
      </w:tr>
    </w:tbl>
    <w:p w:rsidR="004325DB" w:rsidP="004325DB">
      <w:pPr>
        <w:rPr>
          <w:rFonts w:asciiTheme="minorHAnsi" w:hAnsiTheme="minorHAnsi" w:cstheme="minorHAnsi"/>
          <w:sz w:val="18"/>
          <w:szCs w:val="18"/>
        </w:rPr>
      </w:pPr>
    </w:p>
    <w:tbl>
      <w:tblPr>
        <w:tblStyle w:val="TableGrid"/>
        <w:tblW w:w="7015" w:type="dxa"/>
        <w:tblInd w:w="-5" w:type="dxa"/>
        <w:tblLook w:val="04A0"/>
      </w:tblPr>
      <w:tblGrid>
        <w:gridCol w:w="1403"/>
        <w:gridCol w:w="1403"/>
        <w:gridCol w:w="1403"/>
        <w:gridCol w:w="1403"/>
        <w:gridCol w:w="1403"/>
      </w:tblGrid>
      <w:tr w:rsidTr="00EB7336">
        <w:tblPrEx>
          <w:tblW w:w="7015" w:type="dxa"/>
          <w:tblInd w:w="-5" w:type="dxa"/>
          <w:tblLook w:val="04A0"/>
        </w:tblPrEx>
        <w:trPr>
          <w:trHeight w:val="288"/>
          <w:tblHeader/>
        </w:trPr>
        <w:tc>
          <w:tcPr>
            <w:tcW w:w="7015" w:type="dxa"/>
            <w:gridSpan w:val="5"/>
            <w:tcBorders>
              <w:top w:val="nil"/>
              <w:left w:val="nil"/>
              <w:bottom w:val="single" w:sz="4" w:space="0" w:color="auto"/>
              <w:right w:val="nil"/>
            </w:tcBorders>
            <w:vAlign w:val="bottom"/>
          </w:tcPr>
          <w:p w:rsidR="004325DB" w:rsidRPr="00FE3EFE" w:rsidP="00EB7336">
            <w:pPr>
              <w:rPr>
                <w:rFonts w:asciiTheme="minorHAnsi" w:hAnsiTheme="minorHAnsi" w:cstheme="minorHAnsi"/>
                <w:sz w:val="16"/>
                <w:szCs w:val="16"/>
              </w:rPr>
            </w:pPr>
            <w:r w:rsidRPr="00FE3EFE">
              <w:rPr>
                <w:rFonts w:asciiTheme="minorHAnsi" w:hAnsiTheme="minorHAnsi" w:cstheme="minorHAnsi"/>
                <w:sz w:val="16"/>
                <w:szCs w:val="16"/>
              </w:rPr>
              <w:t>Transmitter Radial Values – per Section 22.537(d)</w:t>
            </w:r>
          </w:p>
        </w:tc>
      </w:tr>
      <w:tr w:rsidTr="00EB7336">
        <w:tblPrEx>
          <w:tblW w:w="7015" w:type="dxa"/>
          <w:tblInd w:w="-5" w:type="dxa"/>
          <w:tblLook w:val="04A0"/>
        </w:tblPrEx>
        <w:trPr>
          <w:trHeight w:val="432"/>
          <w:tblHeader/>
        </w:trPr>
        <w:tc>
          <w:tcPr>
            <w:tcW w:w="1403" w:type="dxa"/>
            <w:tcBorders>
              <w:bottom w:val="single" w:sz="4" w:space="0" w:color="auto"/>
            </w:tcBorders>
            <w:shd w:val="clear" w:color="auto" w:fill="DEEAF6" w:themeFill="accent5" w:themeFillTint="33"/>
            <w:vAlign w:val="center"/>
          </w:tcPr>
          <w:p w:rsidR="004325DB" w:rsidRPr="00FE3EFE" w:rsidP="00EB7336">
            <w:pPr>
              <w:rPr>
                <w:rFonts w:asciiTheme="minorHAnsi" w:hAnsiTheme="minorHAnsi" w:cstheme="minorHAnsi"/>
                <w:b/>
                <w:sz w:val="16"/>
                <w:szCs w:val="16"/>
              </w:rPr>
            </w:pPr>
            <w:r w:rsidRPr="00FE3EFE">
              <w:rPr>
                <w:rFonts w:asciiTheme="minorHAnsi" w:hAnsiTheme="minorHAnsi" w:cstheme="minorHAnsi"/>
                <w:b/>
                <w:sz w:val="16"/>
                <w:szCs w:val="16"/>
              </w:rPr>
              <w:t>Location</w:t>
            </w:r>
          </w:p>
        </w:tc>
        <w:tc>
          <w:tcPr>
            <w:tcW w:w="1403" w:type="dxa"/>
            <w:shd w:val="clear" w:color="auto" w:fill="DEEAF6" w:themeFill="accent5" w:themeFillTint="33"/>
            <w:vAlign w:val="center"/>
          </w:tcPr>
          <w:p w:rsidR="004325DB" w:rsidRPr="00FE3EFE" w:rsidP="00EB7336">
            <w:pPr>
              <w:jc w:val="center"/>
              <w:rPr>
                <w:rFonts w:asciiTheme="minorHAnsi" w:hAnsiTheme="minorHAnsi" w:cstheme="minorHAnsi"/>
                <w:b/>
                <w:sz w:val="16"/>
                <w:szCs w:val="16"/>
              </w:rPr>
            </w:pPr>
            <w:r w:rsidRPr="00FE3EFE">
              <w:rPr>
                <w:rFonts w:asciiTheme="minorHAnsi" w:hAnsiTheme="minorHAnsi" w:cstheme="minorHAnsi"/>
                <w:b/>
                <w:sz w:val="16"/>
                <w:szCs w:val="16"/>
              </w:rPr>
              <w:t>Azimuth</w:t>
            </w:r>
          </w:p>
        </w:tc>
        <w:tc>
          <w:tcPr>
            <w:tcW w:w="1403" w:type="dxa"/>
            <w:shd w:val="clear" w:color="auto" w:fill="DEEAF6" w:themeFill="accent5" w:themeFillTint="33"/>
            <w:vAlign w:val="center"/>
          </w:tcPr>
          <w:p w:rsidR="004325DB" w:rsidRPr="00FE3EFE" w:rsidP="00EB7336">
            <w:pPr>
              <w:jc w:val="center"/>
              <w:rPr>
                <w:rFonts w:asciiTheme="minorHAnsi" w:hAnsiTheme="minorHAnsi" w:cstheme="minorHAnsi"/>
                <w:b/>
                <w:sz w:val="16"/>
                <w:szCs w:val="16"/>
              </w:rPr>
            </w:pPr>
            <w:r w:rsidRPr="00FE3EFE">
              <w:rPr>
                <w:rFonts w:asciiTheme="minorHAnsi" w:hAnsiTheme="minorHAnsi" w:cstheme="minorHAnsi"/>
                <w:b/>
                <w:sz w:val="16"/>
                <w:szCs w:val="16"/>
              </w:rPr>
              <w:t>HAAT (m)</w:t>
            </w:r>
          </w:p>
        </w:tc>
        <w:tc>
          <w:tcPr>
            <w:tcW w:w="1403" w:type="dxa"/>
            <w:shd w:val="clear" w:color="auto" w:fill="DEEAF6" w:themeFill="accent5" w:themeFillTint="33"/>
            <w:vAlign w:val="center"/>
          </w:tcPr>
          <w:p w:rsidR="004325DB" w:rsidRPr="00FE3EFE" w:rsidP="00EB7336">
            <w:pPr>
              <w:jc w:val="center"/>
              <w:rPr>
                <w:rFonts w:asciiTheme="minorHAnsi" w:hAnsiTheme="minorHAnsi" w:cstheme="minorHAnsi"/>
                <w:b/>
                <w:sz w:val="16"/>
                <w:szCs w:val="16"/>
              </w:rPr>
            </w:pPr>
            <w:r w:rsidRPr="00FE3EFE">
              <w:rPr>
                <w:rFonts w:asciiTheme="minorHAnsi" w:hAnsiTheme="minorHAnsi" w:cstheme="minorHAnsi"/>
                <w:b/>
                <w:sz w:val="16"/>
                <w:szCs w:val="16"/>
              </w:rPr>
              <w:t>ERP (W)</w:t>
            </w:r>
          </w:p>
        </w:tc>
        <w:tc>
          <w:tcPr>
            <w:tcW w:w="1403" w:type="dxa"/>
            <w:shd w:val="clear" w:color="auto" w:fill="DEEAF6" w:themeFill="accent5" w:themeFillTint="33"/>
            <w:vAlign w:val="center"/>
          </w:tcPr>
          <w:p w:rsidR="004325DB" w:rsidRPr="00FE3EFE" w:rsidP="00EB7336">
            <w:pPr>
              <w:jc w:val="center"/>
              <w:rPr>
                <w:rFonts w:asciiTheme="minorHAnsi" w:hAnsiTheme="minorHAnsi" w:cstheme="minorHAnsi"/>
                <w:b/>
                <w:sz w:val="16"/>
                <w:szCs w:val="16"/>
              </w:rPr>
            </w:pPr>
            <w:r w:rsidRPr="00FE3EFE">
              <w:rPr>
                <w:rFonts w:asciiTheme="minorHAnsi" w:hAnsiTheme="minorHAnsi" w:cstheme="minorHAnsi"/>
                <w:b/>
                <w:sz w:val="16"/>
                <w:szCs w:val="16"/>
              </w:rPr>
              <w:t>Distance (km)</w:t>
            </w:r>
          </w:p>
        </w:tc>
      </w:tr>
      <w:tr w:rsidTr="00EB7336">
        <w:tblPrEx>
          <w:tblW w:w="7015" w:type="dxa"/>
          <w:tblInd w:w="-5" w:type="dxa"/>
          <w:tblLook w:val="04A0"/>
        </w:tblPrEx>
        <w:trPr>
          <w:trHeight w:val="288"/>
        </w:trPr>
        <w:tc>
          <w:tcPr>
            <w:tcW w:w="1403" w:type="dxa"/>
            <w:tcBorders>
              <w:bottom w:val="nil"/>
            </w:tcBorders>
            <w:vAlign w:val="center"/>
          </w:tcPr>
          <w:p w:rsidR="004325DB" w:rsidRPr="00003DBD" w:rsidP="00EB7336">
            <w:pPr>
              <w:rPr>
                <w:rFonts w:asciiTheme="minorHAnsi" w:hAnsiTheme="minorHAnsi" w:cstheme="minorHAnsi"/>
                <w:b/>
                <w:sz w:val="16"/>
                <w:szCs w:val="16"/>
              </w:rPr>
            </w:pPr>
            <w:r w:rsidRPr="00003DBD">
              <w:rPr>
                <w:rFonts w:asciiTheme="minorHAnsi" w:hAnsiTheme="minorHAnsi" w:cstheme="minorHAnsi"/>
                <w:b/>
                <w:sz w:val="16"/>
                <w:szCs w:val="16"/>
              </w:rPr>
              <w:t>Cooper Mtn</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151.1</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39.4</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49.5</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198.5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39.4</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53.5</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90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184.7</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39.4</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52.4</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135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197.1</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39.4</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53.4</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180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220.3</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39.4</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55.1</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225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203.6</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39.4</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53.9</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270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195.6</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39.4</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53.3</w:t>
            </w:r>
          </w:p>
        </w:tc>
      </w:tr>
      <w:tr w:rsidTr="00EB7336">
        <w:tblPrEx>
          <w:tblW w:w="7015" w:type="dxa"/>
          <w:tblInd w:w="-5" w:type="dxa"/>
          <w:tblLook w:val="04A0"/>
        </w:tblPrEx>
        <w:trPr>
          <w:trHeight w:val="288"/>
        </w:trPr>
        <w:tc>
          <w:tcPr>
            <w:tcW w:w="1403" w:type="dxa"/>
            <w:tcBorders>
              <w:top w:val="nil"/>
              <w:bottom w:val="single" w:sz="4" w:space="0" w:color="auto"/>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315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189.3</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39.4</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52.8</w:t>
            </w:r>
          </w:p>
        </w:tc>
      </w:tr>
      <w:tr w:rsidTr="00EB7336">
        <w:tblPrEx>
          <w:tblW w:w="7015" w:type="dxa"/>
          <w:tblInd w:w="-5" w:type="dxa"/>
          <w:tblLook w:val="04A0"/>
        </w:tblPrEx>
        <w:trPr>
          <w:trHeight w:val="288"/>
        </w:trPr>
        <w:tc>
          <w:tcPr>
            <w:tcW w:w="1403" w:type="dxa"/>
            <w:tcBorders>
              <w:bottom w:val="nil"/>
            </w:tcBorders>
            <w:vAlign w:val="center"/>
          </w:tcPr>
          <w:p w:rsidR="004325DB" w:rsidRPr="00003DBD" w:rsidP="00EB7336">
            <w:pPr>
              <w:rPr>
                <w:rFonts w:asciiTheme="minorHAnsi" w:hAnsiTheme="minorHAnsi" w:cstheme="minorHAnsi"/>
                <w:b/>
                <w:sz w:val="16"/>
                <w:szCs w:val="16"/>
              </w:rPr>
            </w:pPr>
            <w:r w:rsidRPr="00003DBD">
              <w:rPr>
                <w:rFonts w:asciiTheme="minorHAnsi" w:hAnsiTheme="minorHAnsi" w:cstheme="minorHAnsi"/>
                <w:b/>
                <w:sz w:val="16"/>
                <w:szCs w:val="16"/>
              </w:rPr>
              <w:t>Musquash Mtn</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269.7</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26.1</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54.3</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228.7</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26.1</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51.9</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90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297.6</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26.1</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55.8</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135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304.1</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26.1</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56.2</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180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240.1</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26.1</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52.6</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225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247</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26.1</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53.0</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270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205.2</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26.1</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50.3</w:t>
            </w:r>
          </w:p>
        </w:tc>
      </w:tr>
      <w:tr w:rsidTr="00EB7336">
        <w:tblPrEx>
          <w:tblW w:w="7015" w:type="dxa"/>
          <w:tblInd w:w="-5" w:type="dxa"/>
          <w:tblLook w:val="04A0"/>
        </w:tblPrEx>
        <w:trPr>
          <w:trHeight w:val="288"/>
        </w:trPr>
        <w:tc>
          <w:tcPr>
            <w:tcW w:w="1403" w:type="dxa"/>
            <w:tcBorders>
              <w:top w:val="nil"/>
              <w:bottom w:val="single" w:sz="4" w:space="0" w:color="auto"/>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315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261.2</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26.1</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53.8</w:t>
            </w:r>
          </w:p>
        </w:tc>
      </w:tr>
      <w:tr w:rsidTr="00EB7336">
        <w:tblPrEx>
          <w:tblW w:w="7015" w:type="dxa"/>
          <w:tblInd w:w="-5" w:type="dxa"/>
          <w:tblLook w:val="04A0"/>
        </w:tblPrEx>
        <w:trPr>
          <w:trHeight w:val="288"/>
        </w:trPr>
        <w:tc>
          <w:tcPr>
            <w:tcW w:w="1403" w:type="dxa"/>
            <w:tcBorders>
              <w:bottom w:val="nil"/>
            </w:tcBorders>
            <w:vAlign w:val="center"/>
          </w:tcPr>
          <w:p w:rsidR="004325DB" w:rsidRPr="00003DBD" w:rsidP="00EB7336">
            <w:pPr>
              <w:rPr>
                <w:rFonts w:asciiTheme="minorHAnsi" w:hAnsiTheme="minorHAnsi" w:cstheme="minorHAnsi"/>
                <w:b/>
                <w:sz w:val="16"/>
                <w:szCs w:val="16"/>
              </w:rPr>
            </w:pPr>
            <w:r w:rsidRPr="00003DBD">
              <w:rPr>
                <w:rFonts w:asciiTheme="minorHAnsi" w:hAnsiTheme="minorHAnsi" w:cstheme="minorHAnsi"/>
                <w:b/>
                <w:sz w:val="16"/>
                <w:szCs w:val="16"/>
              </w:rPr>
              <w:t>Priestly Mtn</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282.1</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48.5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61.1</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246.5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48.5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58.9</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90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248.4</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48.5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59.0</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135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264.6</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48.5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60.0</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180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230.3</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48.5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57.7</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225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203.7</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48.5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55.8</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270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167.5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48.5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52.8</w:t>
            </w:r>
          </w:p>
        </w:tc>
      </w:tr>
      <w:tr w:rsidTr="00EB7336">
        <w:tblPrEx>
          <w:tblW w:w="7015" w:type="dxa"/>
          <w:tblInd w:w="-5" w:type="dxa"/>
          <w:tblLook w:val="04A0"/>
        </w:tblPrEx>
        <w:trPr>
          <w:trHeight w:val="288"/>
        </w:trPr>
        <w:tc>
          <w:tcPr>
            <w:tcW w:w="1403" w:type="dxa"/>
            <w:tcBorders>
              <w:top w:val="nil"/>
              <w:bottom w:val="single" w:sz="4" w:space="0" w:color="auto"/>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315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239.9</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48.5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58.4</w:t>
            </w:r>
          </w:p>
        </w:tc>
      </w:tr>
      <w:tr w:rsidTr="00EB7336">
        <w:tblPrEx>
          <w:tblW w:w="7015" w:type="dxa"/>
          <w:tblInd w:w="-5" w:type="dxa"/>
          <w:tblLook w:val="04A0"/>
        </w:tblPrEx>
        <w:trPr>
          <w:trHeight w:val="288"/>
        </w:trPr>
        <w:tc>
          <w:tcPr>
            <w:tcW w:w="1403" w:type="dxa"/>
            <w:tcBorders>
              <w:bottom w:val="nil"/>
            </w:tcBorders>
            <w:vAlign w:val="center"/>
          </w:tcPr>
          <w:p w:rsidR="004325DB" w:rsidRPr="00003DBD" w:rsidP="00EB7336">
            <w:pPr>
              <w:rPr>
                <w:rFonts w:asciiTheme="minorHAnsi" w:hAnsiTheme="minorHAnsi" w:cstheme="minorHAnsi"/>
                <w:b/>
                <w:sz w:val="16"/>
                <w:szCs w:val="16"/>
              </w:rPr>
            </w:pPr>
            <w:r w:rsidRPr="00003DBD">
              <w:rPr>
                <w:rFonts w:asciiTheme="minorHAnsi" w:hAnsiTheme="minorHAnsi" w:cstheme="minorHAnsi"/>
                <w:b/>
                <w:sz w:val="16"/>
                <w:szCs w:val="16"/>
              </w:rPr>
              <w:t>Chase</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223.1</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40.6</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55.5</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188.3</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40.6</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53.0</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90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305.7</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40.6</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60.7</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135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256.8</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40.6</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57.8</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180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162.9</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40.6</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50.9</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225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164.4</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40.6</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51.0</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270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171</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40.6</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51.5</w:t>
            </w:r>
          </w:p>
        </w:tc>
      </w:tr>
      <w:tr w:rsidTr="00EB7336">
        <w:tblPrEx>
          <w:tblW w:w="7015" w:type="dxa"/>
          <w:tblInd w:w="-5" w:type="dxa"/>
          <w:tblLook w:val="04A0"/>
        </w:tblPrEx>
        <w:trPr>
          <w:trHeight w:val="288"/>
        </w:trPr>
        <w:tc>
          <w:tcPr>
            <w:tcW w:w="1403" w:type="dxa"/>
            <w:tcBorders>
              <w:top w:val="nil"/>
              <w:bottom w:val="single" w:sz="4" w:space="0" w:color="auto"/>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315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263.7</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40.6</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58.2</w:t>
            </w:r>
          </w:p>
        </w:tc>
      </w:tr>
      <w:tr w:rsidTr="00EB7336">
        <w:tblPrEx>
          <w:tblW w:w="7015" w:type="dxa"/>
          <w:tblInd w:w="-5" w:type="dxa"/>
          <w:tblLook w:val="04A0"/>
        </w:tblPrEx>
        <w:trPr>
          <w:trHeight w:val="288"/>
        </w:trPr>
        <w:tc>
          <w:tcPr>
            <w:tcW w:w="1403" w:type="dxa"/>
            <w:tcBorders>
              <w:bottom w:val="nil"/>
            </w:tcBorders>
            <w:vAlign w:val="center"/>
          </w:tcPr>
          <w:p w:rsidR="004325DB" w:rsidRPr="00003DBD" w:rsidP="00EB7336">
            <w:pPr>
              <w:rPr>
                <w:rFonts w:asciiTheme="minorHAnsi" w:hAnsiTheme="minorHAnsi" w:cstheme="minorHAnsi"/>
                <w:b/>
                <w:sz w:val="16"/>
                <w:szCs w:val="16"/>
              </w:rPr>
            </w:pPr>
            <w:r w:rsidRPr="00003DBD">
              <w:rPr>
                <w:rFonts w:asciiTheme="minorHAnsi" w:hAnsiTheme="minorHAnsi" w:cstheme="minorHAnsi"/>
                <w:b/>
                <w:sz w:val="16"/>
                <w:szCs w:val="16"/>
              </w:rPr>
              <w:t>Coggans Hill</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189.4</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36</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52.0</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217.9</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36</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54.1</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90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184.5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36</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51.6</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135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224.6</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36</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54.5</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180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221</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36</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54.3</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225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235.6</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36</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55.2</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270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208.1</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36</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53.4</w:t>
            </w:r>
          </w:p>
        </w:tc>
      </w:tr>
      <w:tr w:rsidTr="00EB7336">
        <w:tblPrEx>
          <w:tblW w:w="7015" w:type="dxa"/>
          <w:tblInd w:w="-5" w:type="dxa"/>
          <w:tblLook w:val="04A0"/>
        </w:tblPrEx>
        <w:trPr>
          <w:trHeight w:val="288"/>
        </w:trPr>
        <w:tc>
          <w:tcPr>
            <w:tcW w:w="1403" w:type="dxa"/>
            <w:tcBorders>
              <w:top w:val="nil"/>
              <w:bottom w:val="single" w:sz="4" w:space="0" w:color="auto"/>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315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175.9</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36</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50.9</w:t>
            </w:r>
          </w:p>
        </w:tc>
      </w:tr>
      <w:tr w:rsidTr="00EB7336">
        <w:tblPrEx>
          <w:tblW w:w="7015" w:type="dxa"/>
          <w:tblInd w:w="-5" w:type="dxa"/>
          <w:tblLook w:val="04A0"/>
        </w:tblPrEx>
        <w:trPr>
          <w:trHeight w:val="288"/>
        </w:trPr>
        <w:tc>
          <w:tcPr>
            <w:tcW w:w="1403" w:type="dxa"/>
            <w:tcBorders>
              <w:bottom w:val="nil"/>
            </w:tcBorders>
            <w:vAlign w:val="center"/>
          </w:tcPr>
          <w:p w:rsidR="004325DB" w:rsidRPr="00003DBD" w:rsidP="00EB7336">
            <w:pPr>
              <w:rPr>
                <w:rFonts w:asciiTheme="minorHAnsi" w:hAnsiTheme="minorHAnsi" w:cstheme="minorHAnsi"/>
                <w:b/>
                <w:sz w:val="16"/>
                <w:szCs w:val="16"/>
              </w:rPr>
            </w:pPr>
            <w:r w:rsidRPr="00003DBD">
              <w:rPr>
                <w:rFonts w:asciiTheme="minorHAnsi" w:hAnsiTheme="minorHAnsi" w:cstheme="minorHAnsi"/>
                <w:b/>
                <w:sz w:val="16"/>
                <w:szCs w:val="16"/>
              </w:rPr>
              <w:t>Gray RCC</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63.8</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41.3</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39.2</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70.9</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41.3</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40.4</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90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103.8</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41.3</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45.0</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135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112.7</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41.3</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46.0</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180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61.7</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41.3</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38.9</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225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67.7</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41.3</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39.9</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270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59.6</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41.3</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38.5</w:t>
            </w:r>
          </w:p>
        </w:tc>
      </w:tr>
      <w:tr w:rsidTr="00EB7336">
        <w:tblPrEx>
          <w:tblW w:w="7015" w:type="dxa"/>
          <w:tblInd w:w="-5" w:type="dxa"/>
          <w:tblLook w:val="04A0"/>
        </w:tblPrEx>
        <w:trPr>
          <w:trHeight w:val="288"/>
        </w:trPr>
        <w:tc>
          <w:tcPr>
            <w:tcW w:w="1403" w:type="dxa"/>
            <w:tcBorders>
              <w:top w:val="nil"/>
              <w:bottom w:val="single" w:sz="4" w:space="0" w:color="auto"/>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315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18.1</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41.3</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31.8</w:t>
            </w:r>
          </w:p>
        </w:tc>
      </w:tr>
      <w:tr w:rsidTr="00EB7336">
        <w:tblPrEx>
          <w:tblW w:w="7015" w:type="dxa"/>
          <w:tblInd w:w="-5" w:type="dxa"/>
          <w:tblLook w:val="04A0"/>
        </w:tblPrEx>
        <w:trPr>
          <w:trHeight w:val="288"/>
        </w:trPr>
        <w:tc>
          <w:tcPr>
            <w:tcW w:w="1403" w:type="dxa"/>
            <w:tcBorders>
              <w:bottom w:val="nil"/>
            </w:tcBorders>
            <w:vAlign w:val="center"/>
          </w:tcPr>
          <w:p w:rsidR="004325DB" w:rsidRPr="00003DBD" w:rsidP="00EB7336">
            <w:pPr>
              <w:rPr>
                <w:rFonts w:asciiTheme="minorHAnsi" w:hAnsiTheme="minorHAnsi" w:cstheme="minorHAnsi"/>
                <w:b/>
                <w:sz w:val="16"/>
                <w:szCs w:val="16"/>
              </w:rPr>
            </w:pPr>
            <w:r w:rsidRPr="00003DBD">
              <w:rPr>
                <w:rFonts w:asciiTheme="minorHAnsi" w:hAnsiTheme="minorHAnsi" w:cstheme="minorHAnsi"/>
                <w:b/>
                <w:sz w:val="16"/>
                <w:szCs w:val="16"/>
              </w:rPr>
              <w:t>Mt Blue</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748.4</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44.3</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79.1</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686.6</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44.3</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77.2</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90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750.6</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44.3</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79.2</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135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647.8</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44.3</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76.0</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180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596.8</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44.3</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74.2</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225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747.6</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44.3</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79.1</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270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692.3</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44.3</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77.4</w:t>
            </w:r>
          </w:p>
        </w:tc>
      </w:tr>
      <w:tr w:rsidTr="00EB7336">
        <w:tblPrEx>
          <w:tblW w:w="7015" w:type="dxa"/>
          <w:tblInd w:w="-5" w:type="dxa"/>
          <w:tblLook w:val="04A0"/>
        </w:tblPrEx>
        <w:trPr>
          <w:trHeight w:val="288"/>
        </w:trPr>
        <w:tc>
          <w:tcPr>
            <w:tcW w:w="1403" w:type="dxa"/>
            <w:tcBorders>
              <w:top w:val="nil"/>
              <w:bottom w:val="single" w:sz="4" w:space="0" w:color="auto"/>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315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523.2</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44.3</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71.6</w:t>
            </w:r>
          </w:p>
        </w:tc>
      </w:tr>
      <w:tr w:rsidTr="00EB7336">
        <w:tblPrEx>
          <w:tblW w:w="7015" w:type="dxa"/>
          <w:tblInd w:w="-5" w:type="dxa"/>
          <w:tblLook w:val="04A0"/>
        </w:tblPrEx>
        <w:trPr>
          <w:trHeight w:val="288"/>
        </w:trPr>
        <w:tc>
          <w:tcPr>
            <w:tcW w:w="1403" w:type="dxa"/>
            <w:tcBorders>
              <w:bottom w:val="nil"/>
            </w:tcBorders>
            <w:vAlign w:val="center"/>
          </w:tcPr>
          <w:p w:rsidR="004325DB" w:rsidRPr="00003DBD" w:rsidP="00EB7336">
            <w:pPr>
              <w:rPr>
                <w:rFonts w:asciiTheme="minorHAnsi" w:hAnsiTheme="minorHAnsi" w:cstheme="minorHAnsi"/>
                <w:b/>
                <w:sz w:val="16"/>
                <w:szCs w:val="16"/>
              </w:rPr>
            </w:pPr>
            <w:r w:rsidRPr="00003DBD">
              <w:rPr>
                <w:rFonts w:asciiTheme="minorHAnsi" w:hAnsiTheme="minorHAnsi" w:cstheme="minorHAnsi"/>
                <w:b/>
                <w:sz w:val="16"/>
                <w:szCs w:val="16"/>
              </w:rPr>
              <w:t>Whitten Hill</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121.4</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37.7</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46.2</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128.7</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37.7</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47.0</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90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135.6</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37.7</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47.7</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135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138.4</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37.7</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48.0</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180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127.8</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37.7</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46.9</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225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134</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37.7</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47.5</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270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120.3</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37.7</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46.1</w:t>
            </w:r>
          </w:p>
        </w:tc>
      </w:tr>
      <w:tr w:rsidTr="00EB7336">
        <w:tblPrEx>
          <w:tblW w:w="7015" w:type="dxa"/>
          <w:tblInd w:w="-5" w:type="dxa"/>
          <w:tblLook w:val="04A0"/>
        </w:tblPrEx>
        <w:trPr>
          <w:trHeight w:val="288"/>
        </w:trPr>
        <w:tc>
          <w:tcPr>
            <w:tcW w:w="1403" w:type="dxa"/>
            <w:tcBorders>
              <w:top w:val="nil"/>
              <w:bottom w:val="single" w:sz="4" w:space="0" w:color="auto"/>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315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93.7</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37.7</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43.0</w:t>
            </w:r>
          </w:p>
        </w:tc>
      </w:tr>
      <w:tr w:rsidTr="00EB7336">
        <w:tblPrEx>
          <w:tblW w:w="7015" w:type="dxa"/>
          <w:tblInd w:w="-5" w:type="dxa"/>
          <w:tblLook w:val="04A0"/>
        </w:tblPrEx>
        <w:trPr>
          <w:trHeight w:val="288"/>
        </w:trPr>
        <w:tc>
          <w:tcPr>
            <w:tcW w:w="1403" w:type="dxa"/>
            <w:tcBorders>
              <w:bottom w:val="nil"/>
            </w:tcBorders>
            <w:vAlign w:val="center"/>
          </w:tcPr>
          <w:p w:rsidR="004325DB" w:rsidRPr="00003DBD" w:rsidP="00EB7336">
            <w:pPr>
              <w:rPr>
                <w:rFonts w:asciiTheme="minorHAnsi" w:hAnsiTheme="minorHAnsi" w:cstheme="minorHAnsi"/>
                <w:b/>
                <w:sz w:val="16"/>
                <w:szCs w:val="16"/>
              </w:rPr>
            </w:pPr>
            <w:r w:rsidRPr="00003DBD">
              <w:rPr>
                <w:rFonts w:asciiTheme="minorHAnsi" w:hAnsiTheme="minorHAnsi" w:cstheme="minorHAnsi"/>
                <w:b/>
                <w:sz w:val="16"/>
                <w:szCs w:val="16"/>
              </w:rPr>
              <w:t>Cook Hill</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110.8</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47.4</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46.9</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107.6</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47.4</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46.5</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90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71</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47.4</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41.4</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135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89.5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47.4</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44.1</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180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81</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47.4</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42.9</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225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98.5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47.4</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45.3</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270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82.5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47.4</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43.2</w:t>
            </w:r>
          </w:p>
        </w:tc>
      </w:tr>
      <w:tr w:rsidTr="00EB7336">
        <w:tblPrEx>
          <w:tblW w:w="7015" w:type="dxa"/>
          <w:tblInd w:w="-5" w:type="dxa"/>
          <w:tblLook w:val="04A0"/>
        </w:tblPrEx>
        <w:trPr>
          <w:trHeight w:val="288"/>
        </w:trPr>
        <w:tc>
          <w:tcPr>
            <w:tcW w:w="1403" w:type="dxa"/>
            <w:tcBorders>
              <w:top w:val="nil"/>
              <w:bottom w:val="single" w:sz="4" w:space="0" w:color="auto"/>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315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64.8</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47.4</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40.3</w:t>
            </w:r>
          </w:p>
        </w:tc>
      </w:tr>
      <w:tr w:rsidTr="00EB7336">
        <w:tblPrEx>
          <w:tblW w:w="7015" w:type="dxa"/>
          <w:tblInd w:w="-5" w:type="dxa"/>
          <w:tblLook w:val="04A0"/>
        </w:tblPrEx>
        <w:trPr>
          <w:trHeight w:val="288"/>
        </w:trPr>
        <w:tc>
          <w:tcPr>
            <w:tcW w:w="1403" w:type="dxa"/>
            <w:tcBorders>
              <w:bottom w:val="nil"/>
            </w:tcBorders>
            <w:vAlign w:val="center"/>
          </w:tcPr>
          <w:p w:rsidR="004325DB" w:rsidRPr="00003DBD" w:rsidP="00EB7336">
            <w:pPr>
              <w:rPr>
                <w:rFonts w:asciiTheme="minorHAnsi" w:hAnsiTheme="minorHAnsi" w:cstheme="minorHAnsi"/>
                <w:b/>
                <w:sz w:val="16"/>
                <w:szCs w:val="16"/>
              </w:rPr>
            </w:pPr>
            <w:r w:rsidRPr="00003DBD">
              <w:rPr>
                <w:rFonts w:asciiTheme="minorHAnsi" w:hAnsiTheme="minorHAnsi" w:cstheme="minorHAnsi"/>
                <w:b/>
                <w:sz w:val="16"/>
                <w:szCs w:val="16"/>
              </w:rPr>
              <w:t>Granite Hill</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109.8</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44.3</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46.2</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132.9</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44.3</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48.8</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90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127.9</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44.3</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48.2</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135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132.6</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44.3</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48.7</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180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121.6</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44.3</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47.6</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225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123.8</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44.3</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47.8</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270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97.2</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44.3</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44.7</w:t>
            </w:r>
          </w:p>
        </w:tc>
      </w:tr>
      <w:tr w:rsidTr="00EB7336">
        <w:tblPrEx>
          <w:tblW w:w="7015" w:type="dxa"/>
          <w:tblInd w:w="-5" w:type="dxa"/>
          <w:tblLook w:val="04A0"/>
        </w:tblPrEx>
        <w:trPr>
          <w:trHeight w:val="288"/>
        </w:trPr>
        <w:tc>
          <w:tcPr>
            <w:tcW w:w="1403" w:type="dxa"/>
            <w:tcBorders>
              <w:top w:val="nil"/>
              <w:bottom w:val="single" w:sz="4" w:space="0" w:color="auto"/>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315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89.8</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44.3</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43.7</w:t>
            </w:r>
          </w:p>
        </w:tc>
      </w:tr>
      <w:tr w:rsidTr="00EB7336">
        <w:tblPrEx>
          <w:tblW w:w="7015" w:type="dxa"/>
          <w:tblInd w:w="-5" w:type="dxa"/>
          <w:tblLook w:val="04A0"/>
        </w:tblPrEx>
        <w:trPr>
          <w:trHeight w:val="288"/>
        </w:trPr>
        <w:tc>
          <w:tcPr>
            <w:tcW w:w="1403" w:type="dxa"/>
            <w:tcBorders>
              <w:bottom w:val="nil"/>
            </w:tcBorders>
            <w:vAlign w:val="center"/>
          </w:tcPr>
          <w:p w:rsidR="004325DB" w:rsidRPr="00003DBD" w:rsidP="00EB7336">
            <w:pPr>
              <w:rPr>
                <w:rFonts w:asciiTheme="minorHAnsi" w:hAnsiTheme="minorHAnsi" w:cstheme="minorHAnsi"/>
                <w:b/>
                <w:sz w:val="16"/>
                <w:szCs w:val="16"/>
              </w:rPr>
            </w:pPr>
            <w:r w:rsidRPr="00003DBD">
              <w:rPr>
                <w:rFonts w:asciiTheme="minorHAnsi" w:hAnsiTheme="minorHAnsi" w:cstheme="minorHAnsi"/>
                <w:b/>
                <w:sz w:val="16"/>
                <w:szCs w:val="16"/>
              </w:rPr>
              <w:t>Ossipee Mtn</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229.1</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29.2</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52.9</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269.4</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29.2</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55.4</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90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278.8</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29.2</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55.9</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135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266.4</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29.2</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55.2</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180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245.3</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29.2</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53.9</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225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165.3</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29.2</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48.3</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270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180.5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29.2</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49.5</w:t>
            </w:r>
          </w:p>
        </w:tc>
      </w:tr>
      <w:tr w:rsidTr="00EB7336">
        <w:tblPrEx>
          <w:tblW w:w="7015" w:type="dxa"/>
          <w:tblInd w:w="-5" w:type="dxa"/>
          <w:tblLook w:val="04A0"/>
        </w:tblPrEx>
        <w:trPr>
          <w:trHeight w:val="288"/>
        </w:trPr>
        <w:tc>
          <w:tcPr>
            <w:tcW w:w="1403" w:type="dxa"/>
            <w:tcBorders>
              <w:top w:val="nil"/>
              <w:bottom w:val="single" w:sz="4" w:space="0" w:color="auto"/>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315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224.7</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29.2</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52.6</w:t>
            </w:r>
          </w:p>
        </w:tc>
      </w:tr>
      <w:tr w:rsidTr="00EB7336">
        <w:tblPrEx>
          <w:tblW w:w="7015" w:type="dxa"/>
          <w:tblInd w:w="-5" w:type="dxa"/>
          <w:tblLook w:val="04A0"/>
        </w:tblPrEx>
        <w:trPr>
          <w:trHeight w:val="288"/>
        </w:trPr>
        <w:tc>
          <w:tcPr>
            <w:tcW w:w="1403" w:type="dxa"/>
            <w:tcBorders>
              <w:bottom w:val="nil"/>
            </w:tcBorders>
            <w:vAlign w:val="center"/>
          </w:tcPr>
          <w:p w:rsidR="004325DB" w:rsidRPr="00003DBD" w:rsidP="00EB7336">
            <w:pPr>
              <w:rPr>
                <w:rFonts w:asciiTheme="minorHAnsi" w:hAnsiTheme="minorHAnsi" w:cstheme="minorHAnsi"/>
                <w:b/>
                <w:sz w:val="16"/>
                <w:szCs w:val="16"/>
              </w:rPr>
            </w:pPr>
            <w:r w:rsidRPr="00003DBD">
              <w:rPr>
                <w:rFonts w:asciiTheme="minorHAnsi" w:hAnsiTheme="minorHAnsi" w:cstheme="minorHAnsi"/>
                <w:b/>
                <w:sz w:val="16"/>
                <w:szCs w:val="16"/>
              </w:rPr>
              <w:t>Huntoon</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44.2</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35.2</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34.4</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70.2</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35.2</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39.2</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FE3EFE" w:rsidP="00EB7336">
            <w:pPr>
              <w:rPr>
                <w:rFonts w:asciiTheme="minorHAnsi" w:hAnsiTheme="minorHAnsi" w:cstheme="minorHAnsi"/>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90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86.8</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35.2</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41.6</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FE3EFE" w:rsidP="00EB7336">
            <w:pPr>
              <w:rPr>
                <w:rFonts w:asciiTheme="minorHAnsi" w:hAnsiTheme="minorHAnsi" w:cstheme="minorHAnsi"/>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135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79.9</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35.2</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40.7</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FE3EFE" w:rsidP="00EB7336">
            <w:pPr>
              <w:rPr>
                <w:rFonts w:asciiTheme="minorHAnsi" w:hAnsiTheme="minorHAnsi" w:cstheme="minorHAnsi"/>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180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93.4</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35.2</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42.5</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FE3EFE" w:rsidP="00EB7336">
            <w:pPr>
              <w:rPr>
                <w:rFonts w:asciiTheme="minorHAnsi" w:hAnsiTheme="minorHAnsi" w:cstheme="minorHAnsi"/>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225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74.5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35.2</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39.9</w:t>
            </w:r>
          </w:p>
        </w:tc>
      </w:tr>
      <w:tr w:rsidTr="00EB7336">
        <w:tblPrEx>
          <w:tblW w:w="7015" w:type="dxa"/>
          <w:tblInd w:w="-5" w:type="dxa"/>
          <w:tblLook w:val="04A0"/>
        </w:tblPrEx>
        <w:trPr>
          <w:trHeight w:val="288"/>
        </w:trPr>
        <w:tc>
          <w:tcPr>
            <w:tcW w:w="1403" w:type="dxa"/>
            <w:tcBorders>
              <w:top w:val="nil"/>
              <w:bottom w:val="nil"/>
            </w:tcBorders>
            <w:vAlign w:val="center"/>
          </w:tcPr>
          <w:p w:rsidR="004325DB" w:rsidRPr="00FE3EFE" w:rsidP="00EB7336">
            <w:pPr>
              <w:rPr>
                <w:rFonts w:asciiTheme="minorHAnsi" w:hAnsiTheme="minorHAnsi" w:cstheme="minorHAnsi"/>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270</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74.6</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35.2</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39.9</w:t>
            </w:r>
          </w:p>
        </w:tc>
      </w:tr>
      <w:tr w:rsidTr="00EB7336">
        <w:tblPrEx>
          <w:tblW w:w="7015" w:type="dxa"/>
          <w:tblInd w:w="-5" w:type="dxa"/>
          <w:tblLook w:val="04A0"/>
        </w:tblPrEx>
        <w:trPr>
          <w:trHeight w:val="288"/>
        </w:trPr>
        <w:tc>
          <w:tcPr>
            <w:tcW w:w="1403" w:type="dxa"/>
            <w:tcBorders>
              <w:top w:val="nil"/>
            </w:tcBorders>
            <w:vAlign w:val="center"/>
          </w:tcPr>
          <w:p w:rsidR="004325DB" w:rsidRPr="00FE3EFE" w:rsidP="00EB7336">
            <w:pPr>
              <w:rPr>
                <w:rFonts w:asciiTheme="minorHAnsi" w:hAnsiTheme="minorHAnsi" w:cstheme="minorHAnsi"/>
                <w:sz w:val="16"/>
                <w:szCs w:val="16"/>
              </w:rPr>
            </w:pP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315</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58.3</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35.2</w:t>
            </w:r>
          </w:p>
        </w:tc>
        <w:tc>
          <w:tcPr>
            <w:tcW w:w="1403" w:type="dxa"/>
            <w:vAlign w:val="center"/>
          </w:tcPr>
          <w:p w:rsidR="004325DB" w:rsidRPr="00FE3EFE" w:rsidP="00EB7336">
            <w:pPr>
              <w:jc w:val="center"/>
              <w:rPr>
                <w:rFonts w:asciiTheme="minorHAnsi" w:hAnsiTheme="minorHAnsi" w:cs="Calibri"/>
                <w:color w:val="000000"/>
                <w:sz w:val="16"/>
                <w:szCs w:val="16"/>
              </w:rPr>
            </w:pPr>
            <w:r w:rsidRPr="00FE3EFE">
              <w:rPr>
                <w:rFonts w:asciiTheme="minorHAnsi" w:hAnsiTheme="minorHAnsi" w:cs="Calibri"/>
                <w:color w:val="000000"/>
                <w:sz w:val="16"/>
                <w:szCs w:val="16"/>
              </w:rPr>
              <w:t>37.2</w:t>
            </w:r>
          </w:p>
        </w:tc>
      </w:tr>
    </w:tbl>
    <w:p w:rsidR="004325DB" w:rsidP="004325DB">
      <w:pPr>
        <w:rPr>
          <w:rFonts w:asciiTheme="minorHAnsi" w:hAnsiTheme="minorHAnsi" w:cstheme="minorHAnsi"/>
          <w:sz w:val="18"/>
          <w:szCs w:val="18"/>
        </w:rPr>
      </w:pPr>
    </w:p>
    <w:p w:rsidR="004325DB" w:rsidP="004325DB">
      <w:pPr>
        <w:rPr>
          <w:b/>
          <w:u w:val="single"/>
        </w:rPr>
      </w:pPr>
      <w:r>
        <w:rPr>
          <w:b/>
          <w:u w:val="single"/>
        </w:rPr>
        <w:t>Proposed Modified License Area/Contour</w:t>
      </w:r>
      <w:r w:rsidRPr="00C34BA0">
        <w:rPr>
          <w:b/>
          <w:u w:val="single"/>
        </w:rPr>
        <w:t xml:space="preserve"> Information for Calls Signs subject to Section 22.567(d)</w:t>
      </w:r>
    </w:p>
    <w:tbl>
      <w:tblPr>
        <w:tblStyle w:val="TableGrid"/>
        <w:tblW w:w="9445" w:type="dxa"/>
        <w:jc w:val="center"/>
        <w:tblLook w:val="04A0"/>
      </w:tblPr>
      <w:tblGrid>
        <w:gridCol w:w="1236"/>
        <w:gridCol w:w="1236"/>
        <w:gridCol w:w="1236"/>
        <w:gridCol w:w="1237"/>
        <w:gridCol w:w="1125"/>
        <w:gridCol w:w="1125"/>
        <w:gridCol w:w="1125"/>
        <w:gridCol w:w="1125"/>
      </w:tblGrid>
      <w:tr w:rsidTr="00EB7336">
        <w:tblPrEx>
          <w:tblW w:w="9445" w:type="dxa"/>
          <w:jc w:val="center"/>
          <w:tblLook w:val="04A0"/>
        </w:tblPrEx>
        <w:trPr>
          <w:trHeight w:hRule="exact" w:val="288"/>
          <w:jc w:val="center"/>
        </w:trPr>
        <w:tc>
          <w:tcPr>
            <w:tcW w:w="9445" w:type="dxa"/>
            <w:gridSpan w:val="8"/>
            <w:tcBorders>
              <w:top w:val="nil"/>
              <w:left w:val="nil"/>
              <w:bottom w:val="single" w:sz="4" w:space="0" w:color="auto"/>
              <w:right w:val="nil"/>
            </w:tcBorders>
            <w:vAlign w:val="bottom"/>
          </w:tcPr>
          <w:p w:rsidR="004325DB" w:rsidRPr="00E64A61" w:rsidP="00EB7336">
            <w:pPr>
              <w:rPr>
                <w:rFonts w:asciiTheme="minorHAnsi" w:hAnsiTheme="minorHAnsi" w:cstheme="minorHAnsi"/>
                <w:b/>
                <w:sz w:val="16"/>
                <w:szCs w:val="16"/>
              </w:rPr>
            </w:pPr>
            <w:r w:rsidRPr="00E64A61">
              <w:rPr>
                <w:rFonts w:asciiTheme="minorHAnsi" w:hAnsiTheme="minorHAnsi" w:cstheme="minorHAnsi"/>
                <w:sz w:val="16"/>
                <w:szCs w:val="16"/>
              </w:rPr>
              <w:t>Base transmitter information provided by State of Maine – 22.567(d)</w:t>
            </w:r>
          </w:p>
        </w:tc>
      </w:tr>
      <w:tr w:rsidTr="00EB7336">
        <w:tblPrEx>
          <w:tblW w:w="9445" w:type="dxa"/>
          <w:jc w:val="center"/>
          <w:tblLook w:val="04A0"/>
        </w:tblPrEx>
        <w:trPr>
          <w:trHeight w:hRule="exact" w:val="432"/>
          <w:jc w:val="center"/>
        </w:trPr>
        <w:tc>
          <w:tcPr>
            <w:tcW w:w="1236" w:type="dxa"/>
            <w:shd w:val="clear" w:color="auto" w:fill="D9D9FF"/>
            <w:vAlign w:val="center"/>
          </w:tcPr>
          <w:p w:rsidR="004325DB" w:rsidRPr="00E64A61" w:rsidP="00EB7336">
            <w:pPr>
              <w:rPr>
                <w:rFonts w:asciiTheme="minorHAnsi" w:hAnsiTheme="minorHAnsi" w:cstheme="minorHAnsi"/>
                <w:b/>
                <w:sz w:val="16"/>
                <w:szCs w:val="16"/>
              </w:rPr>
            </w:pPr>
            <w:r w:rsidRPr="00E64A61">
              <w:rPr>
                <w:rFonts w:asciiTheme="minorHAnsi" w:hAnsiTheme="minorHAnsi" w:cstheme="minorHAnsi"/>
                <w:b/>
                <w:sz w:val="16"/>
                <w:szCs w:val="16"/>
              </w:rPr>
              <w:t>Call Sign</w:t>
            </w:r>
          </w:p>
        </w:tc>
        <w:tc>
          <w:tcPr>
            <w:tcW w:w="1236" w:type="dxa"/>
            <w:shd w:val="clear" w:color="auto" w:fill="D9D9FF"/>
            <w:vAlign w:val="center"/>
          </w:tcPr>
          <w:p w:rsidR="004325DB" w:rsidRPr="00E64A61" w:rsidP="00EB7336">
            <w:pPr>
              <w:jc w:val="center"/>
              <w:rPr>
                <w:rFonts w:asciiTheme="minorHAnsi" w:hAnsiTheme="minorHAnsi" w:cstheme="minorHAnsi"/>
                <w:b/>
                <w:sz w:val="16"/>
                <w:szCs w:val="16"/>
              </w:rPr>
            </w:pPr>
            <w:r w:rsidRPr="00E64A61">
              <w:rPr>
                <w:rFonts w:asciiTheme="minorHAnsi" w:hAnsiTheme="minorHAnsi" w:cstheme="minorHAnsi"/>
                <w:b/>
                <w:sz w:val="16"/>
                <w:szCs w:val="16"/>
              </w:rPr>
              <w:t>Location</w:t>
            </w:r>
          </w:p>
        </w:tc>
        <w:tc>
          <w:tcPr>
            <w:tcW w:w="1236" w:type="dxa"/>
            <w:shd w:val="clear" w:color="auto" w:fill="D9D9FF"/>
            <w:vAlign w:val="center"/>
          </w:tcPr>
          <w:p w:rsidR="004325DB" w:rsidRPr="00E64A61" w:rsidP="00EB7336">
            <w:pPr>
              <w:jc w:val="center"/>
              <w:rPr>
                <w:rFonts w:asciiTheme="minorHAnsi" w:hAnsiTheme="minorHAnsi" w:cstheme="minorHAnsi"/>
                <w:b/>
                <w:sz w:val="16"/>
                <w:szCs w:val="16"/>
              </w:rPr>
            </w:pPr>
            <w:r w:rsidRPr="00E64A61">
              <w:rPr>
                <w:rFonts w:asciiTheme="minorHAnsi" w:hAnsiTheme="minorHAnsi" w:cstheme="minorHAnsi"/>
                <w:b/>
                <w:sz w:val="16"/>
                <w:szCs w:val="16"/>
              </w:rPr>
              <w:t>Latitude</w:t>
            </w:r>
          </w:p>
        </w:tc>
        <w:tc>
          <w:tcPr>
            <w:tcW w:w="1237" w:type="dxa"/>
            <w:shd w:val="clear" w:color="auto" w:fill="D9D9FF"/>
            <w:vAlign w:val="center"/>
          </w:tcPr>
          <w:p w:rsidR="004325DB" w:rsidRPr="00E64A61" w:rsidP="00EB7336">
            <w:pPr>
              <w:jc w:val="center"/>
              <w:rPr>
                <w:rFonts w:asciiTheme="minorHAnsi" w:hAnsiTheme="minorHAnsi" w:cstheme="minorHAnsi"/>
                <w:b/>
                <w:sz w:val="16"/>
                <w:szCs w:val="16"/>
              </w:rPr>
            </w:pPr>
            <w:r w:rsidRPr="00E64A61">
              <w:rPr>
                <w:rFonts w:asciiTheme="minorHAnsi" w:hAnsiTheme="minorHAnsi" w:cstheme="minorHAnsi"/>
                <w:b/>
                <w:sz w:val="16"/>
                <w:szCs w:val="16"/>
              </w:rPr>
              <w:t>Longitude</w:t>
            </w:r>
          </w:p>
        </w:tc>
        <w:tc>
          <w:tcPr>
            <w:tcW w:w="1125" w:type="dxa"/>
            <w:shd w:val="clear" w:color="auto" w:fill="D9D9FF"/>
            <w:vAlign w:val="center"/>
          </w:tcPr>
          <w:p w:rsidR="004325DB" w:rsidRPr="00E64A61" w:rsidP="00EB7336">
            <w:pPr>
              <w:jc w:val="center"/>
              <w:rPr>
                <w:rFonts w:asciiTheme="minorHAnsi" w:hAnsiTheme="minorHAnsi" w:cstheme="minorHAnsi"/>
                <w:b/>
                <w:sz w:val="16"/>
                <w:szCs w:val="16"/>
              </w:rPr>
            </w:pPr>
            <w:r w:rsidRPr="00E64A61">
              <w:rPr>
                <w:rFonts w:asciiTheme="minorHAnsi" w:hAnsiTheme="minorHAnsi" w:cstheme="minorHAnsi"/>
                <w:b/>
                <w:sz w:val="16"/>
                <w:szCs w:val="16"/>
              </w:rPr>
              <w:t>Elevation (m)</w:t>
            </w:r>
          </w:p>
        </w:tc>
        <w:tc>
          <w:tcPr>
            <w:tcW w:w="1125" w:type="dxa"/>
            <w:shd w:val="clear" w:color="auto" w:fill="D9D9FF"/>
            <w:vAlign w:val="center"/>
          </w:tcPr>
          <w:p w:rsidR="004325DB" w:rsidRPr="00E64A61" w:rsidP="00EB7336">
            <w:pPr>
              <w:jc w:val="center"/>
              <w:rPr>
                <w:rFonts w:asciiTheme="minorHAnsi" w:hAnsiTheme="minorHAnsi" w:cstheme="minorHAnsi"/>
                <w:b/>
                <w:sz w:val="16"/>
                <w:szCs w:val="16"/>
              </w:rPr>
            </w:pPr>
            <w:r w:rsidRPr="00E64A61">
              <w:rPr>
                <w:rFonts w:asciiTheme="minorHAnsi" w:hAnsiTheme="minorHAnsi" w:cstheme="minorHAnsi"/>
                <w:b/>
                <w:sz w:val="16"/>
                <w:szCs w:val="16"/>
              </w:rPr>
              <w:t>Antenna Height (m)</w:t>
            </w:r>
          </w:p>
        </w:tc>
        <w:tc>
          <w:tcPr>
            <w:tcW w:w="1125" w:type="dxa"/>
            <w:shd w:val="clear" w:color="auto" w:fill="D9D9FF"/>
            <w:vAlign w:val="center"/>
          </w:tcPr>
          <w:p w:rsidR="004325DB" w:rsidRPr="00E64A61" w:rsidP="00EB7336">
            <w:pPr>
              <w:jc w:val="center"/>
              <w:rPr>
                <w:rFonts w:asciiTheme="minorHAnsi" w:hAnsiTheme="minorHAnsi" w:cstheme="minorHAnsi"/>
                <w:b/>
                <w:sz w:val="16"/>
                <w:szCs w:val="16"/>
              </w:rPr>
            </w:pPr>
            <w:r w:rsidRPr="00E64A61">
              <w:rPr>
                <w:rFonts w:asciiTheme="minorHAnsi" w:hAnsiTheme="minorHAnsi" w:cstheme="minorHAnsi"/>
                <w:b/>
                <w:sz w:val="16"/>
                <w:szCs w:val="16"/>
              </w:rPr>
              <w:t>ERP (W)</w:t>
            </w:r>
          </w:p>
        </w:tc>
        <w:tc>
          <w:tcPr>
            <w:tcW w:w="1125" w:type="dxa"/>
            <w:shd w:val="clear" w:color="auto" w:fill="D9D9FF"/>
            <w:vAlign w:val="center"/>
          </w:tcPr>
          <w:p w:rsidR="004325DB" w:rsidRPr="00E64A61" w:rsidP="00EB7336">
            <w:pPr>
              <w:jc w:val="center"/>
              <w:rPr>
                <w:rFonts w:asciiTheme="minorHAnsi" w:hAnsiTheme="minorHAnsi" w:cstheme="minorHAnsi"/>
                <w:b/>
                <w:sz w:val="16"/>
                <w:szCs w:val="16"/>
              </w:rPr>
            </w:pPr>
            <w:r w:rsidRPr="00E64A61">
              <w:rPr>
                <w:rFonts w:asciiTheme="minorHAnsi" w:hAnsiTheme="minorHAnsi" w:cstheme="minorHAnsi"/>
                <w:b/>
                <w:sz w:val="16"/>
                <w:szCs w:val="16"/>
              </w:rPr>
              <w:t>HAAT (m)</w:t>
            </w:r>
          </w:p>
        </w:tc>
      </w:tr>
      <w:tr w:rsidTr="00EB7336">
        <w:tblPrEx>
          <w:tblW w:w="9445" w:type="dxa"/>
          <w:jc w:val="center"/>
          <w:tblLook w:val="04A0"/>
        </w:tblPrEx>
        <w:trPr>
          <w:trHeight w:hRule="exact" w:val="288"/>
          <w:jc w:val="center"/>
        </w:trPr>
        <w:tc>
          <w:tcPr>
            <w:tcW w:w="1236" w:type="dxa"/>
            <w:tcBorders>
              <w:bottom w:val="single" w:sz="4" w:space="0" w:color="auto"/>
            </w:tcBorders>
            <w:vAlign w:val="center"/>
          </w:tcPr>
          <w:p w:rsidR="004325DB" w:rsidRPr="00E64A61" w:rsidP="00EB7336">
            <w:pPr>
              <w:rPr>
                <w:rFonts w:asciiTheme="minorHAnsi" w:hAnsiTheme="minorHAnsi" w:cstheme="minorHAnsi"/>
                <w:b/>
                <w:sz w:val="16"/>
                <w:szCs w:val="16"/>
              </w:rPr>
            </w:pPr>
            <w:r w:rsidRPr="00E64A61">
              <w:rPr>
                <w:rFonts w:asciiTheme="minorHAnsi" w:hAnsiTheme="minorHAnsi" w:cstheme="minorHAnsi"/>
                <w:b/>
                <w:sz w:val="16"/>
                <w:szCs w:val="16"/>
              </w:rPr>
              <w:t>WQMT752</w:t>
            </w:r>
          </w:p>
        </w:tc>
        <w:tc>
          <w:tcPr>
            <w:tcW w:w="1236" w:type="dxa"/>
            <w:vAlign w:val="center"/>
          </w:tcPr>
          <w:p w:rsidR="004325DB" w:rsidRPr="00E64A61" w:rsidP="00EB7336">
            <w:pPr>
              <w:rPr>
                <w:rFonts w:asciiTheme="minorHAnsi" w:hAnsiTheme="minorHAnsi" w:cstheme="minorHAnsi"/>
                <w:sz w:val="16"/>
                <w:szCs w:val="16"/>
              </w:rPr>
            </w:pPr>
            <w:r w:rsidRPr="00E64A61">
              <w:rPr>
                <w:rFonts w:asciiTheme="minorHAnsi" w:hAnsiTheme="minorHAnsi" w:cstheme="minorHAnsi"/>
                <w:sz w:val="16"/>
                <w:szCs w:val="16"/>
              </w:rPr>
              <w:t>Spencer Mtn</w:t>
            </w:r>
          </w:p>
        </w:tc>
        <w:tc>
          <w:tcPr>
            <w:tcW w:w="1236"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sz w:val="16"/>
                <w:szCs w:val="16"/>
              </w:rPr>
              <w:t>45° 46' 30.9" N</w:t>
            </w:r>
          </w:p>
        </w:tc>
        <w:tc>
          <w:tcPr>
            <w:tcW w:w="1237"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69° 26' 38.7" W</w:t>
            </w:r>
          </w:p>
        </w:tc>
        <w:tc>
          <w:tcPr>
            <w:tcW w:w="1125"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967.5</w:t>
            </w:r>
          </w:p>
        </w:tc>
        <w:tc>
          <w:tcPr>
            <w:tcW w:w="1125"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16.764</w:t>
            </w:r>
          </w:p>
        </w:tc>
        <w:tc>
          <w:tcPr>
            <w:tcW w:w="1125"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48.98</w:t>
            </w:r>
          </w:p>
        </w:tc>
        <w:tc>
          <w:tcPr>
            <w:tcW w:w="1125"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597.8</w:t>
            </w:r>
          </w:p>
        </w:tc>
      </w:tr>
      <w:tr w:rsidTr="00EB7336">
        <w:tblPrEx>
          <w:tblW w:w="9445" w:type="dxa"/>
          <w:jc w:val="center"/>
          <w:tblLook w:val="04A0"/>
        </w:tblPrEx>
        <w:trPr>
          <w:trHeight w:hRule="exact" w:val="288"/>
          <w:jc w:val="center"/>
        </w:trPr>
        <w:tc>
          <w:tcPr>
            <w:tcW w:w="1236" w:type="dxa"/>
            <w:tcBorders>
              <w:bottom w:val="nil"/>
            </w:tcBorders>
            <w:vAlign w:val="center"/>
          </w:tcPr>
          <w:p w:rsidR="004325DB" w:rsidRPr="00E64A61" w:rsidP="00EB7336">
            <w:pPr>
              <w:rPr>
                <w:rFonts w:asciiTheme="minorHAnsi" w:hAnsiTheme="minorHAnsi" w:cstheme="minorHAnsi"/>
                <w:b/>
                <w:sz w:val="16"/>
                <w:szCs w:val="16"/>
              </w:rPr>
            </w:pPr>
            <w:r w:rsidRPr="00E64A61">
              <w:rPr>
                <w:rFonts w:asciiTheme="minorHAnsi" w:hAnsiTheme="minorHAnsi" w:cstheme="minorHAnsi"/>
                <w:b/>
                <w:sz w:val="16"/>
                <w:szCs w:val="16"/>
              </w:rPr>
              <w:t>WQMT753</w:t>
            </w:r>
          </w:p>
        </w:tc>
        <w:tc>
          <w:tcPr>
            <w:tcW w:w="1236" w:type="dxa"/>
            <w:vAlign w:val="center"/>
          </w:tcPr>
          <w:p w:rsidR="004325DB" w:rsidRPr="00E64A61" w:rsidP="00EB7336">
            <w:pPr>
              <w:rPr>
                <w:rFonts w:asciiTheme="minorHAnsi" w:hAnsiTheme="minorHAnsi" w:cstheme="minorHAnsi"/>
                <w:sz w:val="16"/>
                <w:szCs w:val="16"/>
              </w:rPr>
            </w:pPr>
            <w:r w:rsidRPr="00E64A61">
              <w:rPr>
                <w:rFonts w:asciiTheme="minorHAnsi" w:hAnsiTheme="minorHAnsi" w:cstheme="minorHAnsi"/>
                <w:sz w:val="16"/>
                <w:szCs w:val="16"/>
              </w:rPr>
              <w:t>Garland</w:t>
            </w:r>
          </w:p>
        </w:tc>
        <w:tc>
          <w:tcPr>
            <w:tcW w:w="1236"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45° 04' 02.1" N</w:t>
            </w:r>
          </w:p>
        </w:tc>
        <w:tc>
          <w:tcPr>
            <w:tcW w:w="1237"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69° 09' 58.5" W</w:t>
            </w:r>
          </w:p>
        </w:tc>
        <w:tc>
          <w:tcPr>
            <w:tcW w:w="1125"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267.8</w:t>
            </w:r>
          </w:p>
        </w:tc>
        <w:tc>
          <w:tcPr>
            <w:tcW w:w="1125"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28.35</w:t>
            </w:r>
          </w:p>
        </w:tc>
        <w:tc>
          <w:tcPr>
            <w:tcW w:w="1125"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 xml:space="preserve">38.02 </w:t>
            </w:r>
          </w:p>
        </w:tc>
        <w:tc>
          <w:tcPr>
            <w:tcW w:w="1125"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163.8</w:t>
            </w:r>
          </w:p>
        </w:tc>
      </w:tr>
      <w:tr w:rsidTr="00EB7336">
        <w:tblPrEx>
          <w:tblW w:w="9445" w:type="dxa"/>
          <w:jc w:val="center"/>
          <w:tblLook w:val="04A0"/>
        </w:tblPrEx>
        <w:trPr>
          <w:trHeight w:hRule="exact" w:val="288"/>
          <w:jc w:val="center"/>
        </w:trPr>
        <w:tc>
          <w:tcPr>
            <w:tcW w:w="1236" w:type="dxa"/>
            <w:tcBorders>
              <w:top w:val="nil"/>
              <w:bottom w:val="single" w:sz="4" w:space="0" w:color="auto"/>
            </w:tcBorders>
            <w:vAlign w:val="center"/>
          </w:tcPr>
          <w:p w:rsidR="004325DB" w:rsidRPr="00E64A61" w:rsidP="00EB7336">
            <w:pPr>
              <w:rPr>
                <w:rFonts w:asciiTheme="minorHAnsi" w:hAnsiTheme="minorHAnsi" w:cstheme="minorHAnsi"/>
                <w:b/>
                <w:sz w:val="16"/>
                <w:szCs w:val="16"/>
              </w:rPr>
            </w:pPr>
          </w:p>
        </w:tc>
        <w:tc>
          <w:tcPr>
            <w:tcW w:w="1236" w:type="dxa"/>
            <w:vAlign w:val="center"/>
          </w:tcPr>
          <w:p w:rsidR="004325DB" w:rsidRPr="00E64A61" w:rsidP="00EB7336">
            <w:pPr>
              <w:rPr>
                <w:rFonts w:asciiTheme="minorHAnsi" w:hAnsiTheme="minorHAnsi" w:cstheme="minorHAnsi"/>
                <w:sz w:val="16"/>
                <w:szCs w:val="16"/>
              </w:rPr>
            </w:pPr>
            <w:r w:rsidRPr="00E64A61">
              <w:rPr>
                <w:rFonts w:asciiTheme="minorHAnsi" w:hAnsiTheme="minorHAnsi" w:cstheme="minorHAnsi"/>
                <w:sz w:val="16"/>
                <w:szCs w:val="16"/>
              </w:rPr>
              <w:t>Passadumkeag</w:t>
            </w:r>
          </w:p>
        </w:tc>
        <w:tc>
          <w:tcPr>
            <w:tcW w:w="1236"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45° 07' 48.4" N</w:t>
            </w:r>
          </w:p>
        </w:tc>
        <w:tc>
          <w:tcPr>
            <w:tcW w:w="1237"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68° 21' 24.7" W</w:t>
            </w:r>
          </w:p>
        </w:tc>
        <w:tc>
          <w:tcPr>
            <w:tcW w:w="1125"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 xml:space="preserve">438.9 </w:t>
            </w:r>
          </w:p>
        </w:tc>
        <w:tc>
          <w:tcPr>
            <w:tcW w:w="1125"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46.94</w:t>
            </w:r>
          </w:p>
        </w:tc>
        <w:tc>
          <w:tcPr>
            <w:tcW w:w="1125"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44.67</w:t>
            </w:r>
          </w:p>
        </w:tc>
        <w:tc>
          <w:tcPr>
            <w:tcW w:w="1125"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374.3</w:t>
            </w:r>
          </w:p>
        </w:tc>
      </w:tr>
      <w:tr w:rsidTr="00EB7336">
        <w:tblPrEx>
          <w:tblW w:w="9445" w:type="dxa"/>
          <w:jc w:val="center"/>
          <w:tblLook w:val="04A0"/>
        </w:tblPrEx>
        <w:trPr>
          <w:trHeight w:hRule="exact" w:val="288"/>
          <w:jc w:val="center"/>
        </w:trPr>
        <w:tc>
          <w:tcPr>
            <w:tcW w:w="1236" w:type="dxa"/>
            <w:tcBorders>
              <w:bottom w:val="nil"/>
            </w:tcBorders>
            <w:vAlign w:val="center"/>
          </w:tcPr>
          <w:p w:rsidR="004325DB" w:rsidRPr="00E64A61" w:rsidP="00EB7336">
            <w:pPr>
              <w:rPr>
                <w:rFonts w:asciiTheme="minorHAnsi" w:hAnsiTheme="minorHAnsi" w:cstheme="minorHAnsi"/>
                <w:b/>
                <w:sz w:val="16"/>
                <w:szCs w:val="16"/>
              </w:rPr>
            </w:pPr>
            <w:r w:rsidRPr="00E64A61">
              <w:rPr>
                <w:rFonts w:asciiTheme="minorHAnsi" w:hAnsiTheme="minorHAnsi" w:cstheme="minorHAnsi"/>
                <w:b/>
                <w:sz w:val="16"/>
                <w:szCs w:val="16"/>
              </w:rPr>
              <w:t>WQMT754</w:t>
            </w:r>
          </w:p>
          <w:p w:rsidR="004325DB" w:rsidRPr="00E64A61" w:rsidP="00EB7336">
            <w:pPr>
              <w:rPr>
                <w:rFonts w:asciiTheme="minorHAnsi" w:hAnsiTheme="minorHAnsi" w:cstheme="minorHAnsi"/>
                <w:b/>
                <w:sz w:val="16"/>
                <w:szCs w:val="16"/>
              </w:rPr>
            </w:pPr>
          </w:p>
        </w:tc>
        <w:tc>
          <w:tcPr>
            <w:tcW w:w="1236" w:type="dxa"/>
            <w:vAlign w:val="center"/>
          </w:tcPr>
          <w:p w:rsidR="004325DB" w:rsidRPr="00E64A61" w:rsidP="00EB7336">
            <w:pPr>
              <w:rPr>
                <w:rFonts w:asciiTheme="minorHAnsi" w:hAnsiTheme="minorHAnsi" w:cstheme="minorHAnsi"/>
                <w:sz w:val="16"/>
                <w:szCs w:val="16"/>
              </w:rPr>
            </w:pPr>
            <w:r w:rsidRPr="00E64A61">
              <w:rPr>
                <w:rFonts w:asciiTheme="minorHAnsi" w:hAnsiTheme="minorHAnsi" w:cstheme="minorHAnsi"/>
                <w:sz w:val="16"/>
                <w:szCs w:val="16"/>
              </w:rPr>
              <w:t>Garland</w:t>
            </w:r>
          </w:p>
        </w:tc>
        <w:tc>
          <w:tcPr>
            <w:tcW w:w="1236"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45° 04' 02.1" N</w:t>
            </w:r>
          </w:p>
        </w:tc>
        <w:tc>
          <w:tcPr>
            <w:tcW w:w="1237"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69° 09' 58.5" W</w:t>
            </w:r>
          </w:p>
        </w:tc>
        <w:tc>
          <w:tcPr>
            <w:tcW w:w="1125"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267.8</w:t>
            </w:r>
          </w:p>
        </w:tc>
        <w:tc>
          <w:tcPr>
            <w:tcW w:w="1125"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28.35</w:t>
            </w:r>
          </w:p>
        </w:tc>
        <w:tc>
          <w:tcPr>
            <w:tcW w:w="1125"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38.02</w:t>
            </w:r>
          </w:p>
        </w:tc>
        <w:tc>
          <w:tcPr>
            <w:tcW w:w="1125"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163.8</w:t>
            </w:r>
          </w:p>
        </w:tc>
      </w:tr>
      <w:tr w:rsidTr="00EB7336">
        <w:tblPrEx>
          <w:tblW w:w="9445" w:type="dxa"/>
          <w:jc w:val="center"/>
          <w:tblLook w:val="04A0"/>
        </w:tblPrEx>
        <w:trPr>
          <w:trHeight w:hRule="exact" w:val="288"/>
          <w:jc w:val="center"/>
        </w:trPr>
        <w:tc>
          <w:tcPr>
            <w:tcW w:w="1236" w:type="dxa"/>
            <w:tcBorders>
              <w:top w:val="nil"/>
              <w:bottom w:val="nil"/>
            </w:tcBorders>
            <w:vAlign w:val="center"/>
          </w:tcPr>
          <w:p w:rsidR="004325DB" w:rsidRPr="00E64A61" w:rsidP="00EB7336">
            <w:pPr>
              <w:rPr>
                <w:rFonts w:asciiTheme="minorHAnsi" w:hAnsiTheme="minorHAnsi" w:cstheme="minorHAnsi"/>
                <w:sz w:val="16"/>
                <w:szCs w:val="16"/>
              </w:rPr>
            </w:pPr>
          </w:p>
        </w:tc>
        <w:tc>
          <w:tcPr>
            <w:tcW w:w="1236" w:type="dxa"/>
            <w:vAlign w:val="center"/>
          </w:tcPr>
          <w:p w:rsidR="004325DB" w:rsidRPr="00E64A61" w:rsidP="00EB7336">
            <w:pPr>
              <w:rPr>
                <w:rFonts w:asciiTheme="minorHAnsi" w:hAnsiTheme="minorHAnsi" w:cstheme="minorHAnsi"/>
                <w:sz w:val="16"/>
                <w:szCs w:val="16"/>
              </w:rPr>
            </w:pPr>
            <w:r w:rsidRPr="00E64A61">
              <w:rPr>
                <w:rFonts w:asciiTheme="minorHAnsi" w:hAnsiTheme="minorHAnsi" w:cstheme="minorHAnsi"/>
                <w:sz w:val="16"/>
                <w:szCs w:val="16"/>
              </w:rPr>
              <w:t>Priestly Mtn</w:t>
            </w:r>
          </w:p>
        </w:tc>
        <w:tc>
          <w:tcPr>
            <w:tcW w:w="1236" w:type="dxa"/>
            <w:vAlign w:val="center"/>
          </w:tcPr>
          <w:p w:rsidR="004325DB" w:rsidRPr="00E64A61" w:rsidP="00EB7336">
            <w:pPr>
              <w:jc w:val="center"/>
              <w:rPr>
                <w:sz w:val="16"/>
                <w:szCs w:val="16"/>
              </w:rPr>
            </w:pPr>
            <w:r w:rsidRPr="00E64A61">
              <w:rPr>
                <w:rFonts w:ascii="Calibri" w:hAnsi="Calibri" w:cs="Calibri"/>
                <w:color w:val="000000"/>
                <w:sz w:val="16"/>
                <w:szCs w:val="16"/>
              </w:rPr>
              <w:t>46° 32' 54.3" N</w:t>
            </w:r>
          </w:p>
        </w:tc>
        <w:tc>
          <w:tcPr>
            <w:tcW w:w="1237" w:type="dxa"/>
            <w:vAlign w:val="center"/>
          </w:tcPr>
          <w:p w:rsidR="004325DB" w:rsidRPr="00E64A61" w:rsidP="00EB7336">
            <w:pPr>
              <w:jc w:val="center"/>
              <w:rPr>
                <w:sz w:val="16"/>
                <w:szCs w:val="16"/>
              </w:rPr>
            </w:pPr>
            <w:r w:rsidRPr="00E64A61">
              <w:rPr>
                <w:rFonts w:ascii="Calibri" w:hAnsi="Calibri" w:cs="Calibri"/>
                <w:color w:val="000000"/>
                <w:sz w:val="16"/>
                <w:szCs w:val="16"/>
              </w:rPr>
              <w:t>69° 24' 19.1" W</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 xml:space="preserve">573.4 </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18.288</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48.98</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233.8</w:t>
            </w:r>
          </w:p>
        </w:tc>
      </w:tr>
      <w:tr w:rsidTr="00EB7336">
        <w:tblPrEx>
          <w:tblW w:w="9445" w:type="dxa"/>
          <w:jc w:val="center"/>
          <w:tblLook w:val="04A0"/>
        </w:tblPrEx>
        <w:trPr>
          <w:trHeight w:hRule="exact" w:val="288"/>
          <w:jc w:val="center"/>
        </w:trPr>
        <w:tc>
          <w:tcPr>
            <w:tcW w:w="1236" w:type="dxa"/>
            <w:tcBorders>
              <w:top w:val="nil"/>
              <w:bottom w:val="nil"/>
            </w:tcBorders>
            <w:vAlign w:val="center"/>
          </w:tcPr>
          <w:p w:rsidR="004325DB" w:rsidRPr="00E64A61" w:rsidP="00EB7336">
            <w:pPr>
              <w:rPr>
                <w:rFonts w:asciiTheme="minorHAnsi" w:hAnsiTheme="minorHAnsi" w:cstheme="minorHAnsi"/>
                <w:sz w:val="16"/>
                <w:szCs w:val="16"/>
              </w:rPr>
            </w:pPr>
          </w:p>
        </w:tc>
        <w:tc>
          <w:tcPr>
            <w:tcW w:w="1236" w:type="dxa"/>
            <w:vAlign w:val="center"/>
          </w:tcPr>
          <w:p w:rsidR="004325DB" w:rsidRPr="00E64A61" w:rsidP="00EB7336">
            <w:pPr>
              <w:rPr>
                <w:rFonts w:asciiTheme="minorHAnsi" w:hAnsiTheme="minorHAnsi" w:cstheme="minorHAnsi"/>
                <w:sz w:val="16"/>
                <w:szCs w:val="16"/>
              </w:rPr>
            </w:pPr>
            <w:r w:rsidRPr="00E64A61">
              <w:rPr>
                <w:rFonts w:asciiTheme="minorHAnsi" w:hAnsiTheme="minorHAnsi" w:cstheme="minorHAnsi"/>
                <w:sz w:val="16"/>
                <w:szCs w:val="16"/>
              </w:rPr>
              <w:t>Spencer Mtn</w:t>
            </w:r>
          </w:p>
        </w:tc>
        <w:tc>
          <w:tcPr>
            <w:tcW w:w="1236"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sz w:val="16"/>
                <w:szCs w:val="16"/>
              </w:rPr>
              <w:t>45° 46' 30.9" N</w:t>
            </w:r>
          </w:p>
        </w:tc>
        <w:tc>
          <w:tcPr>
            <w:tcW w:w="1237" w:type="dxa"/>
            <w:vAlign w:val="center"/>
          </w:tcPr>
          <w:p w:rsidR="004325DB" w:rsidRPr="00E64A61" w:rsidP="00EB7336">
            <w:pPr>
              <w:jc w:val="center"/>
              <w:rPr>
                <w:sz w:val="16"/>
                <w:szCs w:val="16"/>
              </w:rPr>
            </w:pPr>
            <w:r w:rsidRPr="00E64A61">
              <w:rPr>
                <w:rFonts w:ascii="Calibri" w:hAnsi="Calibri" w:cs="Calibri"/>
                <w:color w:val="000000"/>
                <w:sz w:val="16"/>
                <w:szCs w:val="16"/>
              </w:rPr>
              <w:t>6926' 38.7" W</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967.5</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16.764</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48.98</w:t>
            </w:r>
          </w:p>
        </w:tc>
        <w:tc>
          <w:tcPr>
            <w:tcW w:w="1125" w:type="dxa"/>
            <w:vAlign w:val="center"/>
          </w:tcPr>
          <w:p w:rsidR="004325DB" w:rsidRPr="00E64A61" w:rsidP="00EB7336">
            <w:pPr>
              <w:jc w:val="center"/>
              <w:rPr>
                <w:rFonts w:asciiTheme="minorHAnsi" w:hAnsiTheme="minorHAnsi" w:cstheme="minorHAnsi"/>
                <w:sz w:val="16"/>
                <w:szCs w:val="16"/>
              </w:rPr>
            </w:pPr>
            <w:r w:rsidRPr="00E64A61">
              <w:rPr>
                <w:rFonts w:ascii="Calibri" w:hAnsi="Calibri" w:cs="Calibri"/>
                <w:color w:val="000000"/>
                <w:sz w:val="16"/>
                <w:szCs w:val="16"/>
              </w:rPr>
              <w:t>597.8</w:t>
            </w:r>
          </w:p>
        </w:tc>
      </w:tr>
      <w:tr w:rsidTr="00EB7336">
        <w:tblPrEx>
          <w:tblW w:w="9445" w:type="dxa"/>
          <w:jc w:val="center"/>
          <w:tblLook w:val="04A0"/>
        </w:tblPrEx>
        <w:trPr>
          <w:trHeight w:hRule="exact" w:val="288"/>
          <w:jc w:val="center"/>
        </w:trPr>
        <w:tc>
          <w:tcPr>
            <w:tcW w:w="1236" w:type="dxa"/>
            <w:tcBorders>
              <w:top w:val="nil"/>
              <w:bottom w:val="single" w:sz="4" w:space="0" w:color="auto"/>
            </w:tcBorders>
            <w:vAlign w:val="center"/>
          </w:tcPr>
          <w:p w:rsidR="004325DB" w:rsidRPr="00E64A61" w:rsidP="00EB7336">
            <w:pPr>
              <w:rPr>
                <w:rFonts w:asciiTheme="minorHAnsi" w:hAnsiTheme="minorHAnsi" w:cstheme="minorHAnsi"/>
                <w:sz w:val="16"/>
                <w:szCs w:val="16"/>
              </w:rPr>
            </w:pPr>
          </w:p>
        </w:tc>
        <w:tc>
          <w:tcPr>
            <w:tcW w:w="1236" w:type="dxa"/>
            <w:vAlign w:val="center"/>
          </w:tcPr>
          <w:p w:rsidR="004325DB" w:rsidRPr="00E64A61" w:rsidP="00EB7336">
            <w:pPr>
              <w:rPr>
                <w:rFonts w:asciiTheme="minorHAnsi" w:hAnsiTheme="minorHAnsi" w:cstheme="minorHAnsi"/>
                <w:sz w:val="16"/>
                <w:szCs w:val="16"/>
              </w:rPr>
            </w:pPr>
            <w:r w:rsidRPr="00E64A61">
              <w:rPr>
                <w:rFonts w:asciiTheme="minorHAnsi" w:hAnsiTheme="minorHAnsi" w:cstheme="minorHAnsi"/>
                <w:sz w:val="16"/>
                <w:szCs w:val="16"/>
              </w:rPr>
              <w:t xml:space="preserve">Fish Hill </w:t>
            </w:r>
          </w:p>
        </w:tc>
        <w:tc>
          <w:tcPr>
            <w:tcW w:w="1236" w:type="dxa"/>
            <w:vAlign w:val="center"/>
          </w:tcPr>
          <w:p w:rsidR="004325DB" w:rsidRPr="00E64A61" w:rsidP="00EB7336">
            <w:pPr>
              <w:jc w:val="center"/>
              <w:rPr>
                <w:sz w:val="16"/>
                <w:szCs w:val="16"/>
              </w:rPr>
            </w:pPr>
            <w:r w:rsidRPr="00E64A61">
              <w:rPr>
                <w:rFonts w:ascii="Calibri" w:hAnsi="Calibri" w:cs="Calibri"/>
                <w:color w:val="000000"/>
                <w:sz w:val="16"/>
                <w:szCs w:val="16"/>
              </w:rPr>
              <w:t>45° 20' 45.2" N</w:t>
            </w:r>
          </w:p>
        </w:tc>
        <w:tc>
          <w:tcPr>
            <w:tcW w:w="1237" w:type="dxa"/>
            <w:vAlign w:val="center"/>
          </w:tcPr>
          <w:p w:rsidR="004325DB" w:rsidRPr="00E64A61" w:rsidP="00EB7336">
            <w:pPr>
              <w:jc w:val="center"/>
              <w:rPr>
                <w:sz w:val="16"/>
                <w:szCs w:val="16"/>
              </w:rPr>
            </w:pPr>
            <w:r w:rsidRPr="00E64A61">
              <w:rPr>
                <w:rFonts w:ascii="Calibri" w:hAnsi="Calibri" w:cs="Calibri"/>
                <w:color w:val="000000"/>
                <w:sz w:val="16"/>
                <w:szCs w:val="16"/>
              </w:rPr>
              <w:t>68° 30' 24.6" W</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201.6</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41.148</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43.65</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148.5</w:t>
            </w:r>
          </w:p>
        </w:tc>
      </w:tr>
      <w:tr w:rsidTr="00EB7336">
        <w:tblPrEx>
          <w:tblW w:w="9445" w:type="dxa"/>
          <w:jc w:val="center"/>
          <w:tblLook w:val="04A0"/>
        </w:tblPrEx>
        <w:trPr>
          <w:trHeight w:hRule="exact" w:val="288"/>
          <w:jc w:val="center"/>
        </w:trPr>
        <w:tc>
          <w:tcPr>
            <w:tcW w:w="1236" w:type="dxa"/>
            <w:tcBorders>
              <w:bottom w:val="nil"/>
            </w:tcBorders>
            <w:vAlign w:val="center"/>
          </w:tcPr>
          <w:p w:rsidR="004325DB" w:rsidRPr="00E64A61" w:rsidP="00EB7336">
            <w:pPr>
              <w:rPr>
                <w:rFonts w:asciiTheme="minorHAnsi" w:hAnsiTheme="minorHAnsi" w:cstheme="minorHAnsi"/>
                <w:b/>
                <w:sz w:val="16"/>
                <w:szCs w:val="16"/>
              </w:rPr>
            </w:pPr>
            <w:r w:rsidRPr="00E64A61">
              <w:rPr>
                <w:rFonts w:asciiTheme="minorHAnsi" w:hAnsiTheme="minorHAnsi" w:cstheme="minorHAnsi"/>
                <w:b/>
                <w:sz w:val="16"/>
                <w:szCs w:val="16"/>
              </w:rPr>
              <w:t>WQMT755</w:t>
            </w:r>
          </w:p>
        </w:tc>
        <w:tc>
          <w:tcPr>
            <w:tcW w:w="1236" w:type="dxa"/>
            <w:vAlign w:val="center"/>
          </w:tcPr>
          <w:p w:rsidR="004325DB" w:rsidRPr="00E64A61" w:rsidP="00EB7336">
            <w:pPr>
              <w:rPr>
                <w:rFonts w:asciiTheme="minorHAnsi" w:hAnsiTheme="minorHAnsi" w:cstheme="minorHAnsi"/>
                <w:sz w:val="16"/>
                <w:szCs w:val="16"/>
              </w:rPr>
            </w:pPr>
            <w:r w:rsidRPr="00E64A61">
              <w:rPr>
                <w:rFonts w:asciiTheme="minorHAnsi" w:hAnsiTheme="minorHAnsi" w:cstheme="minorHAnsi"/>
                <w:sz w:val="16"/>
                <w:szCs w:val="16"/>
              </w:rPr>
              <w:t>Garland</w:t>
            </w:r>
          </w:p>
        </w:tc>
        <w:tc>
          <w:tcPr>
            <w:tcW w:w="1236"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45° 04' 02.1" N</w:t>
            </w:r>
          </w:p>
        </w:tc>
        <w:tc>
          <w:tcPr>
            <w:tcW w:w="1237"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69° 09' 58.5" W</w:t>
            </w:r>
          </w:p>
        </w:tc>
        <w:tc>
          <w:tcPr>
            <w:tcW w:w="1125"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267.8</w:t>
            </w:r>
          </w:p>
        </w:tc>
        <w:tc>
          <w:tcPr>
            <w:tcW w:w="1125"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28.35</w:t>
            </w:r>
          </w:p>
        </w:tc>
        <w:tc>
          <w:tcPr>
            <w:tcW w:w="1125"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 xml:space="preserve">38.02 </w:t>
            </w:r>
          </w:p>
        </w:tc>
        <w:tc>
          <w:tcPr>
            <w:tcW w:w="1125"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163.8</w:t>
            </w:r>
          </w:p>
        </w:tc>
      </w:tr>
      <w:tr w:rsidTr="00EB7336">
        <w:tblPrEx>
          <w:tblW w:w="9445" w:type="dxa"/>
          <w:jc w:val="center"/>
          <w:tblLook w:val="04A0"/>
        </w:tblPrEx>
        <w:trPr>
          <w:trHeight w:hRule="exact" w:val="288"/>
          <w:jc w:val="center"/>
        </w:trPr>
        <w:tc>
          <w:tcPr>
            <w:tcW w:w="1236" w:type="dxa"/>
            <w:tcBorders>
              <w:top w:val="nil"/>
              <w:bottom w:val="nil"/>
            </w:tcBorders>
            <w:vAlign w:val="center"/>
          </w:tcPr>
          <w:p w:rsidR="004325DB" w:rsidRPr="00E64A61" w:rsidP="00EB7336">
            <w:pPr>
              <w:rPr>
                <w:rFonts w:asciiTheme="minorHAnsi" w:hAnsiTheme="minorHAnsi" w:cstheme="minorHAnsi"/>
                <w:sz w:val="16"/>
                <w:szCs w:val="16"/>
              </w:rPr>
            </w:pPr>
          </w:p>
        </w:tc>
        <w:tc>
          <w:tcPr>
            <w:tcW w:w="1236" w:type="dxa"/>
            <w:vAlign w:val="center"/>
          </w:tcPr>
          <w:p w:rsidR="004325DB" w:rsidRPr="00E64A61" w:rsidP="00EB7336">
            <w:pPr>
              <w:rPr>
                <w:rFonts w:asciiTheme="minorHAnsi" w:hAnsiTheme="minorHAnsi" w:cstheme="minorHAnsi"/>
                <w:sz w:val="16"/>
                <w:szCs w:val="16"/>
              </w:rPr>
            </w:pPr>
            <w:r w:rsidRPr="00E64A61">
              <w:rPr>
                <w:rFonts w:asciiTheme="minorHAnsi" w:hAnsiTheme="minorHAnsi" w:cstheme="minorHAnsi"/>
                <w:sz w:val="16"/>
                <w:szCs w:val="16"/>
              </w:rPr>
              <w:t>Passadumkeag</w:t>
            </w:r>
          </w:p>
        </w:tc>
        <w:tc>
          <w:tcPr>
            <w:tcW w:w="1236"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45° 07' 48.4" N</w:t>
            </w:r>
          </w:p>
        </w:tc>
        <w:tc>
          <w:tcPr>
            <w:tcW w:w="1237"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68° 21' 24.7" W</w:t>
            </w:r>
          </w:p>
        </w:tc>
        <w:tc>
          <w:tcPr>
            <w:tcW w:w="1125"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438.9</w:t>
            </w:r>
          </w:p>
        </w:tc>
        <w:tc>
          <w:tcPr>
            <w:tcW w:w="1125"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46.94</w:t>
            </w:r>
          </w:p>
        </w:tc>
        <w:tc>
          <w:tcPr>
            <w:tcW w:w="1125"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44.67</w:t>
            </w:r>
          </w:p>
        </w:tc>
        <w:tc>
          <w:tcPr>
            <w:tcW w:w="1125" w:type="dxa"/>
            <w:vAlign w:val="center"/>
          </w:tcPr>
          <w:p w:rsidR="004325DB" w:rsidRPr="00E64A61" w:rsidP="00EB7336">
            <w:pPr>
              <w:jc w:val="center"/>
              <w:rPr>
                <w:rFonts w:asciiTheme="minorHAnsi" w:hAnsiTheme="minorHAnsi" w:cstheme="minorHAnsi"/>
                <w:sz w:val="16"/>
                <w:szCs w:val="16"/>
              </w:rPr>
            </w:pPr>
            <w:r w:rsidRPr="00E64A61">
              <w:rPr>
                <w:rFonts w:asciiTheme="minorHAnsi" w:hAnsiTheme="minorHAnsi" w:cstheme="minorHAnsi"/>
                <w:color w:val="000000"/>
                <w:sz w:val="16"/>
                <w:szCs w:val="16"/>
              </w:rPr>
              <w:t>374.3</w:t>
            </w:r>
          </w:p>
        </w:tc>
      </w:tr>
      <w:tr w:rsidTr="00EB7336">
        <w:tblPrEx>
          <w:tblW w:w="9445" w:type="dxa"/>
          <w:jc w:val="center"/>
          <w:tblLook w:val="04A0"/>
        </w:tblPrEx>
        <w:trPr>
          <w:trHeight w:hRule="exact" w:val="288"/>
          <w:jc w:val="center"/>
        </w:trPr>
        <w:tc>
          <w:tcPr>
            <w:tcW w:w="1236" w:type="dxa"/>
            <w:tcBorders>
              <w:top w:val="nil"/>
              <w:bottom w:val="nil"/>
            </w:tcBorders>
            <w:vAlign w:val="center"/>
          </w:tcPr>
          <w:p w:rsidR="004325DB" w:rsidRPr="00E64A61" w:rsidP="00EB7336">
            <w:pPr>
              <w:rPr>
                <w:rFonts w:asciiTheme="minorHAnsi" w:hAnsiTheme="minorHAnsi" w:cstheme="minorHAnsi"/>
                <w:sz w:val="16"/>
                <w:szCs w:val="16"/>
              </w:rPr>
            </w:pPr>
          </w:p>
        </w:tc>
        <w:tc>
          <w:tcPr>
            <w:tcW w:w="1236" w:type="dxa"/>
            <w:vAlign w:val="center"/>
          </w:tcPr>
          <w:p w:rsidR="004325DB" w:rsidRPr="00E64A61" w:rsidP="00EB7336">
            <w:pPr>
              <w:rPr>
                <w:rFonts w:asciiTheme="minorHAnsi" w:hAnsiTheme="minorHAnsi" w:cstheme="minorHAnsi"/>
                <w:sz w:val="16"/>
                <w:szCs w:val="16"/>
              </w:rPr>
            </w:pPr>
            <w:r w:rsidRPr="00E64A61">
              <w:rPr>
                <w:rFonts w:asciiTheme="minorHAnsi" w:hAnsiTheme="minorHAnsi" w:cstheme="minorHAnsi"/>
                <w:sz w:val="16"/>
                <w:szCs w:val="16"/>
              </w:rPr>
              <w:t xml:space="preserve">Fish Hill </w:t>
            </w:r>
          </w:p>
        </w:tc>
        <w:tc>
          <w:tcPr>
            <w:tcW w:w="1236" w:type="dxa"/>
            <w:vAlign w:val="center"/>
          </w:tcPr>
          <w:p w:rsidR="004325DB" w:rsidRPr="00E64A61" w:rsidP="00EB7336">
            <w:pPr>
              <w:jc w:val="center"/>
              <w:rPr>
                <w:sz w:val="16"/>
                <w:szCs w:val="16"/>
              </w:rPr>
            </w:pPr>
            <w:r w:rsidRPr="00E64A61">
              <w:rPr>
                <w:rFonts w:ascii="Calibri" w:hAnsi="Calibri" w:cs="Calibri"/>
                <w:color w:val="000000"/>
                <w:sz w:val="16"/>
                <w:szCs w:val="16"/>
              </w:rPr>
              <w:t>45° 20' 45.2" N</w:t>
            </w:r>
          </w:p>
        </w:tc>
        <w:tc>
          <w:tcPr>
            <w:tcW w:w="1237" w:type="dxa"/>
            <w:vAlign w:val="center"/>
          </w:tcPr>
          <w:p w:rsidR="004325DB" w:rsidRPr="00E64A61" w:rsidP="00EB7336">
            <w:pPr>
              <w:jc w:val="center"/>
              <w:rPr>
                <w:sz w:val="16"/>
                <w:szCs w:val="16"/>
              </w:rPr>
            </w:pPr>
            <w:r w:rsidRPr="00E64A61">
              <w:rPr>
                <w:rFonts w:ascii="Calibri" w:hAnsi="Calibri" w:cs="Calibri"/>
                <w:color w:val="000000"/>
                <w:sz w:val="16"/>
                <w:szCs w:val="16"/>
              </w:rPr>
              <w:t>68° 30' 24.6" W</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201.6</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41.148</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43.65</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148.5</w:t>
            </w:r>
          </w:p>
        </w:tc>
      </w:tr>
      <w:tr w:rsidTr="00EB7336">
        <w:tblPrEx>
          <w:tblW w:w="9445" w:type="dxa"/>
          <w:jc w:val="center"/>
          <w:tblLook w:val="04A0"/>
        </w:tblPrEx>
        <w:trPr>
          <w:trHeight w:hRule="exact" w:val="288"/>
          <w:jc w:val="center"/>
        </w:trPr>
        <w:tc>
          <w:tcPr>
            <w:tcW w:w="1236" w:type="dxa"/>
            <w:tcBorders>
              <w:top w:val="nil"/>
              <w:bottom w:val="nil"/>
            </w:tcBorders>
            <w:vAlign w:val="center"/>
          </w:tcPr>
          <w:p w:rsidR="004325DB" w:rsidRPr="00E64A61" w:rsidP="00EB7336">
            <w:pPr>
              <w:rPr>
                <w:rFonts w:asciiTheme="minorHAnsi" w:hAnsiTheme="minorHAnsi" w:cstheme="minorHAnsi"/>
                <w:sz w:val="16"/>
                <w:szCs w:val="16"/>
              </w:rPr>
            </w:pPr>
          </w:p>
        </w:tc>
        <w:tc>
          <w:tcPr>
            <w:tcW w:w="1236" w:type="dxa"/>
            <w:vAlign w:val="center"/>
          </w:tcPr>
          <w:p w:rsidR="004325DB" w:rsidRPr="00E64A61" w:rsidP="00EB7336">
            <w:pPr>
              <w:rPr>
                <w:rFonts w:asciiTheme="minorHAnsi" w:hAnsiTheme="minorHAnsi" w:cstheme="minorHAnsi"/>
                <w:sz w:val="16"/>
                <w:szCs w:val="16"/>
              </w:rPr>
            </w:pPr>
            <w:r w:rsidRPr="00E64A61">
              <w:rPr>
                <w:rFonts w:asciiTheme="minorHAnsi" w:hAnsiTheme="minorHAnsi" w:cstheme="minorHAnsi"/>
                <w:sz w:val="16"/>
                <w:szCs w:val="16"/>
              </w:rPr>
              <w:t>Musquash Mtn</w:t>
            </w:r>
          </w:p>
        </w:tc>
        <w:tc>
          <w:tcPr>
            <w:tcW w:w="1236" w:type="dxa"/>
            <w:vAlign w:val="center"/>
          </w:tcPr>
          <w:p w:rsidR="004325DB" w:rsidRPr="00E64A61" w:rsidP="00EB7336">
            <w:pPr>
              <w:jc w:val="center"/>
              <w:rPr>
                <w:sz w:val="16"/>
                <w:szCs w:val="16"/>
              </w:rPr>
            </w:pPr>
            <w:r w:rsidRPr="00E64A61">
              <w:rPr>
                <w:rFonts w:ascii="Calibri" w:hAnsi="Calibri" w:cs="Calibri"/>
                <w:color w:val="000000"/>
                <w:sz w:val="16"/>
                <w:szCs w:val="16"/>
              </w:rPr>
              <w:t>45° 23' 19.6" N</w:t>
            </w:r>
          </w:p>
        </w:tc>
        <w:tc>
          <w:tcPr>
            <w:tcW w:w="1237" w:type="dxa"/>
            <w:vAlign w:val="center"/>
          </w:tcPr>
          <w:p w:rsidR="004325DB" w:rsidRPr="00E64A61" w:rsidP="00EB7336">
            <w:pPr>
              <w:jc w:val="center"/>
              <w:rPr>
                <w:sz w:val="16"/>
                <w:szCs w:val="16"/>
              </w:rPr>
            </w:pPr>
            <w:r w:rsidRPr="00E64A61">
              <w:rPr>
                <w:rFonts w:ascii="Calibri" w:hAnsi="Calibri" w:cs="Calibri"/>
                <w:color w:val="000000"/>
                <w:sz w:val="16"/>
                <w:szCs w:val="16"/>
              </w:rPr>
              <w:t>67° 47' 49.2" W</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374.8</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24.384</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26.30</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260.2</w:t>
            </w:r>
          </w:p>
        </w:tc>
      </w:tr>
      <w:tr w:rsidTr="00EB7336">
        <w:tblPrEx>
          <w:tblW w:w="9445" w:type="dxa"/>
          <w:jc w:val="center"/>
          <w:tblLook w:val="04A0"/>
        </w:tblPrEx>
        <w:trPr>
          <w:trHeight w:hRule="exact" w:val="288"/>
          <w:jc w:val="center"/>
        </w:trPr>
        <w:tc>
          <w:tcPr>
            <w:tcW w:w="1236" w:type="dxa"/>
            <w:tcBorders>
              <w:top w:val="nil"/>
            </w:tcBorders>
            <w:vAlign w:val="center"/>
          </w:tcPr>
          <w:p w:rsidR="004325DB" w:rsidRPr="00E64A61" w:rsidP="00EB7336">
            <w:pPr>
              <w:rPr>
                <w:rFonts w:asciiTheme="minorHAnsi" w:hAnsiTheme="minorHAnsi" w:cstheme="minorHAnsi"/>
                <w:sz w:val="16"/>
                <w:szCs w:val="16"/>
              </w:rPr>
            </w:pPr>
          </w:p>
        </w:tc>
        <w:tc>
          <w:tcPr>
            <w:tcW w:w="1236" w:type="dxa"/>
            <w:vAlign w:val="center"/>
          </w:tcPr>
          <w:p w:rsidR="004325DB" w:rsidRPr="00E64A61" w:rsidP="00EB7336">
            <w:pPr>
              <w:rPr>
                <w:rFonts w:asciiTheme="minorHAnsi" w:hAnsiTheme="minorHAnsi" w:cstheme="minorHAnsi"/>
                <w:sz w:val="16"/>
                <w:szCs w:val="16"/>
              </w:rPr>
            </w:pPr>
            <w:r w:rsidRPr="00E64A61">
              <w:rPr>
                <w:rFonts w:asciiTheme="minorHAnsi" w:hAnsiTheme="minorHAnsi" w:cstheme="minorHAnsi"/>
                <w:sz w:val="16"/>
                <w:szCs w:val="16"/>
              </w:rPr>
              <w:t>Patten</w:t>
            </w:r>
          </w:p>
        </w:tc>
        <w:tc>
          <w:tcPr>
            <w:tcW w:w="1236" w:type="dxa"/>
            <w:vAlign w:val="center"/>
          </w:tcPr>
          <w:p w:rsidR="004325DB" w:rsidRPr="00E64A61" w:rsidP="00EB7336">
            <w:pPr>
              <w:jc w:val="center"/>
              <w:rPr>
                <w:sz w:val="16"/>
                <w:szCs w:val="16"/>
              </w:rPr>
            </w:pPr>
            <w:r w:rsidRPr="00E64A61">
              <w:rPr>
                <w:rFonts w:ascii="Calibri" w:hAnsi="Calibri" w:cs="Calibri"/>
                <w:color w:val="000000"/>
                <w:sz w:val="16"/>
                <w:szCs w:val="16"/>
              </w:rPr>
              <w:t>45° 59' 22.7" N</w:t>
            </w:r>
          </w:p>
        </w:tc>
        <w:tc>
          <w:tcPr>
            <w:tcW w:w="1237" w:type="dxa"/>
            <w:vAlign w:val="center"/>
          </w:tcPr>
          <w:p w:rsidR="004325DB" w:rsidRPr="00E64A61" w:rsidP="00EB7336">
            <w:pPr>
              <w:jc w:val="center"/>
              <w:rPr>
                <w:sz w:val="16"/>
                <w:szCs w:val="16"/>
              </w:rPr>
            </w:pPr>
            <w:r w:rsidRPr="00E64A61">
              <w:rPr>
                <w:rFonts w:ascii="Calibri" w:hAnsi="Calibri" w:cs="Calibri"/>
                <w:color w:val="000000"/>
                <w:sz w:val="16"/>
                <w:szCs w:val="16"/>
              </w:rPr>
              <w:t>68° 31' 33.7" W</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275.3</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41.148</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45.71</w:t>
            </w:r>
          </w:p>
        </w:tc>
        <w:tc>
          <w:tcPr>
            <w:tcW w:w="1125" w:type="dxa"/>
            <w:vAlign w:val="center"/>
          </w:tcPr>
          <w:p w:rsidR="004325DB" w:rsidRPr="00E64A61" w:rsidP="00EB7336">
            <w:pPr>
              <w:jc w:val="center"/>
              <w:rPr>
                <w:sz w:val="16"/>
                <w:szCs w:val="16"/>
              </w:rPr>
            </w:pPr>
            <w:r w:rsidRPr="00E64A61">
              <w:rPr>
                <w:rFonts w:ascii="Calibri" w:hAnsi="Calibri" w:cs="Calibri"/>
                <w:color w:val="000000"/>
                <w:sz w:val="16"/>
                <w:szCs w:val="16"/>
              </w:rPr>
              <w:t>131.064</w:t>
            </w:r>
          </w:p>
        </w:tc>
      </w:tr>
    </w:tbl>
    <w:p w:rsidR="004325DB" w:rsidRPr="00E64A61" w:rsidP="004325DB">
      <w:pPr>
        <w:rPr>
          <w:rFonts w:asciiTheme="minorHAnsi" w:hAnsiTheme="minorHAnsi" w:cstheme="minorHAnsi"/>
          <w:sz w:val="16"/>
          <w:szCs w:val="16"/>
        </w:rPr>
      </w:pPr>
    </w:p>
    <w:tbl>
      <w:tblPr>
        <w:tblStyle w:val="TableGrid"/>
        <w:tblW w:w="7015" w:type="dxa"/>
        <w:tblInd w:w="-5" w:type="dxa"/>
        <w:tblLook w:val="04A0"/>
      </w:tblPr>
      <w:tblGrid>
        <w:gridCol w:w="1403"/>
        <w:gridCol w:w="1403"/>
        <w:gridCol w:w="1403"/>
        <w:gridCol w:w="1403"/>
        <w:gridCol w:w="1403"/>
      </w:tblGrid>
      <w:tr w:rsidTr="00EB7336">
        <w:tblPrEx>
          <w:tblW w:w="7015" w:type="dxa"/>
          <w:tblInd w:w="-5" w:type="dxa"/>
          <w:tblLook w:val="04A0"/>
        </w:tblPrEx>
        <w:trPr>
          <w:trHeight w:hRule="exact" w:val="288"/>
          <w:tblHeader/>
        </w:trPr>
        <w:tc>
          <w:tcPr>
            <w:tcW w:w="7015" w:type="dxa"/>
            <w:gridSpan w:val="5"/>
            <w:tcBorders>
              <w:top w:val="nil"/>
              <w:left w:val="nil"/>
              <w:bottom w:val="single" w:sz="4" w:space="0" w:color="auto"/>
              <w:right w:val="nil"/>
            </w:tcBorders>
            <w:vAlign w:val="bottom"/>
          </w:tcPr>
          <w:p w:rsidR="004325DB" w:rsidRPr="00E64A61" w:rsidP="00EB7336">
            <w:pPr>
              <w:rPr>
                <w:rFonts w:asciiTheme="minorHAnsi" w:hAnsiTheme="minorHAnsi" w:cstheme="minorHAnsi"/>
                <w:sz w:val="16"/>
                <w:szCs w:val="16"/>
              </w:rPr>
            </w:pPr>
            <w:bookmarkStart w:id="16" w:name="_Hlk525723905"/>
            <w:r w:rsidRPr="00E64A61">
              <w:rPr>
                <w:rFonts w:asciiTheme="minorHAnsi" w:hAnsiTheme="minorHAnsi" w:cstheme="minorHAnsi"/>
                <w:sz w:val="16"/>
                <w:szCs w:val="16"/>
              </w:rPr>
              <w:t>Transmitter Radial Values – per Section 22.567(d)</w:t>
            </w:r>
          </w:p>
        </w:tc>
      </w:tr>
      <w:tr w:rsidTr="00EB7336">
        <w:tblPrEx>
          <w:tblW w:w="7015" w:type="dxa"/>
          <w:tblInd w:w="-5" w:type="dxa"/>
          <w:tblLook w:val="04A0"/>
        </w:tblPrEx>
        <w:trPr>
          <w:trHeight w:hRule="exact" w:val="432"/>
          <w:tblHeader/>
        </w:trPr>
        <w:tc>
          <w:tcPr>
            <w:tcW w:w="1403" w:type="dxa"/>
            <w:tcBorders>
              <w:bottom w:val="single" w:sz="4" w:space="0" w:color="auto"/>
            </w:tcBorders>
            <w:shd w:val="clear" w:color="auto" w:fill="D9D9FF"/>
            <w:vAlign w:val="center"/>
          </w:tcPr>
          <w:p w:rsidR="004325DB" w:rsidRPr="00E64A61" w:rsidP="00EB7336">
            <w:pPr>
              <w:rPr>
                <w:rFonts w:asciiTheme="minorHAnsi" w:hAnsiTheme="minorHAnsi" w:cstheme="minorHAnsi"/>
                <w:b/>
                <w:sz w:val="16"/>
                <w:szCs w:val="16"/>
              </w:rPr>
            </w:pPr>
            <w:r w:rsidRPr="00E64A61">
              <w:rPr>
                <w:rFonts w:asciiTheme="minorHAnsi" w:hAnsiTheme="minorHAnsi" w:cstheme="minorHAnsi"/>
                <w:b/>
                <w:sz w:val="16"/>
                <w:szCs w:val="16"/>
              </w:rPr>
              <w:t>Location</w:t>
            </w:r>
          </w:p>
        </w:tc>
        <w:tc>
          <w:tcPr>
            <w:tcW w:w="1403" w:type="dxa"/>
            <w:shd w:val="clear" w:color="auto" w:fill="D9D9FF"/>
            <w:vAlign w:val="center"/>
          </w:tcPr>
          <w:p w:rsidR="004325DB" w:rsidRPr="00E64A61" w:rsidP="00EB7336">
            <w:pPr>
              <w:jc w:val="center"/>
              <w:rPr>
                <w:rFonts w:asciiTheme="minorHAnsi" w:hAnsiTheme="minorHAnsi" w:cstheme="minorHAnsi"/>
                <w:b/>
                <w:sz w:val="16"/>
                <w:szCs w:val="16"/>
              </w:rPr>
            </w:pPr>
            <w:r w:rsidRPr="00E64A61">
              <w:rPr>
                <w:rFonts w:asciiTheme="minorHAnsi" w:hAnsiTheme="minorHAnsi" w:cstheme="minorHAnsi"/>
                <w:b/>
                <w:sz w:val="16"/>
                <w:szCs w:val="16"/>
              </w:rPr>
              <w:t>Azimuth</w:t>
            </w:r>
          </w:p>
        </w:tc>
        <w:tc>
          <w:tcPr>
            <w:tcW w:w="1403" w:type="dxa"/>
            <w:shd w:val="clear" w:color="auto" w:fill="D9D9FF"/>
            <w:vAlign w:val="center"/>
          </w:tcPr>
          <w:p w:rsidR="004325DB" w:rsidRPr="00E64A61" w:rsidP="00EB7336">
            <w:pPr>
              <w:jc w:val="center"/>
              <w:rPr>
                <w:rFonts w:asciiTheme="minorHAnsi" w:hAnsiTheme="minorHAnsi" w:cstheme="minorHAnsi"/>
                <w:b/>
                <w:sz w:val="16"/>
                <w:szCs w:val="16"/>
              </w:rPr>
            </w:pPr>
            <w:r w:rsidRPr="00E64A61">
              <w:rPr>
                <w:rFonts w:asciiTheme="minorHAnsi" w:hAnsiTheme="minorHAnsi" w:cstheme="minorHAnsi"/>
                <w:b/>
                <w:sz w:val="16"/>
                <w:szCs w:val="16"/>
              </w:rPr>
              <w:t>HAAT (m)</w:t>
            </w:r>
          </w:p>
        </w:tc>
        <w:tc>
          <w:tcPr>
            <w:tcW w:w="1403" w:type="dxa"/>
            <w:shd w:val="clear" w:color="auto" w:fill="D9D9FF"/>
            <w:vAlign w:val="center"/>
          </w:tcPr>
          <w:p w:rsidR="004325DB" w:rsidRPr="00E64A61" w:rsidP="00EB7336">
            <w:pPr>
              <w:jc w:val="center"/>
              <w:rPr>
                <w:rFonts w:asciiTheme="minorHAnsi" w:hAnsiTheme="minorHAnsi" w:cstheme="minorHAnsi"/>
                <w:b/>
                <w:sz w:val="16"/>
                <w:szCs w:val="16"/>
              </w:rPr>
            </w:pPr>
            <w:r w:rsidRPr="00E64A61">
              <w:rPr>
                <w:rFonts w:asciiTheme="minorHAnsi" w:hAnsiTheme="minorHAnsi" w:cstheme="minorHAnsi"/>
                <w:b/>
                <w:sz w:val="16"/>
                <w:szCs w:val="16"/>
              </w:rPr>
              <w:t>ERP (W)</w:t>
            </w:r>
          </w:p>
        </w:tc>
        <w:tc>
          <w:tcPr>
            <w:tcW w:w="1403" w:type="dxa"/>
            <w:shd w:val="clear" w:color="auto" w:fill="D9D9FF"/>
            <w:vAlign w:val="center"/>
          </w:tcPr>
          <w:p w:rsidR="004325DB" w:rsidRPr="00E64A61" w:rsidP="00EB7336">
            <w:pPr>
              <w:jc w:val="center"/>
              <w:rPr>
                <w:rFonts w:asciiTheme="minorHAnsi" w:hAnsiTheme="minorHAnsi" w:cstheme="minorHAnsi"/>
                <w:b/>
                <w:sz w:val="16"/>
                <w:szCs w:val="16"/>
              </w:rPr>
            </w:pPr>
            <w:r w:rsidRPr="00E64A61">
              <w:rPr>
                <w:rFonts w:asciiTheme="minorHAnsi" w:hAnsiTheme="minorHAnsi" w:cstheme="minorHAnsi"/>
                <w:b/>
                <w:sz w:val="16"/>
                <w:szCs w:val="16"/>
              </w:rPr>
              <w:t>Distance (km)</w:t>
            </w:r>
          </w:p>
        </w:tc>
      </w:tr>
      <w:tr w:rsidTr="00EB7336">
        <w:tblPrEx>
          <w:tblW w:w="7015" w:type="dxa"/>
          <w:tblInd w:w="-5" w:type="dxa"/>
          <w:tblLook w:val="04A0"/>
        </w:tblPrEx>
        <w:trPr>
          <w:trHeight w:hRule="exact" w:val="288"/>
        </w:trPr>
        <w:tc>
          <w:tcPr>
            <w:tcW w:w="1403" w:type="dxa"/>
            <w:tcBorders>
              <w:bottom w:val="nil"/>
            </w:tcBorders>
            <w:vAlign w:val="center"/>
          </w:tcPr>
          <w:p w:rsidR="004325DB" w:rsidRPr="00003DBD" w:rsidP="00EB7336">
            <w:pPr>
              <w:rPr>
                <w:rFonts w:asciiTheme="minorHAnsi" w:hAnsiTheme="minorHAnsi" w:cstheme="minorHAnsi"/>
                <w:b/>
                <w:sz w:val="16"/>
                <w:szCs w:val="16"/>
              </w:rPr>
            </w:pPr>
            <w:bookmarkEnd w:id="16"/>
            <w:r w:rsidRPr="00003DBD">
              <w:rPr>
                <w:rFonts w:asciiTheme="minorHAnsi" w:hAnsiTheme="minorHAnsi" w:cstheme="minorHAnsi"/>
                <w:b/>
                <w:sz w:val="16"/>
                <w:szCs w:val="16"/>
              </w:rPr>
              <w:t>Spencer Mtn</w:t>
            </w:r>
          </w:p>
        </w:tc>
        <w:tc>
          <w:tcPr>
            <w:tcW w:w="1403" w:type="dxa"/>
            <w:vAlign w:val="center"/>
          </w:tcPr>
          <w:p w:rsidR="004325DB" w:rsidRPr="00FF5D32" w:rsidP="00EB7336">
            <w:pPr>
              <w:jc w:val="center"/>
              <w:rPr>
                <w:rFonts w:asciiTheme="minorHAnsi" w:hAnsiTheme="minorHAnsi" w:cstheme="minorHAnsi"/>
                <w:color w:val="000000"/>
                <w:sz w:val="16"/>
                <w:szCs w:val="16"/>
              </w:rPr>
            </w:pPr>
            <w:r w:rsidRPr="00FF5D32">
              <w:rPr>
                <w:rFonts w:asciiTheme="minorHAnsi" w:hAnsiTheme="minorHAnsi" w:cstheme="minorHAnsi"/>
                <w:color w:val="000000"/>
                <w:sz w:val="16"/>
                <w:szCs w:val="16"/>
              </w:rPr>
              <w:t>0</w:t>
            </w:r>
          </w:p>
        </w:tc>
        <w:tc>
          <w:tcPr>
            <w:tcW w:w="1403" w:type="dxa"/>
            <w:vAlign w:val="center"/>
          </w:tcPr>
          <w:p w:rsidR="004325DB" w:rsidRPr="00FF5D32" w:rsidP="00EB7336">
            <w:pPr>
              <w:jc w:val="center"/>
              <w:rPr>
                <w:rFonts w:asciiTheme="minorHAnsi" w:hAnsiTheme="minorHAnsi" w:cstheme="minorHAnsi"/>
                <w:color w:val="000000"/>
                <w:sz w:val="16"/>
                <w:szCs w:val="16"/>
              </w:rPr>
            </w:pPr>
            <w:r w:rsidRPr="00FF5D32">
              <w:rPr>
                <w:rFonts w:asciiTheme="minorHAnsi" w:hAnsiTheme="minorHAnsi" w:cstheme="minorHAnsi"/>
                <w:color w:val="000000"/>
                <w:sz w:val="16"/>
                <w:szCs w:val="16"/>
              </w:rPr>
              <w:t>609.3</w:t>
            </w:r>
          </w:p>
        </w:tc>
        <w:tc>
          <w:tcPr>
            <w:tcW w:w="1403" w:type="dxa"/>
            <w:vAlign w:val="center"/>
          </w:tcPr>
          <w:p w:rsidR="004325DB" w:rsidRPr="00FF5D32" w:rsidP="00EB7336">
            <w:pPr>
              <w:jc w:val="center"/>
              <w:rPr>
                <w:rFonts w:asciiTheme="minorHAnsi" w:hAnsiTheme="minorHAnsi" w:cstheme="minorHAnsi"/>
                <w:color w:val="000000"/>
                <w:sz w:val="16"/>
                <w:szCs w:val="16"/>
              </w:rPr>
            </w:pPr>
            <w:r w:rsidRPr="00FF5D32">
              <w:rPr>
                <w:rFonts w:asciiTheme="minorHAnsi" w:hAnsiTheme="minorHAnsi" w:cstheme="minorHAnsi"/>
                <w:color w:val="000000"/>
                <w:sz w:val="16"/>
                <w:szCs w:val="16"/>
              </w:rPr>
              <w:t>48.5</w:t>
            </w:r>
          </w:p>
        </w:tc>
        <w:tc>
          <w:tcPr>
            <w:tcW w:w="1403" w:type="dxa"/>
            <w:vAlign w:val="center"/>
          </w:tcPr>
          <w:p w:rsidR="004325DB" w:rsidRPr="00FF5D32" w:rsidP="00EB7336">
            <w:pPr>
              <w:jc w:val="center"/>
              <w:rPr>
                <w:rFonts w:asciiTheme="minorHAnsi" w:hAnsiTheme="minorHAnsi" w:cstheme="minorHAnsi"/>
                <w:color w:val="000000"/>
                <w:sz w:val="16"/>
                <w:szCs w:val="16"/>
              </w:rPr>
            </w:pPr>
            <w:r w:rsidRPr="00FF5D32">
              <w:rPr>
                <w:rFonts w:asciiTheme="minorHAnsi" w:hAnsiTheme="minorHAnsi" w:cstheme="minorHAnsi"/>
                <w:color w:val="000000"/>
                <w:sz w:val="16"/>
                <w:szCs w:val="16"/>
              </w:rPr>
              <w:t>92.6</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F5D32" w:rsidP="00EB7336">
            <w:pPr>
              <w:jc w:val="center"/>
              <w:rPr>
                <w:rFonts w:asciiTheme="minorHAnsi" w:hAnsiTheme="minorHAnsi" w:cstheme="minorHAnsi"/>
                <w:color w:val="000000"/>
                <w:sz w:val="16"/>
                <w:szCs w:val="16"/>
              </w:rPr>
            </w:pPr>
            <w:r w:rsidRPr="00FF5D32">
              <w:rPr>
                <w:rFonts w:asciiTheme="minorHAnsi" w:hAnsiTheme="minorHAnsi" w:cstheme="minorHAnsi"/>
                <w:color w:val="000000"/>
                <w:sz w:val="16"/>
                <w:szCs w:val="16"/>
              </w:rPr>
              <w:t>45</w:t>
            </w:r>
          </w:p>
        </w:tc>
        <w:tc>
          <w:tcPr>
            <w:tcW w:w="1403" w:type="dxa"/>
            <w:vAlign w:val="center"/>
          </w:tcPr>
          <w:p w:rsidR="004325DB" w:rsidRPr="00FF5D32" w:rsidP="00EB7336">
            <w:pPr>
              <w:jc w:val="center"/>
              <w:rPr>
                <w:rFonts w:asciiTheme="minorHAnsi" w:hAnsiTheme="minorHAnsi" w:cstheme="minorHAnsi"/>
                <w:color w:val="000000"/>
                <w:sz w:val="16"/>
                <w:szCs w:val="16"/>
              </w:rPr>
            </w:pPr>
            <w:r w:rsidRPr="00FF5D32">
              <w:rPr>
                <w:rFonts w:asciiTheme="minorHAnsi" w:hAnsiTheme="minorHAnsi" w:cstheme="minorHAnsi"/>
                <w:color w:val="000000"/>
                <w:sz w:val="16"/>
                <w:szCs w:val="16"/>
              </w:rPr>
              <w:t> 619.8</w:t>
            </w:r>
          </w:p>
        </w:tc>
        <w:tc>
          <w:tcPr>
            <w:tcW w:w="1403" w:type="dxa"/>
            <w:vAlign w:val="center"/>
          </w:tcPr>
          <w:p w:rsidR="004325DB" w:rsidRPr="00FF5D32" w:rsidP="00EB7336">
            <w:pPr>
              <w:jc w:val="center"/>
              <w:rPr>
                <w:rFonts w:asciiTheme="minorHAnsi" w:hAnsiTheme="minorHAnsi" w:cstheme="minorHAnsi"/>
                <w:color w:val="000000"/>
                <w:sz w:val="16"/>
                <w:szCs w:val="16"/>
              </w:rPr>
            </w:pPr>
            <w:r w:rsidRPr="00FF5D32">
              <w:rPr>
                <w:rFonts w:asciiTheme="minorHAnsi" w:hAnsiTheme="minorHAnsi" w:cstheme="minorHAnsi"/>
                <w:color w:val="000000"/>
                <w:sz w:val="16"/>
                <w:szCs w:val="16"/>
              </w:rPr>
              <w:t>48.5</w:t>
            </w:r>
          </w:p>
        </w:tc>
        <w:tc>
          <w:tcPr>
            <w:tcW w:w="1403" w:type="dxa"/>
            <w:vAlign w:val="center"/>
          </w:tcPr>
          <w:p w:rsidR="004325DB" w:rsidRPr="00FF5D32" w:rsidP="00EB7336">
            <w:pPr>
              <w:jc w:val="center"/>
              <w:rPr>
                <w:rFonts w:asciiTheme="minorHAnsi" w:hAnsiTheme="minorHAnsi" w:cstheme="minorHAnsi"/>
                <w:color w:val="000000"/>
                <w:sz w:val="16"/>
                <w:szCs w:val="16"/>
              </w:rPr>
            </w:pPr>
            <w:r w:rsidRPr="00FF5D32">
              <w:rPr>
                <w:rFonts w:asciiTheme="minorHAnsi" w:hAnsiTheme="minorHAnsi" w:cstheme="minorHAnsi"/>
                <w:color w:val="000000"/>
                <w:sz w:val="16"/>
                <w:szCs w:val="16"/>
              </w:rPr>
              <w:t>93.0</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F5D32" w:rsidP="00EB7336">
            <w:pPr>
              <w:jc w:val="center"/>
              <w:rPr>
                <w:rFonts w:asciiTheme="minorHAnsi" w:hAnsiTheme="minorHAnsi" w:cstheme="minorHAnsi"/>
                <w:color w:val="000000"/>
                <w:sz w:val="16"/>
                <w:szCs w:val="16"/>
              </w:rPr>
            </w:pPr>
            <w:r w:rsidRPr="00FF5D32">
              <w:rPr>
                <w:rFonts w:asciiTheme="minorHAnsi" w:hAnsiTheme="minorHAnsi" w:cstheme="minorHAnsi"/>
                <w:color w:val="000000"/>
                <w:sz w:val="16"/>
                <w:szCs w:val="16"/>
              </w:rPr>
              <w:t>90</w:t>
            </w:r>
          </w:p>
        </w:tc>
        <w:tc>
          <w:tcPr>
            <w:tcW w:w="1403" w:type="dxa"/>
            <w:vAlign w:val="center"/>
          </w:tcPr>
          <w:p w:rsidR="004325DB" w:rsidRPr="00FF5D32" w:rsidP="00EB7336">
            <w:pPr>
              <w:jc w:val="center"/>
              <w:rPr>
                <w:rFonts w:asciiTheme="minorHAnsi" w:hAnsiTheme="minorHAnsi" w:cstheme="minorHAnsi"/>
                <w:color w:val="000000"/>
                <w:sz w:val="16"/>
                <w:szCs w:val="16"/>
              </w:rPr>
            </w:pPr>
            <w:r w:rsidRPr="00FF5D32">
              <w:rPr>
                <w:rFonts w:asciiTheme="minorHAnsi" w:hAnsiTheme="minorHAnsi" w:cstheme="minorHAnsi"/>
                <w:color w:val="000000"/>
                <w:sz w:val="16"/>
                <w:szCs w:val="16"/>
              </w:rPr>
              <w:t> 622.2</w:t>
            </w:r>
          </w:p>
        </w:tc>
        <w:tc>
          <w:tcPr>
            <w:tcW w:w="1403" w:type="dxa"/>
            <w:vAlign w:val="center"/>
          </w:tcPr>
          <w:p w:rsidR="004325DB" w:rsidRPr="00FF5D32" w:rsidP="00EB7336">
            <w:pPr>
              <w:jc w:val="center"/>
              <w:rPr>
                <w:rFonts w:asciiTheme="minorHAnsi" w:hAnsiTheme="minorHAnsi" w:cstheme="minorHAnsi"/>
                <w:color w:val="000000"/>
                <w:sz w:val="16"/>
                <w:szCs w:val="16"/>
              </w:rPr>
            </w:pPr>
            <w:r w:rsidRPr="00FF5D32">
              <w:rPr>
                <w:rFonts w:asciiTheme="minorHAnsi" w:hAnsiTheme="minorHAnsi" w:cstheme="minorHAnsi"/>
                <w:color w:val="000000"/>
                <w:sz w:val="16"/>
                <w:szCs w:val="16"/>
              </w:rPr>
              <w:t> 48.5</w:t>
            </w:r>
          </w:p>
        </w:tc>
        <w:tc>
          <w:tcPr>
            <w:tcW w:w="1403" w:type="dxa"/>
            <w:vAlign w:val="center"/>
          </w:tcPr>
          <w:p w:rsidR="004325DB" w:rsidRPr="00FF5D32" w:rsidP="00EB7336">
            <w:pPr>
              <w:jc w:val="center"/>
              <w:rPr>
                <w:rFonts w:asciiTheme="minorHAnsi" w:hAnsiTheme="minorHAnsi" w:cstheme="minorHAnsi"/>
                <w:color w:val="000000"/>
                <w:sz w:val="16"/>
                <w:szCs w:val="16"/>
              </w:rPr>
            </w:pPr>
            <w:r w:rsidRPr="00FF5D32">
              <w:rPr>
                <w:rFonts w:asciiTheme="minorHAnsi" w:hAnsiTheme="minorHAnsi" w:cstheme="minorHAnsi"/>
                <w:color w:val="000000"/>
                <w:sz w:val="16"/>
                <w:szCs w:val="16"/>
              </w:rPr>
              <w:t>93.1</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F5D32" w:rsidP="00EB7336">
            <w:pPr>
              <w:jc w:val="center"/>
              <w:rPr>
                <w:rFonts w:asciiTheme="minorHAnsi" w:hAnsiTheme="minorHAnsi" w:cstheme="minorHAnsi"/>
                <w:color w:val="000000"/>
                <w:sz w:val="16"/>
                <w:szCs w:val="16"/>
              </w:rPr>
            </w:pPr>
            <w:r w:rsidRPr="00FF5D32">
              <w:rPr>
                <w:rFonts w:asciiTheme="minorHAnsi" w:hAnsiTheme="minorHAnsi" w:cstheme="minorHAnsi"/>
                <w:color w:val="000000"/>
                <w:sz w:val="16"/>
                <w:szCs w:val="16"/>
              </w:rPr>
              <w:t>135</w:t>
            </w:r>
          </w:p>
        </w:tc>
        <w:tc>
          <w:tcPr>
            <w:tcW w:w="1403" w:type="dxa"/>
            <w:vAlign w:val="center"/>
          </w:tcPr>
          <w:p w:rsidR="004325DB" w:rsidRPr="00FF5D32" w:rsidP="00EB7336">
            <w:pPr>
              <w:jc w:val="center"/>
              <w:rPr>
                <w:rFonts w:asciiTheme="minorHAnsi" w:hAnsiTheme="minorHAnsi" w:cstheme="minorHAnsi"/>
                <w:color w:val="000000"/>
                <w:sz w:val="16"/>
                <w:szCs w:val="16"/>
              </w:rPr>
            </w:pPr>
            <w:r w:rsidRPr="00FF5D32">
              <w:rPr>
                <w:rFonts w:asciiTheme="minorHAnsi" w:hAnsiTheme="minorHAnsi" w:cstheme="minorHAnsi"/>
                <w:color w:val="000000"/>
                <w:sz w:val="16"/>
                <w:szCs w:val="16"/>
              </w:rPr>
              <w:t> 565.5</w:t>
            </w:r>
          </w:p>
        </w:tc>
        <w:tc>
          <w:tcPr>
            <w:tcW w:w="1403" w:type="dxa"/>
            <w:vAlign w:val="center"/>
          </w:tcPr>
          <w:p w:rsidR="004325DB" w:rsidRPr="00FF5D32" w:rsidP="00EB7336">
            <w:pPr>
              <w:jc w:val="center"/>
              <w:rPr>
                <w:rFonts w:asciiTheme="minorHAnsi" w:hAnsiTheme="minorHAnsi" w:cstheme="minorHAnsi"/>
                <w:color w:val="000000"/>
                <w:sz w:val="16"/>
                <w:szCs w:val="16"/>
              </w:rPr>
            </w:pPr>
            <w:r w:rsidRPr="00FF5D32">
              <w:rPr>
                <w:rFonts w:asciiTheme="minorHAnsi" w:hAnsiTheme="minorHAnsi" w:cstheme="minorHAnsi"/>
                <w:color w:val="000000"/>
                <w:sz w:val="16"/>
                <w:szCs w:val="16"/>
              </w:rPr>
              <w:t> 48.5</w:t>
            </w:r>
          </w:p>
        </w:tc>
        <w:tc>
          <w:tcPr>
            <w:tcW w:w="1403" w:type="dxa"/>
            <w:vAlign w:val="center"/>
          </w:tcPr>
          <w:p w:rsidR="004325DB" w:rsidRPr="00FF5D32" w:rsidP="00EB7336">
            <w:pPr>
              <w:jc w:val="center"/>
              <w:rPr>
                <w:rFonts w:asciiTheme="minorHAnsi" w:hAnsiTheme="minorHAnsi" w:cstheme="minorHAnsi"/>
                <w:color w:val="000000"/>
                <w:sz w:val="16"/>
                <w:szCs w:val="16"/>
              </w:rPr>
            </w:pPr>
            <w:r w:rsidRPr="00FF5D32">
              <w:rPr>
                <w:rFonts w:asciiTheme="minorHAnsi" w:hAnsiTheme="minorHAnsi" w:cstheme="minorHAnsi"/>
                <w:color w:val="000000"/>
                <w:sz w:val="16"/>
                <w:szCs w:val="16"/>
              </w:rPr>
              <w:t>91.0</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F5D32" w:rsidP="00EB7336">
            <w:pPr>
              <w:jc w:val="center"/>
              <w:rPr>
                <w:rFonts w:asciiTheme="minorHAnsi" w:hAnsiTheme="minorHAnsi" w:cstheme="minorHAnsi"/>
                <w:color w:val="000000"/>
                <w:sz w:val="16"/>
                <w:szCs w:val="16"/>
              </w:rPr>
            </w:pPr>
            <w:r w:rsidRPr="00FF5D32">
              <w:rPr>
                <w:rFonts w:asciiTheme="minorHAnsi" w:hAnsiTheme="minorHAnsi" w:cstheme="minorHAnsi"/>
                <w:color w:val="000000"/>
                <w:sz w:val="16"/>
                <w:szCs w:val="16"/>
              </w:rPr>
              <w:t>180</w:t>
            </w:r>
          </w:p>
        </w:tc>
        <w:tc>
          <w:tcPr>
            <w:tcW w:w="1403" w:type="dxa"/>
            <w:vAlign w:val="center"/>
          </w:tcPr>
          <w:p w:rsidR="004325DB" w:rsidRPr="00FF5D32" w:rsidP="00EB7336">
            <w:pPr>
              <w:jc w:val="center"/>
              <w:rPr>
                <w:rFonts w:asciiTheme="minorHAnsi" w:hAnsiTheme="minorHAnsi" w:cstheme="minorHAnsi"/>
                <w:color w:val="000000"/>
                <w:sz w:val="16"/>
                <w:szCs w:val="16"/>
              </w:rPr>
            </w:pPr>
            <w:r w:rsidRPr="00FF5D32">
              <w:rPr>
                <w:rFonts w:asciiTheme="minorHAnsi" w:hAnsiTheme="minorHAnsi" w:cstheme="minorHAnsi"/>
                <w:color w:val="000000"/>
                <w:sz w:val="16"/>
                <w:szCs w:val="16"/>
              </w:rPr>
              <w:t> 573.4</w:t>
            </w:r>
          </w:p>
        </w:tc>
        <w:tc>
          <w:tcPr>
            <w:tcW w:w="1403" w:type="dxa"/>
            <w:vAlign w:val="center"/>
          </w:tcPr>
          <w:p w:rsidR="004325DB" w:rsidRPr="00FF5D32" w:rsidP="00EB7336">
            <w:pPr>
              <w:jc w:val="center"/>
              <w:rPr>
                <w:rFonts w:asciiTheme="minorHAnsi" w:hAnsiTheme="minorHAnsi" w:cstheme="minorHAnsi"/>
                <w:color w:val="000000"/>
                <w:sz w:val="16"/>
                <w:szCs w:val="16"/>
              </w:rPr>
            </w:pPr>
            <w:r w:rsidRPr="00FF5D32">
              <w:rPr>
                <w:rFonts w:asciiTheme="minorHAnsi" w:hAnsiTheme="minorHAnsi" w:cstheme="minorHAnsi"/>
                <w:color w:val="000000"/>
                <w:sz w:val="16"/>
                <w:szCs w:val="16"/>
              </w:rPr>
              <w:t> 48.5</w:t>
            </w:r>
          </w:p>
        </w:tc>
        <w:tc>
          <w:tcPr>
            <w:tcW w:w="1403" w:type="dxa"/>
            <w:vAlign w:val="center"/>
          </w:tcPr>
          <w:p w:rsidR="004325DB" w:rsidRPr="00FF5D32" w:rsidP="00EB7336">
            <w:pPr>
              <w:jc w:val="center"/>
              <w:rPr>
                <w:rFonts w:asciiTheme="minorHAnsi" w:hAnsiTheme="minorHAnsi" w:cstheme="minorHAnsi"/>
                <w:color w:val="000000"/>
                <w:sz w:val="16"/>
                <w:szCs w:val="16"/>
              </w:rPr>
            </w:pPr>
            <w:r w:rsidRPr="00FF5D32">
              <w:rPr>
                <w:rFonts w:asciiTheme="minorHAnsi" w:hAnsiTheme="minorHAnsi" w:cstheme="minorHAnsi"/>
                <w:color w:val="000000"/>
                <w:sz w:val="16"/>
                <w:szCs w:val="16"/>
              </w:rPr>
              <w:t>91.3</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F5D32" w:rsidP="00EB7336">
            <w:pPr>
              <w:jc w:val="center"/>
              <w:rPr>
                <w:rFonts w:asciiTheme="minorHAnsi" w:hAnsiTheme="minorHAnsi" w:cstheme="minorHAnsi"/>
                <w:color w:val="000000"/>
                <w:sz w:val="16"/>
                <w:szCs w:val="16"/>
              </w:rPr>
            </w:pPr>
            <w:r w:rsidRPr="00FF5D32">
              <w:rPr>
                <w:rFonts w:asciiTheme="minorHAnsi" w:hAnsiTheme="minorHAnsi" w:cstheme="minorHAnsi"/>
                <w:color w:val="000000"/>
                <w:sz w:val="16"/>
                <w:szCs w:val="16"/>
              </w:rPr>
              <w:t>225</w:t>
            </w:r>
          </w:p>
        </w:tc>
        <w:tc>
          <w:tcPr>
            <w:tcW w:w="1403" w:type="dxa"/>
            <w:vAlign w:val="center"/>
          </w:tcPr>
          <w:p w:rsidR="004325DB" w:rsidRPr="00FF5D32" w:rsidP="00EB7336">
            <w:pPr>
              <w:jc w:val="center"/>
              <w:rPr>
                <w:rFonts w:asciiTheme="minorHAnsi" w:hAnsiTheme="minorHAnsi" w:cstheme="minorHAnsi"/>
                <w:color w:val="000000"/>
                <w:sz w:val="16"/>
                <w:szCs w:val="16"/>
              </w:rPr>
            </w:pPr>
            <w:r w:rsidRPr="00FF5D32">
              <w:rPr>
                <w:rFonts w:asciiTheme="minorHAnsi" w:hAnsiTheme="minorHAnsi" w:cstheme="minorHAnsi"/>
                <w:color w:val="000000"/>
                <w:sz w:val="16"/>
                <w:szCs w:val="16"/>
              </w:rPr>
              <w:t>608 </w:t>
            </w:r>
          </w:p>
        </w:tc>
        <w:tc>
          <w:tcPr>
            <w:tcW w:w="1403" w:type="dxa"/>
            <w:vAlign w:val="center"/>
          </w:tcPr>
          <w:p w:rsidR="004325DB" w:rsidRPr="00FF5D32" w:rsidP="00EB7336">
            <w:pPr>
              <w:jc w:val="center"/>
              <w:rPr>
                <w:rFonts w:asciiTheme="minorHAnsi" w:hAnsiTheme="minorHAnsi" w:cstheme="minorHAnsi"/>
                <w:color w:val="000000"/>
                <w:sz w:val="16"/>
                <w:szCs w:val="16"/>
              </w:rPr>
            </w:pPr>
            <w:r w:rsidRPr="00FF5D32">
              <w:rPr>
                <w:rFonts w:asciiTheme="minorHAnsi" w:hAnsiTheme="minorHAnsi" w:cstheme="minorHAnsi"/>
                <w:color w:val="000000"/>
                <w:sz w:val="16"/>
                <w:szCs w:val="16"/>
              </w:rPr>
              <w:t> 48.5</w:t>
            </w:r>
          </w:p>
        </w:tc>
        <w:tc>
          <w:tcPr>
            <w:tcW w:w="1403" w:type="dxa"/>
            <w:vAlign w:val="center"/>
          </w:tcPr>
          <w:p w:rsidR="004325DB" w:rsidRPr="00FF5D32" w:rsidP="00EB7336">
            <w:pPr>
              <w:jc w:val="center"/>
              <w:rPr>
                <w:rFonts w:asciiTheme="minorHAnsi" w:hAnsiTheme="minorHAnsi" w:cstheme="minorHAnsi"/>
                <w:color w:val="000000"/>
                <w:sz w:val="16"/>
                <w:szCs w:val="16"/>
              </w:rPr>
            </w:pPr>
            <w:r w:rsidRPr="00FF5D32">
              <w:rPr>
                <w:rFonts w:asciiTheme="minorHAnsi" w:hAnsiTheme="minorHAnsi" w:cstheme="minorHAnsi"/>
                <w:color w:val="000000"/>
                <w:sz w:val="16"/>
                <w:szCs w:val="16"/>
              </w:rPr>
              <w:t>92.6</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F5D32" w:rsidP="00EB7336">
            <w:pPr>
              <w:jc w:val="center"/>
              <w:rPr>
                <w:rFonts w:asciiTheme="minorHAnsi" w:hAnsiTheme="minorHAnsi" w:cstheme="minorHAnsi"/>
                <w:color w:val="000000"/>
                <w:sz w:val="16"/>
                <w:szCs w:val="16"/>
              </w:rPr>
            </w:pPr>
            <w:r w:rsidRPr="00FF5D32">
              <w:rPr>
                <w:rFonts w:asciiTheme="minorHAnsi" w:hAnsiTheme="minorHAnsi" w:cstheme="minorHAnsi"/>
                <w:color w:val="000000"/>
                <w:sz w:val="16"/>
                <w:szCs w:val="16"/>
              </w:rPr>
              <w:t>270</w:t>
            </w:r>
          </w:p>
        </w:tc>
        <w:tc>
          <w:tcPr>
            <w:tcW w:w="1403" w:type="dxa"/>
            <w:vAlign w:val="center"/>
          </w:tcPr>
          <w:p w:rsidR="004325DB" w:rsidRPr="00FF5D32" w:rsidP="00EB7336">
            <w:pPr>
              <w:jc w:val="center"/>
              <w:rPr>
                <w:rFonts w:asciiTheme="minorHAnsi" w:hAnsiTheme="minorHAnsi" w:cstheme="minorHAnsi"/>
                <w:color w:val="000000"/>
                <w:sz w:val="16"/>
                <w:szCs w:val="16"/>
              </w:rPr>
            </w:pPr>
            <w:r w:rsidRPr="00FF5D32">
              <w:rPr>
                <w:rFonts w:asciiTheme="minorHAnsi" w:hAnsiTheme="minorHAnsi" w:cstheme="minorHAnsi"/>
                <w:color w:val="000000"/>
                <w:sz w:val="16"/>
                <w:szCs w:val="16"/>
              </w:rPr>
              <w:t>595 </w:t>
            </w:r>
          </w:p>
        </w:tc>
        <w:tc>
          <w:tcPr>
            <w:tcW w:w="1403" w:type="dxa"/>
            <w:vAlign w:val="center"/>
          </w:tcPr>
          <w:p w:rsidR="004325DB" w:rsidRPr="00FF5D32" w:rsidP="00EB7336">
            <w:pPr>
              <w:jc w:val="center"/>
              <w:rPr>
                <w:rFonts w:asciiTheme="minorHAnsi" w:hAnsiTheme="minorHAnsi" w:cstheme="minorHAnsi"/>
                <w:color w:val="000000"/>
                <w:sz w:val="16"/>
                <w:szCs w:val="16"/>
              </w:rPr>
            </w:pPr>
            <w:r w:rsidRPr="00FF5D32">
              <w:rPr>
                <w:rFonts w:asciiTheme="minorHAnsi" w:hAnsiTheme="minorHAnsi" w:cstheme="minorHAnsi"/>
                <w:color w:val="000000"/>
                <w:sz w:val="16"/>
                <w:szCs w:val="16"/>
              </w:rPr>
              <w:t> 48.5</w:t>
            </w:r>
          </w:p>
        </w:tc>
        <w:tc>
          <w:tcPr>
            <w:tcW w:w="1403" w:type="dxa"/>
            <w:vAlign w:val="center"/>
          </w:tcPr>
          <w:p w:rsidR="004325DB" w:rsidRPr="00FF5D32" w:rsidP="00EB7336">
            <w:pPr>
              <w:jc w:val="center"/>
              <w:rPr>
                <w:rFonts w:asciiTheme="minorHAnsi" w:hAnsiTheme="minorHAnsi" w:cstheme="minorHAnsi"/>
                <w:color w:val="000000"/>
                <w:sz w:val="16"/>
                <w:szCs w:val="16"/>
              </w:rPr>
            </w:pPr>
            <w:r w:rsidRPr="00FF5D32">
              <w:rPr>
                <w:rFonts w:asciiTheme="minorHAnsi" w:hAnsiTheme="minorHAnsi" w:cstheme="minorHAnsi"/>
                <w:color w:val="000000"/>
                <w:sz w:val="16"/>
                <w:szCs w:val="16"/>
              </w:rPr>
              <w:t>92.1</w:t>
            </w:r>
          </w:p>
        </w:tc>
      </w:tr>
      <w:tr w:rsidTr="00EB7336">
        <w:tblPrEx>
          <w:tblW w:w="7015" w:type="dxa"/>
          <w:tblInd w:w="-5" w:type="dxa"/>
          <w:tblLook w:val="04A0"/>
        </w:tblPrEx>
        <w:trPr>
          <w:trHeight w:hRule="exact" w:val="288"/>
        </w:trPr>
        <w:tc>
          <w:tcPr>
            <w:tcW w:w="1403" w:type="dxa"/>
            <w:tcBorders>
              <w:top w:val="nil"/>
              <w:bottom w:val="single" w:sz="4" w:space="0" w:color="auto"/>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F5D32" w:rsidP="00EB7336">
            <w:pPr>
              <w:jc w:val="center"/>
              <w:rPr>
                <w:rFonts w:asciiTheme="minorHAnsi" w:hAnsiTheme="minorHAnsi" w:cstheme="minorHAnsi"/>
                <w:color w:val="000000"/>
                <w:sz w:val="16"/>
                <w:szCs w:val="16"/>
              </w:rPr>
            </w:pPr>
            <w:r w:rsidRPr="00FF5D32">
              <w:rPr>
                <w:rFonts w:asciiTheme="minorHAnsi" w:hAnsiTheme="minorHAnsi" w:cstheme="minorHAnsi"/>
                <w:color w:val="000000"/>
                <w:sz w:val="16"/>
                <w:szCs w:val="16"/>
              </w:rPr>
              <w:t>315</w:t>
            </w:r>
          </w:p>
        </w:tc>
        <w:tc>
          <w:tcPr>
            <w:tcW w:w="1403" w:type="dxa"/>
            <w:vAlign w:val="center"/>
          </w:tcPr>
          <w:p w:rsidR="004325DB" w:rsidRPr="00FF5D32" w:rsidP="00EB7336">
            <w:pPr>
              <w:jc w:val="center"/>
              <w:rPr>
                <w:rFonts w:asciiTheme="minorHAnsi" w:hAnsiTheme="minorHAnsi" w:cstheme="minorHAnsi"/>
                <w:color w:val="000000"/>
                <w:sz w:val="16"/>
                <w:szCs w:val="16"/>
              </w:rPr>
            </w:pPr>
            <w:r w:rsidRPr="00FF5D32">
              <w:rPr>
                <w:rFonts w:asciiTheme="minorHAnsi" w:hAnsiTheme="minorHAnsi" w:cstheme="minorHAnsi"/>
                <w:color w:val="000000"/>
                <w:sz w:val="16"/>
                <w:szCs w:val="16"/>
              </w:rPr>
              <w:t>648.8 </w:t>
            </w:r>
          </w:p>
        </w:tc>
        <w:tc>
          <w:tcPr>
            <w:tcW w:w="1403" w:type="dxa"/>
            <w:vAlign w:val="center"/>
          </w:tcPr>
          <w:p w:rsidR="004325DB" w:rsidRPr="00FF5D32" w:rsidP="00EB7336">
            <w:pPr>
              <w:jc w:val="center"/>
              <w:rPr>
                <w:rFonts w:asciiTheme="minorHAnsi" w:hAnsiTheme="minorHAnsi" w:cstheme="minorHAnsi"/>
                <w:color w:val="000000"/>
                <w:sz w:val="16"/>
                <w:szCs w:val="16"/>
              </w:rPr>
            </w:pPr>
            <w:r w:rsidRPr="00FF5D32">
              <w:rPr>
                <w:rFonts w:asciiTheme="minorHAnsi" w:hAnsiTheme="minorHAnsi" w:cstheme="minorHAnsi"/>
                <w:color w:val="000000"/>
                <w:sz w:val="16"/>
                <w:szCs w:val="16"/>
              </w:rPr>
              <w:t> 48.5</w:t>
            </w:r>
          </w:p>
        </w:tc>
        <w:tc>
          <w:tcPr>
            <w:tcW w:w="1403" w:type="dxa"/>
            <w:vAlign w:val="center"/>
          </w:tcPr>
          <w:p w:rsidR="004325DB" w:rsidRPr="00FF5D32" w:rsidP="00EB7336">
            <w:pPr>
              <w:jc w:val="center"/>
              <w:rPr>
                <w:rFonts w:asciiTheme="minorHAnsi" w:hAnsiTheme="minorHAnsi" w:cstheme="minorHAnsi"/>
                <w:color w:val="000000"/>
                <w:sz w:val="16"/>
                <w:szCs w:val="16"/>
              </w:rPr>
            </w:pPr>
            <w:r w:rsidRPr="00FF5D32">
              <w:rPr>
                <w:rFonts w:asciiTheme="minorHAnsi" w:hAnsiTheme="minorHAnsi" w:cstheme="minorHAnsi"/>
                <w:color w:val="000000"/>
                <w:sz w:val="16"/>
                <w:szCs w:val="16"/>
              </w:rPr>
              <w:t>94.0</w:t>
            </w:r>
          </w:p>
        </w:tc>
      </w:tr>
      <w:tr w:rsidTr="00EB7336">
        <w:tblPrEx>
          <w:tblW w:w="7015" w:type="dxa"/>
          <w:tblInd w:w="-5" w:type="dxa"/>
          <w:tblLook w:val="04A0"/>
        </w:tblPrEx>
        <w:trPr>
          <w:trHeight w:hRule="exact" w:val="288"/>
        </w:trPr>
        <w:tc>
          <w:tcPr>
            <w:tcW w:w="1403" w:type="dxa"/>
            <w:tcBorders>
              <w:bottom w:val="nil"/>
            </w:tcBorders>
            <w:vAlign w:val="center"/>
          </w:tcPr>
          <w:p w:rsidR="004325DB" w:rsidRPr="00003DBD" w:rsidP="00EB7336">
            <w:pPr>
              <w:rPr>
                <w:rFonts w:asciiTheme="minorHAnsi" w:hAnsiTheme="minorHAnsi" w:cstheme="minorHAnsi"/>
                <w:b/>
                <w:sz w:val="16"/>
                <w:szCs w:val="16"/>
              </w:rPr>
            </w:pPr>
            <w:r w:rsidRPr="00003DBD">
              <w:rPr>
                <w:rFonts w:asciiTheme="minorHAnsi" w:hAnsiTheme="minorHAnsi" w:cstheme="minorHAnsi"/>
                <w:b/>
                <w:sz w:val="16"/>
                <w:szCs w:val="16"/>
              </w:rPr>
              <w:t>Garland</w:t>
            </w:r>
          </w:p>
        </w:tc>
        <w:tc>
          <w:tcPr>
            <w:tcW w:w="1403" w:type="dxa"/>
            <w:vAlign w:val="center"/>
          </w:tcPr>
          <w:p w:rsidR="004325DB" w:rsidRPr="00FF5D32" w:rsidP="00EB7336">
            <w:pPr>
              <w:jc w:val="center"/>
              <w:rPr>
                <w:rFonts w:asciiTheme="minorHAnsi" w:hAnsiTheme="minorHAnsi" w:cs="Calibri"/>
                <w:color w:val="000000"/>
                <w:sz w:val="16"/>
                <w:szCs w:val="16"/>
              </w:rPr>
            </w:pPr>
            <w:r w:rsidRPr="00FF5D32">
              <w:rPr>
                <w:rFonts w:asciiTheme="minorHAnsi" w:hAnsiTheme="minorHAnsi" w:cs="Calibri"/>
                <w:color w:val="000000"/>
                <w:sz w:val="16"/>
                <w:szCs w:val="16"/>
              </w:rPr>
              <w:t>0</w:t>
            </w:r>
          </w:p>
        </w:tc>
        <w:tc>
          <w:tcPr>
            <w:tcW w:w="1403" w:type="dxa"/>
            <w:vAlign w:val="center"/>
          </w:tcPr>
          <w:p w:rsidR="004325DB" w:rsidRPr="00FF5D32" w:rsidP="00EB7336">
            <w:pPr>
              <w:jc w:val="center"/>
              <w:rPr>
                <w:rFonts w:asciiTheme="minorHAnsi" w:hAnsiTheme="minorHAnsi" w:cs="Calibri"/>
                <w:color w:val="000000"/>
                <w:sz w:val="16"/>
                <w:szCs w:val="16"/>
              </w:rPr>
            </w:pPr>
            <w:r w:rsidRPr="00FF5D32">
              <w:rPr>
                <w:rFonts w:asciiTheme="minorHAnsi" w:hAnsiTheme="minorHAnsi" w:cs="Calibri"/>
                <w:color w:val="000000"/>
                <w:sz w:val="16"/>
                <w:szCs w:val="16"/>
              </w:rPr>
              <w:t>170.9</w:t>
            </w:r>
          </w:p>
        </w:tc>
        <w:tc>
          <w:tcPr>
            <w:tcW w:w="1403" w:type="dxa"/>
            <w:vAlign w:val="center"/>
          </w:tcPr>
          <w:p w:rsidR="004325DB" w:rsidRPr="00FF5D32" w:rsidP="00EB7336">
            <w:pPr>
              <w:jc w:val="center"/>
              <w:rPr>
                <w:rFonts w:asciiTheme="minorHAnsi" w:hAnsiTheme="minorHAnsi" w:cs="Calibri"/>
                <w:color w:val="000000"/>
                <w:sz w:val="16"/>
                <w:szCs w:val="16"/>
              </w:rPr>
            </w:pPr>
            <w:r w:rsidRPr="00FF5D32">
              <w:rPr>
                <w:rFonts w:asciiTheme="minorHAnsi" w:hAnsiTheme="minorHAnsi" w:cs="Calibri"/>
                <w:color w:val="000000"/>
                <w:sz w:val="16"/>
                <w:szCs w:val="16"/>
              </w:rPr>
              <w:t>37.7</w:t>
            </w:r>
          </w:p>
        </w:tc>
        <w:tc>
          <w:tcPr>
            <w:tcW w:w="1403" w:type="dxa"/>
            <w:vAlign w:val="center"/>
          </w:tcPr>
          <w:p w:rsidR="004325DB" w:rsidRPr="00FF5D32" w:rsidP="00EB7336">
            <w:pPr>
              <w:jc w:val="center"/>
              <w:rPr>
                <w:rFonts w:asciiTheme="minorHAnsi" w:hAnsiTheme="minorHAnsi" w:cs="Calibri"/>
                <w:color w:val="000000"/>
                <w:sz w:val="16"/>
                <w:szCs w:val="16"/>
              </w:rPr>
            </w:pPr>
            <w:r w:rsidRPr="00FF5D32">
              <w:rPr>
                <w:rFonts w:asciiTheme="minorHAnsi" w:hAnsiTheme="minorHAnsi" w:cs="Calibri"/>
                <w:color w:val="000000"/>
                <w:sz w:val="16"/>
                <w:szCs w:val="16"/>
              </w:rPr>
              <w:t>66.7</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F5D32" w:rsidP="00EB7336">
            <w:pPr>
              <w:jc w:val="center"/>
              <w:rPr>
                <w:rFonts w:asciiTheme="minorHAnsi" w:hAnsiTheme="minorHAnsi" w:cs="Calibri"/>
                <w:color w:val="000000"/>
                <w:sz w:val="16"/>
                <w:szCs w:val="16"/>
              </w:rPr>
            </w:pPr>
            <w:r w:rsidRPr="00FF5D32">
              <w:rPr>
                <w:rFonts w:asciiTheme="minorHAnsi" w:hAnsiTheme="minorHAnsi" w:cs="Calibri"/>
                <w:color w:val="000000"/>
                <w:sz w:val="16"/>
                <w:szCs w:val="16"/>
              </w:rPr>
              <w:t>45</w:t>
            </w:r>
          </w:p>
        </w:tc>
        <w:tc>
          <w:tcPr>
            <w:tcW w:w="1403" w:type="dxa"/>
            <w:vAlign w:val="center"/>
          </w:tcPr>
          <w:p w:rsidR="004325DB" w:rsidRPr="00FF5D32" w:rsidP="00EB7336">
            <w:pPr>
              <w:jc w:val="center"/>
              <w:rPr>
                <w:rFonts w:asciiTheme="minorHAnsi" w:hAnsiTheme="minorHAnsi" w:cs="Calibri"/>
                <w:color w:val="000000"/>
                <w:sz w:val="16"/>
                <w:szCs w:val="16"/>
              </w:rPr>
            </w:pPr>
            <w:r w:rsidRPr="00FF5D32">
              <w:rPr>
                <w:rFonts w:asciiTheme="minorHAnsi" w:hAnsiTheme="minorHAnsi" w:cs="Calibri"/>
                <w:color w:val="000000"/>
                <w:sz w:val="16"/>
                <w:szCs w:val="16"/>
              </w:rPr>
              <w:t>154</w:t>
            </w:r>
          </w:p>
        </w:tc>
        <w:tc>
          <w:tcPr>
            <w:tcW w:w="1403" w:type="dxa"/>
            <w:vAlign w:val="center"/>
          </w:tcPr>
          <w:p w:rsidR="004325DB" w:rsidRPr="00FF5D32" w:rsidP="00EB7336">
            <w:pPr>
              <w:jc w:val="center"/>
              <w:rPr>
                <w:rFonts w:asciiTheme="minorHAnsi" w:hAnsiTheme="minorHAnsi" w:cs="Calibri"/>
                <w:color w:val="000000"/>
                <w:sz w:val="16"/>
                <w:szCs w:val="16"/>
              </w:rPr>
            </w:pPr>
            <w:r w:rsidRPr="00FF5D32">
              <w:rPr>
                <w:rFonts w:asciiTheme="minorHAnsi" w:hAnsiTheme="minorHAnsi" w:cs="Calibri"/>
                <w:color w:val="000000"/>
                <w:sz w:val="16"/>
                <w:szCs w:val="16"/>
              </w:rPr>
              <w:t>37.7</w:t>
            </w:r>
          </w:p>
        </w:tc>
        <w:tc>
          <w:tcPr>
            <w:tcW w:w="1403" w:type="dxa"/>
            <w:vAlign w:val="center"/>
          </w:tcPr>
          <w:p w:rsidR="004325DB" w:rsidRPr="00FF5D32" w:rsidP="00EB7336">
            <w:pPr>
              <w:jc w:val="center"/>
              <w:rPr>
                <w:rFonts w:asciiTheme="minorHAnsi" w:hAnsiTheme="minorHAnsi" w:cs="Calibri"/>
                <w:color w:val="000000"/>
                <w:sz w:val="16"/>
                <w:szCs w:val="16"/>
              </w:rPr>
            </w:pPr>
            <w:r w:rsidRPr="00FF5D32">
              <w:rPr>
                <w:rFonts w:asciiTheme="minorHAnsi" w:hAnsiTheme="minorHAnsi" w:cs="Calibri"/>
                <w:color w:val="000000"/>
                <w:sz w:val="16"/>
                <w:szCs w:val="16"/>
              </w:rPr>
              <w:t>65.2</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F5D32" w:rsidP="00EB7336">
            <w:pPr>
              <w:jc w:val="center"/>
              <w:rPr>
                <w:rFonts w:asciiTheme="minorHAnsi" w:hAnsiTheme="minorHAnsi" w:cs="Calibri"/>
                <w:color w:val="000000"/>
                <w:sz w:val="16"/>
                <w:szCs w:val="16"/>
              </w:rPr>
            </w:pPr>
            <w:r w:rsidRPr="00FF5D32">
              <w:rPr>
                <w:rFonts w:asciiTheme="minorHAnsi" w:hAnsiTheme="minorHAnsi" w:cs="Calibri"/>
                <w:color w:val="000000"/>
                <w:sz w:val="16"/>
                <w:szCs w:val="16"/>
              </w:rPr>
              <w:t>90</w:t>
            </w:r>
          </w:p>
        </w:tc>
        <w:tc>
          <w:tcPr>
            <w:tcW w:w="1403" w:type="dxa"/>
            <w:vAlign w:val="center"/>
          </w:tcPr>
          <w:p w:rsidR="004325DB" w:rsidRPr="00FF5D32" w:rsidP="00EB7336">
            <w:pPr>
              <w:jc w:val="center"/>
              <w:rPr>
                <w:rFonts w:asciiTheme="minorHAnsi" w:hAnsiTheme="minorHAnsi" w:cs="Calibri"/>
                <w:color w:val="000000"/>
                <w:sz w:val="16"/>
                <w:szCs w:val="16"/>
              </w:rPr>
            </w:pPr>
            <w:r w:rsidRPr="00FF5D32">
              <w:rPr>
                <w:rFonts w:asciiTheme="minorHAnsi" w:hAnsiTheme="minorHAnsi" w:cs="Calibri"/>
                <w:color w:val="000000"/>
                <w:sz w:val="16"/>
                <w:szCs w:val="16"/>
              </w:rPr>
              <w:t>185.7</w:t>
            </w:r>
          </w:p>
        </w:tc>
        <w:tc>
          <w:tcPr>
            <w:tcW w:w="1403" w:type="dxa"/>
            <w:vAlign w:val="center"/>
          </w:tcPr>
          <w:p w:rsidR="004325DB" w:rsidRPr="00FF5D32" w:rsidP="00EB7336">
            <w:pPr>
              <w:jc w:val="center"/>
              <w:rPr>
                <w:rFonts w:asciiTheme="minorHAnsi" w:hAnsiTheme="minorHAnsi" w:cs="Calibri"/>
                <w:color w:val="000000"/>
                <w:sz w:val="16"/>
                <w:szCs w:val="16"/>
              </w:rPr>
            </w:pPr>
            <w:r w:rsidRPr="00FF5D32">
              <w:rPr>
                <w:rFonts w:asciiTheme="minorHAnsi" w:hAnsiTheme="minorHAnsi" w:cs="Calibri"/>
                <w:color w:val="000000"/>
                <w:sz w:val="16"/>
                <w:szCs w:val="16"/>
              </w:rPr>
              <w:t>37.7</w:t>
            </w:r>
          </w:p>
        </w:tc>
        <w:tc>
          <w:tcPr>
            <w:tcW w:w="1403" w:type="dxa"/>
            <w:vAlign w:val="center"/>
          </w:tcPr>
          <w:p w:rsidR="004325DB" w:rsidRPr="00FF5D32" w:rsidP="00EB7336">
            <w:pPr>
              <w:jc w:val="center"/>
              <w:rPr>
                <w:rFonts w:asciiTheme="minorHAnsi" w:hAnsiTheme="minorHAnsi" w:cs="Calibri"/>
                <w:color w:val="000000"/>
                <w:sz w:val="16"/>
                <w:szCs w:val="16"/>
              </w:rPr>
            </w:pPr>
            <w:r w:rsidRPr="00FF5D32">
              <w:rPr>
                <w:rFonts w:asciiTheme="minorHAnsi" w:hAnsiTheme="minorHAnsi" w:cs="Calibri"/>
                <w:color w:val="000000"/>
                <w:sz w:val="16"/>
                <w:szCs w:val="16"/>
              </w:rPr>
              <w:t>68.0</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F5D32" w:rsidP="00EB7336">
            <w:pPr>
              <w:jc w:val="center"/>
              <w:rPr>
                <w:rFonts w:asciiTheme="minorHAnsi" w:hAnsiTheme="minorHAnsi" w:cs="Calibri"/>
                <w:color w:val="000000"/>
                <w:sz w:val="16"/>
                <w:szCs w:val="16"/>
              </w:rPr>
            </w:pPr>
            <w:r w:rsidRPr="00FF5D32">
              <w:rPr>
                <w:rFonts w:asciiTheme="minorHAnsi" w:hAnsiTheme="minorHAnsi" w:cs="Calibri"/>
                <w:color w:val="000000"/>
                <w:sz w:val="16"/>
                <w:szCs w:val="16"/>
              </w:rPr>
              <w:t>135</w:t>
            </w:r>
          </w:p>
        </w:tc>
        <w:tc>
          <w:tcPr>
            <w:tcW w:w="1403" w:type="dxa"/>
            <w:vAlign w:val="center"/>
          </w:tcPr>
          <w:p w:rsidR="004325DB" w:rsidRPr="00FF5D32" w:rsidP="00EB7336">
            <w:pPr>
              <w:jc w:val="center"/>
              <w:rPr>
                <w:rFonts w:asciiTheme="minorHAnsi" w:hAnsiTheme="minorHAnsi" w:cs="Calibri"/>
                <w:color w:val="000000"/>
                <w:sz w:val="16"/>
                <w:szCs w:val="16"/>
              </w:rPr>
            </w:pPr>
            <w:r w:rsidRPr="00FF5D32">
              <w:rPr>
                <w:rFonts w:asciiTheme="minorHAnsi" w:hAnsiTheme="minorHAnsi" w:cs="Calibri"/>
                <w:color w:val="000000"/>
                <w:sz w:val="16"/>
                <w:szCs w:val="16"/>
              </w:rPr>
              <w:t>224.8</w:t>
            </w:r>
          </w:p>
        </w:tc>
        <w:tc>
          <w:tcPr>
            <w:tcW w:w="1403" w:type="dxa"/>
            <w:vAlign w:val="center"/>
          </w:tcPr>
          <w:p w:rsidR="004325DB" w:rsidRPr="00FF5D32" w:rsidP="00EB7336">
            <w:pPr>
              <w:jc w:val="center"/>
              <w:rPr>
                <w:rFonts w:asciiTheme="minorHAnsi" w:hAnsiTheme="minorHAnsi" w:cs="Calibri"/>
                <w:color w:val="000000"/>
                <w:sz w:val="16"/>
                <w:szCs w:val="16"/>
              </w:rPr>
            </w:pPr>
            <w:r w:rsidRPr="00FF5D32">
              <w:rPr>
                <w:rFonts w:asciiTheme="minorHAnsi" w:hAnsiTheme="minorHAnsi" w:cs="Calibri"/>
                <w:color w:val="000000"/>
                <w:sz w:val="16"/>
                <w:szCs w:val="16"/>
              </w:rPr>
              <w:t>37.7</w:t>
            </w:r>
          </w:p>
        </w:tc>
        <w:tc>
          <w:tcPr>
            <w:tcW w:w="1403" w:type="dxa"/>
            <w:vAlign w:val="center"/>
          </w:tcPr>
          <w:p w:rsidR="004325DB" w:rsidRPr="00FF5D32" w:rsidP="00EB7336">
            <w:pPr>
              <w:jc w:val="center"/>
              <w:rPr>
                <w:rFonts w:asciiTheme="minorHAnsi" w:hAnsiTheme="minorHAnsi" w:cs="Calibri"/>
                <w:color w:val="000000"/>
                <w:sz w:val="16"/>
                <w:szCs w:val="16"/>
              </w:rPr>
            </w:pPr>
            <w:r w:rsidRPr="00FF5D32">
              <w:rPr>
                <w:rFonts w:asciiTheme="minorHAnsi" w:hAnsiTheme="minorHAnsi" w:cs="Calibri"/>
                <w:color w:val="000000"/>
                <w:sz w:val="16"/>
                <w:szCs w:val="16"/>
              </w:rPr>
              <w:t>71.1</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F5D32" w:rsidP="00EB7336">
            <w:pPr>
              <w:jc w:val="center"/>
              <w:rPr>
                <w:rFonts w:asciiTheme="minorHAnsi" w:hAnsiTheme="minorHAnsi" w:cs="Calibri"/>
                <w:color w:val="000000"/>
                <w:sz w:val="16"/>
                <w:szCs w:val="16"/>
              </w:rPr>
            </w:pPr>
            <w:r w:rsidRPr="00FF5D32">
              <w:rPr>
                <w:rFonts w:asciiTheme="minorHAnsi" w:hAnsiTheme="minorHAnsi" w:cs="Calibri"/>
                <w:color w:val="000000"/>
                <w:sz w:val="16"/>
                <w:szCs w:val="16"/>
              </w:rPr>
              <w:t>180</w:t>
            </w:r>
          </w:p>
        </w:tc>
        <w:tc>
          <w:tcPr>
            <w:tcW w:w="1403" w:type="dxa"/>
            <w:vAlign w:val="center"/>
          </w:tcPr>
          <w:p w:rsidR="004325DB" w:rsidRPr="00FF5D32" w:rsidP="00EB7336">
            <w:pPr>
              <w:jc w:val="center"/>
              <w:rPr>
                <w:rFonts w:asciiTheme="minorHAnsi" w:hAnsiTheme="minorHAnsi" w:cs="Calibri"/>
                <w:color w:val="000000"/>
                <w:sz w:val="16"/>
                <w:szCs w:val="16"/>
              </w:rPr>
            </w:pPr>
            <w:r w:rsidRPr="00FF5D32">
              <w:rPr>
                <w:rFonts w:asciiTheme="minorHAnsi" w:hAnsiTheme="minorHAnsi" w:cs="Calibri"/>
                <w:color w:val="000000"/>
                <w:sz w:val="16"/>
                <w:szCs w:val="16"/>
              </w:rPr>
              <w:t>180</w:t>
            </w:r>
          </w:p>
        </w:tc>
        <w:tc>
          <w:tcPr>
            <w:tcW w:w="1403" w:type="dxa"/>
            <w:vAlign w:val="center"/>
          </w:tcPr>
          <w:p w:rsidR="004325DB" w:rsidRPr="00FF5D32" w:rsidP="00EB7336">
            <w:pPr>
              <w:jc w:val="center"/>
              <w:rPr>
                <w:rFonts w:asciiTheme="minorHAnsi" w:hAnsiTheme="minorHAnsi" w:cs="Calibri"/>
                <w:color w:val="000000"/>
                <w:sz w:val="16"/>
                <w:szCs w:val="16"/>
              </w:rPr>
            </w:pPr>
            <w:r w:rsidRPr="00FF5D32">
              <w:rPr>
                <w:rFonts w:asciiTheme="minorHAnsi" w:hAnsiTheme="minorHAnsi" w:cs="Calibri"/>
                <w:color w:val="000000"/>
                <w:sz w:val="16"/>
                <w:szCs w:val="16"/>
              </w:rPr>
              <w:t>37.7</w:t>
            </w:r>
          </w:p>
        </w:tc>
        <w:tc>
          <w:tcPr>
            <w:tcW w:w="1403" w:type="dxa"/>
            <w:vAlign w:val="center"/>
          </w:tcPr>
          <w:p w:rsidR="004325DB" w:rsidRPr="00FF5D32" w:rsidP="00EB7336">
            <w:pPr>
              <w:jc w:val="center"/>
              <w:rPr>
                <w:rFonts w:asciiTheme="minorHAnsi" w:hAnsiTheme="minorHAnsi" w:cs="Calibri"/>
                <w:color w:val="000000"/>
                <w:sz w:val="16"/>
                <w:szCs w:val="16"/>
              </w:rPr>
            </w:pPr>
            <w:r w:rsidRPr="00FF5D32">
              <w:rPr>
                <w:rFonts w:asciiTheme="minorHAnsi" w:hAnsiTheme="minorHAnsi" w:cs="Calibri"/>
                <w:color w:val="000000"/>
                <w:sz w:val="16"/>
                <w:szCs w:val="16"/>
              </w:rPr>
              <w:t>67.5</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FF5D32" w:rsidP="00EB7336">
            <w:pPr>
              <w:jc w:val="center"/>
              <w:rPr>
                <w:rFonts w:asciiTheme="minorHAnsi" w:hAnsiTheme="minorHAnsi" w:cs="Calibri"/>
                <w:color w:val="000000"/>
                <w:sz w:val="16"/>
                <w:szCs w:val="16"/>
              </w:rPr>
            </w:pPr>
            <w:r w:rsidRPr="00FF5D32">
              <w:rPr>
                <w:rFonts w:asciiTheme="minorHAnsi" w:hAnsiTheme="minorHAnsi" w:cs="Calibri"/>
                <w:color w:val="000000"/>
                <w:sz w:val="16"/>
                <w:szCs w:val="16"/>
              </w:rPr>
              <w:t>225</w:t>
            </w:r>
          </w:p>
        </w:tc>
        <w:tc>
          <w:tcPr>
            <w:tcW w:w="1403" w:type="dxa"/>
            <w:vAlign w:val="center"/>
          </w:tcPr>
          <w:p w:rsidR="004325DB" w:rsidRPr="00FF5D32" w:rsidP="00EB7336">
            <w:pPr>
              <w:jc w:val="center"/>
              <w:rPr>
                <w:rFonts w:asciiTheme="minorHAnsi" w:hAnsiTheme="minorHAnsi" w:cs="Calibri"/>
                <w:color w:val="000000"/>
                <w:sz w:val="16"/>
                <w:szCs w:val="16"/>
              </w:rPr>
            </w:pPr>
            <w:r w:rsidRPr="00FF5D32">
              <w:rPr>
                <w:rFonts w:asciiTheme="minorHAnsi" w:hAnsiTheme="minorHAnsi" w:cs="Calibri"/>
                <w:color w:val="000000"/>
                <w:sz w:val="16"/>
                <w:szCs w:val="16"/>
              </w:rPr>
              <w:t>165.5</w:t>
            </w:r>
          </w:p>
        </w:tc>
        <w:tc>
          <w:tcPr>
            <w:tcW w:w="1403" w:type="dxa"/>
            <w:vAlign w:val="center"/>
          </w:tcPr>
          <w:p w:rsidR="004325DB" w:rsidRPr="00FF5D32" w:rsidP="00EB7336">
            <w:pPr>
              <w:jc w:val="center"/>
              <w:rPr>
                <w:rFonts w:asciiTheme="minorHAnsi" w:hAnsiTheme="minorHAnsi" w:cs="Calibri"/>
                <w:color w:val="000000"/>
                <w:sz w:val="16"/>
                <w:szCs w:val="16"/>
              </w:rPr>
            </w:pPr>
            <w:r w:rsidRPr="00FF5D32">
              <w:rPr>
                <w:rFonts w:asciiTheme="minorHAnsi" w:hAnsiTheme="minorHAnsi" w:cs="Calibri"/>
                <w:color w:val="000000"/>
                <w:sz w:val="16"/>
                <w:szCs w:val="16"/>
              </w:rPr>
              <w:t>37.7</w:t>
            </w:r>
          </w:p>
        </w:tc>
        <w:tc>
          <w:tcPr>
            <w:tcW w:w="1403" w:type="dxa"/>
            <w:vAlign w:val="center"/>
          </w:tcPr>
          <w:p w:rsidR="004325DB" w:rsidRPr="00FF5D32" w:rsidP="00EB7336">
            <w:pPr>
              <w:jc w:val="center"/>
              <w:rPr>
                <w:rFonts w:asciiTheme="minorHAnsi" w:hAnsiTheme="minorHAnsi" w:cs="Calibri"/>
                <w:color w:val="000000"/>
                <w:sz w:val="16"/>
                <w:szCs w:val="16"/>
              </w:rPr>
            </w:pPr>
            <w:r w:rsidRPr="00FF5D32">
              <w:rPr>
                <w:rFonts w:asciiTheme="minorHAnsi" w:hAnsiTheme="minorHAnsi" w:cs="Calibri"/>
                <w:color w:val="000000"/>
                <w:sz w:val="16"/>
                <w:szCs w:val="16"/>
              </w:rPr>
              <w:t>66.2</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270</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133.2</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37.7</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55.3</w:t>
            </w:r>
          </w:p>
        </w:tc>
      </w:tr>
      <w:tr w:rsidTr="00EB7336">
        <w:tblPrEx>
          <w:tblW w:w="7015" w:type="dxa"/>
          <w:tblInd w:w="-5" w:type="dxa"/>
          <w:tblLook w:val="04A0"/>
        </w:tblPrEx>
        <w:trPr>
          <w:trHeight w:hRule="exact" w:val="288"/>
        </w:trPr>
        <w:tc>
          <w:tcPr>
            <w:tcW w:w="1403" w:type="dxa"/>
            <w:tcBorders>
              <w:top w:val="nil"/>
              <w:bottom w:val="single" w:sz="4" w:space="0" w:color="auto"/>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315</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138.8</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37.7</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55.8</w:t>
            </w:r>
          </w:p>
        </w:tc>
      </w:tr>
      <w:tr w:rsidTr="00EB7336">
        <w:tblPrEx>
          <w:tblW w:w="7015" w:type="dxa"/>
          <w:tblInd w:w="-5" w:type="dxa"/>
          <w:tblLook w:val="04A0"/>
        </w:tblPrEx>
        <w:trPr>
          <w:trHeight w:hRule="exact" w:val="288"/>
        </w:trPr>
        <w:tc>
          <w:tcPr>
            <w:tcW w:w="1403" w:type="dxa"/>
            <w:tcBorders>
              <w:bottom w:val="nil"/>
            </w:tcBorders>
            <w:vAlign w:val="center"/>
          </w:tcPr>
          <w:p w:rsidR="004325DB" w:rsidRPr="00003DBD" w:rsidP="00EB7336">
            <w:pPr>
              <w:rPr>
                <w:rFonts w:asciiTheme="minorHAnsi" w:hAnsiTheme="minorHAnsi" w:cstheme="minorHAnsi"/>
                <w:b/>
                <w:sz w:val="16"/>
                <w:szCs w:val="16"/>
              </w:rPr>
            </w:pPr>
            <w:r w:rsidRPr="00003DBD">
              <w:rPr>
                <w:rFonts w:asciiTheme="minorHAnsi" w:hAnsiTheme="minorHAnsi" w:cstheme="minorHAnsi"/>
                <w:b/>
                <w:sz w:val="16"/>
                <w:szCs w:val="16"/>
              </w:rPr>
              <w:t>Passadumkeag</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0</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395.7</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44.3</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82.8</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45</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386.3</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44.3</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82.3</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90</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345.1</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44.3</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80.2</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135</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361.9</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44.3</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81.1</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180</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354.5</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44.3</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80.7</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225</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357.3</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44.3</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80.9</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270</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411.2</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44.3</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83.5</w:t>
            </w:r>
          </w:p>
        </w:tc>
      </w:tr>
      <w:tr w:rsidTr="00EB7336">
        <w:tblPrEx>
          <w:tblW w:w="7015" w:type="dxa"/>
          <w:tblInd w:w="-5" w:type="dxa"/>
          <w:tblLook w:val="04A0"/>
        </w:tblPrEx>
        <w:trPr>
          <w:trHeight w:hRule="exact" w:val="288"/>
        </w:trPr>
        <w:tc>
          <w:tcPr>
            <w:tcW w:w="1403" w:type="dxa"/>
            <w:tcBorders>
              <w:top w:val="nil"/>
              <w:bottom w:val="single" w:sz="4" w:space="0" w:color="auto"/>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315</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385.6</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44.3</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82.3</w:t>
            </w:r>
          </w:p>
        </w:tc>
      </w:tr>
      <w:tr w:rsidTr="00EB7336">
        <w:tblPrEx>
          <w:tblW w:w="7015" w:type="dxa"/>
          <w:tblInd w:w="-5" w:type="dxa"/>
          <w:tblLook w:val="04A0"/>
        </w:tblPrEx>
        <w:trPr>
          <w:trHeight w:hRule="exact" w:val="288"/>
        </w:trPr>
        <w:tc>
          <w:tcPr>
            <w:tcW w:w="1403" w:type="dxa"/>
            <w:tcBorders>
              <w:bottom w:val="nil"/>
            </w:tcBorders>
            <w:vAlign w:val="center"/>
          </w:tcPr>
          <w:p w:rsidR="004325DB" w:rsidRPr="00003DBD" w:rsidP="00EB7336">
            <w:pPr>
              <w:rPr>
                <w:rFonts w:asciiTheme="minorHAnsi" w:hAnsiTheme="minorHAnsi" w:cstheme="minorHAnsi"/>
                <w:b/>
                <w:sz w:val="16"/>
                <w:szCs w:val="16"/>
              </w:rPr>
            </w:pPr>
            <w:r w:rsidRPr="00003DBD">
              <w:rPr>
                <w:rFonts w:asciiTheme="minorHAnsi" w:hAnsiTheme="minorHAnsi" w:cstheme="minorHAnsi"/>
                <w:b/>
                <w:sz w:val="16"/>
                <w:szCs w:val="16"/>
              </w:rPr>
              <w:t>Priestly Mtn</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0</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282.1</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48.5</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77.6</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45</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246.5</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48.5</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75.2</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90</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248.4</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48.5</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75.3</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135</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264.6</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48.5</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76.4</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180</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230.3</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48.5</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74.0</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225</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203.7</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48.5</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72.0</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270</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167.5</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48.5</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68.8</w:t>
            </w:r>
          </w:p>
        </w:tc>
      </w:tr>
      <w:tr w:rsidTr="00EB7336">
        <w:tblPrEx>
          <w:tblW w:w="7015" w:type="dxa"/>
          <w:tblInd w:w="-5" w:type="dxa"/>
          <w:tblLook w:val="04A0"/>
        </w:tblPrEx>
        <w:trPr>
          <w:trHeight w:hRule="exact" w:val="288"/>
        </w:trPr>
        <w:tc>
          <w:tcPr>
            <w:tcW w:w="1403" w:type="dxa"/>
            <w:tcBorders>
              <w:top w:val="nil"/>
              <w:bottom w:val="single" w:sz="4" w:space="0" w:color="auto"/>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315</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239.9</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48.5</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74.7</w:t>
            </w:r>
          </w:p>
        </w:tc>
      </w:tr>
      <w:tr w:rsidTr="00EB7336">
        <w:tblPrEx>
          <w:tblW w:w="7015" w:type="dxa"/>
          <w:tblInd w:w="-5" w:type="dxa"/>
          <w:tblLook w:val="04A0"/>
        </w:tblPrEx>
        <w:trPr>
          <w:trHeight w:hRule="exact" w:val="288"/>
        </w:trPr>
        <w:tc>
          <w:tcPr>
            <w:tcW w:w="1403" w:type="dxa"/>
            <w:tcBorders>
              <w:bottom w:val="nil"/>
            </w:tcBorders>
            <w:vAlign w:val="center"/>
          </w:tcPr>
          <w:p w:rsidR="004325DB" w:rsidRPr="00003DBD" w:rsidP="00EB7336">
            <w:pPr>
              <w:rPr>
                <w:rFonts w:asciiTheme="minorHAnsi" w:hAnsiTheme="minorHAnsi" w:cstheme="minorHAnsi"/>
                <w:b/>
                <w:sz w:val="16"/>
                <w:szCs w:val="16"/>
              </w:rPr>
            </w:pPr>
            <w:r w:rsidRPr="00003DBD">
              <w:rPr>
                <w:rFonts w:asciiTheme="minorHAnsi" w:hAnsiTheme="minorHAnsi" w:cstheme="minorHAnsi"/>
                <w:b/>
                <w:sz w:val="16"/>
                <w:szCs w:val="16"/>
              </w:rPr>
              <w:t>Fish Hill</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0</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167.9</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43.2</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67.7</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45</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128.2</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43.2</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56.2</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90</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104.6</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43.2</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53.6</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135</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132.7</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43.2</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56.7</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180</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127.4</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43.2</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56.1</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225</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171.4</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43.2</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68.1</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270</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172.4</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43.2</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68.2</w:t>
            </w:r>
          </w:p>
        </w:tc>
      </w:tr>
      <w:tr w:rsidTr="00EB7336">
        <w:tblPrEx>
          <w:tblW w:w="7015" w:type="dxa"/>
          <w:tblInd w:w="-5" w:type="dxa"/>
          <w:tblLook w:val="04A0"/>
        </w:tblPrEx>
        <w:trPr>
          <w:trHeight w:hRule="exact" w:val="288"/>
        </w:trPr>
        <w:tc>
          <w:tcPr>
            <w:tcW w:w="1403" w:type="dxa"/>
            <w:tcBorders>
              <w:top w:val="nil"/>
              <w:bottom w:val="single" w:sz="4" w:space="0" w:color="auto"/>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315</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162.3</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43.2</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67.2</w:t>
            </w:r>
          </w:p>
        </w:tc>
      </w:tr>
      <w:tr w:rsidTr="00EB7336">
        <w:tblPrEx>
          <w:tblW w:w="7015" w:type="dxa"/>
          <w:tblInd w:w="-5" w:type="dxa"/>
          <w:tblLook w:val="04A0"/>
        </w:tblPrEx>
        <w:trPr>
          <w:trHeight w:hRule="exact" w:val="288"/>
        </w:trPr>
        <w:tc>
          <w:tcPr>
            <w:tcW w:w="1403" w:type="dxa"/>
            <w:tcBorders>
              <w:bottom w:val="nil"/>
            </w:tcBorders>
            <w:vAlign w:val="center"/>
          </w:tcPr>
          <w:p w:rsidR="004325DB" w:rsidRPr="00003DBD" w:rsidP="00EB7336">
            <w:pPr>
              <w:rPr>
                <w:rFonts w:asciiTheme="minorHAnsi" w:hAnsiTheme="minorHAnsi" w:cstheme="minorHAnsi"/>
                <w:b/>
                <w:sz w:val="16"/>
                <w:szCs w:val="16"/>
              </w:rPr>
            </w:pPr>
            <w:r w:rsidRPr="00003DBD">
              <w:rPr>
                <w:rFonts w:asciiTheme="minorHAnsi" w:hAnsiTheme="minorHAnsi" w:cstheme="minorHAnsi"/>
                <w:b/>
                <w:sz w:val="16"/>
                <w:szCs w:val="16"/>
              </w:rPr>
              <w:t>Musquash Mtn</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0</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269.7</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26.1</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70.4</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45</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228.7</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26.1</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67.8</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90</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297.6</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26.1</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72.0</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135</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304.1</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26.1</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72.4</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180</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240.1</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26.1</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68.5</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225</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247</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26.1</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69.0</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270</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205.2</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26.1</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66.1</w:t>
            </w:r>
          </w:p>
        </w:tc>
      </w:tr>
      <w:tr w:rsidTr="00EB7336">
        <w:tblPrEx>
          <w:tblW w:w="7015" w:type="dxa"/>
          <w:tblInd w:w="-5" w:type="dxa"/>
          <w:tblLook w:val="04A0"/>
        </w:tblPrEx>
        <w:trPr>
          <w:trHeight w:hRule="exact" w:val="288"/>
        </w:trPr>
        <w:tc>
          <w:tcPr>
            <w:tcW w:w="1403" w:type="dxa"/>
            <w:tcBorders>
              <w:top w:val="nil"/>
              <w:bottom w:val="single" w:sz="4" w:space="0" w:color="auto"/>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315</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261.2</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26.1</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69.9</w:t>
            </w:r>
          </w:p>
        </w:tc>
      </w:tr>
      <w:tr w:rsidTr="00EB7336">
        <w:tblPrEx>
          <w:tblW w:w="7015" w:type="dxa"/>
          <w:tblInd w:w="-5" w:type="dxa"/>
          <w:tblLook w:val="04A0"/>
        </w:tblPrEx>
        <w:trPr>
          <w:trHeight w:hRule="exact" w:val="288"/>
        </w:trPr>
        <w:tc>
          <w:tcPr>
            <w:tcW w:w="1403" w:type="dxa"/>
            <w:tcBorders>
              <w:bottom w:val="nil"/>
            </w:tcBorders>
            <w:vAlign w:val="center"/>
          </w:tcPr>
          <w:p w:rsidR="004325DB" w:rsidRPr="00003DBD" w:rsidP="00EB7336">
            <w:pPr>
              <w:rPr>
                <w:rFonts w:asciiTheme="minorHAnsi" w:hAnsiTheme="minorHAnsi" w:cstheme="minorHAnsi"/>
                <w:b/>
                <w:sz w:val="16"/>
                <w:szCs w:val="16"/>
              </w:rPr>
            </w:pPr>
            <w:r w:rsidRPr="00003DBD">
              <w:rPr>
                <w:rFonts w:asciiTheme="minorHAnsi" w:hAnsiTheme="minorHAnsi" w:cstheme="minorHAnsi"/>
                <w:b/>
                <w:sz w:val="16"/>
                <w:szCs w:val="16"/>
              </w:rPr>
              <w:t>Patten</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0</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44.9</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45.3</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44.1</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45</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80</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45.3</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50.7</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90</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151</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45.3</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66.5</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135</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145.7</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45.3</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58.5</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180</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166.7</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45.3</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68.1</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003DBD" w:rsidP="00EB7336">
            <w:pPr>
              <w:rPr>
                <w:rFonts w:asciiTheme="minorHAnsi" w:hAnsiTheme="minorHAnsi" w:cstheme="minorHAnsi"/>
                <w:b/>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225</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144.7</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45.3</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58.4</w:t>
            </w:r>
          </w:p>
        </w:tc>
      </w:tr>
      <w:tr w:rsidTr="00EB7336">
        <w:tblPrEx>
          <w:tblW w:w="7015" w:type="dxa"/>
          <w:tblInd w:w="-5" w:type="dxa"/>
          <w:tblLook w:val="04A0"/>
        </w:tblPrEx>
        <w:trPr>
          <w:trHeight w:hRule="exact" w:val="288"/>
        </w:trPr>
        <w:tc>
          <w:tcPr>
            <w:tcW w:w="1403" w:type="dxa"/>
            <w:tcBorders>
              <w:top w:val="nil"/>
              <w:bottom w:val="nil"/>
            </w:tcBorders>
            <w:vAlign w:val="center"/>
          </w:tcPr>
          <w:p w:rsidR="004325DB" w:rsidRPr="00E64A61" w:rsidP="00EB7336">
            <w:pPr>
              <w:rPr>
                <w:rFonts w:asciiTheme="minorHAnsi" w:hAnsiTheme="minorHAnsi" w:cstheme="minorHAnsi"/>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270</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114.6</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45.3</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55.2</w:t>
            </w:r>
          </w:p>
        </w:tc>
      </w:tr>
      <w:tr w:rsidTr="00EB7336">
        <w:tblPrEx>
          <w:tblW w:w="7015" w:type="dxa"/>
          <w:tblInd w:w="-5" w:type="dxa"/>
          <w:tblLook w:val="04A0"/>
        </w:tblPrEx>
        <w:trPr>
          <w:trHeight w:hRule="exact" w:val="288"/>
        </w:trPr>
        <w:tc>
          <w:tcPr>
            <w:tcW w:w="1403" w:type="dxa"/>
            <w:tcBorders>
              <w:top w:val="nil"/>
            </w:tcBorders>
            <w:vAlign w:val="center"/>
          </w:tcPr>
          <w:p w:rsidR="004325DB" w:rsidRPr="00E64A61" w:rsidP="00EB7336">
            <w:pPr>
              <w:rPr>
                <w:rFonts w:asciiTheme="minorHAnsi" w:hAnsiTheme="minorHAnsi" w:cstheme="minorHAnsi"/>
                <w:sz w:val="16"/>
                <w:szCs w:val="16"/>
              </w:rPr>
            </w:pP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315</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114.2</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45.3</w:t>
            </w:r>
          </w:p>
        </w:tc>
        <w:tc>
          <w:tcPr>
            <w:tcW w:w="1403" w:type="dxa"/>
            <w:vAlign w:val="center"/>
          </w:tcPr>
          <w:p w:rsidR="004325DB" w:rsidRPr="00E64A61" w:rsidP="00EB7336">
            <w:pPr>
              <w:jc w:val="center"/>
              <w:rPr>
                <w:rFonts w:asciiTheme="minorHAnsi" w:hAnsiTheme="minorHAnsi" w:cs="Calibri"/>
                <w:color w:val="000000"/>
                <w:sz w:val="16"/>
                <w:szCs w:val="16"/>
              </w:rPr>
            </w:pPr>
            <w:r w:rsidRPr="00E64A61">
              <w:rPr>
                <w:rFonts w:asciiTheme="minorHAnsi" w:hAnsiTheme="minorHAnsi" w:cs="Calibri"/>
                <w:color w:val="000000"/>
                <w:sz w:val="16"/>
                <w:szCs w:val="16"/>
              </w:rPr>
              <w:t>55.2</w:t>
            </w:r>
          </w:p>
        </w:tc>
      </w:tr>
    </w:tbl>
    <w:p w:rsidR="004325DB" w:rsidP="004325DB">
      <w:pPr>
        <w:rPr>
          <w:rFonts w:asciiTheme="minorHAnsi" w:hAnsiTheme="minorHAnsi" w:cstheme="minorHAnsi"/>
          <w:sz w:val="18"/>
          <w:szCs w:val="18"/>
        </w:rPr>
      </w:pPr>
    </w:p>
    <w:p w:rsidR="004325DB">
      <w:pPr>
        <w:widowControl/>
        <w:rPr>
          <w:szCs w:val="22"/>
        </w:rPr>
        <w:sectPr w:rsidSect="00C41275">
          <w:headerReference w:type="default" r:id="rId5"/>
          <w:footerReference w:type="even" r:id="rId6"/>
          <w:footerReference w:type="default" r:id="rId7"/>
          <w:headerReference w:type="first" r:id="rId8"/>
          <w:footerReference w:type="first" r:id="rId9"/>
          <w:pgSz w:w="12240" w:h="15840" w:code="1"/>
          <w:pgMar w:top="1440" w:right="1440" w:bottom="720" w:left="1440" w:header="720" w:footer="720" w:gutter="0"/>
          <w:pgNumType w:start="1"/>
          <w:cols w:space="720"/>
          <w:noEndnote/>
          <w:titlePg/>
        </w:sectPr>
      </w:pPr>
      <w:r>
        <w:rPr>
          <w:szCs w:val="22"/>
        </w:rPr>
        <w:br w:type="page"/>
      </w:r>
    </w:p>
    <w:p w:rsidR="00896966" w:rsidP="00E40F4B">
      <w:pPr>
        <w:keepNext/>
        <w:keepLines/>
        <w:tabs>
          <w:tab w:val="left" w:pos="-1440"/>
          <w:tab w:val="left" w:pos="-720"/>
          <w:tab w:val="left" w:pos="0"/>
          <w:tab w:val="left" w:pos="720"/>
          <w:tab w:val="left" w:pos="1080"/>
          <w:tab w:val="left" w:pos="1440"/>
        </w:tabs>
        <w:suppressAutoHyphens/>
        <w:jc w:val="center"/>
        <w:rPr>
          <w:szCs w:val="22"/>
        </w:rPr>
      </w:pPr>
      <w:r>
        <w:rPr>
          <w:szCs w:val="22"/>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381.75pt" o:oleicon="f" o:ole="">
            <v:imagedata r:id="rId10" o:title=""/>
          </v:shape>
          <o:OLEObject Type="Embed" ProgID="Acrobat.Document.11" ShapeID="_x0000_i1025" DrawAspect="Content" ObjectID="_1601708719" r:id="rId11"/>
        </w:object>
      </w:r>
      <w:r>
        <w:rPr>
          <w:szCs w:val="22"/>
        </w:rPr>
        <w:br w:type="page"/>
      </w:r>
    </w:p>
    <w:p w:rsidR="00ED3116" w:rsidP="006106F7">
      <w:pPr>
        <w:keepNext/>
        <w:keepLines/>
        <w:tabs>
          <w:tab w:val="left" w:pos="-1440"/>
          <w:tab w:val="left" w:pos="-720"/>
          <w:tab w:val="left" w:pos="0"/>
          <w:tab w:val="left" w:pos="720"/>
          <w:tab w:val="left" w:pos="1080"/>
          <w:tab w:val="left" w:pos="1440"/>
        </w:tabs>
        <w:suppressAutoHyphens/>
        <w:rPr>
          <w:szCs w:val="22"/>
        </w:rPr>
      </w:pPr>
      <w:r>
        <w:rPr>
          <w:szCs w:val="22"/>
        </w:rPr>
        <w:object>
          <v:shape id="_x0000_i1026" type="#_x0000_t75" style="width:495.75pt;height:381.75pt" o:oleicon="f" o:ole="">
            <v:imagedata r:id="rId12" o:title=""/>
          </v:shape>
          <o:OLEObject Type="Embed" ProgID="Acrobat.Document.11" ShapeID="_x0000_i1026" DrawAspect="Content" ObjectID="_1601708720" r:id="rId13"/>
        </w:object>
      </w:r>
      <w:r w:rsidR="00E40F4B">
        <w:rPr>
          <w:szCs w:val="22"/>
        </w:rPr>
        <w:t xml:space="preserve"> </w:t>
      </w:r>
    </w:p>
    <w:p w:rsidR="00307054" w:rsidP="00896966">
      <w:pPr>
        <w:keepNext/>
        <w:keepLines/>
        <w:tabs>
          <w:tab w:val="left" w:pos="-1440"/>
          <w:tab w:val="left" w:pos="-720"/>
          <w:tab w:val="left" w:pos="0"/>
          <w:tab w:val="left" w:pos="720"/>
          <w:tab w:val="left" w:pos="1080"/>
          <w:tab w:val="left" w:pos="1440"/>
        </w:tabs>
        <w:suppressAutoHyphens/>
        <w:jc w:val="center"/>
        <w:rPr>
          <w:szCs w:val="22"/>
        </w:rPr>
      </w:pPr>
      <w:r>
        <w:rPr>
          <w:szCs w:val="22"/>
        </w:rPr>
        <w:object>
          <v:shape id="_x0000_i1027" type="#_x0000_t75" style="width:493.5pt;height:381.75pt" o:oleicon="f" o:ole="">
            <v:imagedata r:id="rId14" o:title=""/>
          </v:shape>
          <o:OLEObject Type="Embed" ProgID="Acrobat.Document.11" ShapeID="_x0000_i1027" DrawAspect="Content" ObjectID="_1601708721" r:id="rId15"/>
        </w:object>
      </w:r>
    </w:p>
    <w:p w:rsidR="005E4985" w:rsidP="00896966">
      <w:pPr>
        <w:keepNext/>
        <w:keepLines/>
        <w:tabs>
          <w:tab w:val="left" w:pos="-1440"/>
          <w:tab w:val="left" w:pos="-720"/>
          <w:tab w:val="left" w:pos="0"/>
          <w:tab w:val="left" w:pos="720"/>
          <w:tab w:val="left" w:pos="1080"/>
          <w:tab w:val="left" w:pos="1440"/>
        </w:tabs>
        <w:suppressAutoHyphens/>
        <w:jc w:val="center"/>
        <w:rPr>
          <w:szCs w:val="22"/>
        </w:rPr>
      </w:pPr>
      <w:r>
        <w:rPr>
          <w:szCs w:val="22"/>
        </w:rPr>
        <w:object>
          <v:shape id="_x0000_i1028" type="#_x0000_t75" style="width:498.75pt;height:381.75pt" o:oleicon="f" o:ole="">
            <v:imagedata r:id="rId16" o:title=""/>
          </v:shape>
          <o:OLEObject Type="Embed" ProgID="Acrobat.Document.11" ShapeID="_x0000_i1028" DrawAspect="Content" ObjectID="_1601708722" r:id="rId17"/>
        </w:object>
      </w:r>
    </w:p>
    <w:p w:rsidR="006106F7" w:rsidP="00896966">
      <w:pPr>
        <w:keepNext/>
        <w:keepLines/>
        <w:tabs>
          <w:tab w:val="left" w:pos="-1440"/>
          <w:tab w:val="left" w:pos="-720"/>
          <w:tab w:val="left" w:pos="0"/>
          <w:tab w:val="left" w:pos="720"/>
          <w:tab w:val="left" w:pos="1080"/>
          <w:tab w:val="left" w:pos="1440"/>
        </w:tabs>
        <w:suppressAutoHyphens/>
        <w:jc w:val="center"/>
        <w:rPr>
          <w:szCs w:val="22"/>
        </w:rPr>
      </w:pPr>
      <w:r>
        <w:rPr>
          <w:szCs w:val="22"/>
        </w:rPr>
        <w:object>
          <v:shape id="_x0000_i1029" type="#_x0000_t75" style="width:495pt;height:381.75pt" o:oleicon="f" o:ole="">
            <v:imagedata r:id="rId18" o:title=""/>
          </v:shape>
          <o:OLEObject Type="Embed" ProgID="Acrobat.Document.11" ShapeID="_x0000_i1029" DrawAspect="Content" ObjectID="_1601708723" r:id="rId19"/>
        </w:object>
      </w:r>
      <w:r>
        <w:rPr>
          <w:szCs w:val="22"/>
        </w:rPr>
        <w:object>
          <v:shape id="_x0000_i1030" type="#_x0000_t75" style="width:493.5pt;height:381.75pt" o:oleicon="f" o:ole="">
            <v:imagedata r:id="rId20" o:title=""/>
          </v:shape>
          <o:OLEObject Type="Embed" ProgID="Acrobat.Document.11" ShapeID="_x0000_i1030" DrawAspect="Content" ObjectID="_1601708724" r:id="rId21"/>
        </w:object>
      </w:r>
    </w:p>
    <w:p w:rsidR="005E4985" w:rsidP="00896966">
      <w:pPr>
        <w:keepNext/>
        <w:keepLines/>
        <w:tabs>
          <w:tab w:val="left" w:pos="-1440"/>
          <w:tab w:val="left" w:pos="-720"/>
          <w:tab w:val="left" w:pos="0"/>
          <w:tab w:val="left" w:pos="720"/>
          <w:tab w:val="left" w:pos="1080"/>
          <w:tab w:val="left" w:pos="1440"/>
        </w:tabs>
        <w:suppressAutoHyphens/>
        <w:jc w:val="center"/>
        <w:rPr>
          <w:szCs w:val="22"/>
        </w:rPr>
      </w:pPr>
      <w:r>
        <w:rPr>
          <w:szCs w:val="22"/>
        </w:rPr>
        <w:object>
          <v:shape id="_x0000_i1031" type="#_x0000_t75" style="width:493.5pt;height:381.75pt" o:oleicon="f" o:ole="">
            <v:imagedata r:id="rId22" o:title=""/>
          </v:shape>
          <o:OLEObject Type="Embed" ProgID="Acrobat.Document.11" ShapeID="_x0000_i1031" DrawAspect="Content" ObjectID="_1601708725" r:id="rId23"/>
        </w:object>
      </w:r>
    </w:p>
    <w:p w:rsidR="002E5CFD" w:rsidP="00896966">
      <w:pPr>
        <w:keepNext/>
        <w:keepLines/>
        <w:tabs>
          <w:tab w:val="left" w:pos="-1440"/>
          <w:tab w:val="left" w:pos="-720"/>
          <w:tab w:val="left" w:pos="0"/>
          <w:tab w:val="left" w:pos="720"/>
          <w:tab w:val="left" w:pos="1080"/>
          <w:tab w:val="left" w:pos="1440"/>
        </w:tabs>
        <w:suppressAutoHyphens/>
        <w:jc w:val="center"/>
        <w:rPr>
          <w:szCs w:val="22"/>
        </w:rPr>
      </w:pPr>
      <w:r>
        <w:rPr>
          <w:szCs w:val="22"/>
        </w:rPr>
        <w:object>
          <v:shape id="_x0000_i1032" type="#_x0000_t75" style="width:493.5pt;height:381.75pt" o:oleicon="f" o:ole="">
            <v:imagedata r:id="rId24" o:title=""/>
          </v:shape>
          <o:OLEObject Type="Embed" ProgID="Acrobat.Document.11" ShapeID="_x0000_i1032" DrawAspect="Content" ObjectID="_1601708726" r:id="rId25"/>
        </w:object>
      </w:r>
    </w:p>
    <w:p w:rsidR="002E5CFD" w:rsidP="00896966">
      <w:pPr>
        <w:keepNext/>
        <w:keepLines/>
        <w:tabs>
          <w:tab w:val="left" w:pos="-1440"/>
          <w:tab w:val="left" w:pos="-720"/>
          <w:tab w:val="left" w:pos="0"/>
          <w:tab w:val="left" w:pos="720"/>
          <w:tab w:val="left" w:pos="1080"/>
          <w:tab w:val="left" w:pos="1440"/>
        </w:tabs>
        <w:suppressAutoHyphens/>
        <w:jc w:val="center"/>
        <w:rPr>
          <w:szCs w:val="22"/>
        </w:rPr>
      </w:pPr>
      <w:r>
        <w:rPr>
          <w:szCs w:val="22"/>
        </w:rPr>
        <w:object>
          <v:shape id="_x0000_i1033" type="#_x0000_t75" style="width:493.5pt;height:381.75pt" o:oleicon="f" o:ole="">
            <v:imagedata r:id="rId26" o:title=""/>
          </v:shape>
          <o:OLEObject Type="Embed" ProgID="Acrobat.Document.11" ShapeID="_x0000_i1033" DrawAspect="Content" ObjectID="_1601708727" r:id="rId27"/>
        </w:object>
      </w:r>
    </w:p>
    <w:p w:rsidR="002E5CFD" w:rsidP="00896966">
      <w:pPr>
        <w:keepNext/>
        <w:keepLines/>
        <w:tabs>
          <w:tab w:val="left" w:pos="-1440"/>
          <w:tab w:val="left" w:pos="-720"/>
          <w:tab w:val="left" w:pos="0"/>
          <w:tab w:val="left" w:pos="720"/>
          <w:tab w:val="left" w:pos="1080"/>
          <w:tab w:val="left" w:pos="1440"/>
        </w:tabs>
        <w:suppressAutoHyphens/>
        <w:jc w:val="center"/>
        <w:rPr>
          <w:szCs w:val="22"/>
        </w:rPr>
      </w:pPr>
      <w:r>
        <w:rPr>
          <w:szCs w:val="22"/>
        </w:rPr>
        <w:object>
          <v:shape id="_x0000_i1034" type="#_x0000_t75" style="width:493.5pt;height:381.75pt" o:oleicon="f" o:ole="">
            <v:imagedata r:id="rId28" o:title=""/>
          </v:shape>
          <o:OLEObject Type="Embed" ProgID="Acrobat.Document.11" ShapeID="_x0000_i1034" DrawAspect="Content" ObjectID="_1601708728" r:id="rId29"/>
        </w:object>
      </w:r>
    </w:p>
    <w:sectPr w:rsidSect="00890686">
      <w:headerReference w:type="default" r:id="rId30"/>
      <w:pgSz w:w="12240" w:h="15840" w:code="1"/>
      <w:pgMar w:top="1440" w:right="1440" w:bottom="720" w:left="144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35045">
    <w:pPr>
      <w:pStyle w:val="Footer"/>
      <w:framePr w:wrap="around" w:vAnchor="text" w:hAnchor="margin" w:xAlign="center" w:y="1"/>
    </w:pPr>
    <w:r>
      <w:fldChar w:fldCharType="begin"/>
    </w:r>
    <w:r>
      <w:instrText xml:space="preserve">PAGE  </w:instrText>
    </w:r>
    <w:r>
      <w:fldChar w:fldCharType="separate"/>
    </w:r>
    <w:r>
      <w:fldChar w:fldCharType="end"/>
    </w:r>
  </w:p>
  <w:p w:rsidR="001350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35045">
    <w:pPr>
      <w:pStyle w:val="Footer"/>
      <w:framePr w:wrap="around" w:vAnchor="text" w:hAnchor="margin" w:xAlign="center" w:y="1"/>
    </w:pPr>
  </w:p>
  <w:p w:rsidR="00135045" w:rsidP="00C41275">
    <w:pPr>
      <w:pStyle w:val="Footer"/>
      <w:framePr w:wrap="around" w:vAnchor="text" w:hAnchor="margin" w:xAlign="center" w:y="1"/>
      <w:jc w:val="center"/>
    </w:pPr>
    <w:r>
      <w:fldChar w:fldCharType="begin"/>
    </w:r>
    <w:r>
      <w:instrText xml:space="preserve">PAGE  </w:instrText>
    </w:r>
    <w:r>
      <w:fldChar w:fldCharType="separate"/>
    </w:r>
    <w:r>
      <w:t>26</w:t>
    </w:r>
    <w:r>
      <w:fldChar w:fldCharType="end"/>
    </w:r>
  </w:p>
  <w:p w:rsidR="0013504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35045">
    <w:pPr>
      <w:pStyle w:val="Footer"/>
      <w:tabs>
        <w:tab w:val="clear" w:pos="86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135045">
      <w:r>
        <w:separator/>
      </w:r>
    </w:p>
  </w:footnote>
  <w:footnote w:type="continuationSeparator" w:id="1">
    <w:p w:rsidR="00135045">
      <w:pPr>
        <w:rPr>
          <w:sz w:val="20"/>
        </w:rPr>
      </w:pPr>
      <w:r>
        <w:rPr>
          <w:sz w:val="20"/>
        </w:rPr>
        <w:t xml:space="preserve">(Continued from previous page)  </w:t>
      </w:r>
      <w:r>
        <w:rPr>
          <w:sz w:val="20"/>
        </w:rPr>
        <w:separator/>
      </w:r>
    </w:p>
  </w:footnote>
  <w:footnote w:type="continuationNotice" w:id="2">
    <w:p w:rsidR="00135045">
      <w:pPr>
        <w:rPr>
          <w:sz w:val="20"/>
        </w:rPr>
      </w:pPr>
      <w:r>
        <w:rPr>
          <w:sz w:val="20"/>
        </w:rPr>
        <w:t>(continued….)</w:t>
      </w:r>
    </w:p>
  </w:footnote>
  <w:footnote w:id="3">
    <w:p w:rsidR="00135045">
      <w:pPr>
        <w:pStyle w:val="FootnoteText"/>
      </w:pPr>
      <w:r>
        <w:rPr>
          <w:rStyle w:val="FootnoteReference"/>
        </w:rPr>
        <w:footnoteRef/>
      </w:r>
      <w:r>
        <w:t xml:space="preserve"> </w:t>
      </w:r>
      <w:r w:rsidRPr="00863C0F">
        <w:t>Part 22 License Construction Build‐Out Extension Request</w:t>
      </w:r>
      <w:r>
        <w:t xml:space="preserve">, File Nos. </w:t>
      </w:r>
      <w:r w:rsidRPr="0037767F">
        <w:rPr>
          <w:spacing w:val="-2"/>
          <w:szCs w:val="22"/>
        </w:rPr>
        <w:t>0007903503</w:t>
      </w:r>
      <w:r>
        <w:rPr>
          <w:spacing w:val="-2"/>
          <w:szCs w:val="22"/>
        </w:rPr>
        <w:t>,</w:t>
      </w:r>
      <w:r w:rsidRPr="0037767F">
        <w:rPr>
          <w:spacing w:val="-2"/>
          <w:szCs w:val="22"/>
        </w:rPr>
        <w:t xml:space="preserve"> </w:t>
      </w:r>
      <w:r>
        <w:rPr>
          <w:spacing w:val="-2"/>
          <w:szCs w:val="22"/>
        </w:rPr>
        <w:t xml:space="preserve">0007903504, </w:t>
      </w:r>
      <w:r w:rsidRPr="0037767F">
        <w:rPr>
          <w:spacing w:val="-2"/>
          <w:szCs w:val="22"/>
        </w:rPr>
        <w:t>000790350</w:t>
      </w:r>
      <w:r>
        <w:rPr>
          <w:spacing w:val="-2"/>
          <w:szCs w:val="22"/>
        </w:rPr>
        <w:t>5,</w:t>
      </w:r>
      <w:r>
        <w:t xml:space="preserve"> </w:t>
      </w:r>
      <w:r>
        <w:rPr>
          <w:spacing w:val="-2"/>
          <w:szCs w:val="22"/>
        </w:rPr>
        <w:t xml:space="preserve">0007903506, </w:t>
      </w:r>
      <w:r w:rsidRPr="0037767F">
        <w:rPr>
          <w:spacing w:val="-2"/>
          <w:szCs w:val="22"/>
        </w:rPr>
        <w:t>000790350</w:t>
      </w:r>
      <w:r>
        <w:rPr>
          <w:spacing w:val="-2"/>
          <w:szCs w:val="22"/>
        </w:rPr>
        <w:t xml:space="preserve">7, 0007903508, </w:t>
      </w:r>
      <w:r w:rsidRPr="0037767F">
        <w:rPr>
          <w:spacing w:val="-2"/>
          <w:szCs w:val="22"/>
        </w:rPr>
        <w:t>000790350</w:t>
      </w:r>
      <w:r>
        <w:rPr>
          <w:spacing w:val="-2"/>
          <w:szCs w:val="22"/>
        </w:rPr>
        <w:t xml:space="preserve">9, </w:t>
      </w:r>
      <w:r w:rsidRPr="0037767F">
        <w:rPr>
          <w:spacing w:val="-2"/>
          <w:szCs w:val="22"/>
        </w:rPr>
        <w:t>00079035</w:t>
      </w:r>
      <w:r>
        <w:rPr>
          <w:spacing w:val="-2"/>
          <w:szCs w:val="22"/>
        </w:rPr>
        <w:t xml:space="preserve">10, </w:t>
      </w:r>
      <w:r w:rsidRPr="0037767F">
        <w:rPr>
          <w:spacing w:val="-2"/>
          <w:szCs w:val="22"/>
        </w:rPr>
        <w:t>00079035</w:t>
      </w:r>
      <w:r>
        <w:rPr>
          <w:spacing w:val="-2"/>
          <w:szCs w:val="22"/>
        </w:rPr>
        <w:t xml:space="preserve">11, </w:t>
      </w:r>
      <w:r w:rsidRPr="0037767F">
        <w:rPr>
          <w:spacing w:val="-2"/>
          <w:szCs w:val="22"/>
        </w:rPr>
        <w:t>00079035</w:t>
      </w:r>
      <w:r>
        <w:rPr>
          <w:spacing w:val="-2"/>
          <w:szCs w:val="22"/>
        </w:rPr>
        <w:t xml:space="preserve">12 </w:t>
      </w:r>
      <w:r>
        <w:t xml:space="preserve">(filed Aug. 24, 2017) (2017 Extension Request) (regarding call signs </w:t>
      </w:r>
      <w:r w:rsidRPr="00B61481">
        <w:t xml:space="preserve">WQMT752, WQMT753, WQMT754, WQMT755, </w:t>
      </w:r>
      <w:r>
        <w:t xml:space="preserve">WQMT756, </w:t>
      </w:r>
      <w:r w:rsidRPr="00B61481">
        <w:t xml:space="preserve">WQMT757, WQMT758, WQMT759, WQMT760, </w:t>
      </w:r>
      <w:r>
        <w:t xml:space="preserve">and </w:t>
      </w:r>
      <w:r w:rsidRPr="00B61481">
        <w:t>WQMT761</w:t>
      </w:r>
      <w:r>
        <w:t>).</w:t>
      </w:r>
    </w:p>
  </w:footnote>
  <w:footnote w:id="4">
    <w:p w:rsidR="00135045" w:rsidP="003F5C77">
      <w:pPr>
        <w:pStyle w:val="FootnoteText"/>
      </w:pPr>
      <w:r>
        <w:rPr>
          <w:rStyle w:val="FootnoteReference"/>
        </w:rPr>
        <w:footnoteRef/>
      </w:r>
      <w:r>
        <w:t xml:space="preserve"> 47 CFR </w:t>
      </w:r>
      <w:r>
        <w:rPr>
          <w:caps/>
        </w:rPr>
        <w:t>§ 22.503</w:t>
      </w:r>
      <w:r>
        <w:t>(k).</w:t>
      </w:r>
    </w:p>
  </w:footnote>
  <w:footnote w:id="5">
    <w:p w:rsidR="00135045" w:rsidRPr="00E47B14" w:rsidP="003F5C77">
      <w:pPr>
        <w:pStyle w:val="FootnoteText"/>
        <w:rPr>
          <w:i/>
        </w:rPr>
      </w:pPr>
      <w:r>
        <w:rPr>
          <w:rStyle w:val="FootnoteReference"/>
        </w:rPr>
        <w:footnoteRef/>
      </w:r>
      <w:r>
        <w:t xml:space="preserve"> </w:t>
      </w:r>
      <w:r>
        <w:rPr>
          <w:i/>
        </w:rPr>
        <w:t xml:space="preserve">Id. </w:t>
      </w:r>
      <w:r>
        <w:rPr>
          <w:caps/>
        </w:rPr>
        <w:t>§ 22.503</w:t>
      </w:r>
      <w:r>
        <w:t>(k)(1).</w:t>
      </w:r>
    </w:p>
  </w:footnote>
  <w:footnote w:id="6">
    <w:p w:rsidR="00135045">
      <w:pPr>
        <w:pStyle w:val="FootnoteText"/>
      </w:pPr>
      <w:r>
        <w:rPr>
          <w:rStyle w:val="FootnoteReference"/>
        </w:rPr>
        <w:footnoteRef/>
      </w:r>
      <w:r>
        <w:t xml:space="preserve"> </w:t>
      </w:r>
      <w:r>
        <w:rPr>
          <w:i/>
        </w:rPr>
        <w:t xml:space="preserve">Id. </w:t>
      </w:r>
      <w:r>
        <w:rPr>
          <w:caps/>
        </w:rPr>
        <w:t>§ 22.503</w:t>
      </w:r>
      <w:r>
        <w:t>(k)(3).</w:t>
      </w:r>
    </w:p>
  </w:footnote>
  <w:footnote w:id="7">
    <w:p w:rsidR="00135045" w:rsidRPr="002246B5">
      <w:pPr>
        <w:pStyle w:val="FootnoteText"/>
        <w:rPr>
          <w:i/>
        </w:rPr>
      </w:pPr>
      <w:r>
        <w:rPr>
          <w:rStyle w:val="FootnoteReference"/>
        </w:rPr>
        <w:footnoteRef/>
      </w:r>
      <w:r>
        <w:t xml:space="preserve"> </w:t>
      </w:r>
      <w:r>
        <w:rPr>
          <w:i/>
        </w:rPr>
        <w:t>Id.</w:t>
      </w:r>
      <w:r w:rsidRPr="00227FB1">
        <w:rPr>
          <w:caps/>
        </w:rPr>
        <w:t xml:space="preserve"> </w:t>
      </w:r>
      <w:r>
        <w:rPr>
          <w:caps/>
        </w:rPr>
        <w:t>§ 22.503</w:t>
      </w:r>
      <w:r>
        <w:t>(k)</w:t>
      </w:r>
    </w:p>
  </w:footnote>
  <w:footnote w:id="8">
    <w:p w:rsidR="00135045">
      <w:pPr>
        <w:pStyle w:val="FootnoteText"/>
      </w:pPr>
      <w:r>
        <w:rPr>
          <w:rStyle w:val="FootnoteReference"/>
        </w:rPr>
        <w:footnoteRef/>
      </w:r>
      <w:r>
        <w:t xml:space="preserve"> </w:t>
      </w:r>
      <w:r w:rsidRPr="000D1CDE">
        <w:t>Guidance on Compliance with Constr</w:t>
      </w:r>
      <w:r>
        <w:t>uction</w:t>
      </w:r>
      <w:r w:rsidRPr="000D1CDE">
        <w:t xml:space="preserve"> Requirements for Auction 95 Paging &amp; Radiotelephone Serv. Licenses</w:t>
      </w:r>
      <w:r>
        <w:t xml:space="preserve">, </w:t>
      </w:r>
      <w:r>
        <w:rPr>
          <w:i/>
        </w:rPr>
        <w:t>Public Notice</w:t>
      </w:r>
      <w:r w:rsidRPr="00220890">
        <w:t xml:space="preserve">, 31 </w:t>
      </w:r>
      <w:r>
        <w:t>FCC Rcd</w:t>
      </w:r>
      <w:r w:rsidRPr="00220890">
        <w:t xml:space="preserve"> 11664, 11665 (</w:t>
      </w:r>
      <w:r>
        <w:t xml:space="preserve">WTB </w:t>
      </w:r>
      <w:r w:rsidRPr="00220890">
        <w:t>2016)</w:t>
      </w:r>
      <w:r>
        <w:t xml:space="preserve"> (</w:t>
      </w:r>
      <w:r w:rsidRPr="005416A6">
        <w:rPr>
          <w:i/>
        </w:rPr>
        <w:t>Auction 95</w:t>
      </w:r>
      <w:r>
        <w:rPr>
          <w:i/>
        </w:rPr>
        <w:t xml:space="preserve"> Guidance</w:t>
      </w:r>
      <w:r w:rsidRPr="005416A6">
        <w:rPr>
          <w:i/>
        </w:rPr>
        <w:t xml:space="preserve"> Public Notice</w:t>
      </w:r>
      <w:r>
        <w:t xml:space="preserve">), </w:t>
      </w:r>
      <w:r w:rsidRPr="002F0E93">
        <w:rPr>
          <w:i/>
        </w:rPr>
        <w:t>citing</w:t>
      </w:r>
      <w:r w:rsidRPr="002F0E93">
        <w:t xml:space="preserve"> ATT: J</w:t>
      </w:r>
      <w:r>
        <w:t>eff</w:t>
      </w:r>
      <w:r w:rsidRPr="002F0E93">
        <w:t xml:space="preserve"> S</w:t>
      </w:r>
      <w:r>
        <w:t>ohn</w:t>
      </w:r>
      <w:r w:rsidRPr="002F0E93">
        <w:t xml:space="preserve">, </w:t>
      </w:r>
      <w:r w:rsidRPr="002F0E93">
        <w:rPr>
          <w:i/>
        </w:rPr>
        <w:t>Letter</w:t>
      </w:r>
      <w:r>
        <w:t>, 27 FCC Rcd 5864, 5865 (WTB</w:t>
      </w:r>
      <w:r w:rsidRPr="002F0E93">
        <w:t xml:space="preserve"> 2012)</w:t>
      </w:r>
      <w:r>
        <w:t>,</w:t>
      </w:r>
      <w:r w:rsidRPr="002F0E93">
        <w:t xml:space="preserve"> Cingular Interactive, L.P., Showing of Substantial Service Pursuant to Section 90.665(c), File No.</w:t>
      </w:r>
      <w:r>
        <w:t xml:space="preserve"> </w:t>
      </w:r>
      <w:r w:rsidRPr="002F0E93">
        <w:t xml:space="preserve">0000226552, </w:t>
      </w:r>
      <w:r w:rsidRPr="002F0E93">
        <w:rPr>
          <w:i/>
        </w:rPr>
        <w:t>Order</w:t>
      </w:r>
      <w:r w:rsidRPr="002F0E93">
        <w:t xml:space="preserve">, 16 </w:t>
      </w:r>
      <w:r>
        <w:t>FCC Rcd 19200, 19203 (WTB 2001)</w:t>
      </w:r>
      <w:r w:rsidRPr="002F0E93">
        <w:t>.</w:t>
      </w:r>
    </w:p>
  </w:footnote>
  <w:footnote w:id="9">
    <w:p w:rsidR="00135045" w:rsidRPr="000D0D68" w:rsidP="003F5C77">
      <w:pPr>
        <w:pStyle w:val="FootnoteText"/>
      </w:pPr>
      <w:r>
        <w:rPr>
          <w:rStyle w:val="FootnoteReference"/>
        </w:rPr>
        <w:footnoteRef/>
      </w:r>
      <w:r>
        <w:t xml:space="preserve"> </w:t>
      </w:r>
      <w:r>
        <w:rPr>
          <w:i/>
        </w:rPr>
        <w:t xml:space="preserve">See </w:t>
      </w:r>
      <w:r>
        <w:rPr>
          <w:snapToGrid w:val="0"/>
        </w:rPr>
        <w:t xml:space="preserve">47 CFR § 1.928 (Commission rules on frequency coordination with Canada), </w:t>
      </w:r>
      <w:r>
        <w:t>47 CFR § 90.7 (definition of Line A).</w:t>
      </w:r>
    </w:p>
  </w:footnote>
  <w:footnote w:id="10">
    <w:p w:rsidR="00135045" w:rsidRPr="00674A21">
      <w:pPr>
        <w:pStyle w:val="FootnoteText"/>
      </w:pPr>
      <w:r>
        <w:rPr>
          <w:rStyle w:val="FootnoteReference"/>
        </w:rPr>
        <w:footnoteRef/>
      </w:r>
      <w:r>
        <w:t xml:space="preserve"> 47 CFR §§ 1.928(e), 90.7.</w:t>
      </w:r>
    </w:p>
  </w:footnote>
  <w:footnote w:id="11">
    <w:p w:rsidR="00135045" w:rsidP="003F5C77">
      <w:pPr>
        <w:pStyle w:val="FootnoteText"/>
      </w:pPr>
      <w:r>
        <w:rPr>
          <w:rStyle w:val="FootnoteReference"/>
        </w:rPr>
        <w:footnoteRef/>
      </w:r>
      <w:r>
        <w:t xml:space="preserve"> </w:t>
      </w:r>
      <w:r w:rsidRPr="005416A6">
        <w:rPr>
          <w:i/>
        </w:rPr>
        <w:t xml:space="preserve">Auction 95 </w:t>
      </w:r>
      <w:r>
        <w:rPr>
          <w:i/>
        </w:rPr>
        <w:t xml:space="preserve">Guidance </w:t>
      </w:r>
      <w:r w:rsidRPr="005416A6">
        <w:rPr>
          <w:i/>
        </w:rPr>
        <w:t>Public Notice</w:t>
      </w:r>
      <w:r w:rsidRPr="00220890">
        <w:t xml:space="preserve">, 31 </w:t>
      </w:r>
      <w:r>
        <w:t>FCC</w:t>
      </w:r>
      <w:r w:rsidRPr="00220890">
        <w:t xml:space="preserve"> Rcd </w:t>
      </w:r>
      <w:r>
        <w:t>at 11665.</w:t>
      </w:r>
    </w:p>
  </w:footnote>
  <w:footnote w:id="12">
    <w:p w:rsidR="00135045" w:rsidP="001D4260">
      <w:pPr>
        <w:pStyle w:val="FootnoteText"/>
      </w:pPr>
      <w:r>
        <w:rPr>
          <w:rStyle w:val="FootnoteReference"/>
        </w:rPr>
        <w:footnoteRef/>
      </w:r>
      <w:r>
        <w:t xml:space="preserve"> MSCommNet provides land-mobile radio communications for the Maine State Police/Department of Public Safety; Game Wardens/Department of Inland Fisheries and Wildlife; Forest Rangers/Department of Agriculture, Conservation, &amp; Forestry; Marine Patrol/Department of Marine Resources; Maine Emergency Management Agency (MEMA); the Department of Environmental Protection, among others, and provides for interoperability with public safety partners available for all municipal, county, tribal, adjacent State, and Federal public safety agencies.  </w:t>
      </w:r>
      <w:r>
        <w:rPr>
          <w:i/>
        </w:rPr>
        <w:t xml:space="preserve">See </w:t>
      </w:r>
      <w:r w:rsidRPr="001D4260">
        <w:t>MSCommNet (Radio Network)</w:t>
      </w:r>
      <w:r>
        <w:t>,</w:t>
      </w:r>
      <w:r>
        <w:rPr>
          <w:i/>
        </w:rPr>
        <w:t xml:space="preserve"> </w:t>
      </w:r>
      <w:r>
        <w:fldChar w:fldCharType="begin"/>
      </w:r>
      <w:r>
        <w:instrText xml:space="preserve"> HYPERLINK "https://www.maine.gov/oit/services/radio/mscommnet/index.html" </w:instrText>
      </w:r>
      <w:r>
        <w:fldChar w:fldCharType="separate"/>
      </w:r>
      <w:r w:rsidRPr="006657FA">
        <w:rPr>
          <w:rStyle w:val="Hyperlink"/>
        </w:rPr>
        <w:t>https://www.maine.gov/oit/services/radio/mscommnet/index.html</w:t>
      </w:r>
      <w:r>
        <w:fldChar w:fldCharType="end"/>
      </w:r>
      <w:r>
        <w:rPr>
          <w:rStyle w:val="Hyperlink"/>
        </w:rPr>
        <w:t xml:space="preserve"> (last visited Sept. 19, 2018)</w:t>
      </w:r>
      <w:r>
        <w:t xml:space="preserve">. </w:t>
      </w:r>
    </w:p>
  </w:footnote>
  <w:footnote w:id="13">
    <w:p w:rsidR="00135045" w:rsidRPr="00AF3756" w:rsidP="0099766F">
      <w:pPr>
        <w:pStyle w:val="FootnoteText"/>
        <w:rPr>
          <w:vanish/>
          <w:specVanish/>
        </w:rPr>
      </w:pPr>
      <w:r>
        <w:rPr>
          <w:rStyle w:val="FootnoteReference"/>
        </w:rPr>
        <w:footnoteRef/>
      </w:r>
      <w:r>
        <w:t xml:space="preserve"> </w:t>
      </w:r>
      <w:r w:rsidRPr="007E40BD">
        <w:t>State of Maine – MSCommNet Project, Request for Waiver of Sections 90.35(a), 20.9(a)(6), 22.377, and 22.565(f) of the Commission’s Rules,</w:t>
      </w:r>
      <w:r>
        <w:rPr>
          <w:i/>
        </w:rPr>
        <w:t xml:space="preserve"> Order</w:t>
      </w:r>
      <w:r>
        <w:t>, 27 FCC Rcd 8891, 8891-92, paras. 2-3 (PSHSB/WTB 2012) (</w:t>
      </w:r>
      <w:r>
        <w:rPr>
          <w:i/>
        </w:rPr>
        <w:t>2012 Waiver Order)</w:t>
      </w:r>
      <w:r>
        <w:t xml:space="preserve">. </w:t>
      </w:r>
    </w:p>
  </w:footnote>
  <w:footnote w:id="14">
    <w:p w:rsidR="00135045" w:rsidP="001D4260">
      <w:pPr>
        <w:pStyle w:val="FootnoteText"/>
      </w:pPr>
      <w:r>
        <w:rPr>
          <w:rStyle w:val="FootnoteReference"/>
        </w:rPr>
        <w:t xml:space="preserve"> </w:t>
      </w:r>
      <w:r>
        <w:rPr>
          <w:rStyle w:val="FootnoteReference"/>
        </w:rPr>
        <w:footnoteRef/>
      </w:r>
      <w:r>
        <w:t xml:space="preserve"> </w:t>
      </w:r>
      <w:r>
        <w:rPr>
          <w:i/>
        </w:rPr>
        <w:t>Id.</w:t>
      </w:r>
      <w:r>
        <w:t xml:space="preserve"> at 8891-92, paras. 2-3.</w:t>
      </w:r>
    </w:p>
  </w:footnote>
  <w:footnote w:id="15">
    <w:p w:rsidR="00135045" w:rsidRPr="00DE1C22" w:rsidP="002F0111">
      <w:pPr>
        <w:pStyle w:val="FootnoteText"/>
        <w:rPr>
          <w:b/>
        </w:rPr>
      </w:pPr>
      <w:r>
        <w:rPr>
          <w:rStyle w:val="FootnoteReference"/>
        </w:rPr>
        <w:footnoteRef/>
      </w:r>
      <w:r>
        <w:t xml:space="preserve"> </w:t>
      </w:r>
      <w:r>
        <w:rPr>
          <w:i/>
        </w:rPr>
        <w:t>Id.</w:t>
      </w:r>
      <w:r>
        <w:t xml:space="preserve">at 8891-92, paras. 5, 8.  </w:t>
      </w:r>
    </w:p>
  </w:footnote>
  <w:footnote w:id="16">
    <w:p w:rsidR="00135045" w:rsidP="001D4260">
      <w:pPr>
        <w:pStyle w:val="FootnoteText"/>
      </w:pPr>
      <w:r>
        <w:rPr>
          <w:rStyle w:val="FootnoteReference"/>
        </w:rPr>
        <w:footnoteRef/>
      </w:r>
      <w:r>
        <w:t xml:space="preserve"> </w:t>
      </w:r>
      <w:r w:rsidRPr="009A7190">
        <w:rPr>
          <w:i/>
        </w:rPr>
        <w:t>See</w:t>
      </w:r>
      <w:r w:rsidRPr="009A7190">
        <w:t xml:space="preserve"> </w:t>
      </w:r>
      <w:r w:rsidRPr="009A7190">
        <w:rPr>
          <w:i/>
        </w:rPr>
        <w:t>Wireless Telecommunications Bureau Grants Lower &amp; Upper Paging Bands Licenses</w:t>
      </w:r>
      <w:r w:rsidRPr="009A7190">
        <w:t>, Public Notice, 25 FCC Rcd 15324 (2010).</w:t>
      </w:r>
    </w:p>
  </w:footnote>
  <w:footnote w:id="17">
    <w:p w:rsidR="00135045">
      <w:pPr>
        <w:pStyle w:val="FootnoteText"/>
      </w:pPr>
      <w:r>
        <w:rPr>
          <w:rStyle w:val="FootnoteReference"/>
        </w:rPr>
        <w:footnoteRef/>
      </w:r>
      <w:r>
        <w:t xml:space="preserve"> </w:t>
      </w:r>
      <w:r>
        <w:rPr>
          <w:i/>
        </w:rPr>
        <w:t>Id.</w:t>
      </w:r>
    </w:p>
  </w:footnote>
  <w:footnote w:id="18">
    <w:p w:rsidR="00135045" w:rsidRPr="0090337A">
      <w:pPr>
        <w:pStyle w:val="FootnoteText"/>
      </w:pPr>
      <w:r>
        <w:rPr>
          <w:rStyle w:val="FootnoteReference"/>
        </w:rPr>
        <w:footnoteRef/>
      </w:r>
      <w:r>
        <w:t xml:space="preserve"> </w:t>
      </w:r>
      <w:r>
        <w:rPr>
          <w:i/>
        </w:rPr>
        <w:t>2012 Waiver Order</w:t>
      </w:r>
      <w:r>
        <w:t>, 27 FCC Rcd 8891, Tables 1-4.</w:t>
      </w:r>
    </w:p>
  </w:footnote>
  <w:footnote w:id="19">
    <w:p w:rsidR="00135045" w:rsidP="0043648B">
      <w:pPr>
        <w:pStyle w:val="FootnoteText"/>
      </w:pPr>
      <w:r>
        <w:rPr>
          <w:rStyle w:val="FootnoteReference"/>
        </w:rPr>
        <w:footnoteRef/>
      </w:r>
      <w:r>
        <w:t xml:space="preserve"> </w:t>
      </w:r>
      <w:r w:rsidRPr="00DA4171">
        <w:rPr>
          <w:i/>
        </w:rPr>
        <w:t>Id</w:t>
      </w:r>
      <w:r>
        <w:t xml:space="preserve">. at 8891-92, paras. 2-3.  </w:t>
      </w:r>
    </w:p>
  </w:footnote>
  <w:footnote w:id="20">
    <w:p w:rsidR="00135045" w:rsidP="0043648B">
      <w:pPr>
        <w:pStyle w:val="FootnoteText"/>
      </w:pPr>
      <w:r>
        <w:rPr>
          <w:rStyle w:val="FootnoteReference"/>
        </w:rPr>
        <w:footnoteRef/>
      </w:r>
      <w:r>
        <w:t xml:space="preserve"> </w:t>
      </w:r>
      <w:r>
        <w:rPr>
          <w:i/>
        </w:rPr>
        <w:t>Id</w:t>
      </w:r>
      <w:r>
        <w:t xml:space="preserve">.  </w:t>
      </w:r>
    </w:p>
  </w:footnote>
  <w:footnote w:id="21">
    <w:p w:rsidR="00135045" w:rsidRPr="000B132D" w:rsidP="0043648B">
      <w:pPr>
        <w:pStyle w:val="FootnoteText"/>
      </w:pPr>
      <w:r>
        <w:rPr>
          <w:rStyle w:val="FootnoteReference"/>
        </w:rPr>
        <w:footnoteRef/>
      </w:r>
      <w:r>
        <w:t xml:space="preserve"> </w:t>
      </w:r>
      <w:r>
        <w:rPr>
          <w:i/>
        </w:rPr>
        <w:t xml:space="preserve">Id. </w:t>
      </w:r>
      <w:r>
        <w:t xml:space="preserve">at </w:t>
      </w:r>
      <w:r w:rsidRPr="000B132D">
        <w:t>n. 21 (citing justification for unpaired frequencies attached to the applications).</w:t>
      </w:r>
    </w:p>
  </w:footnote>
  <w:footnote w:id="22">
    <w:p w:rsidR="00135045" w:rsidRPr="005C01D5">
      <w:pPr>
        <w:pStyle w:val="FootnoteText"/>
      </w:pPr>
      <w:r>
        <w:rPr>
          <w:rStyle w:val="FootnoteReference"/>
        </w:rPr>
        <w:footnoteRef/>
      </w:r>
      <w:r>
        <w:t xml:space="preserve"> </w:t>
      </w:r>
      <w:r>
        <w:rPr>
          <w:i/>
        </w:rPr>
        <w:t>See generally 2012 Waiver Order</w:t>
      </w:r>
      <w:r>
        <w:t>, 27 FCC Rcd 8891.</w:t>
      </w:r>
    </w:p>
  </w:footnote>
  <w:footnote w:id="23">
    <w:p w:rsidR="00135045" w:rsidRPr="002F0111">
      <w:pPr>
        <w:pStyle w:val="FootnoteText"/>
      </w:pPr>
      <w:r>
        <w:rPr>
          <w:rStyle w:val="FootnoteReference"/>
        </w:rPr>
        <w:footnoteRef/>
      </w:r>
      <w:r>
        <w:t xml:space="preserve"> </w:t>
      </w:r>
      <w:r>
        <w:rPr>
          <w:i/>
        </w:rPr>
        <w:t xml:space="preserve">Id. </w:t>
      </w:r>
      <w:r>
        <w:t xml:space="preserve">at 8891-92, para. 11.  In addition to the waivers in the </w:t>
      </w:r>
      <w:r>
        <w:rPr>
          <w:i/>
        </w:rPr>
        <w:t xml:space="preserve">2012 Waiver </w:t>
      </w:r>
      <w:r w:rsidRPr="00857739">
        <w:rPr>
          <w:i/>
        </w:rPr>
        <w:t>Order</w:t>
      </w:r>
      <w:r>
        <w:t>, t</w:t>
      </w:r>
      <w:r w:rsidRPr="00857739">
        <w:t>he</w:t>
      </w:r>
      <w:r>
        <w:t xml:space="preserve"> Policy and Licensing Division has also granted numerous similar waivers, extensions, and petitions to facilitate completion and operation of MSCommNet, finding that “</w:t>
      </w:r>
      <w:r w:rsidRPr="000147F1">
        <w:t>Maine’s upgrade to its statewide public safety radio communications network in the public interest because it will facilitate interoperability between federal, state and local public safety officials</w:t>
      </w:r>
      <w:r>
        <w:t xml:space="preserve">.”  </w:t>
      </w:r>
      <w:r>
        <w:rPr>
          <w:i/>
        </w:rPr>
        <w:t>See</w:t>
      </w:r>
      <w:r>
        <w:t xml:space="preserve">, </w:t>
      </w:r>
      <w:r>
        <w:rPr>
          <w:i/>
        </w:rPr>
        <w:t>e.g.</w:t>
      </w:r>
      <w:r>
        <w:t xml:space="preserve">, </w:t>
      </w:r>
      <w:r w:rsidRPr="007E40BD">
        <w:t>State of Maine – MSCommNet</w:t>
      </w:r>
      <w:r>
        <w:t xml:space="preserve"> </w:t>
      </w:r>
      <w:r w:rsidRPr="007E40BD">
        <w:t>Project, Request for Waiver of Sections 90.</w:t>
      </w:r>
      <w:r>
        <w:t>35(b)(2)(ii</w:t>
      </w:r>
      <w:r w:rsidRPr="007E40BD">
        <w:t xml:space="preserve">) and </w:t>
      </w:r>
      <w:r>
        <w:t>90.187(d)</w:t>
      </w:r>
      <w:r w:rsidRPr="007E40BD">
        <w:t xml:space="preserve"> of the Commission’s Rule</w:t>
      </w:r>
      <w:r>
        <w:rPr>
          <w:i/>
        </w:rPr>
        <w:t>s, Order</w:t>
      </w:r>
      <w:r>
        <w:t xml:space="preserve">, </w:t>
      </w:r>
      <w:r w:rsidRPr="000147F1">
        <w:t>29 FCC Rcd 7398</w:t>
      </w:r>
      <w:r>
        <w:t xml:space="preserve"> (PSHSB 2014).</w:t>
      </w:r>
      <w:r>
        <w:rPr>
          <w:rStyle w:val="CommentReference"/>
        </w:rPr>
        <w:t xml:space="preserve"> </w:t>
      </w:r>
    </w:p>
  </w:footnote>
  <w:footnote w:id="24">
    <w:p w:rsidR="00135045">
      <w:pPr>
        <w:pStyle w:val="FootnoteText"/>
      </w:pPr>
      <w:r>
        <w:rPr>
          <w:rStyle w:val="FootnoteReference"/>
        </w:rPr>
        <w:footnoteRef/>
      </w:r>
      <w:r>
        <w:t xml:space="preserve"> </w:t>
      </w:r>
      <w:r w:rsidRPr="001A10A6">
        <w:rPr>
          <w:i/>
        </w:rPr>
        <w:t>See</w:t>
      </w:r>
      <w:r>
        <w:t xml:space="preserve"> Letter from John E. Richards, Director Radio Operations, State of Maine, Office of Information Technology, to Federal Communications Commission (Jan. 8, 2016).</w:t>
      </w:r>
    </w:p>
  </w:footnote>
  <w:footnote w:id="25">
    <w:p w:rsidR="00135045" w:rsidRPr="0008688D">
      <w:pPr>
        <w:pStyle w:val="FootnoteText"/>
        <w:rPr>
          <w:b/>
        </w:rPr>
      </w:pPr>
      <w:r>
        <w:rPr>
          <w:rStyle w:val="FootnoteReference"/>
        </w:rPr>
        <w:footnoteRef/>
      </w:r>
      <w:r>
        <w:t xml:space="preserve"> Letter from Keith Harper, Associate Chief, Mobility Division, to Robert H. Isby, Engineer Specialist IV, HARRIS Corporation Communication System (Sept. 13, 2016) (</w:t>
      </w:r>
      <w:r w:rsidRPr="0021103A">
        <w:rPr>
          <w:i/>
        </w:rPr>
        <w:t>2016 Letter</w:t>
      </w:r>
      <w:r>
        <w:rPr>
          <w:i/>
        </w:rPr>
        <w:t xml:space="preserve"> Order</w:t>
      </w:r>
      <w:r>
        <w:t>).</w:t>
      </w:r>
    </w:p>
  </w:footnote>
  <w:footnote w:id="26">
    <w:p w:rsidR="00135045" w:rsidRPr="00417F2F">
      <w:pPr>
        <w:pStyle w:val="FootnoteText"/>
        <w:rPr>
          <w:b/>
        </w:rPr>
      </w:pPr>
      <w:r>
        <w:rPr>
          <w:rStyle w:val="FootnoteReference"/>
        </w:rPr>
        <w:footnoteRef/>
      </w:r>
      <w:r>
        <w:t xml:space="preserve"> </w:t>
      </w:r>
      <w:r>
        <w:rPr>
          <w:i/>
        </w:rPr>
        <w:t>Id.</w:t>
      </w:r>
      <w:r w:rsidRPr="0021103A">
        <w:t xml:space="preserve"> at 1-2.</w:t>
      </w:r>
    </w:p>
  </w:footnote>
  <w:footnote w:id="27">
    <w:p w:rsidR="00135045">
      <w:pPr>
        <w:pStyle w:val="FootnoteText"/>
      </w:pPr>
      <w:r>
        <w:rPr>
          <w:rStyle w:val="FootnoteReference"/>
        </w:rPr>
        <w:footnoteRef/>
      </w:r>
      <w:r>
        <w:t xml:space="preserve"> </w:t>
      </w:r>
      <w:r>
        <w:rPr>
          <w:i/>
        </w:rPr>
        <w:t>Id</w:t>
      </w:r>
      <w:r>
        <w:t>.</w:t>
      </w:r>
    </w:p>
  </w:footnote>
  <w:footnote w:id="28">
    <w:p w:rsidR="00135045" w:rsidRPr="001A473A">
      <w:pPr>
        <w:pStyle w:val="FootnoteText"/>
      </w:pPr>
      <w:r>
        <w:rPr>
          <w:rStyle w:val="FootnoteReference"/>
        </w:rPr>
        <w:footnoteRef/>
      </w:r>
      <w:r>
        <w:t xml:space="preserve"> </w:t>
      </w:r>
      <w:r w:rsidRPr="00DA4171">
        <w:rPr>
          <w:i/>
        </w:rPr>
        <w:t>Id</w:t>
      </w:r>
      <w:r>
        <w:t>.</w:t>
      </w:r>
      <w:r w:rsidRPr="00D9633D">
        <w:rPr>
          <w:i/>
        </w:rPr>
        <w:t xml:space="preserve"> </w:t>
      </w:r>
      <w:r w:rsidRPr="001A473A">
        <w:t>at 2.</w:t>
      </w:r>
    </w:p>
  </w:footnote>
  <w:footnote w:id="29">
    <w:p w:rsidR="00135045" w:rsidRPr="00903776">
      <w:pPr>
        <w:pStyle w:val="FootnoteText"/>
        <w:rPr>
          <w:b/>
        </w:rPr>
      </w:pPr>
      <w:r>
        <w:rPr>
          <w:rStyle w:val="FootnoteReference"/>
        </w:rPr>
        <w:footnoteRef/>
      </w:r>
      <w:r>
        <w:t xml:space="preserve"> </w:t>
      </w:r>
      <w:r w:rsidRPr="001A10A6">
        <w:rPr>
          <w:i/>
        </w:rPr>
        <w:t>See</w:t>
      </w:r>
      <w:r>
        <w:t xml:space="preserve"> Letter from John E. Richards, Director Radio Operations, State of Maine, Office of Information Technology, to Federal Communications Commission (Aug. 24, 2017), at 1-2 (2017 Extension Request) (regarding call signs </w:t>
      </w:r>
      <w:r w:rsidRPr="00B61481">
        <w:t xml:space="preserve">WQMT752, WQMT753, WQMT754, WQMT755, </w:t>
      </w:r>
      <w:r>
        <w:t xml:space="preserve">WQMT756, </w:t>
      </w:r>
      <w:r w:rsidRPr="00B61481">
        <w:t xml:space="preserve">WQMT757, WQMT758, WQMT759, WQMT760, </w:t>
      </w:r>
      <w:r>
        <w:t xml:space="preserve">and </w:t>
      </w:r>
      <w:r w:rsidRPr="00B61481">
        <w:t>WQMT761</w:t>
      </w:r>
      <w:r>
        <w:t xml:space="preserve">). </w:t>
      </w:r>
    </w:p>
  </w:footnote>
  <w:footnote w:id="30">
    <w:p w:rsidR="00135045" w:rsidRPr="00903776">
      <w:pPr>
        <w:pStyle w:val="FootnoteText"/>
        <w:rPr>
          <w:b/>
        </w:rPr>
      </w:pPr>
      <w:r>
        <w:rPr>
          <w:rStyle w:val="FootnoteReference"/>
        </w:rPr>
        <w:footnoteRef/>
      </w:r>
      <w:r>
        <w:t xml:space="preserve"> </w:t>
      </w:r>
      <w:r>
        <w:rPr>
          <w:i/>
        </w:rPr>
        <w:t>Id.</w:t>
      </w:r>
      <w:r>
        <w:t xml:space="preserve"> at 1-2.</w:t>
      </w:r>
    </w:p>
  </w:footnote>
  <w:footnote w:id="31">
    <w:p w:rsidR="00135045" w:rsidP="001D4260">
      <w:pPr>
        <w:pStyle w:val="FootnoteText"/>
      </w:pPr>
      <w:r>
        <w:rPr>
          <w:rStyle w:val="FootnoteReference"/>
        </w:rPr>
        <w:footnoteRef/>
      </w:r>
      <w:r>
        <w:t xml:space="preserve"> 47 CFR § 1.925(b)(3)(i)-(ii).  </w:t>
      </w:r>
    </w:p>
  </w:footnote>
  <w:footnote w:id="32">
    <w:p w:rsidR="00135045" w:rsidP="00C0416D">
      <w:pPr>
        <w:pStyle w:val="FootnoteText"/>
      </w:pPr>
      <w:r>
        <w:rPr>
          <w:rStyle w:val="FootnoteReference"/>
        </w:rPr>
        <w:footnoteRef/>
      </w:r>
      <w:r>
        <w:t xml:space="preserve"> 47 CFR § 1.3 (“Any provision of the rules may be waived by the Commission on its own motion or on petition if good cause therefor is shown.”); </w:t>
      </w:r>
      <w:r>
        <w:rPr>
          <w:i/>
        </w:rPr>
        <w:t xml:space="preserve">see also </w:t>
      </w:r>
      <w:r w:rsidRPr="00C0416D">
        <w:rPr>
          <w:i/>
        </w:rPr>
        <w:t>Northeast Cellular Telephone Co. v. FCC</w:t>
      </w:r>
      <w:r>
        <w:t>, 897 F.2d 1164, 1166 (D.C. Cir. 1990).</w:t>
      </w:r>
    </w:p>
  </w:footnote>
  <w:footnote w:id="33">
    <w:p w:rsidR="00135045" w:rsidRPr="000B0340">
      <w:pPr>
        <w:pStyle w:val="FootnoteText"/>
      </w:pPr>
      <w:r>
        <w:rPr>
          <w:rStyle w:val="FootnoteReference"/>
        </w:rPr>
        <w:footnoteRef/>
      </w:r>
      <w:r>
        <w:t xml:space="preserve"> </w:t>
      </w:r>
      <w:r>
        <w:rPr>
          <w:i/>
        </w:rPr>
        <w:t xml:space="preserve">See supra </w:t>
      </w:r>
      <w:r w:rsidRPr="000B0340">
        <w:t>n</w:t>
      </w:r>
      <w:r>
        <w:t>. 6.</w:t>
      </w:r>
    </w:p>
  </w:footnote>
  <w:footnote w:id="34">
    <w:p w:rsidR="00135045">
      <w:pPr>
        <w:pStyle w:val="FootnoteText"/>
      </w:pPr>
      <w:r>
        <w:rPr>
          <w:rStyle w:val="FootnoteReference"/>
        </w:rPr>
        <w:footnoteRef/>
      </w:r>
      <w:r>
        <w:t xml:space="preserve"> In certain markets, Maine pairs mobile use with Part 90 or other Part 22 paging base stations rather than with base station frequencies associated with the particular market.  </w:t>
      </w:r>
    </w:p>
  </w:footnote>
  <w:footnote w:id="35">
    <w:p w:rsidR="00135045">
      <w:pPr>
        <w:pStyle w:val="FootnoteText"/>
      </w:pPr>
      <w:r>
        <w:rPr>
          <w:rStyle w:val="FootnoteReference"/>
        </w:rPr>
        <w:footnoteRef/>
      </w:r>
      <w:r>
        <w:t xml:space="preserve"> </w:t>
      </w:r>
      <w:r w:rsidRPr="001A10A6">
        <w:rPr>
          <w:i/>
        </w:rPr>
        <w:t>See</w:t>
      </w:r>
      <w:r>
        <w:t xml:space="preserve"> 2017 Extension Request at 1.</w:t>
      </w:r>
    </w:p>
  </w:footnote>
  <w:footnote w:id="36">
    <w:p w:rsidR="00135045" w:rsidRPr="00DB3A6D">
      <w:pPr>
        <w:pStyle w:val="FootnoteText"/>
        <w:rPr>
          <w:i/>
        </w:rPr>
      </w:pPr>
      <w:r>
        <w:rPr>
          <w:rStyle w:val="FootnoteReference"/>
        </w:rPr>
        <w:footnoteRef/>
      </w:r>
      <w:r>
        <w:t xml:space="preserve"> </w:t>
      </w:r>
      <w:r>
        <w:rPr>
          <w:i/>
        </w:rPr>
        <w:t>Id.</w:t>
      </w:r>
    </w:p>
  </w:footnote>
  <w:footnote w:id="37">
    <w:p w:rsidR="00135045" w:rsidP="00EA00CC">
      <w:pPr>
        <w:pStyle w:val="FootnoteText"/>
      </w:pPr>
      <w:r>
        <w:rPr>
          <w:rStyle w:val="FootnoteReference"/>
        </w:rPr>
        <w:footnoteRef/>
      </w:r>
      <w:r>
        <w:t xml:space="preserve"> 47 CFR § 22.503(k).</w:t>
      </w:r>
    </w:p>
  </w:footnote>
  <w:footnote w:id="38">
    <w:p w:rsidR="00135045" w:rsidRPr="00464523">
      <w:pPr>
        <w:pStyle w:val="FootnoteText"/>
      </w:pPr>
      <w:r>
        <w:rPr>
          <w:rStyle w:val="FootnoteReference"/>
        </w:rPr>
        <w:footnoteRef/>
      </w:r>
      <w:r>
        <w:t xml:space="preserve"> </w:t>
      </w:r>
      <w:r>
        <w:rPr>
          <w:i/>
        </w:rPr>
        <w:t>2012 Waiver Order</w:t>
      </w:r>
      <w:r>
        <w:t>, 27 FCC Rcd 8891-92, paras. 4-11.</w:t>
      </w:r>
    </w:p>
  </w:footnote>
  <w:footnote w:id="39">
    <w:p w:rsidR="00135045" w:rsidRPr="00464523">
      <w:pPr>
        <w:pStyle w:val="FootnoteText"/>
        <w:rPr>
          <w:i/>
        </w:rPr>
      </w:pPr>
      <w:r>
        <w:rPr>
          <w:rStyle w:val="FootnoteReference"/>
        </w:rPr>
        <w:footnoteRef/>
      </w:r>
      <w:r>
        <w:t xml:space="preserve"> </w:t>
      </w:r>
      <w:r>
        <w:rPr>
          <w:i/>
        </w:rPr>
        <w:t>Id.</w:t>
      </w:r>
    </w:p>
  </w:footnote>
  <w:footnote w:id="40">
    <w:p w:rsidR="00135045" w:rsidRPr="005825D9" w:rsidP="00021001">
      <w:pPr>
        <w:pStyle w:val="FootnoteText"/>
      </w:pPr>
      <w:r>
        <w:rPr>
          <w:rStyle w:val="FootnoteReference"/>
        </w:rPr>
        <w:footnoteRef/>
      </w:r>
      <w:r>
        <w:t xml:space="preserve"> </w:t>
      </w:r>
      <w:r>
        <w:rPr>
          <w:i/>
        </w:rPr>
        <w:t>Id</w:t>
      </w:r>
      <w:r>
        <w:t>.</w:t>
      </w:r>
    </w:p>
  </w:footnote>
  <w:footnote w:id="41">
    <w:p w:rsidR="00135045">
      <w:pPr>
        <w:pStyle w:val="FootnoteText"/>
      </w:pPr>
      <w:r>
        <w:rPr>
          <w:rStyle w:val="FootnoteReference"/>
        </w:rPr>
        <w:footnoteRef/>
      </w:r>
      <w:r>
        <w:t xml:space="preserve"> We note that Maine was obligated to identify and seek the rule waivers necessary to enable it to incorporate its paging licenses into the MSCommNet system.  Licensees may not determine for themselves the Commission rules with which they must comply. </w:t>
      </w:r>
      <w:r w:rsidRPr="008A5307">
        <w:t xml:space="preserve"> </w:t>
      </w:r>
      <w:r>
        <w:t>Accordingly, o</w:t>
      </w:r>
      <w:r w:rsidRPr="008A5307">
        <w:t>ur decision herein is without prejudice to further Commission inquiry into th</w:t>
      </w:r>
      <w:r>
        <w:t>is matter</w:t>
      </w:r>
      <w:r w:rsidRPr="008A5307">
        <w:t xml:space="preserve"> and referral for enforcement action, if warranted.</w:t>
      </w:r>
    </w:p>
  </w:footnote>
  <w:footnote w:id="42">
    <w:p w:rsidR="00135045" w:rsidRPr="002F0111" w:rsidP="00431F03">
      <w:pPr>
        <w:pStyle w:val="FootnoteText"/>
      </w:pPr>
      <w:r>
        <w:rPr>
          <w:rStyle w:val="FootnoteReference"/>
        </w:rPr>
        <w:footnoteRef/>
      </w:r>
      <w:r>
        <w:t xml:space="preserve"> </w:t>
      </w:r>
      <w:r>
        <w:rPr>
          <w:i/>
        </w:rPr>
        <w:t>2012 Waiver Order</w:t>
      </w:r>
      <w:r>
        <w:t>, 27 FCC Rcd at 8891-92, para. 11.</w:t>
      </w:r>
    </w:p>
  </w:footnote>
  <w:footnote w:id="43">
    <w:p w:rsidR="00135045" w:rsidP="008722F7">
      <w:pPr>
        <w:pStyle w:val="FootnoteText"/>
      </w:pPr>
      <w:r>
        <w:rPr>
          <w:rStyle w:val="FootnoteReference"/>
        </w:rPr>
        <w:footnoteRef/>
      </w:r>
      <w:r>
        <w:t xml:space="preserve"> </w:t>
      </w:r>
      <w:r w:rsidRPr="008722F7">
        <w:t>See</w:t>
      </w:r>
      <w:r>
        <w:t xml:space="preserve"> </w:t>
      </w:r>
      <w:r w:rsidRPr="008722F7">
        <w:t xml:space="preserve">47 U.S.C. §§ 154(i), 214(a), 303(r); </w:t>
      </w:r>
      <w:r w:rsidRPr="008722F7">
        <w:rPr>
          <w:i/>
        </w:rPr>
        <w:t>see also In re GTE Corp</w:t>
      </w:r>
      <w:r>
        <w:t>., 16 FCC Rcd</w:t>
      </w:r>
      <w:r w:rsidRPr="008722F7">
        <w:t xml:space="preserve"> 15957, 15960 (2001)</w:t>
      </w:r>
      <w:r>
        <w:t>.</w:t>
      </w:r>
    </w:p>
  </w:footnote>
  <w:footnote w:id="44">
    <w:p w:rsidR="00135045">
      <w:pPr>
        <w:pStyle w:val="FootnoteText"/>
      </w:pPr>
      <w:r>
        <w:rPr>
          <w:rStyle w:val="FootnoteReference"/>
        </w:rPr>
        <w:footnoteRef/>
      </w:r>
      <w:r>
        <w:t xml:space="preserve"> 47 CFR § 22.503(j).</w:t>
      </w:r>
    </w:p>
  </w:footnote>
  <w:footnote w:id="45">
    <w:p w:rsidR="00135045">
      <w:pPr>
        <w:pStyle w:val="FootnoteText"/>
      </w:pPr>
      <w:r>
        <w:rPr>
          <w:rStyle w:val="FootnoteReference"/>
        </w:rPr>
        <w:footnoteRef/>
      </w:r>
      <w:r>
        <w:t xml:space="preserve"> We observe that the State appears to be making mobile use of WQMT760 paired with call sign WPZG407 as the fixed side.  WPZG407 is operating from one site in BEA001 on channel FP.  While WPZG407 is not currently before us, we note that it is not authorized to operate on the FP channel in BEA001, and that this site is located above Line A and has apparently not completed Canadian coordination.</w:t>
      </w:r>
    </w:p>
  </w:footnote>
  <w:footnote w:id="46">
    <w:p w:rsidR="00135045" w:rsidP="00900AA1">
      <w:pPr>
        <w:pStyle w:val="FootnoteText"/>
      </w:pPr>
      <w:r>
        <w:rPr>
          <w:rStyle w:val="FootnoteReference"/>
        </w:rPr>
        <w:footnoteRef/>
      </w:r>
      <w:r>
        <w:t xml:space="preserve"> 47 CFR § 22.515.</w:t>
      </w:r>
    </w:p>
  </w:footnote>
  <w:footnote w:id="47">
    <w:p w:rsidR="00135045" w:rsidP="00900AA1">
      <w:pPr>
        <w:pStyle w:val="FootnoteText"/>
      </w:pPr>
      <w:r>
        <w:rPr>
          <w:rStyle w:val="FootnoteReference"/>
        </w:rPr>
        <w:footnoteRef/>
      </w:r>
      <w:r>
        <w:t xml:space="preserve"> 47 CFR § 22.531.</w:t>
      </w:r>
    </w:p>
  </w:footnote>
  <w:footnote w:id="48">
    <w:p w:rsidR="00135045">
      <w:pPr>
        <w:pStyle w:val="FootnoteText"/>
      </w:pPr>
      <w:r>
        <w:rPr>
          <w:rStyle w:val="FootnoteReference"/>
        </w:rPr>
        <w:footnoteRef/>
      </w:r>
      <w:r>
        <w:t xml:space="preserve"> Due to the designated transmission of 8 kHz, as identified by the emission designator.</w:t>
      </w:r>
    </w:p>
  </w:footnote>
  <w:footnote w:id="49">
    <w:p w:rsidR="00135045" w:rsidP="00900AA1">
      <w:pPr>
        <w:pStyle w:val="FootnoteText"/>
      </w:pPr>
      <w:r>
        <w:rPr>
          <w:rStyle w:val="FootnoteReference"/>
        </w:rPr>
        <w:footnoteRef/>
      </w:r>
      <w:r>
        <w:t xml:space="preserve"> 47 CFR § 22.561.</w:t>
      </w:r>
    </w:p>
  </w:footnote>
  <w:footnote w:id="50">
    <w:p w:rsidR="00135045">
      <w:pPr>
        <w:pStyle w:val="FootnoteText"/>
      </w:pPr>
      <w:r>
        <w:rPr>
          <w:rStyle w:val="FootnoteReference"/>
        </w:rPr>
        <w:footnoteRef/>
      </w:r>
      <w:r>
        <w:t xml:space="preserve"> As in the case of licenses subject to Section 22.531, the State of Maine uses channel “offsets,” an intentional slight shift of a broadcast channel with an alternate center frequency that resides within the authorized channel block.  As mentioned, the offset causes Maine to exceed the bandwidth edge, which could cause spectrally adjacent channel interference.</w:t>
      </w:r>
    </w:p>
  </w:footnote>
  <w:footnote w:id="51">
    <w:p w:rsidR="00135045" w:rsidP="00900AA1">
      <w:pPr>
        <w:pStyle w:val="FootnoteText"/>
      </w:pPr>
      <w:r>
        <w:rPr>
          <w:rStyle w:val="FootnoteReference"/>
        </w:rPr>
        <w:footnoteRef/>
      </w:r>
      <w:r>
        <w:t xml:space="preserve"> 47 CFR § 22.535(c).  </w:t>
      </w:r>
      <w:r w:rsidRPr="00537187">
        <w:t>The Height Power Limit for the unpaired channels must not exceed the amount that would result in an average distance to the service contour of 32.2 km</w:t>
      </w:r>
      <w:r>
        <w:t>.</w:t>
      </w:r>
    </w:p>
  </w:footnote>
  <w:footnote w:id="52">
    <w:p w:rsidR="00135045" w:rsidP="00900AA1">
      <w:pPr>
        <w:pStyle w:val="FootnoteText"/>
      </w:pPr>
      <w:r>
        <w:rPr>
          <w:rStyle w:val="FootnoteReference"/>
        </w:rPr>
        <w:footnoteRef/>
      </w:r>
      <w:r>
        <w:t xml:space="preserve"> 47 CFR § 22.565(c).  </w:t>
      </w:r>
      <w:r w:rsidRPr="00537187">
        <w:t xml:space="preserve">The Height Power Limit for the paired channels must not exceed the amount that would result in an average distance to the service contour of 41.6 km.  </w:t>
      </w:r>
    </w:p>
  </w:footnote>
  <w:footnote w:id="53">
    <w:p w:rsidR="00135045" w:rsidP="00900AA1">
      <w:pPr>
        <w:pStyle w:val="FootnoteText"/>
      </w:pPr>
      <w:r>
        <w:rPr>
          <w:rStyle w:val="FootnoteReference"/>
        </w:rPr>
        <w:footnoteRef/>
      </w:r>
      <w:r>
        <w:t xml:space="preserve"> </w:t>
      </w:r>
      <w:r w:rsidRPr="00B94970">
        <w:t xml:space="preserve">In this case, the Part 22 service area </w:t>
      </w:r>
      <w:r>
        <w:t>for mobiles</w:t>
      </w:r>
      <w:r w:rsidRPr="00B94970">
        <w:t xml:space="preserve"> communicating with a Part 90 base station </w:t>
      </w:r>
      <w:r>
        <w:t>will be</w:t>
      </w:r>
      <w:r w:rsidRPr="00B94970">
        <w:t xml:space="preserve"> the service area as calculated under the Part 22 rules, using the technical parameters of the Part 90 base station.</w:t>
      </w:r>
    </w:p>
  </w:footnote>
  <w:footnote w:id="54">
    <w:p w:rsidR="00135045" w:rsidP="00900AA1">
      <w:pPr>
        <w:pStyle w:val="FootnoteText"/>
      </w:pPr>
      <w:r>
        <w:rPr>
          <w:rStyle w:val="FootnoteReference"/>
        </w:rPr>
        <w:footnoteRef/>
      </w:r>
      <w:r>
        <w:t xml:space="preserve"> </w:t>
      </w:r>
      <w:r>
        <w:rPr>
          <w:i/>
        </w:rPr>
        <w:t xml:space="preserve">2012 Waiver </w:t>
      </w:r>
      <w:r w:rsidRPr="00715126">
        <w:rPr>
          <w:i/>
        </w:rPr>
        <w:t>Order</w:t>
      </w:r>
      <w:r>
        <w:t xml:space="preserve">, </w:t>
      </w:r>
      <w:r w:rsidRPr="00B94970">
        <w:t>27</w:t>
      </w:r>
      <w:r>
        <w:t xml:space="preserve"> FCC Rcd 8891.</w:t>
      </w:r>
    </w:p>
  </w:footnote>
  <w:footnote w:id="55">
    <w:p w:rsidR="00135045">
      <w:pPr>
        <w:pStyle w:val="FootnoteText"/>
      </w:pPr>
      <w:r>
        <w:rPr>
          <w:rStyle w:val="FootnoteReference"/>
        </w:rPr>
        <w:footnoteRef/>
      </w:r>
      <w:r>
        <w:t xml:space="preserve"> 47 CFR § 22.503(h), (i).</w:t>
      </w:r>
    </w:p>
  </w:footnote>
  <w:footnote w:id="56">
    <w:p w:rsidR="00135045" w:rsidRPr="00A818E9" w:rsidP="007D491B">
      <w:pPr>
        <w:pStyle w:val="FootnoteText"/>
      </w:pPr>
      <w:r w:rsidRPr="00A818E9">
        <w:rPr>
          <w:rStyle w:val="FootnoteReference"/>
        </w:rPr>
        <w:footnoteRef/>
      </w:r>
      <w:r w:rsidRPr="00A818E9">
        <w:t xml:space="preserve"> 47 U.S.C. § 316(a)(1). </w:t>
      </w:r>
    </w:p>
  </w:footnote>
  <w:footnote w:id="57">
    <w:p w:rsidR="00135045" w:rsidRPr="00A818E9" w:rsidP="000862BC">
      <w:pPr>
        <w:pStyle w:val="FootnoteText"/>
      </w:pPr>
      <w:r w:rsidRPr="00A818E9">
        <w:rPr>
          <w:rStyle w:val="FootnoteReference"/>
        </w:rPr>
        <w:footnoteRef/>
      </w:r>
      <w:r w:rsidRPr="00A818E9">
        <w:t xml:space="preserve"> </w:t>
      </w:r>
      <w:r w:rsidRPr="00A818E9">
        <w:rPr>
          <w:i/>
        </w:rPr>
        <w:t xml:space="preserve">California Metro Mobile </w:t>
      </w:r>
      <w:r w:rsidRPr="00A818E9">
        <w:rPr>
          <w:bCs/>
          <w:i/>
        </w:rPr>
        <w:t>Communications</w:t>
      </w:r>
      <w:r w:rsidRPr="00A818E9">
        <w:rPr>
          <w:i/>
        </w:rPr>
        <w:t xml:space="preserve"> v. FCC, </w:t>
      </w:r>
      <w:r w:rsidRPr="00A818E9">
        <w:t>365 F.3d 38, 45 (D.C. Cir. 2004)</w:t>
      </w:r>
      <w:r>
        <w:t xml:space="preserve">; </w:t>
      </w:r>
      <w:r>
        <w:rPr>
          <w:i/>
        </w:rPr>
        <w:t>s</w:t>
      </w:r>
      <w:r w:rsidRPr="00A818E9">
        <w:rPr>
          <w:i/>
        </w:rPr>
        <w:t>ee</w:t>
      </w:r>
      <w:r>
        <w:rPr>
          <w:i/>
        </w:rPr>
        <w:t xml:space="preserve"> also</w:t>
      </w:r>
      <w:r w:rsidRPr="00A818E9">
        <w:rPr>
          <w:i/>
        </w:rPr>
        <w:t xml:space="preserve"> </w:t>
      </w:r>
      <w:r w:rsidRPr="00A818E9">
        <w:t>Establishing Rules and Policies for the Use of Spectrum for Mobile Satellite Services in the Upper and Lower L-Band,</w:t>
      </w:r>
      <w:r w:rsidRPr="00A818E9">
        <w:rPr>
          <w:i/>
        </w:rPr>
        <w:t xml:space="preserve"> Report and Order, </w:t>
      </w:r>
      <w:r w:rsidRPr="00A818E9">
        <w:t>IB Docket 96-132, FCC 02-24, 17 FCC Rcd 2704, 2714</w:t>
      </w:r>
      <w:r>
        <w:t>,</w:t>
      </w:r>
      <w:r w:rsidRPr="00A818E9">
        <w:t xml:space="preserve"> ¶</w:t>
      </w:r>
      <w:r>
        <w:t xml:space="preserve"> </w:t>
      </w:r>
      <w:r w:rsidRPr="00A818E9">
        <w:t xml:space="preserve">25 (2002) (citing </w:t>
      </w:r>
      <w:r w:rsidRPr="00A818E9">
        <w:rPr>
          <w:i/>
          <w:iCs/>
        </w:rPr>
        <w:t>Rainbow Broadcasting Co. v. FCC</w:t>
      </w:r>
      <w:r w:rsidRPr="00A818E9">
        <w:t xml:space="preserve">, 949 F.2d 405 (D.C. Cir. 1991)) (“the Commission is afforded significant latitude when it exercises its Section 316 authority”) (subsequent history omitted).  </w:t>
      </w:r>
    </w:p>
  </w:footnote>
  <w:footnote w:id="58">
    <w:p w:rsidR="00135045" w:rsidRPr="00A818E9" w:rsidP="007D491B">
      <w:pPr>
        <w:pStyle w:val="FootnoteText"/>
      </w:pPr>
      <w:r w:rsidRPr="00A818E9">
        <w:rPr>
          <w:rStyle w:val="FootnoteReference"/>
        </w:rPr>
        <w:footnoteRef/>
      </w:r>
      <w:r w:rsidRPr="00A818E9">
        <w:t xml:space="preserve"> 47 U.S.C. § 151.  </w:t>
      </w:r>
    </w:p>
  </w:footnote>
  <w:footnote w:id="59">
    <w:p w:rsidR="00135045">
      <w:pPr>
        <w:pStyle w:val="FootnoteText"/>
      </w:pPr>
      <w:r>
        <w:rPr>
          <w:rStyle w:val="FootnoteReference"/>
        </w:rPr>
        <w:footnoteRef/>
      </w:r>
      <w:r>
        <w:t xml:space="preserve"> Call signs </w:t>
      </w:r>
      <w:r w:rsidRPr="00B61481">
        <w:t xml:space="preserve">WQMT752, WQMT753, WQMT754, WQMT755, </w:t>
      </w:r>
      <w:r>
        <w:t xml:space="preserve">WQMT756, </w:t>
      </w:r>
      <w:r w:rsidRPr="00B61481">
        <w:t xml:space="preserve">WQMT757, WQMT758, WQMT759, WQMT760, </w:t>
      </w:r>
      <w:r>
        <w:t xml:space="preserve">and </w:t>
      </w:r>
      <w:r w:rsidRPr="00B61481">
        <w:t>WQMT761</w:t>
      </w:r>
      <w:r>
        <w:t>.</w:t>
      </w:r>
    </w:p>
  </w:footnote>
  <w:footnote w:id="60">
    <w:p w:rsidR="00135045">
      <w:pPr>
        <w:pStyle w:val="FootnoteText"/>
      </w:pPr>
      <w:r>
        <w:rPr>
          <w:rStyle w:val="FootnoteReference"/>
        </w:rPr>
        <w:footnoteRef/>
      </w:r>
      <w:r>
        <w:t xml:space="preserve"> 47 CFR </w:t>
      </w:r>
      <w:r w:rsidRPr="00A818E9">
        <w:t>§</w:t>
      </w:r>
      <w:r>
        <w:t>§ 22. 537(d), 22.567(d).</w:t>
      </w:r>
    </w:p>
  </w:footnote>
  <w:footnote w:id="61">
    <w:p w:rsidR="00135045" w:rsidP="009166F3">
      <w:pPr>
        <w:pStyle w:val="FootnoteText"/>
      </w:pPr>
      <w:r>
        <w:rPr>
          <w:rStyle w:val="FootnoteReference"/>
        </w:rPr>
        <w:footnoteRef/>
      </w:r>
      <w:r>
        <w:t xml:space="preserve"> </w:t>
      </w:r>
      <w:r w:rsidRPr="009C5379">
        <w:t>The technical criteria found in Section 22.537(d) apply to channels identified in Section 22.531, while the technical criteria in Section 22.567 are specific to paired frequencies identified in Section 22.561.  Accordingly, an interfering contour will be calculated using the technical criteria associated with the applicable licensed channel block.</w:t>
      </w:r>
    </w:p>
  </w:footnote>
  <w:footnote w:id="62">
    <w:p w:rsidR="00135045" w:rsidRPr="00A818E9" w:rsidP="00FC7414">
      <w:pPr>
        <w:pStyle w:val="FootnoteText"/>
      </w:pPr>
      <w:r w:rsidRPr="00A818E9">
        <w:rPr>
          <w:rStyle w:val="FootnoteReference"/>
        </w:rPr>
        <w:footnoteRef/>
      </w:r>
      <w:r w:rsidRPr="00A818E9">
        <w:t xml:space="preserve"> 47 U.S.C. § 316(a)(1).  </w:t>
      </w:r>
    </w:p>
  </w:footnote>
  <w:footnote w:id="63">
    <w:p w:rsidR="00135045" w:rsidRPr="00A818E9" w:rsidP="00FC7414">
      <w:pPr>
        <w:pStyle w:val="FootnoteText"/>
      </w:pPr>
      <w:r w:rsidRPr="00A818E9">
        <w:rPr>
          <w:rStyle w:val="FootnoteReference"/>
        </w:rPr>
        <w:footnoteRef/>
      </w:r>
      <w:r w:rsidRPr="00A818E9">
        <w:t xml:space="preserve"> 47 U.S.C. § 316(a)(3).  </w:t>
      </w:r>
    </w:p>
  </w:footnote>
  <w:footnote w:id="64">
    <w:p w:rsidR="00135045" w:rsidRPr="00A818E9" w:rsidP="00FC7414">
      <w:pPr>
        <w:pStyle w:val="FootnoteText"/>
      </w:pPr>
      <w:r w:rsidRPr="00A818E9">
        <w:rPr>
          <w:rStyle w:val="FootnoteReference"/>
        </w:rPr>
        <w:footnoteRef/>
      </w:r>
      <w:r w:rsidRPr="00A818E9">
        <w:t xml:space="preserve"> 47 U.S.C. § 309(d).  </w:t>
      </w:r>
      <w:r w:rsidRPr="00A818E9">
        <w:rPr>
          <w:i/>
        </w:rPr>
        <w:t>See also</w:t>
      </w:r>
      <w:r w:rsidRPr="00A818E9">
        <w:t xml:space="preserve"> 47 CFR § 1.939 (petitions to deny).</w:t>
      </w:r>
    </w:p>
  </w:footnote>
  <w:footnote w:id="65">
    <w:p w:rsidR="00135045" w:rsidP="004325DB">
      <w:pPr>
        <w:pStyle w:val="FootnoteText"/>
      </w:pPr>
      <w:r>
        <w:rPr>
          <w:rStyle w:val="FootnoteReference"/>
        </w:rPr>
        <w:footnoteRef/>
      </w:r>
      <w:r>
        <w:t xml:space="preserve"> The technical information used was provided in Maine’s August 26, 2016 </w:t>
      </w:r>
      <w:r w:rsidRPr="00E53662">
        <w:t>construction notification</w:t>
      </w:r>
      <w:r>
        <w:t xml:space="preserve">s </w:t>
      </w:r>
      <w:r w:rsidRPr="00E53662">
        <w:t xml:space="preserve">filed </w:t>
      </w:r>
      <w:r>
        <w:t>for each license, as well as</w:t>
      </w:r>
      <w:r w:rsidRPr="00E53662">
        <w:t xml:space="preserve"> alternative showings provided via </w:t>
      </w:r>
      <w:r>
        <w:t>email to FCC staff on August 17, 2016.</w:t>
      </w:r>
    </w:p>
  </w:footnote>
  <w:footnote w:id="66">
    <w:p w:rsidR="00135045" w:rsidP="004325DB">
      <w:pPr>
        <w:pStyle w:val="FootnoteText"/>
      </w:pPr>
      <w:r>
        <w:rPr>
          <w:rStyle w:val="FootnoteReference"/>
        </w:rPr>
        <w:footnoteRef/>
      </w:r>
      <w:r>
        <w:t xml:space="preserve"> Latitude/longitude coordinates, elevation and HAAT information were updated by FCC staff after technical review of information provided by Maine.  Further, FCC staff converted ERP, HAAT, and Antenna Height information from standard/English units to metric units, pursuant to Section 1.19 of the Commission’s Rules, 47 CFR § 1.19.  </w:t>
      </w:r>
    </w:p>
  </w:footnote>
  <w:footnote w:id="67">
    <w:p w:rsidR="00135045" w:rsidP="004325DB">
      <w:pPr>
        <w:pStyle w:val="FootnoteText"/>
        <w:tabs>
          <w:tab w:val="left" w:pos="2850"/>
        </w:tabs>
      </w:pPr>
      <w:r>
        <w:rPr>
          <w:rStyle w:val="FootnoteReference"/>
        </w:rPr>
        <w:footnoteRef/>
      </w:r>
      <w:r>
        <w:t xml:space="preserve"> </w:t>
      </w:r>
      <w:r w:rsidRPr="00A77BAE">
        <w:t xml:space="preserve">The </w:t>
      </w:r>
      <w:r>
        <w:t>ERP</w:t>
      </w:r>
      <w:r w:rsidRPr="00A77BAE">
        <w:t xml:space="preserve"> and HAAT data provided by Maine were averaged values; the individual radial </w:t>
      </w:r>
      <w:r>
        <w:t>ERP</w:t>
      </w:r>
      <w:r w:rsidRPr="00A77BAE">
        <w:t xml:space="preserve"> and HAAT values were derived using these averaged values.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35045" w:rsidRPr="001B14EA" w:rsidP="001B099D">
    <w:pPr>
      <w:pStyle w:val="Header"/>
      <w:rPr>
        <w:spacing w:val="-2"/>
      </w:rPr>
    </w:pPr>
    <w:r>
      <w:tab/>
      <w:t>Federal Communications Commission</w:t>
    </w:r>
    <w:r>
      <w:tab/>
      <w:t>DA 18-1077</w:t>
    </w:r>
  </w:p>
  <w:p w:rsidR="00135045">
    <w:pPr>
      <w:tabs>
        <w:tab w:val="left" w:pos="-720"/>
      </w:tabs>
      <w:suppressAutoHyphens/>
      <w:spacing w:line="19" w:lineRule="exact"/>
      <w:rPr>
        <w:spacing w:val="-2"/>
      </w:rPr>
    </w:pPr>
  </w:p>
  <w:p w:rsidR="00135045">
    <w:pPr>
      <w:spacing w:after="389" w:line="100" w:lineRule="exact"/>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35045" w:rsidP="001B099D">
    <w:pPr>
      <w:pStyle w:val="Header"/>
    </w:pPr>
    <w:r>
      <w:tab/>
      <w:t>Federal Communications Commission</w:t>
    </w:r>
    <w:r>
      <w:tab/>
    </w:r>
    <w:r>
      <w:rPr>
        <w:spacing w:val="-2"/>
      </w:rPr>
      <w:t>DA 18-</w:t>
    </w:r>
    <w:r>
      <w:t>1077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35045" w:rsidRPr="001B14EA" w:rsidP="001B099D">
    <w:pPr>
      <w:pStyle w:val="Header"/>
      <w:rPr>
        <w:spacing w:val="-2"/>
      </w:rPr>
    </w:pPr>
    <w:r>
      <w:tab/>
      <w:t>Federal Communications Commission</w:t>
    </w:r>
    <w:r>
      <w:tab/>
      <w:t>DA 18-1077</w:t>
    </w:r>
  </w:p>
  <w:p w:rsidR="00135045">
    <w:pPr>
      <w:tabs>
        <w:tab w:val="left" w:pos="-720"/>
      </w:tabs>
      <w:suppressAutoHyphens/>
      <w:spacing w:line="19" w:lineRule="exact"/>
      <w:rPr>
        <w:spacing w:val="-2"/>
      </w:rPr>
    </w:pPr>
  </w:p>
  <w:p w:rsidR="00135045">
    <w:pPr>
      <w:spacing w:after="389" w:line="100" w:lineRule="exact"/>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7497D73"/>
    <w:multiLevelType w:val="hybridMultilevel"/>
    <w:tmpl w:val="F97CA726"/>
    <w:lvl w:ilvl="0">
      <w:start w:val="1"/>
      <w:numFmt w:val="bullet"/>
      <w:lvlText w:val=""/>
      <w:lvlJc w:val="left"/>
      <w:pPr>
        <w:ind w:left="630" w:hanging="360"/>
      </w:pPr>
      <w:rPr>
        <w:rFonts w:ascii="Symbol" w:hAnsi="Symbol" w:hint="default"/>
      </w:rPr>
    </w:lvl>
    <w:lvl w:ilvl="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1">
    <w:nsid w:val="23F40A0F"/>
    <w:multiLevelType w:val="singleLevel"/>
    <w:tmpl w:val="3244DD0A"/>
    <w:lvl w:ilvl="0">
      <w:start w:val="1"/>
      <w:numFmt w:val="bullet"/>
      <w:pStyle w:val="Bullet"/>
      <w:lvlText w:val=""/>
      <w:lvlJc w:val="left"/>
      <w:pPr>
        <w:tabs>
          <w:tab w:val="num" w:pos="360"/>
        </w:tabs>
        <w:ind w:left="360" w:hanging="360"/>
      </w:pPr>
      <w:rPr>
        <w:rFonts w:ascii="Symbol" w:hAnsi="Symbol" w:hint="default"/>
      </w:rPr>
    </w:lvl>
  </w:abstractNum>
  <w:abstractNum w:abstractNumId="2">
    <w:nsid w:val="27E06CBB"/>
    <w:multiLevelType w:val="multilevel"/>
    <w:tmpl w:val="E9DA15C0"/>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3">
    <w:nsid w:val="3D0F1B3D"/>
    <w:multiLevelType w:val="singleLevel"/>
    <w:tmpl w:val="44A8603A"/>
    <w:lvl w:ilvl="0">
      <w:start w:val="1"/>
      <w:numFmt w:val="decimal"/>
      <w:lvlText w:val="%1."/>
      <w:lvlJc w:val="left"/>
      <w:pPr>
        <w:tabs>
          <w:tab w:val="num" w:pos="1080"/>
        </w:tabs>
        <w:ind w:left="0" w:firstLine="720"/>
      </w:pPr>
      <w:rPr>
        <w:rFonts w:ascii="Times New Roman" w:hAnsi="Times New Roman" w:hint="default"/>
        <w:b w:val="0"/>
        <w:i w:val="0"/>
        <w:caps w:val="0"/>
        <w:strike w:val="0"/>
        <w:dstrike w:val="0"/>
        <w:vanish w:val="0"/>
        <w:sz w:val="22"/>
        <w:u w:val="none"/>
        <w:vertAlign w:val="baseline"/>
      </w:rPr>
    </w:lvl>
  </w:abstractNum>
  <w:abstractNum w:abstractNumId="4">
    <w:nsid w:val="402B026F"/>
    <w:multiLevelType w:val="hybridMultilevel"/>
    <w:tmpl w:val="19984DD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4ABB3C47"/>
    <w:multiLevelType w:val="hybridMultilevel"/>
    <w:tmpl w:val="7FC8C036"/>
    <w:lvl w:ilvl="0">
      <w:start w:val="1"/>
      <w:numFmt w:val="decimal"/>
      <w:pStyle w:val="ParaNum"/>
      <w:lvlText w:val="%1."/>
      <w:lvlJc w:val="left"/>
      <w:pPr>
        <w:ind w:left="1170" w:hanging="360"/>
      </w:pPr>
      <w:rPr>
        <w:rFonts w:hint="default"/>
        <w:b w:val="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
    <w:nsid w:val="61182925"/>
    <w:multiLevelType w:val="singleLevel"/>
    <w:tmpl w:val="7AD6D244"/>
    <w:lvl w:ilvl="0">
      <w:start w:val="1"/>
      <w:numFmt w:val="decimal"/>
      <w:lvlText w:val="%1."/>
      <w:lvlJc w:val="left"/>
      <w:pPr>
        <w:tabs>
          <w:tab w:val="num" w:pos="990"/>
        </w:tabs>
        <w:ind w:left="-90" w:firstLine="720"/>
      </w:pPr>
      <w:rPr>
        <w:b w:val="0"/>
        <w:i w:val="0"/>
      </w:rPr>
    </w:lvl>
  </w:abstractNum>
  <w:abstractNum w:abstractNumId="7">
    <w:nsid w:val="75701307"/>
    <w:multiLevelType w:val="hybridMultilevel"/>
    <w:tmpl w:val="7312EF0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
    <w:nsid w:val="7AAC5A01"/>
    <w:multiLevelType w:val="hybridMultilevel"/>
    <w:tmpl w:val="1A06D73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
  </w:num>
  <w:num w:numId="2">
    <w:abstractNumId w:val="6"/>
  </w:num>
  <w:num w:numId="3">
    <w:abstractNumId w:val="2"/>
  </w:num>
  <w:num w:numId="4">
    <w:abstractNumId w:val="6"/>
    <w:lvlOverride w:ilvl="0">
      <w:startOverride w:val="1"/>
    </w:lvlOverride>
  </w:num>
  <w:num w:numId="5">
    <w:abstractNumId w:val="5"/>
  </w:num>
  <w:num w:numId="6">
    <w:abstractNumId w:val="6"/>
  </w:num>
  <w:num w:numId="7">
    <w:abstractNumId w:val="6"/>
  </w:num>
  <w:num w:numId="8">
    <w:abstractNumId w:val="2"/>
  </w:num>
  <w:num w:numId="9">
    <w:abstractNumId w:val="6"/>
  </w:num>
  <w:num w:numId="10">
    <w:abstractNumId w:val="2"/>
  </w:num>
  <w:num w:numId="11">
    <w:abstractNumId w:val="2"/>
  </w:num>
  <w:num w:numId="12">
    <w:abstractNumId w:val="6"/>
  </w:num>
  <w:num w:numId="13">
    <w:abstractNumId w:val="6"/>
  </w:num>
  <w:num w:numId="14">
    <w:abstractNumId w:val="5"/>
  </w:num>
  <w:num w:numId="15">
    <w:abstractNumId w:val="6"/>
  </w:num>
  <w:num w:numId="16">
    <w:abstractNumId w:val="6"/>
  </w:num>
  <w:num w:numId="17">
    <w:abstractNumId w:val="6"/>
    <w:lvlOverride w:ilvl="0">
      <w:startOverride w:val="1"/>
    </w:lvlOverride>
  </w:num>
  <w:num w:numId="18">
    <w:abstractNumId w:val="3"/>
  </w:num>
  <w:num w:numId="19">
    <w:abstractNumId w:val="6"/>
  </w:num>
  <w:num w:numId="20">
    <w:abstractNumId w:val="6"/>
  </w:num>
  <w:num w:numId="21">
    <w:abstractNumId w:val="8"/>
  </w:num>
  <w:num w:numId="22">
    <w:abstractNumId w:val="7"/>
  </w:num>
  <w:num w:numId="23">
    <w:abstractNumId w:val="4"/>
  </w:num>
  <w:num w:numId="24">
    <w:abstractNumId w:val="6"/>
  </w:num>
  <w:num w:numId="25">
    <w:abstractNumId w:val="6"/>
  </w:num>
  <w:num w:numId="26">
    <w:abstractNumId w:val="6"/>
  </w:num>
  <w:num w:numId="27">
    <w:abstractNumId w:val="6"/>
  </w:num>
  <w:num w:numId="28">
    <w:abstractNumId w:val="0"/>
  </w:num>
  <w:num w:numId="29">
    <w:abstractNumId w:val="6"/>
  </w:num>
  <w:num w:numId="30">
    <w:abstractNumId w:val="6"/>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num>
  <w:num w:numId="38">
    <w:abstractNumId w:val="5"/>
  </w:num>
  <w:num w:numId="39">
    <w:abstractNumId w:val="5"/>
  </w:num>
  <w:num w:numId="40">
    <w:abstractNumId w:val="5"/>
  </w:num>
  <w:num w:numId="41">
    <w:abstractNumId w:val="5"/>
  </w:num>
  <w:num w:numId="42">
    <w:abstractNumId w:val="5"/>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bordersDoNotSurroundHeader/>
  <w:bordersDoNotSurroundFooter/>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Formatting/>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snapToGrid w:val="0"/>
      <w:kern w:val="28"/>
      <w:sz w:val="22"/>
    </w:rPr>
  </w:style>
  <w:style w:type="paragraph" w:styleId="Heading1">
    <w:name w:val="heading 1"/>
    <w:basedOn w:val="Normal"/>
    <w:next w:val="ParaNum"/>
    <w:qFormat/>
    <w:pPr>
      <w:keepNext/>
      <w:numPr>
        <w:numId w:val="3"/>
      </w:numPr>
      <w:suppressAutoHyphens/>
      <w:spacing w:after="120"/>
      <w:outlineLvl w:val="0"/>
    </w:pPr>
    <w:rPr>
      <w:rFonts w:ascii="Times New Roman Bold" w:hAnsi="Times New Roman Bold"/>
      <w:b/>
      <w:caps/>
    </w:rPr>
  </w:style>
  <w:style w:type="paragraph" w:styleId="Heading2">
    <w:name w:val="heading 2"/>
    <w:basedOn w:val="Normal"/>
    <w:next w:val="ParaNum"/>
    <w:autoRedefine/>
    <w:qFormat/>
    <w:rsid w:val="00417F2F"/>
    <w:pPr>
      <w:keepNext/>
      <w:numPr>
        <w:ilvl w:val="1"/>
        <w:numId w:val="3"/>
      </w:numPr>
      <w:spacing w:after="120"/>
      <w:outlineLvl w:val="1"/>
    </w:pPr>
    <w:rPr>
      <w:b/>
    </w:rPr>
  </w:style>
  <w:style w:type="paragraph" w:styleId="Heading3">
    <w:name w:val="heading 3"/>
    <w:basedOn w:val="Normal"/>
    <w:next w:val="ParaNum"/>
    <w:qFormat/>
    <w:pPr>
      <w:keepNext/>
      <w:numPr>
        <w:ilvl w:val="2"/>
        <w:numId w:val="3"/>
      </w:numPr>
      <w:tabs>
        <w:tab w:val="left" w:pos="2160"/>
      </w:tabs>
      <w:spacing w:after="120"/>
      <w:outlineLvl w:val="2"/>
    </w:pPr>
    <w:rPr>
      <w:b/>
    </w:rPr>
  </w:style>
  <w:style w:type="paragraph" w:styleId="Heading4">
    <w:name w:val="heading 4"/>
    <w:basedOn w:val="Normal"/>
    <w:next w:val="ParaNum"/>
    <w:qFormat/>
    <w:pPr>
      <w:keepNext/>
      <w:numPr>
        <w:ilvl w:val="3"/>
        <w:numId w:val="3"/>
      </w:numPr>
      <w:tabs>
        <w:tab w:val="left" w:pos="2880"/>
      </w:tabs>
      <w:spacing w:after="120"/>
      <w:outlineLvl w:val="3"/>
    </w:pPr>
    <w:rPr>
      <w:b/>
    </w:rPr>
  </w:style>
  <w:style w:type="paragraph" w:styleId="Heading5">
    <w:name w:val="heading 5"/>
    <w:basedOn w:val="Normal"/>
    <w:next w:val="ParaNum"/>
    <w:qFormat/>
    <w:pPr>
      <w:keepNext/>
      <w:numPr>
        <w:ilvl w:val="4"/>
        <w:numId w:val="3"/>
      </w:numPr>
      <w:tabs>
        <w:tab w:val="left" w:pos="3600"/>
      </w:tabs>
      <w:suppressAutoHyphens/>
      <w:spacing w:after="120"/>
      <w:outlineLvl w:val="4"/>
    </w:pPr>
    <w:rPr>
      <w:b/>
    </w:rPr>
  </w:style>
  <w:style w:type="paragraph" w:styleId="Heading6">
    <w:name w:val="heading 6"/>
    <w:basedOn w:val="Normal"/>
    <w:next w:val="ParaNum"/>
    <w:qFormat/>
    <w:pPr>
      <w:numPr>
        <w:ilvl w:val="5"/>
        <w:numId w:val="3"/>
      </w:numPr>
      <w:tabs>
        <w:tab w:val="left" w:pos="4320"/>
      </w:tabs>
      <w:spacing w:after="120"/>
      <w:outlineLvl w:val="5"/>
    </w:pPr>
    <w:rPr>
      <w:b/>
    </w:rPr>
  </w:style>
  <w:style w:type="paragraph" w:styleId="Heading7">
    <w:name w:val="heading 7"/>
    <w:basedOn w:val="Normal"/>
    <w:next w:val="ParaNum"/>
    <w:qFormat/>
    <w:pPr>
      <w:numPr>
        <w:ilvl w:val="6"/>
        <w:numId w:val="3"/>
      </w:numPr>
      <w:tabs>
        <w:tab w:val="left" w:pos="5040"/>
      </w:tabs>
      <w:spacing w:after="120"/>
      <w:ind w:left="5040" w:hanging="720"/>
      <w:outlineLvl w:val="6"/>
    </w:pPr>
    <w:rPr>
      <w:b/>
    </w:rPr>
  </w:style>
  <w:style w:type="paragraph" w:styleId="Heading8">
    <w:name w:val="heading 8"/>
    <w:basedOn w:val="Normal"/>
    <w:next w:val="ParaNum"/>
    <w:qFormat/>
    <w:pPr>
      <w:numPr>
        <w:ilvl w:val="7"/>
        <w:numId w:val="3"/>
      </w:numPr>
      <w:tabs>
        <w:tab w:val="clear" w:pos="5400"/>
        <w:tab w:val="left" w:pos="5760"/>
      </w:tabs>
      <w:spacing w:after="120"/>
      <w:ind w:left="5760" w:hanging="720"/>
      <w:outlineLvl w:val="7"/>
    </w:pPr>
    <w:rPr>
      <w:b/>
    </w:rPr>
  </w:style>
  <w:style w:type="paragraph" w:styleId="Heading9">
    <w:name w:val="heading 9"/>
    <w:basedOn w:val="Normal"/>
    <w:next w:val="ParaNum"/>
    <w:qFormat/>
    <w:pPr>
      <w:numPr>
        <w:ilvl w:val="8"/>
        <w:numId w:val="3"/>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Num">
    <w:name w:val="ParaNum"/>
    <w:basedOn w:val="Normal"/>
    <w:autoRedefine/>
    <w:rsid w:val="001A1B0B"/>
    <w:pPr>
      <w:widowControl/>
      <w:numPr>
        <w:numId w:val="5"/>
      </w:numPr>
      <w:tabs>
        <w:tab w:val="num" w:pos="990"/>
      </w:tabs>
      <w:spacing w:after="120"/>
      <w:ind w:left="-90" w:firstLine="720"/>
    </w:pPr>
    <w:rPr>
      <w:color w:val="000000"/>
      <w:szCs w:val="22"/>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styleId="FootnoteText">
    <w:name w:val="footnote text"/>
    <w:aliases w:val="ALTS FOOTNOTE,Footnote Text Char,Footnote Text Char Char1 Char Char Char,Footnote Text Char1 Char1,Footnote Text Char2,Footnote Text Char2 Char Char Char1,Footnote Text Char2 Char Char1 Char Char Char,Footnote Text Char3 Char Char1,f,fn,ft"/>
    <w:link w:val="FootnoteTextChar1"/>
    <w:uiPriority w:val="99"/>
    <w:pPr>
      <w:spacing w:after="120"/>
    </w:pPr>
  </w:style>
  <w:style w:type="character" w:styleId="FootnoteReference">
    <w:name w:val="footnote reference"/>
    <w:aliases w:val="(NECG) Footnote Reference,Appel note de bas de p,FR,Footnote Reference/,Style 12,Style 124,Style 13,Style 17,Style 3,Style 4,Style 6,fr,o"/>
    <w:uiPriority w:val="99"/>
    <w:rPr>
      <w:rFonts w:ascii="Times New Roman" w:hAnsi="Times New Roman"/>
      <w:dstrike w:val="0"/>
      <w:color w:val="auto"/>
      <w:sz w:val="22"/>
      <w:vertAlign w:val="superscript"/>
    </w:rPr>
  </w:style>
  <w:style w:type="paragraph" w:styleId="TOC1">
    <w:name w:val="toc 1"/>
    <w:basedOn w:val="Normal"/>
    <w:next w:val="Normal"/>
    <w:semiHidden/>
    <w:pPr>
      <w:tabs>
        <w:tab w:val="left" w:pos="360"/>
        <w:tab w:val="right" w:leader="dot" w:pos="9360"/>
      </w:tabs>
      <w:suppressAutoHyphens/>
      <w:ind w:left="360" w:right="720" w:hanging="360"/>
    </w:pPr>
    <w:rPr>
      <w:caps/>
      <w:noProof/>
    </w:rPr>
  </w:style>
  <w:style w:type="paragraph" w:styleId="TOC2">
    <w:name w:val="toc 2"/>
    <w:basedOn w:val="Normal"/>
    <w:next w:val="Normal"/>
    <w:semiHidden/>
    <w:pPr>
      <w:tabs>
        <w:tab w:val="left" w:pos="720"/>
        <w:tab w:val="right" w:leader="dot" w:pos="9360"/>
      </w:tabs>
      <w:suppressAutoHyphens/>
      <w:ind w:left="720" w:right="720" w:hanging="360"/>
    </w:pPr>
    <w:rPr>
      <w:noProof/>
    </w:rPr>
  </w:style>
  <w:style w:type="paragraph" w:styleId="TOC3">
    <w:name w:val="toc 3"/>
    <w:basedOn w:val="Normal"/>
    <w:next w:val="Normal"/>
    <w:semiHidden/>
    <w:pPr>
      <w:tabs>
        <w:tab w:val="left" w:pos="1080"/>
        <w:tab w:val="right" w:leader="dot" w:pos="9360"/>
      </w:tabs>
      <w:suppressAutoHyphens/>
      <w:ind w:left="1080" w:right="720" w:hanging="360"/>
    </w:pPr>
    <w:rPr>
      <w:noProof/>
    </w:rPr>
  </w:style>
  <w:style w:type="paragraph" w:styleId="TOC4">
    <w:name w:val="toc 4"/>
    <w:basedOn w:val="Normal"/>
    <w:next w:val="Normal"/>
    <w:autoRedefine/>
    <w:semiHidden/>
    <w:pPr>
      <w:tabs>
        <w:tab w:val="left" w:pos="1440"/>
        <w:tab w:val="right" w:leader="dot" w:pos="9360"/>
      </w:tabs>
      <w:suppressAutoHyphens/>
      <w:ind w:left="1440" w:right="720" w:hanging="360"/>
    </w:pPr>
    <w:rPr>
      <w:noProof/>
    </w:rPr>
  </w:style>
  <w:style w:type="paragraph" w:styleId="TOC5">
    <w:name w:val="toc 5"/>
    <w:basedOn w:val="Normal"/>
    <w:next w:val="Normal"/>
    <w:autoRedefine/>
    <w:semiHidden/>
    <w:pPr>
      <w:tabs>
        <w:tab w:val="left" w:pos="1800"/>
        <w:tab w:val="right" w:leader="dot" w:pos="9360"/>
      </w:tabs>
      <w:suppressAutoHyphens/>
      <w:ind w:left="1800" w:right="720" w:hanging="360"/>
    </w:pPr>
    <w:rPr>
      <w:noProof/>
    </w:rPr>
  </w:style>
  <w:style w:type="paragraph" w:styleId="TOC6">
    <w:name w:val="toc 6"/>
    <w:basedOn w:val="Normal"/>
    <w:next w:val="Normal"/>
    <w:autoRedefine/>
    <w:semiHidden/>
    <w:pPr>
      <w:tabs>
        <w:tab w:val="left" w:pos="2160"/>
        <w:tab w:val="right" w:leader="dot" w:pos="9360"/>
      </w:tabs>
      <w:suppressAutoHyphens/>
      <w:ind w:left="2160" w:hanging="360"/>
    </w:pPr>
    <w:rPr>
      <w:noProof/>
    </w:rPr>
  </w:style>
  <w:style w:type="paragraph" w:styleId="TOC7">
    <w:name w:val="toc 7"/>
    <w:basedOn w:val="Normal"/>
    <w:next w:val="Normal"/>
    <w:autoRedefine/>
    <w:semiHidden/>
    <w:pPr>
      <w:tabs>
        <w:tab w:val="left" w:pos="2520"/>
        <w:tab w:val="right" w:leader="dot" w:pos="9360"/>
      </w:tabs>
      <w:suppressAutoHyphens/>
      <w:ind w:left="2520" w:hanging="360"/>
    </w:pPr>
    <w:rPr>
      <w:noProof/>
    </w:rPr>
  </w:style>
  <w:style w:type="paragraph" w:styleId="TOC8">
    <w:name w:val="toc 8"/>
    <w:basedOn w:val="Normal"/>
    <w:next w:val="Normal"/>
    <w:autoRedefine/>
    <w:semiHidden/>
    <w:pPr>
      <w:tabs>
        <w:tab w:val="left" w:pos="2880"/>
        <w:tab w:val="right" w:leader="dot" w:pos="9360"/>
      </w:tabs>
      <w:suppressAutoHyphens/>
      <w:ind w:left="2880" w:hanging="360"/>
    </w:pPr>
    <w:rPr>
      <w:noProof/>
    </w:rPr>
  </w:style>
  <w:style w:type="paragraph" w:styleId="TOC9">
    <w:name w:val="toc 9"/>
    <w:basedOn w:val="Normal"/>
    <w:next w:val="Normal"/>
    <w:autoRedefine/>
    <w:semiHidden/>
    <w:pPr>
      <w:tabs>
        <w:tab w:val="left" w:pos="3240"/>
        <w:tab w:val="right" w:leader="dot" w:pos="9360"/>
      </w:tabs>
      <w:suppressAutoHyphens/>
      <w:ind w:left="3240" w:hanging="360"/>
    </w:pPr>
    <w:rPr>
      <w:noProof/>
    </w:rPr>
  </w:style>
  <w:style w:type="paragraph" w:styleId="TOAHeading">
    <w:name w:val="toa heading"/>
    <w:basedOn w:val="Normal"/>
    <w:next w:val="Normal"/>
    <w:semiHidden/>
    <w:pPr>
      <w:tabs>
        <w:tab w:val="right" w:pos="9360"/>
      </w:tabs>
      <w:suppressAutoHyphens/>
    </w:pPr>
  </w:style>
  <w:style w:type="character" w:customStyle="1" w:styleId="EquationCaption">
    <w:name w:val="_Equation Caption"/>
  </w:style>
  <w:style w:type="paragraph" w:styleId="Header">
    <w:name w:val="header"/>
    <w:basedOn w:val="Normal"/>
    <w:autoRedefine/>
    <w:rsid w:val="001B099D"/>
    <w:pPr>
      <w:pBdr>
        <w:bottom w:val="single" w:sz="12" w:space="1" w:color="auto"/>
      </w:pBdr>
      <w:tabs>
        <w:tab w:val="center" w:pos="4680"/>
        <w:tab w:val="right" w:pos="9360"/>
      </w:tabs>
      <w:jc w:val="right"/>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lockText">
    <w:name w:val="Block Text"/>
    <w:basedOn w:val="Normal"/>
    <w:pPr>
      <w:spacing w:after="240"/>
      <w:ind w:left="1440" w:right="1440"/>
    </w:pPr>
  </w:style>
  <w:style w:type="paragraph" w:customStyle="1" w:styleId="Paratitle">
    <w:name w:val="Para title"/>
    <w:basedOn w:val="Normal"/>
    <w:pPr>
      <w:tabs>
        <w:tab w:val="center" w:pos="9270"/>
      </w:tabs>
      <w:spacing w:after="240"/>
    </w:pPr>
    <w:rPr>
      <w:spacing w:val="-2"/>
    </w:rPr>
  </w:style>
  <w:style w:type="paragraph" w:customStyle="1" w:styleId="Bullet">
    <w:name w:val="Bullet"/>
    <w:basedOn w:val="Normal"/>
    <w:pPr>
      <w:numPr>
        <w:numId w:val="1"/>
      </w:numPr>
      <w:tabs>
        <w:tab w:val="clear" w:pos="360"/>
        <w:tab w:val="left" w:pos="2160"/>
      </w:tabs>
      <w:spacing w:after="220"/>
      <w:ind w:left="2160" w:hanging="720"/>
    </w:pPr>
  </w:style>
  <w:style w:type="paragraph" w:customStyle="1" w:styleId="TableFormat">
    <w:name w:val="TableFormat"/>
    <w:basedOn w:val="Bullet"/>
    <w:pPr>
      <w:numPr>
        <w:numId w:val="0"/>
      </w:numPr>
      <w:tabs>
        <w:tab w:val="clear" w:pos="2160"/>
        <w:tab w:val="left" w:pos="5040"/>
      </w:tabs>
      <w:ind w:left="5040" w:hanging="3600"/>
    </w:pPr>
  </w:style>
  <w:style w:type="paragraph" w:customStyle="1" w:styleId="TOCTitle">
    <w:name w:val="TOC Title"/>
    <w:basedOn w:val="Normal"/>
    <w:pPr>
      <w:spacing w:before="240" w:after="240"/>
      <w:jc w:val="center"/>
    </w:pPr>
    <w:rPr>
      <w:rFonts w:ascii="Times New Roman Bold" w:hAnsi="Times New Roman Bold"/>
      <w:b/>
      <w:caps/>
      <w:spacing w:val="-2"/>
    </w:rPr>
  </w:style>
  <w:style w:type="paragraph" w:customStyle="1" w:styleId="StyleBoldCentered">
    <w:name w:val="Style Bold Centered"/>
    <w:basedOn w:val="Normal"/>
    <w:pPr>
      <w:jc w:val="center"/>
    </w:pPr>
    <w:rPr>
      <w:rFonts w:ascii="Times New Roman Bold" w:hAnsi="Times New Roman Bold"/>
      <w:b/>
      <w:bCs/>
      <w:caps/>
      <w:szCs w:val="22"/>
    </w:rPr>
  </w:style>
  <w:style w:type="character" w:styleId="Hyperlink">
    <w:name w:val="Hyperlink"/>
    <w:rPr>
      <w:color w:val="0000FF"/>
      <w:u w:val="single"/>
    </w:rPr>
  </w:style>
  <w:style w:type="character" w:customStyle="1" w:styleId="documentbody1">
    <w:name w:val="documentbody1"/>
    <w:rPr>
      <w:rFonts w:ascii="Verdana" w:hAnsi="Verdana" w:hint="default"/>
      <w:sz w:val="19"/>
      <w:szCs w:val="19"/>
    </w:rPr>
  </w:style>
  <w:style w:type="character" w:customStyle="1" w:styleId="FootnoteTextChar1">
    <w:name w:val="Footnote Text Char1"/>
    <w:aliases w:val="ALTS FOOTNOTE Char,Footnote Text Char Char,Footnote Text Char Char1 Char Char Char Char,Footnote Text Char1 Char1 Char,Footnote Text Char2 Char,Footnote Text Char2 Char Char Char1 Char,Footnote Text Char3 Char Char1 Char,fn Char"/>
    <w:link w:val="FootnoteText"/>
    <w:rPr>
      <w:lang w:val="en-US" w:eastAsia="en-US" w:bidi="ar-SA"/>
    </w:rPr>
  </w:style>
  <w:style w:type="paragraph" w:styleId="BalloonText">
    <w:name w:val="Balloon Text"/>
    <w:basedOn w:val="Normal"/>
    <w:link w:val="BalloonTextChar"/>
    <w:uiPriority w:val="99"/>
    <w:semiHidden/>
    <w:rPr>
      <w:rFonts w:ascii="Tahoma" w:hAnsi="Tahoma" w:cs="Tahoma"/>
      <w:sz w:val="16"/>
      <w:szCs w:val="16"/>
    </w:rPr>
  </w:style>
  <w:style w:type="paragraph" w:styleId="Caption">
    <w:name w:val="caption"/>
    <w:basedOn w:val="Normal"/>
    <w:next w:val="Normal"/>
    <w:qFormat/>
    <w:rsid w:val="00BE06B5"/>
    <w:rPr>
      <w:b/>
      <w:bCs/>
      <w:sz w:val="20"/>
    </w:rPr>
  </w:style>
  <w:style w:type="character" w:styleId="FollowedHyperlink">
    <w:name w:val="FollowedHyperlink"/>
    <w:rsid w:val="008B611A"/>
    <w:rPr>
      <w:color w:val="800080"/>
      <w:u w:val="single"/>
    </w:rPr>
  </w:style>
  <w:style w:type="character" w:styleId="CommentReference">
    <w:name w:val="annotation reference"/>
    <w:semiHidden/>
    <w:rsid w:val="00DB5F38"/>
    <w:rPr>
      <w:sz w:val="16"/>
      <w:szCs w:val="16"/>
    </w:rPr>
  </w:style>
  <w:style w:type="paragraph" w:styleId="CommentText">
    <w:name w:val="annotation text"/>
    <w:basedOn w:val="Normal"/>
    <w:semiHidden/>
    <w:rsid w:val="00DB5F38"/>
    <w:rPr>
      <w:sz w:val="20"/>
    </w:rPr>
  </w:style>
  <w:style w:type="paragraph" w:styleId="CommentSubject">
    <w:name w:val="annotation subject"/>
    <w:basedOn w:val="CommentText"/>
    <w:next w:val="CommentText"/>
    <w:semiHidden/>
    <w:rsid w:val="00DB5F38"/>
    <w:rPr>
      <w:b/>
      <w:bCs/>
    </w:rPr>
  </w:style>
  <w:style w:type="table" w:styleId="TableGrid">
    <w:name w:val="Table Grid"/>
    <w:basedOn w:val="TableNormal"/>
    <w:uiPriority w:val="39"/>
    <w:rsid w:val="007C26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074C"/>
    <w:pPr>
      <w:widowControl/>
      <w:spacing w:after="160" w:line="259" w:lineRule="auto"/>
      <w:ind w:left="720" w:hanging="360"/>
      <w:contextualSpacing/>
    </w:pPr>
    <w:rPr>
      <w:rFonts w:ascii="Calibri" w:eastAsia="Calibri" w:hAnsi="Calibri"/>
      <w:snapToGrid/>
      <w:kern w:val="0"/>
      <w:szCs w:val="22"/>
    </w:rPr>
  </w:style>
  <w:style w:type="character" w:customStyle="1" w:styleId="UnresolvedMention">
    <w:name w:val="Unresolved Mention"/>
    <w:uiPriority w:val="99"/>
    <w:semiHidden/>
    <w:unhideWhenUsed/>
    <w:rsid w:val="001D4260"/>
    <w:rPr>
      <w:color w:val="808080"/>
      <w:shd w:val="clear" w:color="auto" w:fill="E6E6E6"/>
    </w:rPr>
  </w:style>
  <w:style w:type="paragraph" w:styleId="Revision">
    <w:name w:val="Revision"/>
    <w:hidden/>
    <w:uiPriority w:val="99"/>
    <w:semiHidden/>
    <w:rsid w:val="00B819CD"/>
    <w:rPr>
      <w:snapToGrid w:val="0"/>
      <w:kern w:val="28"/>
      <w:sz w:val="22"/>
    </w:rPr>
  </w:style>
  <w:style w:type="character" w:customStyle="1" w:styleId="apple-converted-space">
    <w:name w:val="apple-converted-space"/>
    <w:rsid w:val="00AB3EF0"/>
  </w:style>
  <w:style w:type="character" w:styleId="Emphasis">
    <w:name w:val="Emphasis"/>
    <w:uiPriority w:val="20"/>
    <w:qFormat/>
    <w:rsid w:val="00AB3EF0"/>
    <w:rPr>
      <w:i/>
      <w:iCs/>
    </w:rPr>
  </w:style>
  <w:style w:type="character" w:customStyle="1" w:styleId="BalloonTextChar">
    <w:name w:val="Balloon Text Char"/>
    <w:basedOn w:val="DefaultParagraphFont"/>
    <w:link w:val="BalloonText"/>
    <w:uiPriority w:val="99"/>
    <w:semiHidden/>
    <w:rsid w:val="004325DB"/>
    <w:rPr>
      <w:rFonts w:ascii="Tahoma" w:hAnsi="Tahoma" w:cs="Tahoma"/>
      <w:snapToGrid w:val="0"/>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emf" /><Relationship Id="rId11" Type="http://schemas.openxmlformats.org/officeDocument/2006/relationships/oleObject" Target="embeddings/oleObject1.bin" /><Relationship Id="rId12" Type="http://schemas.openxmlformats.org/officeDocument/2006/relationships/image" Target="media/image2.emf" /><Relationship Id="rId13" Type="http://schemas.openxmlformats.org/officeDocument/2006/relationships/oleObject" Target="embeddings/oleObject2.bin" /><Relationship Id="rId14" Type="http://schemas.openxmlformats.org/officeDocument/2006/relationships/image" Target="media/image3.emf" /><Relationship Id="rId15" Type="http://schemas.openxmlformats.org/officeDocument/2006/relationships/oleObject" Target="embeddings/oleObject3.bin" /><Relationship Id="rId16" Type="http://schemas.openxmlformats.org/officeDocument/2006/relationships/image" Target="media/image4.emf" /><Relationship Id="rId17" Type="http://schemas.openxmlformats.org/officeDocument/2006/relationships/oleObject" Target="embeddings/oleObject4.bin" /><Relationship Id="rId18" Type="http://schemas.openxmlformats.org/officeDocument/2006/relationships/image" Target="media/image5.emf" /><Relationship Id="rId19" Type="http://schemas.openxmlformats.org/officeDocument/2006/relationships/oleObject" Target="embeddings/oleObject5.bin" /><Relationship Id="rId2" Type="http://schemas.openxmlformats.org/officeDocument/2006/relationships/settings" Target="settings.xml" /><Relationship Id="rId20" Type="http://schemas.openxmlformats.org/officeDocument/2006/relationships/image" Target="media/image6.emf" /><Relationship Id="rId21" Type="http://schemas.openxmlformats.org/officeDocument/2006/relationships/oleObject" Target="embeddings/oleObject6.bin" /><Relationship Id="rId22" Type="http://schemas.openxmlformats.org/officeDocument/2006/relationships/image" Target="media/image7.emf" /><Relationship Id="rId23" Type="http://schemas.openxmlformats.org/officeDocument/2006/relationships/oleObject" Target="embeddings/oleObject7.bin" /><Relationship Id="rId24" Type="http://schemas.openxmlformats.org/officeDocument/2006/relationships/image" Target="media/image8.emf" /><Relationship Id="rId25" Type="http://schemas.openxmlformats.org/officeDocument/2006/relationships/oleObject" Target="embeddings/oleObject8.bin" /><Relationship Id="rId26" Type="http://schemas.openxmlformats.org/officeDocument/2006/relationships/image" Target="media/image9.emf" /><Relationship Id="rId27" Type="http://schemas.openxmlformats.org/officeDocument/2006/relationships/oleObject" Target="embeddings/oleObject9.bin" /><Relationship Id="rId28" Type="http://schemas.openxmlformats.org/officeDocument/2006/relationships/image" Target="media/image10.emf" /><Relationship Id="rId29" Type="http://schemas.openxmlformats.org/officeDocument/2006/relationships/oleObject" Target="embeddings/oleObject10.bin" /><Relationship Id="rId3" Type="http://schemas.openxmlformats.org/officeDocument/2006/relationships/webSettings" Target="webSettings.xml" /><Relationship Id="rId30" Type="http://schemas.openxmlformats.org/officeDocument/2006/relationships/header" Target="header3.xml" /><Relationship Id="rId31" Type="http://schemas.openxmlformats.org/officeDocument/2006/relationships/theme" Target="theme/theme1.xml" /><Relationship Id="rId32" Type="http://schemas.openxmlformats.org/officeDocument/2006/relationships/numbering" Target="numbering.xml" /><Relationship Id="rId33"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header" Target="header2.xml" /><Relationship Id="rId9"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