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B423B" w:rsidRPr="00AA3FA2">
      <w:pPr>
        <w:jc w:val="center"/>
        <w:rPr>
          <w:b/>
        </w:rPr>
      </w:pPr>
      <w:r>
        <w:rPr>
          <w:b/>
        </w:rPr>
        <w:t xml:space="preserve"> </w:t>
      </w:r>
      <w:r w:rsidRPr="00AA3FA2">
        <w:rPr>
          <w:b/>
        </w:rPr>
        <w:t>Before the</w:t>
      </w:r>
    </w:p>
    <w:p w:rsidR="00FB423B" w:rsidRPr="00AA3FA2">
      <w:pPr>
        <w:jc w:val="center"/>
        <w:rPr>
          <w:b/>
        </w:rPr>
      </w:pPr>
      <w:r w:rsidRPr="00AA3FA2">
        <w:rPr>
          <w:b/>
        </w:rPr>
        <w:t>Federal Communications Commission</w:t>
      </w:r>
    </w:p>
    <w:p w:rsidR="00FB423B" w:rsidRPr="00AA3FA2">
      <w:pPr>
        <w:jc w:val="center"/>
        <w:rPr>
          <w:b/>
        </w:rPr>
      </w:pPr>
      <w:r w:rsidRPr="00AA3FA2">
        <w:rPr>
          <w:b/>
        </w:rPr>
        <w:t>Washington, D.C. 20554</w:t>
      </w:r>
    </w:p>
    <w:p w:rsidR="00FB423B" w:rsidRPr="00AA3FA2"/>
    <w:p w:rsidR="00FB423B" w:rsidRPr="00AA3FA2"/>
    <w:tbl>
      <w:tblPr>
        <w:tblW w:w="0" w:type="auto"/>
        <w:tblLayout w:type="fixed"/>
        <w:tblLook w:val="0000"/>
      </w:tblPr>
      <w:tblGrid>
        <w:gridCol w:w="4698"/>
        <w:gridCol w:w="720"/>
        <w:gridCol w:w="4230"/>
      </w:tblGrid>
      <w:tr w:rsidTr="00DF4033">
        <w:tblPrEx>
          <w:tblW w:w="0" w:type="auto"/>
          <w:tblLayout w:type="fixed"/>
          <w:tblLook w:val="0000"/>
        </w:tblPrEx>
        <w:trPr>
          <w:trHeight w:val="1530"/>
        </w:trPr>
        <w:tc>
          <w:tcPr>
            <w:tcW w:w="4698" w:type="dxa"/>
          </w:tcPr>
          <w:p w:rsidR="00FB423B" w:rsidRPr="00AA3FA2">
            <w:pPr>
              <w:ind w:right="-18"/>
            </w:pPr>
            <w:r w:rsidRPr="00AA3FA2">
              <w:t xml:space="preserve">In the </w:t>
            </w:r>
            <w:r w:rsidRPr="00AA3FA2" w:rsidR="00C074CC">
              <w:t>M</w:t>
            </w:r>
            <w:r w:rsidRPr="00AA3FA2">
              <w:t>atter of</w:t>
            </w:r>
          </w:p>
          <w:p w:rsidR="00FB423B" w:rsidRPr="00AA3FA2">
            <w:pPr>
              <w:ind w:right="-18"/>
            </w:pPr>
          </w:p>
          <w:p w:rsidR="00D924BF" w:rsidRPr="00AA3FA2">
            <w:pPr>
              <w:ind w:right="-18"/>
            </w:pPr>
            <w:bookmarkStart w:id="0" w:name="_Hlk527388559"/>
            <w:r>
              <w:t xml:space="preserve">Marc Blackburn and Kristin </w:t>
            </w:r>
            <w:bookmarkStart w:id="1" w:name="_Hlk528059159"/>
            <w:r>
              <w:t>Kumamoto</w:t>
            </w:r>
            <w:bookmarkEnd w:id="1"/>
          </w:p>
          <w:p w:rsidR="009D41DE" w:rsidRPr="00AA3FA2">
            <w:pPr>
              <w:ind w:right="-18"/>
            </w:pPr>
            <w:bookmarkEnd w:id="0"/>
          </w:p>
          <w:p w:rsidR="00D924BF" w:rsidRPr="00AA3FA2" w:rsidP="009D41DE">
            <w:pPr>
              <w:ind w:right="-18"/>
            </w:pPr>
            <w:r w:rsidRPr="00AA3FA2">
              <w:t>Los Angeles</w:t>
            </w:r>
            <w:r w:rsidRPr="00AA3FA2" w:rsidR="00512966">
              <w:t>, California</w:t>
            </w:r>
          </w:p>
        </w:tc>
        <w:tc>
          <w:tcPr>
            <w:tcW w:w="720" w:type="dxa"/>
          </w:tcPr>
          <w:p w:rsidR="00FB423B" w:rsidRPr="00AA3FA2">
            <w:pPr>
              <w:rPr>
                <w:b/>
              </w:rPr>
            </w:pPr>
            <w:r w:rsidRPr="00AA3FA2">
              <w:rPr>
                <w:b/>
              </w:rPr>
              <w:t>)</w:t>
            </w:r>
          </w:p>
          <w:p w:rsidR="00FB423B" w:rsidRPr="00AA3FA2">
            <w:pPr>
              <w:rPr>
                <w:b/>
              </w:rPr>
            </w:pPr>
            <w:r w:rsidRPr="00AA3FA2">
              <w:rPr>
                <w:b/>
              </w:rPr>
              <w:t>)</w:t>
            </w:r>
          </w:p>
          <w:p w:rsidR="00FB423B" w:rsidRPr="00AA3FA2">
            <w:pPr>
              <w:rPr>
                <w:b/>
              </w:rPr>
            </w:pPr>
            <w:r w:rsidRPr="00AA3FA2">
              <w:rPr>
                <w:b/>
              </w:rPr>
              <w:t>)</w:t>
            </w:r>
          </w:p>
          <w:p w:rsidR="00FB423B" w:rsidRPr="00AA3FA2">
            <w:pPr>
              <w:rPr>
                <w:b/>
              </w:rPr>
            </w:pPr>
            <w:r w:rsidRPr="00AA3FA2">
              <w:rPr>
                <w:b/>
              </w:rPr>
              <w:t>)</w:t>
            </w:r>
          </w:p>
          <w:p w:rsidR="00FB423B" w:rsidRPr="00AA3FA2">
            <w:pPr>
              <w:rPr>
                <w:b/>
              </w:rPr>
            </w:pPr>
            <w:r w:rsidRPr="00AA3FA2">
              <w:rPr>
                <w:b/>
              </w:rPr>
              <w:t>)</w:t>
            </w:r>
          </w:p>
          <w:p w:rsidR="00FB423B" w:rsidRPr="00AA3FA2" w:rsidP="00D924BF">
            <w:pPr>
              <w:rPr>
                <w:b/>
              </w:rPr>
            </w:pPr>
            <w:r>
              <w:rPr>
                <w:b/>
              </w:rPr>
              <w:t>)</w:t>
            </w:r>
          </w:p>
          <w:p w:rsidR="00D924BF" w:rsidRPr="00AA3FA2" w:rsidP="00D924BF">
            <w:pPr>
              <w:rPr>
                <w:b/>
              </w:rPr>
            </w:pPr>
          </w:p>
        </w:tc>
        <w:tc>
          <w:tcPr>
            <w:tcW w:w="4230" w:type="dxa"/>
          </w:tcPr>
          <w:p w:rsidR="00FB423B" w:rsidRPr="00AA3FA2"/>
          <w:p w:rsidR="00D924BF" w:rsidRPr="00DF4033">
            <w:pPr>
              <w:rPr>
                <w:spacing w:val="-2"/>
              </w:rPr>
            </w:pPr>
          </w:p>
          <w:p w:rsidR="00D63D6F" w:rsidRPr="00AA3FA2" w:rsidP="00D63D6F">
            <w:pPr>
              <w:tabs>
                <w:tab w:val="left" w:pos="1995"/>
              </w:tabs>
              <w:rPr>
                <w:spacing w:val="-2"/>
              </w:rPr>
            </w:pPr>
            <w:r w:rsidRPr="00AA3FA2">
              <w:t>File No.:  EB-FIELDWR-17-00024778</w:t>
            </w:r>
          </w:p>
          <w:p w:rsidR="00D924BF" w:rsidRPr="00AA3FA2" w:rsidP="004601CE"/>
        </w:tc>
      </w:tr>
    </w:tbl>
    <w:p w:rsidR="00D86428" w:rsidRPr="00AA3FA2" w:rsidP="00DF4033">
      <w:pPr>
        <w:spacing w:after="220"/>
        <w:jc w:val="center"/>
        <w:rPr>
          <w:b/>
          <w:spacing w:val="-2"/>
        </w:rPr>
      </w:pPr>
      <w:r w:rsidRPr="00AA3FA2">
        <w:rPr>
          <w:b/>
          <w:spacing w:val="-2"/>
        </w:rPr>
        <w:t>CITATION</w:t>
      </w:r>
      <w:r w:rsidR="00582A6E">
        <w:rPr>
          <w:b/>
          <w:spacing w:val="-2"/>
        </w:rPr>
        <w:t xml:space="preserve"> AND ORDER</w:t>
      </w:r>
    </w:p>
    <w:p w:rsidR="00D924BF" w:rsidRPr="00AA3FA2" w:rsidP="00D63D6F">
      <w:pPr>
        <w:spacing w:after="240"/>
        <w:jc w:val="center"/>
        <w:rPr>
          <w:b/>
          <w:spacing w:val="-2"/>
        </w:rPr>
      </w:pPr>
      <w:r w:rsidRPr="00972667">
        <w:rPr>
          <w:b/>
          <w:color w:val="000000"/>
          <w:spacing w:val="-2"/>
          <w:szCs w:val="22"/>
        </w:rPr>
        <w:t>Surveillance Device Causing Harmful Interference to LTE Communications</w:t>
      </w:r>
    </w:p>
    <w:p w:rsidR="00FB423B" w:rsidRPr="00AA3FA2"/>
    <w:p w:rsidR="00FB423B" w:rsidRPr="00AA3FA2" w:rsidP="00B6034F">
      <w:pPr>
        <w:tabs>
          <w:tab w:val="left" w:pos="5760"/>
        </w:tabs>
        <w:rPr>
          <w:b/>
          <w:color w:val="FF0000"/>
        </w:rPr>
      </w:pPr>
      <w:r w:rsidRPr="009F3F16">
        <w:rPr>
          <w:b/>
          <w:color w:val="000000" w:themeColor="text1"/>
        </w:rPr>
        <w:t xml:space="preserve">Adopted:  </w:t>
      </w:r>
      <w:r w:rsidR="00227CDC">
        <w:rPr>
          <w:b/>
          <w:color w:val="000000" w:themeColor="text1"/>
          <w:spacing w:val="-2"/>
        </w:rPr>
        <w:t xml:space="preserve">October </w:t>
      </w:r>
      <w:r w:rsidR="00FB1EDC">
        <w:rPr>
          <w:b/>
          <w:color w:val="000000" w:themeColor="text1"/>
          <w:spacing w:val="-2"/>
        </w:rPr>
        <w:t>2</w:t>
      </w:r>
      <w:r w:rsidR="00E33A32">
        <w:rPr>
          <w:b/>
          <w:color w:val="000000" w:themeColor="text1"/>
          <w:spacing w:val="-2"/>
        </w:rPr>
        <w:t>4</w:t>
      </w:r>
      <w:r w:rsidRPr="009F3F16" w:rsidR="009D41DE">
        <w:rPr>
          <w:b/>
          <w:color w:val="000000" w:themeColor="text1"/>
          <w:spacing w:val="-2"/>
        </w:rPr>
        <w:t>, 201</w:t>
      </w:r>
      <w:r w:rsidRPr="009F3F16" w:rsidR="00984BD7">
        <w:rPr>
          <w:b/>
          <w:color w:val="000000" w:themeColor="text1"/>
          <w:spacing w:val="-2"/>
        </w:rPr>
        <w:t>8</w:t>
      </w:r>
      <w:r w:rsidRPr="00AA3FA2">
        <w:rPr>
          <w:b/>
          <w:color w:val="FF0000"/>
        </w:rPr>
        <w:tab/>
      </w:r>
      <w:r w:rsidRPr="009F3F16">
        <w:rPr>
          <w:b/>
          <w:color w:val="000000" w:themeColor="text1"/>
        </w:rPr>
        <w:t xml:space="preserve">Released:  </w:t>
      </w:r>
      <w:r w:rsidRPr="00D408A2" w:rsidR="00227CDC">
        <w:rPr>
          <w:b/>
          <w:color w:val="000000" w:themeColor="text1"/>
          <w:spacing w:val="-2"/>
        </w:rPr>
        <w:t xml:space="preserve">October </w:t>
      </w:r>
      <w:r w:rsidR="00FB1EDC">
        <w:rPr>
          <w:b/>
          <w:color w:val="000000" w:themeColor="text1"/>
          <w:spacing w:val="-2"/>
        </w:rPr>
        <w:t>2</w:t>
      </w:r>
      <w:r w:rsidR="00E33A32">
        <w:rPr>
          <w:b/>
          <w:color w:val="000000" w:themeColor="text1"/>
          <w:spacing w:val="-2"/>
        </w:rPr>
        <w:t>4</w:t>
      </w:r>
      <w:r w:rsidRPr="00D408A2" w:rsidR="009D41DE">
        <w:rPr>
          <w:b/>
          <w:color w:val="000000" w:themeColor="text1"/>
          <w:spacing w:val="-2"/>
        </w:rPr>
        <w:t>,</w:t>
      </w:r>
      <w:r w:rsidRPr="009F3F16" w:rsidR="009D41DE">
        <w:rPr>
          <w:b/>
          <w:color w:val="000000" w:themeColor="text1"/>
          <w:spacing w:val="-2"/>
        </w:rPr>
        <w:t xml:space="preserve"> 201</w:t>
      </w:r>
      <w:r w:rsidRPr="009F3F16" w:rsidR="00984BD7">
        <w:rPr>
          <w:b/>
          <w:color w:val="000000" w:themeColor="text1"/>
          <w:spacing w:val="-2"/>
        </w:rPr>
        <w:t>8</w:t>
      </w:r>
    </w:p>
    <w:p w:rsidR="00FB423B" w:rsidRPr="00AA3FA2" w:rsidP="00B6034F">
      <w:pPr>
        <w:tabs>
          <w:tab w:val="left" w:pos="5760"/>
        </w:tabs>
        <w:rPr>
          <w:b/>
        </w:rPr>
      </w:pPr>
    </w:p>
    <w:p w:rsidR="00FB423B" w:rsidRPr="00D63D6F" w:rsidP="00B6034F">
      <w:pPr>
        <w:tabs>
          <w:tab w:val="left" w:pos="5760"/>
        </w:tabs>
      </w:pPr>
      <w:r w:rsidRPr="00AA3FA2">
        <w:t>By the</w:t>
      </w:r>
      <w:r w:rsidRPr="00AA3FA2">
        <w:rPr>
          <w:noProof/>
          <w:szCs w:val="22"/>
        </w:rPr>
        <w:t xml:space="preserve"> Regional Director, Region Three, </w:t>
      </w:r>
      <w:r w:rsidRPr="00AA3FA2" w:rsidR="00D924BF">
        <w:rPr>
          <w:noProof/>
          <w:szCs w:val="22"/>
        </w:rPr>
        <w:t>Enforcement Bureau</w:t>
      </w:r>
      <w:r w:rsidRPr="00AA3FA2">
        <w:rPr>
          <w:spacing w:val="-2"/>
        </w:rPr>
        <w:t>:</w:t>
      </w:r>
    </w:p>
    <w:p w:rsidR="00FB423B" w:rsidRPr="00DF4033" w:rsidP="00DF4033"/>
    <w:p w:rsidR="00D924BF" w:rsidRPr="00AA3FA2" w:rsidP="00DF4033">
      <w:pPr>
        <w:pStyle w:val="Heading1"/>
        <w:widowControl/>
        <w:spacing w:after="120"/>
      </w:pPr>
      <w:r>
        <w:t>NOTICE OF CITATION</w:t>
      </w:r>
    </w:p>
    <w:p w:rsidR="00697F8A" w:rsidRPr="001E4F67" w:rsidP="00DF4033">
      <w:pPr>
        <w:pStyle w:val="ParaNum"/>
        <w:spacing w:after="120"/>
      </w:pPr>
      <w:r>
        <w:t>T</w:t>
      </w:r>
      <w:r w:rsidRPr="00BE70CC">
        <w:t xml:space="preserve">his </w:t>
      </w:r>
      <w:r w:rsidRPr="00BE70CC">
        <w:rPr>
          <w:b/>
        </w:rPr>
        <w:t xml:space="preserve">CITATION AND ORDER </w:t>
      </w:r>
      <w:r w:rsidRPr="00BE70CC">
        <w:t>(Citation)</w:t>
      </w:r>
      <w:r>
        <w:t xml:space="preserve">, notifies </w:t>
      </w:r>
      <w:r w:rsidR="001E3D2E">
        <w:t xml:space="preserve">Marc Blackburn and Kristin Kumamoto </w:t>
      </w:r>
      <w:r w:rsidR="00547341">
        <w:t>(</w:t>
      </w:r>
      <w:r w:rsidR="001E3D2E">
        <w:t>Operators</w:t>
      </w:r>
      <w:r w:rsidR="00547341">
        <w:t xml:space="preserve">) </w:t>
      </w:r>
      <w:r>
        <w:t xml:space="preserve">that </w:t>
      </w:r>
      <w:r w:rsidR="001E3D2E">
        <w:t>they</w:t>
      </w:r>
      <w:r w:rsidRPr="00547341" w:rsidR="00547341">
        <w:t xml:space="preserve"> </w:t>
      </w:r>
      <w:r w:rsidR="001E3D2E">
        <w:t>are</w:t>
      </w:r>
      <w:r w:rsidRPr="00547341" w:rsidR="00547341">
        <w:t xml:space="preserve"> operating a device that is causing harmful interference to licensed radio operations</w:t>
      </w:r>
      <w:r w:rsidR="00AE0DF9">
        <w:t>.</w:t>
      </w:r>
      <w:r w:rsidRPr="00AE0DF9" w:rsidR="00AE0DF9">
        <w:t xml:space="preserve"> </w:t>
      </w:r>
      <w:r w:rsidRPr="00972667" w:rsidR="00547341">
        <w:rPr>
          <w:szCs w:val="22"/>
        </w:rPr>
        <w:t xml:space="preserve">We therefore direct </w:t>
      </w:r>
      <w:r w:rsidR="001E3D2E">
        <w:rPr>
          <w:szCs w:val="22"/>
        </w:rPr>
        <w:t>the Operators</w:t>
      </w:r>
      <w:r w:rsidRPr="00972667" w:rsidR="00547341">
        <w:rPr>
          <w:szCs w:val="22"/>
        </w:rPr>
        <w:t xml:space="preserve"> to take immediate steps to comply with federal rules and regulations related to radio frequency devices.  This includes low</w:t>
      </w:r>
      <w:r w:rsidRPr="00972667" w:rsidR="00547341">
        <w:rPr>
          <w:szCs w:val="22"/>
        </w:rPr>
        <w:noBreakHyphen/>
        <w:t>power Part 15 devices, such as surveillance cameras, that utilize radio frequencies in their operation.  If</w:t>
      </w:r>
      <w:r w:rsidR="00AB2C80">
        <w:rPr>
          <w:szCs w:val="22"/>
        </w:rPr>
        <w:t xml:space="preserve"> the</w:t>
      </w:r>
      <w:r w:rsidRPr="00972667" w:rsidR="00547341">
        <w:rPr>
          <w:szCs w:val="22"/>
        </w:rPr>
        <w:t xml:space="preserve"> </w:t>
      </w:r>
      <w:r w:rsidR="001E3D2E">
        <w:rPr>
          <w:szCs w:val="22"/>
        </w:rPr>
        <w:t>Operators</w:t>
      </w:r>
      <w:r w:rsidRPr="00972667" w:rsidR="00547341">
        <w:rPr>
          <w:szCs w:val="22"/>
        </w:rPr>
        <w:t xml:space="preserve"> fail to comply with these laws, </w:t>
      </w:r>
      <w:r w:rsidR="00C5434F">
        <w:rPr>
          <w:szCs w:val="22"/>
        </w:rPr>
        <w:t>t</w:t>
      </w:r>
      <w:r w:rsidRPr="00972667" w:rsidR="00547341">
        <w:rPr>
          <w:szCs w:val="22"/>
        </w:rPr>
        <w:t>he</w:t>
      </w:r>
      <w:r w:rsidR="00C5434F">
        <w:rPr>
          <w:szCs w:val="22"/>
        </w:rPr>
        <w:t>y</w:t>
      </w:r>
      <w:r w:rsidRPr="00972667" w:rsidR="00547341">
        <w:rPr>
          <w:szCs w:val="22"/>
        </w:rPr>
        <w:t xml:space="preserve"> may be liable for significant penalties, including fines </w:t>
      </w:r>
      <w:r w:rsidR="00547341">
        <w:rPr>
          <w:szCs w:val="22"/>
        </w:rPr>
        <w:t xml:space="preserve">of </w:t>
      </w:r>
      <w:r w:rsidRPr="00972667" w:rsidR="00547341">
        <w:rPr>
          <w:szCs w:val="22"/>
        </w:rPr>
        <w:t>up to $</w:t>
      </w:r>
      <w:r w:rsidRPr="00972667" w:rsidR="00547341">
        <w:rPr>
          <w:noProof/>
          <w:color w:val="000000"/>
          <w:szCs w:val="22"/>
        </w:rPr>
        <w:t xml:space="preserve">19,639 </w:t>
      </w:r>
      <w:r w:rsidRPr="00972667" w:rsidR="00547341">
        <w:rPr>
          <w:szCs w:val="22"/>
        </w:rPr>
        <w:t>per day.</w:t>
      </w:r>
    </w:p>
    <w:p w:rsidR="00697F8A" w:rsidRPr="00222E2F" w:rsidP="00DF4033">
      <w:pPr>
        <w:pStyle w:val="ParaNum"/>
        <w:spacing w:after="120"/>
        <w:rPr>
          <w:szCs w:val="22"/>
        </w:rPr>
      </w:pPr>
      <w:r w:rsidRPr="00BE70CC">
        <w:rPr>
          <w:b/>
          <w:i/>
        </w:rPr>
        <w:t>Notice of Duty to Comply with the Law</w:t>
      </w:r>
      <w:r w:rsidRPr="00BE70CC">
        <w:t xml:space="preserve">:  We issue this Citation pursuant to Section 503(b)(5) of the Communications Act of 1934, as amended (Act), which states that the </w:t>
      </w:r>
      <w:r w:rsidR="00547341">
        <w:rPr>
          <w:szCs w:val="22"/>
        </w:rPr>
        <w:t xml:space="preserve">Federal Communications </w:t>
      </w:r>
      <w:r w:rsidRPr="00972667" w:rsidR="00547341">
        <w:rPr>
          <w:szCs w:val="22"/>
        </w:rPr>
        <w:t xml:space="preserve">Commission </w:t>
      </w:r>
      <w:r w:rsidR="00547341">
        <w:rPr>
          <w:szCs w:val="22"/>
        </w:rPr>
        <w:t>(</w:t>
      </w:r>
      <w:r w:rsidRPr="00972667" w:rsidR="00547341">
        <w:rPr>
          <w:szCs w:val="22"/>
        </w:rPr>
        <w:t xml:space="preserve">Commission </w:t>
      </w:r>
      <w:r w:rsidR="00547341">
        <w:rPr>
          <w:szCs w:val="22"/>
        </w:rPr>
        <w:t xml:space="preserve">or FCC) </w:t>
      </w:r>
      <w:r w:rsidRPr="00BE70CC">
        <w:t>may not impose monetary forfeitures against non-</w:t>
      </w:r>
      <w:r w:rsidRPr="00BE70CC">
        <w:t>regulatees</w:t>
      </w:r>
      <w:r w:rsidRPr="00BE70CC">
        <w:t xml:space="preserve"> who violate Commission rules or the Act unless and until:  (a) the Commission issues a citation to the violator; (b) the Commission provides the violator a reasonable opportunity to respond; and (c) the violator subsequently engages in conduct described in the citation.</w:t>
      </w:r>
      <w:r>
        <w:rPr>
          <w:rStyle w:val="FootnoteReference"/>
          <w:kern w:val="2"/>
          <w:szCs w:val="22"/>
        </w:rPr>
        <w:footnoteReference w:id="3"/>
      </w:r>
      <w:r w:rsidRPr="00BE70CC">
        <w:t xml:space="preserve">  A</w:t>
      </w:r>
      <w:r>
        <w:t xml:space="preserve">ccordingly, </w:t>
      </w:r>
      <w:r w:rsidR="00AB2C80">
        <w:t xml:space="preserve">the </w:t>
      </w:r>
      <w:r w:rsidR="00362285">
        <w:t>Operators are</w:t>
      </w:r>
      <w:r w:rsidRPr="00BE70CC">
        <w:rPr>
          <w:kern w:val="2"/>
        </w:rPr>
        <w:t xml:space="preserve"> hereby on notice that </w:t>
      </w:r>
      <w:r w:rsidR="003602C5">
        <w:rPr>
          <w:kern w:val="2"/>
        </w:rPr>
        <w:t>they</w:t>
      </w:r>
      <w:r w:rsidRPr="00BE70CC">
        <w:rPr>
          <w:kern w:val="2"/>
        </w:rPr>
        <w:t xml:space="preserve"> must comply with </w:t>
      </w:r>
      <w:r w:rsidRPr="00AA3FA2">
        <w:rPr>
          <w:noProof/>
          <w:szCs w:val="22"/>
        </w:rPr>
        <w:t xml:space="preserve">Sections 15.5(b) </w:t>
      </w:r>
      <w:r w:rsidR="00547341">
        <w:rPr>
          <w:noProof/>
          <w:szCs w:val="22"/>
        </w:rPr>
        <w:t>and</w:t>
      </w:r>
      <w:r w:rsidRPr="00AA3FA2" w:rsidR="00547341">
        <w:rPr>
          <w:noProof/>
          <w:szCs w:val="22"/>
        </w:rPr>
        <w:t xml:space="preserve"> </w:t>
      </w:r>
      <w:r w:rsidRPr="00AA3FA2">
        <w:rPr>
          <w:noProof/>
          <w:szCs w:val="22"/>
        </w:rPr>
        <w:t>15.5(c</w:t>
      </w:r>
      <w:r>
        <w:rPr>
          <w:noProof/>
          <w:szCs w:val="22"/>
        </w:rPr>
        <w:t>) of the Rules</w:t>
      </w:r>
      <w:r>
        <w:rPr>
          <w:color w:val="000000"/>
          <w:kern w:val="2"/>
        </w:rPr>
        <w:t>.</w:t>
      </w:r>
      <w:r>
        <w:rPr>
          <w:rStyle w:val="FootnoteReference"/>
          <w:kern w:val="2"/>
        </w:rPr>
        <w:footnoteReference w:id="4"/>
      </w:r>
      <w:r w:rsidRPr="00BE70CC">
        <w:rPr>
          <w:color w:val="000000"/>
          <w:kern w:val="2"/>
        </w:rPr>
        <w:t xml:space="preserve">  I</w:t>
      </w:r>
      <w:r>
        <w:t xml:space="preserve">f </w:t>
      </w:r>
      <w:r w:rsidR="00AB2C80">
        <w:t xml:space="preserve">the </w:t>
      </w:r>
      <w:r w:rsidR="001E3D2E">
        <w:t>Operators</w:t>
      </w:r>
      <w:r w:rsidRPr="00BE70CC">
        <w:t xml:space="preserve"> </w:t>
      </w:r>
      <w:r w:rsidRPr="00BE70CC">
        <w:rPr>
          <w:kern w:val="2"/>
        </w:rPr>
        <w:t xml:space="preserve">subsequently engage in any conduct of the type this Citation describes — and specifically any violation of </w:t>
      </w:r>
      <w:r w:rsidRPr="00AA3FA2">
        <w:rPr>
          <w:noProof/>
          <w:szCs w:val="22"/>
        </w:rPr>
        <w:t>Sections 15.5(b) or 15.5(c</w:t>
      </w:r>
      <w:r>
        <w:rPr>
          <w:noProof/>
          <w:szCs w:val="22"/>
        </w:rPr>
        <w:t>) of the Rules</w:t>
      </w:r>
      <w:r w:rsidR="00547341">
        <w:rPr>
          <w:noProof/>
          <w:szCs w:val="22"/>
        </w:rPr>
        <w:t xml:space="preserve"> </w:t>
      </w:r>
      <w:r w:rsidRPr="00972667" w:rsidR="00547341">
        <w:rPr>
          <w:szCs w:val="22"/>
        </w:rPr>
        <w:t>—</w:t>
      </w:r>
      <w:r w:rsidR="00547341">
        <w:rPr>
          <w:szCs w:val="22"/>
        </w:rPr>
        <w:t xml:space="preserve"> </w:t>
      </w:r>
      <w:r w:rsidR="00AB2C80">
        <w:rPr>
          <w:szCs w:val="22"/>
        </w:rPr>
        <w:t xml:space="preserve">the </w:t>
      </w:r>
      <w:r w:rsidR="001E3D2E">
        <w:t>Operators</w:t>
      </w:r>
      <w:r w:rsidRPr="00BE70CC">
        <w:rPr>
          <w:kern w:val="2"/>
        </w:rPr>
        <w:t xml:space="preserve"> may be subject to civil penalties, including but not limited to, substantial monetary forfeitures</w:t>
      </w:r>
      <w:r>
        <w:rPr>
          <w:kern w:val="2"/>
        </w:rPr>
        <w:t xml:space="preserve">. </w:t>
      </w:r>
      <w:r w:rsidR="00924EAB">
        <w:rPr>
          <w:kern w:val="2"/>
        </w:rPr>
        <w:t xml:space="preserve"> </w:t>
      </w:r>
      <w:r w:rsidRPr="00AA3FA2">
        <w:rPr>
          <w:noProof/>
          <w:szCs w:val="22"/>
        </w:rPr>
        <w:t>Such forfeitures may be based on both the conduct that led to this Citation and the conduct following it.</w:t>
      </w:r>
      <w:r>
        <w:rPr>
          <w:noProof/>
          <w:szCs w:val="22"/>
          <w:vertAlign w:val="superscript"/>
        </w:rPr>
        <w:footnoteReference w:id="5"/>
      </w:r>
    </w:p>
    <w:p w:rsidR="0007411F" w:rsidRPr="0007411F" w:rsidP="00DF4033">
      <w:pPr>
        <w:pStyle w:val="ParaNum"/>
        <w:spacing w:after="120"/>
      </w:pPr>
      <w:r w:rsidRPr="00222E2F">
        <w:rPr>
          <w:b/>
          <w:i/>
          <w:noProof/>
        </w:rPr>
        <w:t>Notice of Duty to Provide Information:</w:t>
      </w:r>
      <w:r>
        <w:rPr>
          <w:noProof/>
        </w:rPr>
        <w:t xml:space="preserve">  </w:t>
      </w:r>
      <w:r w:rsidRPr="00DF4033" w:rsidR="00547341">
        <w:rPr>
          <w:color w:val="000000"/>
        </w:rPr>
        <w:t>Pursuant to Sections 4(</w:t>
      </w:r>
      <w:r w:rsidRPr="00DF4033" w:rsidR="00547341">
        <w:rPr>
          <w:color w:val="000000"/>
        </w:rPr>
        <w:t>i</w:t>
      </w:r>
      <w:r w:rsidRPr="00DF4033" w:rsidR="00547341">
        <w:rPr>
          <w:color w:val="000000"/>
        </w:rPr>
        <w:t>), 4(j), and 403 of the Act,</w:t>
      </w:r>
      <w:r>
        <w:rPr>
          <w:vertAlign w:val="superscript"/>
        </w:rPr>
        <w:footnoteReference w:id="6"/>
      </w:r>
      <w:r w:rsidRPr="00DF4033" w:rsidR="00547341">
        <w:rPr>
          <w:color w:val="000000"/>
          <w:vertAlign w:val="superscript"/>
        </w:rPr>
        <w:t xml:space="preserve"> </w:t>
      </w:r>
      <w:r w:rsidRPr="00DF4033" w:rsidR="00547341">
        <w:rPr>
          <w:color w:val="000000"/>
        </w:rPr>
        <w:t xml:space="preserve">we direct </w:t>
      </w:r>
      <w:r w:rsidRPr="00697F8A" w:rsidR="00E0538B">
        <w:rPr>
          <w:noProof/>
          <w:color w:val="000000"/>
          <w:szCs w:val="22"/>
        </w:rPr>
        <w:t xml:space="preserve">the </w:t>
      </w:r>
      <w:r w:rsidRPr="00697F8A" w:rsidR="00E0538B">
        <w:rPr>
          <w:szCs w:val="22"/>
        </w:rPr>
        <w:t>Operators</w:t>
      </w:r>
      <w:r w:rsidRPr="00DF4033" w:rsidR="00547341">
        <w:rPr>
          <w:color w:val="000000"/>
        </w:rPr>
        <w:t xml:space="preserve"> to respond in writing, within 30 calendar days after the release date of this Citation, </w:t>
      </w:r>
      <w:r w:rsidRPr="00697F8A" w:rsidR="00547341">
        <w:rPr>
          <w:noProof/>
          <w:color w:val="000000"/>
          <w:szCs w:val="22"/>
        </w:rPr>
        <w:t xml:space="preserve">to the information and document requests set forth in paragraph </w:t>
      </w:r>
      <w:r w:rsidR="00697F8A">
        <w:rPr>
          <w:noProof/>
          <w:color w:val="000000"/>
          <w:szCs w:val="22"/>
        </w:rPr>
        <w:t>twelve</w:t>
      </w:r>
      <w:r w:rsidRPr="00697F8A" w:rsidR="00547341">
        <w:rPr>
          <w:noProof/>
          <w:color w:val="000000"/>
          <w:szCs w:val="22"/>
        </w:rPr>
        <w:t xml:space="preserve"> below</w:t>
      </w:r>
      <w:r w:rsidRPr="00DF4033" w:rsidR="00547341">
        <w:rPr>
          <w:color w:val="000000"/>
        </w:rPr>
        <w:t>.</w:t>
      </w:r>
    </w:p>
    <w:p w:rsidR="00D924BF" w:rsidRPr="00AA3FA2" w:rsidP="00DF4033">
      <w:pPr>
        <w:pStyle w:val="Heading1"/>
        <w:widowControl/>
        <w:spacing w:after="120"/>
        <w:jc w:val="left"/>
      </w:pPr>
      <w:r w:rsidRPr="00AA3FA2">
        <w:t>background</w:t>
      </w:r>
    </w:p>
    <w:p w:rsidR="00D924BF" w:rsidRPr="00AA3FA2" w:rsidP="00DF4033">
      <w:pPr>
        <w:pStyle w:val="ParaNum"/>
        <w:spacing w:after="120"/>
      </w:pPr>
      <w:r w:rsidRPr="00AA3FA2">
        <w:rPr>
          <w:noProof/>
        </w:rPr>
        <w:t xml:space="preserve">On </w:t>
      </w:r>
      <w:r w:rsidRPr="00AA3FA2" w:rsidR="00A31DE3">
        <w:rPr>
          <w:noProof/>
        </w:rPr>
        <w:t>July 11</w:t>
      </w:r>
      <w:r w:rsidRPr="00AA3FA2">
        <w:rPr>
          <w:noProof/>
        </w:rPr>
        <w:t xml:space="preserve">, 2017, </w:t>
      </w:r>
      <w:bookmarkStart w:id="2" w:name="_Hlk527387896"/>
      <w:r w:rsidRPr="00AA3FA2">
        <w:rPr>
          <w:noProof/>
        </w:rPr>
        <w:t>AT</w:t>
      </w:r>
      <w:r w:rsidRPr="00AA3FA2" w:rsidR="008B49F6">
        <w:rPr>
          <w:noProof/>
        </w:rPr>
        <w:t>&amp;</w:t>
      </w:r>
      <w:r w:rsidRPr="00AA3FA2">
        <w:rPr>
          <w:noProof/>
        </w:rPr>
        <w:t>T</w:t>
      </w:r>
      <w:r w:rsidR="00FB1EDC">
        <w:rPr>
          <w:noProof/>
        </w:rPr>
        <w:t xml:space="preserve"> Inc. (</w:t>
      </w:r>
      <w:r w:rsidRPr="00AA3FA2" w:rsidR="00FB1EDC">
        <w:rPr>
          <w:noProof/>
        </w:rPr>
        <w:t>AT&amp;T</w:t>
      </w:r>
      <w:r w:rsidR="00FB1EDC">
        <w:rPr>
          <w:noProof/>
        </w:rPr>
        <w:t>)</w:t>
      </w:r>
      <w:r w:rsidRPr="00AA3FA2" w:rsidR="008D0773">
        <w:rPr>
          <w:noProof/>
        </w:rPr>
        <w:t xml:space="preserve"> filed a complaint with the </w:t>
      </w:r>
      <w:r w:rsidRPr="00AA3FA2" w:rsidR="005D7FA4">
        <w:rPr>
          <w:noProof/>
        </w:rPr>
        <w:t>Commission</w:t>
      </w:r>
      <w:r w:rsidR="00547341">
        <w:rPr>
          <w:noProof/>
        </w:rPr>
        <w:t xml:space="preserve"> stating </w:t>
      </w:r>
      <w:r w:rsidRPr="00AA3FA2" w:rsidR="004158F4">
        <w:rPr>
          <w:noProof/>
        </w:rPr>
        <w:t>that</w:t>
      </w:r>
      <w:r w:rsidRPr="00AA3FA2" w:rsidR="008D0773">
        <w:rPr>
          <w:noProof/>
        </w:rPr>
        <w:t xml:space="preserve"> radio emissions</w:t>
      </w:r>
      <w:r w:rsidR="00674A6A">
        <w:rPr>
          <w:noProof/>
        </w:rPr>
        <w:t xml:space="preserve"> from</w:t>
      </w:r>
      <w:r w:rsidRPr="00AA3FA2" w:rsidR="008D0773">
        <w:rPr>
          <w:noProof/>
        </w:rPr>
        <w:t xml:space="preserve"> </w:t>
      </w:r>
      <w:r w:rsidR="00674A6A">
        <w:rPr>
          <w:noProof/>
        </w:rPr>
        <w:t>a residential address</w:t>
      </w:r>
      <w:r w:rsidRPr="00AA3FA2" w:rsidR="00A31DE3">
        <w:t xml:space="preserve"> </w:t>
      </w:r>
      <w:r w:rsidR="00BE64E8">
        <w:t>in</w:t>
      </w:r>
      <w:r w:rsidRPr="00AA3FA2" w:rsidR="00A31DE3">
        <w:t xml:space="preserve"> Los Angeles, California</w:t>
      </w:r>
      <w:r w:rsidRPr="00AA3FA2" w:rsidR="00A31DE3">
        <w:rPr>
          <w:noProof/>
        </w:rPr>
        <w:t xml:space="preserve"> </w:t>
      </w:r>
      <w:r w:rsidR="00BE64E8">
        <w:rPr>
          <w:noProof/>
        </w:rPr>
        <w:t>(</w:t>
      </w:r>
      <w:r w:rsidR="00715263">
        <w:rPr>
          <w:noProof/>
        </w:rPr>
        <w:t>Operator</w:t>
      </w:r>
      <w:r w:rsidR="00E0538B">
        <w:rPr>
          <w:noProof/>
        </w:rPr>
        <w:t>s</w:t>
      </w:r>
      <w:r w:rsidR="00715263">
        <w:rPr>
          <w:noProof/>
        </w:rPr>
        <w:t>’</w:t>
      </w:r>
      <w:r w:rsidR="00BE64E8">
        <w:rPr>
          <w:noProof/>
        </w:rPr>
        <w:t xml:space="preserve"> Residence) </w:t>
      </w:r>
      <w:r w:rsidRPr="00AA3FA2" w:rsidR="008D0773">
        <w:rPr>
          <w:noProof/>
        </w:rPr>
        <w:t>were c</w:t>
      </w:r>
      <w:r w:rsidRPr="00AA3FA2" w:rsidR="005D7FA4">
        <w:rPr>
          <w:noProof/>
        </w:rPr>
        <w:t>ausing interference to</w:t>
      </w:r>
      <w:r w:rsidR="00142EE6">
        <w:rPr>
          <w:noProof/>
        </w:rPr>
        <w:t xml:space="preserve"> </w:t>
      </w:r>
      <w:r w:rsidRPr="00AA3FA2">
        <w:rPr>
          <w:noProof/>
        </w:rPr>
        <w:t>AT&amp;T</w:t>
      </w:r>
      <w:r w:rsidRPr="00AA3FA2" w:rsidR="004E2CC4">
        <w:rPr>
          <w:noProof/>
        </w:rPr>
        <w:t>’s</w:t>
      </w:r>
      <w:r w:rsidRPr="00AA3FA2" w:rsidR="008D0773">
        <w:rPr>
          <w:noProof/>
        </w:rPr>
        <w:t xml:space="preserve"> LTE cell site</w:t>
      </w:r>
      <w:r w:rsidR="00E426A7">
        <w:rPr>
          <w:noProof/>
        </w:rPr>
        <w:t xml:space="preserve"> on San </w:t>
      </w:r>
      <w:r w:rsidR="00A47D38">
        <w:rPr>
          <w:noProof/>
        </w:rPr>
        <w:t>Rafael Avenue, Los Angeles, California</w:t>
      </w:r>
      <w:r w:rsidRPr="00AA3FA2" w:rsidR="008D0773">
        <w:rPr>
          <w:noProof/>
        </w:rPr>
        <w:t xml:space="preserve">.  </w:t>
      </w:r>
      <w:bookmarkEnd w:id="2"/>
      <w:r w:rsidRPr="00AA3FA2">
        <w:rPr>
          <w:noProof/>
        </w:rPr>
        <w:t>AT&amp;T</w:t>
      </w:r>
      <w:r w:rsidRPr="00AA3FA2" w:rsidR="00547341">
        <w:rPr>
          <w:noProof/>
        </w:rPr>
        <w:t xml:space="preserve"> </w:t>
      </w:r>
      <w:r w:rsidRPr="00AA3FA2" w:rsidR="00306157">
        <w:rPr>
          <w:noProof/>
        </w:rPr>
        <w:t xml:space="preserve">stated that the </w:t>
      </w:r>
      <w:r w:rsidRPr="00AA3FA2" w:rsidR="00A31DE3">
        <w:rPr>
          <w:noProof/>
        </w:rPr>
        <w:t>source</w:t>
      </w:r>
      <w:r w:rsidR="00BE64E8">
        <w:rPr>
          <w:noProof/>
        </w:rPr>
        <w:t>s</w:t>
      </w:r>
      <w:r w:rsidRPr="00AA3FA2" w:rsidR="00A31DE3">
        <w:rPr>
          <w:noProof/>
        </w:rPr>
        <w:t xml:space="preserve"> of the </w:t>
      </w:r>
      <w:r w:rsidR="00674A6A">
        <w:rPr>
          <w:noProof/>
        </w:rPr>
        <w:t xml:space="preserve">interference </w:t>
      </w:r>
      <w:r w:rsidR="00BE64E8">
        <w:rPr>
          <w:noProof/>
        </w:rPr>
        <w:t xml:space="preserve">were </w:t>
      </w:r>
      <w:r w:rsidRPr="00AA3FA2" w:rsidR="00816773">
        <w:rPr>
          <w:noProof/>
        </w:rPr>
        <w:t>multiple security camera</w:t>
      </w:r>
      <w:r w:rsidR="00EB4C9F">
        <w:rPr>
          <w:noProof/>
        </w:rPr>
        <w:t>s</w:t>
      </w:r>
      <w:r w:rsidRPr="00AA3FA2" w:rsidR="00816773">
        <w:rPr>
          <w:noProof/>
        </w:rPr>
        <w:t xml:space="preserve"> at </w:t>
      </w:r>
      <w:r w:rsidR="00BE64E8">
        <w:rPr>
          <w:noProof/>
        </w:rPr>
        <w:t xml:space="preserve">the </w:t>
      </w:r>
      <w:r w:rsidR="00E0538B">
        <w:rPr>
          <w:noProof/>
          <w:szCs w:val="22"/>
        </w:rPr>
        <w:t>Operators’</w:t>
      </w:r>
      <w:r w:rsidRPr="00715263" w:rsidR="00715263">
        <w:rPr>
          <w:noProof/>
          <w:szCs w:val="22"/>
        </w:rPr>
        <w:t xml:space="preserve"> Residence</w:t>
      </w:r>
      <w:r w:rsidRPr="00AA3FA2" w:rsidR="004E2CC4">
        <w:rPr>
          <w:noProof/>
        </w:rPr>
        <w:t>.</w:t>
      </w:r>
      <w:r w:rsidRPr="00AA3FA2" w:rsidR="00F0557C">
        <w:rPr>
          <w:noProof/>
        </w:rPr>
        <w:t xml:space="preserve"> </w:t>
      </w:r>
      <w:r w:rsidRPr="00AA3FA2" w:rsidR="00E12529">
        <w:rPr>
          <w:noProof/>
        </w:rPr>
        <w:t xml:space="preserve"> Additionally, </w:t>
      </w:r>
      <w:r w:rsidRPr="00AA3FA2" w:rsidR="00816773">
        <w:rPr>
          <w:noProof/>
        </w:rPr>
        <w:t xml:space="preserve">AT&amp;T made </w:t>
      </w:r>
      <w:r w:rsidR="00476FFC">
        <w:rPr>
          <w:noProof/>
        </w:rPr>
        <w:t xml:space="preserve">an </w:t>
      </w:r>
      <w:r w:rsidRPr="00AA3FA2" w:rsidR="00816773">
        <w:rPr>
          <w:noProof/>
        </w:rPr>
        <w:t xml:space="preserve">attempt to contact </w:t>
      </w:r>
      <w:r w:rsidR="00E0538B">
        <w:rPr>
          <w:noProof/>
        </w:rPr>
        <w:t>the Operators</w:t>
      </w:r>
      <w:r w:rsidRPr="00AA3FA2" w:rsidR="00BE64E8">
        <w:rPr>
          <w:noProof/>
        </w:rPr>
        <w:t xml:space="preserve"> </w:t>
      </w:r>
      <w:r w:rsidRPr="00AA3FA2" w:rsidR="00816773">
        <w:rPr>
          <w:noProof/>
        </w:rPr>
        <w:t xml:space="preserve">and left </w:t>
      </w:r>
      <w:r w:rsidR="00547341">
        <w:rPr>
          <w:noProof/>
        </w:rPr>
        <w:t>an</w:t>
      </w:r>
      <w:r w:rsidRPr="00AA3FA2" w:rsidR="00547341">
        <w:rPr>
          <w:noProof/>
        </w:rPr>
        <w:t xml:space="preserve"> </w:t>
      </w:r>
      <w:r w:rsidRPr="00AA3FA2" w:rsidR="00816773">
        <w:rPr>
          <w:noProof/>
        </w:rPr>
        <w:t>infor</w:t>
      </w:r>
      <w:r w:rsidR="00672839">
        <w:rPr>
          <w:noProof/>
        </w:rPr>
        <w:t xml:space="preserve">mation letter regarding </w:t>
      </w:r>
      <w:r w:rsidR="00547341">
        <w:rPr>
          <w:noProof/>
        </w:rPr>
        <w:t xml:space="preserve">the </w:t>
      </w:r>
      <w:r w:rsidR="00672839">
        <w:rPr>
          <w:noProof/>
        </w:rPr>
        <w:t>interference</w:t>
      </w:r>
      <w:r w:rsidRPr="00AA3FA2" w:rsidR="00816773">
        <w:rPr>
          <w:noProof/>
        </w:rPr>
        <w:t xml:space="preserve"> at </w:t>
      </w:r>
      <w:r w:rsidR="00BE64E8">
        <w:rPr>
          <w:noProof/>
        </w:rPr>
        <w:t xml:space="preserve">the </w:t>
      </w:r>
      <w:r w:rsidR="00E0538B">
        <w:rPr>
          <w:noProof/>
          <w:szCs w:val="22"/>
        </w:rPr>
        <w:t>Operators’</w:t>
      </w:r>
      <w:r w:rsidR="00715263">
        <w:rPr>
          <w:noProof/>
          <w:szCs w:val="22"/>
        </w:rPr>
        <w:t xml:space="preserve"> Residence</w:t>
      </w:r>
      <w:r w:rsidRPr="00AA3FA2" w:rsidR="00816773">
        <w:rPr>
          <w:noProof/>
        </w:rPr>
        <w:t xml:space="preserve">, but </w:t>
      </w:r>
      <w:r w:rsidR="00547341">
        <w:rPr>
          <w:noProof/>
        </w:rPr>
        <w:t>received no response</w:t>
      </w:r>
      <w:r w:rsidRPr="00AA3FA2" w:rsidR="00E12529">
        <w:rPr>
          <w:noProof/>
        </w:rPr>
        <w:t>.</w:t>
      </w:r>
      <w:r w:rsidR="00715263">
        <w:rPr>
          <w:noProof/>
        </w:rPr>
        <w:t xml:space="preserve"> </w:t>
      </w:r>
    </w:p>
    <w:p w:rsidR="00866C61" w:rsidRPr="00AA3FA2" w:rsidP="00DF4033">
      <w:pPr>
        <w:pStyle w:val="ParaNum"/>
        <w:widowControl/>
        <w:spacing w:after="120"/>
        <w:jc w:val="left"/>
      </w:pPr>
      <w:r w:rsidRPr="00AA3FA2">
        <w:rPr>
          <w:noProof/>
          <w:szCs w:val="22"/>
        </w:rPr>
        <w:t xml:space="preserve">On </w:t>
      </w:r>
      <w:r w:rsidRPr="00AA3FA2" w:rsidR="00A9033B">
        <w:rPr>
          <w:noProof/>
          <w:szCs w:val="22"/>
        </w:rPr>
        <w:t>August 31</w:t>
      </w:r>
      <w:r w:rsidRPr="00AA3FA2">
        <w:rPr>
          <w:noProof/>
          <w:szCs w:val="22"/>
        </w:rPr>
        <w:t>, 2017,</w:t>
      </w:r>
      <w:r w:rsidRPr="00972667" w:rsidR="002F41CC">
        <w:rPr>
          <w:noProof/>
          <w:color w:val="000000"/>
          <w:szCs w:val="22"/>
        </w:rPr>
        <w:t xml:space="preserve"> in response to </w:t>
      </w:r>
      <w:r w:rsidR="002F41CC">
        <w:rPr>
          <w:noProof/>
          <w:color w:val="000000"/>
          <w:szCs w:val="22"/>
        </w:rPr>
        <w:t>AT</w:t>
      </w:r>
      <w:r w:rsidR="009F3F16">
        <w:rPr>
          <w:noProof/>
          <w:color w:val="000000"/>
          <w:szCs w:val="22"/>
        </w:rPr>
        <w:t>&amp;</w:t>
      </w:r>
      <w:r w:rsidR="002F41CC">
        <w:rPr>
          <w:noProof/>
          <w:color w:val="000000"/>
          <w:szCs w:val="22"/>
        </w:rPr>
        <w:t>T’s</w:t>
      </w:r>
      <w:r w:rsidRPr="00972667" w:rsidR="002F41CC">
        <w:rPr>
          <w:noProof/>
          <w:color w:val="000000"/>
          <w:szCs w:val="22"/>
        </w:rPr>
        <w:t xml:space="preserve"> complaint, an agent from the Commission’s </w:t>
      </w:r>
      <w:r w:rsidR="002F41CC">
        <w:rPr>
          <w:noProof/>
          <w:color w:val="000000"/>
          <w:szCs w:val="22"/>
        </w:rPr>
        <w:t>Los Angeles Field Ofiice</w:t>
      </w:r>
      <w:r w:rsidRPr="00972667" w:rsidR="002F41CC">
        <w:rPr>
          <w:noProof/>
          <w:color w:val="000000"/>
          <w:szCs w:val="22"/>
        </w:rPr>
        <w:t xml:space="preserve"> (</w:t>
      </w:r>
      <w:r w:rsidR="002F41CC">
        <w:rPr>
          <w:noProof/>
          <w:color w:val="000000"/>
          <w:szCs w:val="22"/>
        </w:rPr>
        <w:t>Los Angeles Office</w:t>
      </w:r>
      <w:r w:rsidRPr="00972667" w:rsidR="002F41CC">
        <w:rPr>
          <w:noProof/>
          <w:color w:val="000000"/>
          <w:szCs w:val="22"/>
        </w:rPr>
        <w:t>) conducted an on-scene investigation</w:t>
      </w:r>
      <w:r w:rsidR="008725E6">
        <w:rPr>
          <w:noProof/>
          <w:color w:val="000000"/>
          <w:szCs w:val="22"/>
        </w:rPr>
        <w:t xml:space="preserve"> at the </w:t>
      </w:r>
      <w:r w:rsidR="008725E6">
        <w:rPr>
          <w:noProof/>
          <w:szCs w:val="22"/>
        </w:rPr>
        <w:t>Operators’</w:t>
      </w:r>
      <w:r w:rsidRPr="00715263" w:rsidR="008725E6">
        <w:rPr>
          <w:noProof/>
          <w:szCs w:val="22"/>
        </w:rPr>
        <w:t xml:space="preserve"> Residence</w:t>
      </w:r>
      <w:r w:rsidRPr="00972667" w:rsidR="002F41CC">
        <w:rPr>
          <w:noProof/>
          <w:color w:val="000000"/>
          <w:szCs w:val="22"/>
        </w:rPr>
        <w:t xml:space="preserve">.  </w:t>
      </w:r>
      <w:r w:rsidR="002F41CC">
        <w:rPr>
          <w:noProof/>
          <w:szCs w:val="22"/>
        </w:rPr>
        <w:t>The</w:t>
      </w:r>
      <w:r w:rsidRPr="00AA3FA2">
        <w:rPr>
          <w:noProof/>
          <w:szCs w:val="22"/>
        </w:rPr>
        <w:t xml:space="preserve"> </w:t>
      </w:r>
      <w:r w:rsidR="00E4424A">
        <w:rPr>
          <w:noProof/>
          <w:szCs w:val="22"/>
        </w:rPr>
        <w:t>a</w:t>
      </w:r>
      <w:r w:rsidRPr="00AA3FA2">
        <w:rPr>
          <w:noProof/>
          <w:szCs w:val="22"/>
        </w:rPr>
        <w:t>gent</w:t>
      </w:r>
      <w:r w:rsidR="002F41CC">
        <w:rPr>
          <w:noProof/>
          <w:szCs w:val="22"/>
        </w:rPr>
        <w:t>’</w:t>
      </w:r>
      <w:r w:rsidRPr="00AA3FA2">
        <w:rPr>
          <w:noProof/>
          <w:szCs w:val="22"/>
        </w:rPr>
        <w:t xml:space="preserve">s on-scene investigation confirmed that a </w:t>
      </w:r>
      <w:bookmarkStart w:id="3" w:name="_Hlk527388061"/>
      <w:r w:rsidRPr="00AA3FA2">
        <w:rPr>
          <w:noProof/>
          <w:szCs w:val="22"/>
        </w:rPr>
        <w:t xml:space="preserve">spurious emission </w:t>
      </w:r>
      <w:bookmarkEnd w:id="3"/>
      <w:r w:rsidRPr="00AA3FA2">
        <w:rPr>
          <w:noProof/>
          <w:szCs w:val="22"/>
        </w:rPr>
        <w:t>w</w:t>
      </w:r>
      <w:r w:rsidRPr="00AA3FA2" w:rsidR="00C3038A">
        <w:rPr>
          <w:noProof/>
          <w:szCs w:val="22"/>
        </w:rPr>
        <w:t xml:space="preserve">as coming from a security camera mounted on the wall above the garage of </w:t>
      </w:r>
      <w:r w:rsidR="00BE64E8">
        <w:rPr>
          <w:noProof/>
          <w:szCs w:val="22"/>
        </w:rPr>
        <w:t xml:space="preserve">the </w:t>
      </w:r>
      <w:r w:rsidR="00E0538B">
        <w:rPr>
          <w:noProof/>
          <w:szCs w:val="22"/>
        </w:rPr>
        <w:t>Operators’</w:t>
      </w:r>
      <w:r w:rsidR="00BE64E8">
        <w:rPr>
          <w:noProof/>
          <w:szCs w:val="22"/>
        </w:rPr>
        <w:t xml:space="preserve"> Residence</w:t>
      </w:r>
      <w:r w:rsidRPr="00AA3FA2">
        <w:rPr>
          <w:noProof/>
          <w:szCs w:val="22"/>
        </w:rPr>
        <w:t xml:space="preserve">.  </w:t>
      </w:r>
      <w:r w:rsidR="00447147">
        <w:rPr>
          <w:noProof/>
          <w:szCs w:val="22"/>
        </w:rPr>
        <w:t>The agent</w:t>
      </w:r>
      <w:r w:rsidRPr="00AA3FA2">
        <w:rPr>
          <w:noProof/>
          <w:szCs w:val="22"/>
        </w:rPr>
        <w:t xml:space="preserve"> observed a </w:t>
      </w:r>
      <w:r w:rsidRPr="00AA3FA2" w:rsidR="00C3038A">
        <w:rPr>
          <w:noProof/>
          <w:szCs w:val="22"/>
        </w:rPr>
        <w:t>noisy</w:t>
      </w:r>
      <w:r w:rsidRPr="00AA3FA2">
        <w:rPr>
          <w:noProof/>
          <w:szCs w:val="22"/>
        </w:rPr>
        <w:t xml:space="preserve"> s</w:t>
      </w:r>
      <w:r w:rsidRPr="00AA3FA2" w:rsidR="00C3038A">
        <w:rPr>
          <w:noProof/>
          <w:szCs w:val="22"/>
        </w:rPr>
        <w:t xml:space="preserve">ignal </w:t>
      </w:r>
      <w:bookmarkStart w:id="4" w:name="_Hlk527388106"/>
      <w:r w:rsidRPr="00AA3FA2" w:rsidR="00C3038A">
        <w:rPr>
          <w:noProof/>
          <w:szCs w:val="22"/>
        </w:rPr>
        <w:t xml:space="preserve">centering </w:t>
      </w:r>
      <w:r w:rsidR="00476FFC">
        <w:rPr>
          <w:noProof/>
          <w:szCs w:val="22"/>
        </w:rPr>
        <w:t>on 709 MHz and</w:t>
      </w:r>
      <w:r w:rsidRPr="00AA3FA2" w:rsidR="00C3038A">
        <w:rPr>
          <w:noProof/>
          <w:szCs w:val="22"/>
        </w:rPr>
        <w:t xml:space="preserve"> 20 MHz wide </w:t>
      </w:r>
      <w:bookmarkEnd w:id="4"/>
      <w:r w:rsidRPr="00AA3FA2" w:rsidR="00C3038A">
        <w:rPr>
          <w:noProof/>
          <w:szCs w:val="22"/>
        </w:rPr>
        <w:t>from that security</w:t>
      </w:r>
      <w:r w:rsidR="00EB4C9F">
        <w:rPr>
          <w:noProof/>
          <w:szCs w:val="22"/>
        </w:rPr>
        <w:t xml:space="preserve"> </w:t>
      </w:r>
      <w:r w:rsidRPr="00AA3FA2" w:rsidR="00C3038A">
        <w:rPr>
          <w:noProof/>
          <w:szCs w:val="22"/>
        </w:rPr>
        <w:t>camera</w:t>
      </w:r>
      <w:r w:rsidRPr="00AA3FA2">
        <w:rPr>
          <w:noProof/>
          <w:szCs w:val="22"/>
        </w:rPr>
        <w:t xml:space="preserve">. </w:t>
      </w:r>
      <w:r w:rsidRPr="00AA3FA2" w:rsidR="00786F6E">
        <w:rPr>
          <w:noProof/>
          <w:szCs w:val="22"/>
        </w:rPr>
        <w:t xml:space="preserve">  </w:t>
      </w:r>
      <w:r w:rsidRPr="00AA3FA2" w:rsidR="00E849A8">
        <w:rPr>
          <w:noProof/>
          <w:szCs w:val="22"/>
        </w:rPr>
        <w:t xml:space="preserve"> </w:t>
      </w:r>
      <w:r w:rsidRPr="00AA3FA2">
        <w:rPr>
          <w:noProof/>
          <w:szCs w:val="22"/>
        </w:rPr>
        <w:t xml:space="preserve"> </w:t>
      </w:r>
      <w:r w:rsidR="00715263">
        <w:rPr>
          <w:noProof/>
          <w:szCs w:val="22"/>
        </w:rPr>
        <w:t xml:space="preserve"> </w:t>
      </w:r>
    </w:p>
    <w:p w:rsidR="00026D7A" w:rsidP="00026D7A">
      <w:pPr>
        <w:pStyle w:val="ParaNum"/>
      </w:pPr>
      <w:r w:rsidRPr="00AA3FA2">
        <w:t>O</w:t>
      </w:r>
      <w:r w:rsidRPr="00AA3FA2" w:rsidR="00C3038A">
        <w:t>n October 24</w:t>
      </w:r>
      <w:r w:rsidRPr="00AA3FA2" w:rsidR="0006168E">
        <w:t>, 2017</w:t>
      </w:r>
      <w:r w:rsidRPr="00AA3FA2" w:rsidR="008D0773">
        <w:t xml:space="preserve">, </w:t>
      </w:r>
      <w:r w:rsidRPr="00AA3FA2" w:rsidR="0006168E">
        <w:t>the Los Angeles</w:t>
      </w:r>
      <w:r w:rsidRPr="00AA3FA2" w:rsidR="00E82AC1">
        <w:t xml:space="preserve"> Office issu</w:t>
      </w:r>
      <w:r w:rsidRPr="00AA3FA2" w:rsidR="0006168E">
        <w:t>ed a</w:t>
      </w:r>
      <w:r w:rsidRPr="00AA3FA2" w:rsidR="00FE756B">
        <w:t xml:space="preserve"> </w:t>
      </w:r>
      <w:bookmarkStart w:id="5" w:name="_Hlk527388205"/>
      <w:r w:rsidR="00BC41B2">
        <w:t>W</w:t>
      </w:r>
      <w:r w:rsidRPr="00AA3FA2" w:rsidR="003D1538">
        <w:t xml:space="preserve">arning </w:t>
      </w:r>
      <w:r w:rsidR="00BC41B2">
        <w:t>of Harmful Interference</w:t>
      </w:r>
      <w:r>
        <w:rPr>
          <w:rStyle w:val="FootnoteReference"/>
        </w:rPr>
        <w:footnoteReference w:id="7"/>
      </w:r>
      <w:r w:rsidR="00BC41B2">
        <w:t xml:space="preserve"> </w:t>
      </w:r>
      <w:bookmarkEnd w:id="5"/>
      <w:r w:rsidR="00BC41B2">
        <w:t xml:space="preserve">(Warning) </w:t>
      </w:r>
      <w:r w:rsidR="0008203F">
        <w:t xml:space="preserve">and sent it </w:t>
      </w:r>
      <w:r w:rsidRPr="00AA3FA2" w:rsidR="003D1538">
        <w:t xml:space="preserve">to </w:t>
      </w:r>
      <w:r w:rsidR="00AB2C80">
        <w:t xml:space="preserve">the </w:t>
      </w:r>
      <w:r w:rsidR="00E10EFA">
        <w:t>Operator</w:t>
      </w:r>
      <w:r w:rsidR="00E914E4">
        <w:t>s</w:t>
      </w:r>
      <w:r w:rsidR="0008203F">
        <w:t xml:space="preserve"> </w:t>
      </w:r>
      <w:r w:rsidRPr="0008203F" w:rsidR="0008203F">
        <w:t>via Certified Mail, return receipt requested,</w:t>
      </w:r>
      <w:r w:rsidR="00BE64E8">
        <w:t xml:space="preserve"> </w:t>
      </w:r>
      <w:r w:rsidR="00661485">
        <w:t>First-C</w:t>
      </w:r>
      <w:r w:rsidR="003B3642">
        <w:t>lass</w:t>
      </w:r>
      <w:r w:rsidR="00661485">
        <w:t xml:space="preserve"> M</w:t>
      </w:r>
      <w:r w:rsidR="00556482">
        <w:t xml:space="preserve">ail and UPS signature required </w:t>
      </w:r>
      <w:r w:rsidR="00BE64E8">
        <w:t xml:space="preserve">informing </w:t>
      </w:r>
      <w:r w:rsidR="00E10EFA">
        <w:t>them</w:t>
      </w:r>
      <w:r w:rsidRPr="00AA3FA2" w:rsidR="00C3038A">
        <w:t xml:space="preserve"> that </w:t>
      </w:r>
      <w:r w:rsidR="00E10EFA">
        <w:t>their</w:t>
      </w:r>
      <w:r w:rsidRPr="00AA3FA2" w:rsidR="00BE64E8">
        <w:t xml:space="preserve"> </w:t>
      </w:r>
      <w:r w:rsidRPr="00AA3FA2" w:rsidR="00C3038A">
        <w:t>security camera</w:t>
      </w:r>
      <w:r w:rsidR="00EB4C9F">
        <w:t xml:space="preserve"> mounted above </w:t>
      </w:r>
      <w:r w:rsidR="00E10EFA">
        <w:t>their</w:t>
      </w:r>
      <w:r w:rsidR="0008203F">
        <w:t xml:space="preserve"> </w:t>
      </w:r>
      <w:r w:rsidR="00EB4C9F">
        <w:t>garage</w:t>
      </w:r>
      <w:r w:rsidRPr="00AA3FA2" w:rsidR="00866C61">
        <w:t xml:space="preserve"> was causing harmful interfe</w:t>
      </w:r>
      <w:r w:rsidRPr="00AA3FA2" w:rsidR="00C3038A">
        <w:t>rence to AT&amp;T’s</w:t>
      </w:r>
      <w:r w:rsidRPr="00AA3FA2" w:rsidR="00AA3FA2">
        <w:t xml:space="preserve"> cellular</w:t>
      </w:r>
      <w:r w:rsidRPr="00AA3FA2" w:rsidR="00C3038A">
        <w:t xml:space="preserve"> communications</w:t>
      </w:r>
      <w:r w:rsidRPr="00AA3FA2" w:rsidR="00FE756B">
        <w:t xml:space="preserve">.  </w:t>
      </w:r>
      <w:r w:rsidRPr="00AA3FA2" w:rsidR="00866C61">
        <w:t>Furthermore</w:t>
      </w:r>
      <w:r w:rsidRPr="00AA3FA2" w:rsidR="00FE756B">
        <w:t>, the Warning</w:t>
      </w:r>
      <w:r w:rsidRPr="00AA3FA2" w:rsidR="002D49FC">
        <w:t xml:space="preserve"> provided citations to applicable FCC rules and regulations,</w:t>
      </w:r>
      <w:r w:rsidRPr="00AA3FA2" w:rsidR="00DD1882">
        <w:t xml:space="preserve"> with which </w:t>
      </w:r>
      <w:r w:rsidR="00AB2C80">
        <w:t xml:space="preserve">the </w:t>
      </w:r>
      <w:r w:rsidR="00E10EFA">
        <w:t>Operators were</w:t>
      </w:r>
      <w:r w:rsidRPr="00AA3FA2" w:rsidR="00DD1882">
        <w:t xml:space="preserve"> advised </w:t>
      </w:r>
      <w:r w:rsidR="00E10EFA">
        <w:t>t</w:t>
      </w:r>
      <w:r w:rsidR="00BC41B2">
        <w:t>he</w:t>
      </w:r>
      <w:r w:rsidR="00E10EFA">
        <w:t>y</w:t>
      </w:r>
      <w:r w:rsidRPr="00AA3FA2" w:rsidR="00BC41B2">
        <w:t xml:space="preserve"> </w:t>
      </w:r>
      <w:r w:rsidRPr="00AA3FA2" w:rsidR="002D49FC">
        <w:t>must comply</w:t>
      </w:r>
      <w:r w:rsidRPr="00AA3FA2" w:rsidR="00C3038A">
        <w:t>.</w:t>
      </w:r>
      <w:r w:rsidR="002C47C8">
        <w:t xml:space="preserve"> </w:t>
      </w:r>
      <w:r w:rsidR="0008203F">
        <w:t xml:space="preserve"> The Warning </w:t>
      </w:r>
      <w:r w:rsidRPr="00972667" w:rsidR="0008203F">
        <w:rPr>
          <w:noProof/>
          <w:color w:val="000000"/>
          <w:szCs w:val="22"/>
        </w:rPr>
        <w:t xml:space="preserve">also instructed </w:t>
      </w:r>
      <w:r w:rsidR="00AB2C80">
        <w:rPr>
          <w:noProof/>
          <w:color w:val="000000"/>
          <w:szCs w:val="22"/>
        </w:rPr>
        <w:t xml:space="preserve">the </w:t>
      </w:r>
      <w:r w:rsidR="00E10EFA">
        <w:rPr>
          <w:noProof/>
          <w:color w:val="000000"/>
          <w:szCs w:val="22"/>
        </w:rPr>
        <w:t>Operators</w:t>
      </w:r>
      <w:r w:rsidRPr="00972667" w:rsidR="0008203F">
        <w:rPr>
          <w:noProof/>
          <w:color w:val="000000"/>
          <w:szCs w:val="22"/>
        </w:rPr>
        <w:t xml:space="preserve"> not to resume operation of the surveillance camera until the conditions causing the harmful interference had been corrected</w:t>
      </w:r>
      <w:r w:rsidRPr="00DF4033" w:rsidR="00E10EFA">
        <w:rPr>
          <w:color w:val="000000"/>
        </w:rPr>
        <w:t>.</w:t>
      </w:r>
      <w:r>
        <w:t xml:space="preserve">   In response</w:t>
      </w:r>
      <w:r w:rsidR="00861A0E">
        <w:t xml:space="preserve"> to the Warning</w:t>
      </w:r>
      <w:r w:rsidR="000E0CB8">
        <w:t>, Mr. Blackburn called the Los</w:t>
      </w:r>
      <w:r>
        <w:t xml:space="preserve"> Angeles Office </w:t>
      </w:r>
      <w:r w:rsidR="002645DC">
        <w:t xml:space="preserve">on November 9, 2017, </w:t>
      </w:r>
      <w:r>
        <w:t xml:space="preserve">and inquired about the interference </w:t>
      </w:r>
      <w:r w:rsidR="002645DC">
        <w:t xml:space="preserve">at the </w:t>
      </w:r>
      <w:r>
        <w:t>Operators</w:t>
      </w:r>
      <w:r w:rsidR="002645DC">
        <w:t>’</w:t>
      </w:r>
      <w:r>
        <w:t xml:space="preserve"> Residence.  An FCC agent explained the interference findings and relevant Commission rules.  Mr. Blackburn told the agent that he would contact the agent </w:t>
      </w:r>
      <w:r w:rsidRPr="00026D7A">
        <w:t xml:space="preserve">to make </w:t>
      </w:r>
      <w:r w:rsidR="00717B74">
        <w:t>an</w:t>
      </w:r>
      <w:r w:rsidRPr="00026D7A" w:rsidR="00717B74">
        <w:t xml:space="preserve"> appointment</w:t>
      </w:r>
      <w:r w:rsidRPr="00026D7A">
        <w:t xml:space="preserve"> for </w:t>
      </w:r>
      <w:r>
        <w:t xml:space="preserve">an on-scene help </w:t>
      </w:r>
      <w:r w:rsidR="00053BEA">
        <w:t>request but</w:t>
      </w:r>
      <w:r>
        <w:t xml:space="preserve"> failed to do so.</w:t>
      </w:r>
    </w:p>
    <w:p w:rsidR="000F1AE1" w:rsidP="00DF4033">
      <w:pPr>
        <w:pStyle w:val="ParaNum"/>
        <w:widowControl/>
        <w:spacing w:after="120"/>
        <w:jc w:val="left"/>
      </w:pPr>
      <w:r>
        <w:t xml:space="preserve">On January 12, 2018, </w:t>
      </w:r>
      <w:r w:rsidR="00E4424A">
        <w:t>agent</w:t>
      </w:r>
      <w:r w:rsidR="002859B4">
        <w:t>s</w:t>
      </w:r>
      <w:r>
        <w:t xml:space="preserve"> from the Los Angeles Office investigated on</w:t>
      </w:r>
      <w:r w:rsidR="004874D0">
        <w:t>-</w:t>
      </w:r>
      <w:r>
        <w:t xml:space="preserve">scene and confirmed again that a spurious emission was coming from </w:t>
      </w:r>
      <w:r w:rsidR="00476FFC">
        <w:t>the same</w:t>
      </w:r>
      <w:r>
        <w:t xml:space="preserve"> security camera mounted on </w:t>
      </w:r>
      <w:r w:rsidR="004874D0">
        <w:t xml:space="preserve">the garage of the </w:t>
      </w:r>
      <w:r w:rsidR="00E0538B">
        <w:t>Operators’</w:t>
      </w:r>
      <w:r w:rsidR="004874D0">
        <w:t xml:space="preserve"> Residence</w:t>
      </w:r>
      <w:r>
        <w:t xml:space="preserve">. </w:t>
      </w:r>
      <w:r w:rsidR="00E10EFA">
        <w:t xml:space="preserve"> </w:t>
      </w:r>
      <w:r w:rsidR="008725E6">
        <w:t xml:space="preserve">The </w:t>
      </w:r>
      <w:r w:rsidR="00E4424A">
        <w:t>agent</w:t>
      </w:r>
      <w:r w:rsidR="002859B4">
        <w:t>s</w:t>
      </w:r>
      <w:r>
        <w:t xml:space="preserve"> again observed a noisy signal centering 709 MHz from that camera.</w:t>
      </w:r>
      <w:r w:rsidR="00AB4DF8">
        <w:t xml:space="preserve"> </w:t>
      </w:r>
      <w:r>
        <w:t xml:space="preserve"> </w:t>
      </w:r>
      <w:r w:rsidR="002859B4">
        <w:t>An</w:t>
      </w:r>
      <w:r w:rsidR="00BD605A">
        <w:t xml:space="preserve"> </w:t>
      </w:r>
      <w:bookmarkStart w:id="6" w:name="_Hlk527388362"/>
      <w:r w:rsidR="00E4424A">
        <w:t>agent</w:t>
      </w:r>
      <w:r w:rsidR="008A0B0F">
        <w:t xml:space="preserve"> also</w:t>
      </w:r>
      <w:r>
        <w:t xml:space="preserve"> left an on-scene</w:t>
      </w:r>
      <w:r w:rsidR="0098016B">
        <w:t xml:space="preserve"> Warning of Interference</w:t>
      </w:r>
      <w:r>
        <w:rPr>
          <w:rStyle w:val="FootnoteReference"/>
        </w:rPr>
        <w:footnoteReference w:id="8"/>
      </w:r>
      <w:r>
        <w:t xml:space="preserve"> at the front door of </w:t>
      </w:r>
      <w:r w:rsidR="004874D0">
        <w:t xml:space="preserve">the </w:t>
      </w:r>
      <w:r w:rsidR="00E0538B">
        <w:t>Operators’</w:t>
      </w:r>
      <w:r w:rsidR="004874D0">
        <w:t xml:space="preserve"> R</w:t>
      </w:r>
      <w:r>
        <w:t>esidence</w:t>
      </w:r>
      <w:bookmarkEnd w:id="6"/>
      <w:r>
        <w:t>.</w:t>
      </w:r>
    </w:p>
    <w:p w:rsidR="000F1AE1" w:rsidP="00DF4033">
      <w:pPr>
        <w:pStyle w:val="ParaNum"/>
        <w:widowControl/>
        <w:spacing w:after="120"/>
        <w:jc w:val="left"/>
      </w:pPr>
      <w:r>
        <w:t xml:space="preserve">On April 9, 2018, the Los Angeles Office </w:t>
      </w:r>
      <w:r w:rsidR="00BD605A">
        <w:t xml:space="preserve">issued </w:t>
      </w:r>
      <w:r w:rsidRPr="00AA3FA2" w:rsidR="004874D0">
        <w:t>a</w:t>
      </w:r>
      <w:r w:rsidR="00676DC7">
        <w:t xml:space="preserve">nother </w:t>
      </w:r>
      <w:r w:rsidR="004874D0">
        <w:t>W</w:t>
      </w:r>
      <w:r w:rsidRPr="00AA3FA2" w:rsidR="004874D0">
        <w:t xml:space="preserve">arning </w:t>
      </w:r>
      <w:r w:rsidR="004874D0">
        <w:t>of Harmful Interference (</w:t>
      </w:r>
      <w:r w:rsidR="0098016B">
        <w:t>Third</w:t>
      </w:r>
      <w:r w:rsidR="004874D0">
        <w:t xml:space="preserve"> Warning)</w:t>
      </w:r>
      <w:r>
        <w:t>,</w:t>
      </w:r>
      <w:r>
        <w:rPr>
          <w:rStyle w:val="FootnoteReference"/>
        </w:rPr>
        <w:footnoteReference w:id="9"/>
      </w:r>
      <w:r>
        <w:t xml:space="preserve"> in which </w:t>
      </w:r>
      <w:r w:rsidR="00BD605A">
        <w:t xml:space="preserve">the Operators </w:t>
      </w:r>
      <w:r>
        <w:t xml:space="preserve">were again informed that </w:t>
      </w:r>
      <w:r w:rsidR="00BD605A">
        <w:t xml:space="preserve">their </w:t>
      </w:r>
      <w:r>
        <w:t>security camera was causing harmful interference to AT&amp;T</w:t>
      </w:r>
      <w:r w:rsidRPr="00AA3FA2" w:rsidR="00B1664B">
        <w:t>’s cellular communications</w:t>
      </w:r>
      <w:r>
        <w:t xml:space="preserve">. </w:t>
      </w:r>
      <w:r w:rsidR="004874D0">
        <w:t xml:space="preserve"> </w:t>
      </w:r>
      <w:r w:rsidR="00BD605A">
        <w:t>The</w:t>
      </w:r>
      <w:r w:rsidR="00E10EFA">
        <w:t xml:space="preserve"> </w:t>
      </w:r>
      <w:r w:rsidR="00476FFC">
        <w:t>Third</w:t>
      </w:r>
      <w:r w:rsidR="00E10EFA">
        <w:t xml:space="preserve"> Warning</w:t>
      </w:r>
      <w:r w:rsidR="00BD605A">
        <w:t xml:space="preserve"> again</w:t>
      </w:r>
      <w:r w:rsidRPr="00AA3FA2">
        <w:t xml:space="preserve"> provided citations to applicable FCC rules and regulations</w:t>
      </w:r>
      <w:r w:rsidR="00BD605A">
        <w:t>, advised</w:t>
      </w:r>
      <w:r w:rsidRPr="00AA3FA2">
        <w:t xml:space="preserve"> the </w:t>
      </w:r>
      <w:r w:rsidR="00E10EFA">
        <w:t>Operators</w:t>
      </w:r>
      <w:r w:rsidRPr="00AA3FA2" w:rsidR="004874D0">
        <w:t xml:space="preserve"> </w:t>
      </w:r>
      <w:r w:rsidR="00BD605A">
        <w:t>that</w:t>
      </w:r>
      <w:r w:rsidR="00E10EFA">
        <w:t xml:space="preserve"> they</w:t>
      </w:r>
      <w:r w:rsidRPr="00AA3FA2" w:rsidR="004874D0">
        <w:t xml:space="preserve"> </w:t>
      </w:r>
      <w:r w:rsidRPr="00AA3FA2">
        <w:t>must comply</w:t>
      </w:r>
      <w:r w:rsidR="00222E2F">
        <w:t xml:space="preserve"> with those rules</w:t>
      </w:r>
      <w:r w:rsidR="00BD605A">
        <w:t>,</w:t>
      </w:r>
      <w:r w:rsidR="00E10EFA">
        <w:t xml:space="preserve"> and </w:t>
      </w:r>
      <w:r w:rsidRPr="00972667" w:rsidR="00E10EFA">
        <w:rPr>
          <w:noProof/>
          <w:color w:val="000000"/>
          <w:szCs w:val="22"/>
        </w:rPr>
        <w:t xml:space="preserve">instructed </w:t>
      </w:r>
      <w:r w:rsidR="00AB2C80">
        <w:rPr>
          <w:noProof/>
          <w:color w:val="000000"/>
          <w:szCs w:val="22"/>
        </w:rPr>
        <w:t>the</w:t>
      </w:r>
      <w:r w:rsidR="00BD605A">
        <w:rPr>
          <w:noProof/>
          <w:color w:val="000000"/>
          <w:szCs w:val="22"/>
        </w:rPr>
        <w:t>m</w:t>
      </w:r>
      <w:r w:rsidRPr="00972667" w:rsidR="00E10EFA">
        <w:rPr>
          <w:noProof/>
          <w:color w:val="000000"/>
          <w:szCs w:val="22"/>
        </w:rPr>
        <w:t xml:space="preserve"> not to resume operation of the surveillance camera until the conditions causing the harmful interference had been corrected</w:t>
      </w:r>
      <w:r w:rsidRPr="00DF4033" w:rsidR="00E10EFA">
        <w:rPr>
          <w:color w:val="000000"/>
        </w:rPr>
        <w:t>.</w:t>
      </w:r>
    </w:p>
    <w:p w:rsidR="0084369C" w:rsidRPr="00AA3FA2" w:rsidP="0084369C">
      <w:pPr>
        <w:pStyle w:val="ParaNum"/>
        <w:widowControl/>
        <w:spacing w:after="120"/>
        <w:jc w:val="left"/>
      </w:pPr>
      <w:r>
        <w:t xml:space="preserve">On June 6 and September 12, 2018, </w:t>
      </w:r>
      <w:r w:rsidR="00EE4FC4">
        <w:t xml:space="preserve">AT&amp;T </w:t>
      </w:r>
      <w:r>
        <w:t>informed the Commission</w:t>
      </w:r>
      <w:r w:rsidR="00EE4FC4">
        <w:t xml:space="preserve"> that </w:t>
      </w:r>
      <w:r w:rsidR="00AB4DF8">
        <w:t>it was</w:t>
      </w:r>
      <w:r>
        <w:t xml:space="preserve"> still</w:t>
      </w:r>
      <w:r w:rsidR="00EE4FC4">
        <w:t xml:space="preserve"> suffering interference from the security camera </w:t>
      </w:r>
      <w:r w:rsidR="00476FFC">
        <w:t>at</w:t>
      </w:r>
      <w:r w:rsidR="00EE4FC4">
        <w:t xml:space="preserve"> </w:t>
      </w:r>
      <w:r w:rsidR="002C47C8">
        <w:t>the Operators’</w:t>
      </w:r>
      <w:r w:rsidR="00EE4FC4">
        <w:t xml:space="preserve"> residence</w:t>
      </w:r>
      <w:r w:rsidR="00C62981">
        <w:t xml:space="preserve">. </w:t>
      </w:r>
      <w:r w:rsidR="002C47C8">
        <w:t xml:space="preserve"> </w:t>
      </w:r>
      <w:r w:rsidR="00C62981">
        <w:t>AT&amp;T also provided a</w:t>
      </w:r>
      <w:r w:rsidR="00F23DE7">
        <w:t>n</w:t>
      </w:r>
      <w:r w:rsidR="00C62981">
        <w:t xml:space="preserve"> interference report</w:t>
      </w:r>
      <w:r w:rsidR="00F23DE7">
        <w:t xml:space="preserve"> (including their own on-scene investigations)</w:t>
      </w:r>
      <w:r w:rsidR="00C62981">
        <w:t xml:space="preserve"> to </w:t>
      </w:r>
      <w:r w:rsidR="002C47C8">
        <w:t xml:space="preserve">the </w:t>
      </w:r>
      <w:r w:rsidR="00C62981">
        <w:t>FCC regarding this interference</w:t>
      </w:r>
      <w:r w:rsidR="004874D0">
        <w:t>.</w:t>
      </w:r>
    </w:p>
    <w:p w:rsidR="00D924BF" w:rsidRPr="00AA3FA2" w:rsidP="00DF4033">
      <w:pPr>
        <w:pStyle w:val="Heading1"/>
        <w:widowControl/>
        <w:spacing w:after="120"/>
        <w:jc w:val="left"/>
      </w:pPr>
      <w:r w:rsidRPr="00AA3FA2">
        <w:t>applicable law and violations</w:t>
      </w:r>
    </w:p>
    <w:p w:rsidR="00413D08" w:rsidRPr="00AA3FA2" w:rsidP="00DF4033">
      <w:pPr>
        <w:pStyle w:val="ParaNum"/>
        <w:spacing w:after="120"/>
        <w:jc w:val="left"/>
      </w:pPr>
      <w:bookmarkStart w:id="7" w:name="_Hlk527388777"/>
      <w:r w:rsidRPr="00AA3FA2">
        <w:t>Section 15.5(c</w:t>
      </w:r>
      <w:r w:rsidRPr="00AA3FA2">
        <w:t xml:space="preserve">) </w:t>
      </w:r>
      <w:r w:rsidRPr="00972667" w:rsidR="004874D0">
        <w:rPr>
          <w:szCs w:val="22"/>
        </w:rPr>
        <w:t xml:space="preserve">of the </w:t>
      </w:r>
      <w:r w:rsidR="004874D0">
        <w:rPr>
          <w:noProof/>
          <w:color w:val="000000"/>
          <w:szCs w:val="22"/>
        </w:rPr>
        <w:t>Commission’s rules</w:t>
      </w:r>
      <w:r w:rsidRPr="00972667" w:rsidR="004874D0">
        <w:rPr>
          <w:noProof/>
          <w:color w:val="000000"/>
          <w:szCs w:val="22"/>
        </w:rPr>
        <w:t xml:space="preserve"> requires</w:t>
      </w:r>
      <w:r w:rsidRPr="00DF4033" w:rsidR="004874D0">
        <w:rPr>
          <w:color w:val="000000"/>
        </w:rPr>
        <w:t xml:space="preserve"> that</w:t>
      </w:r>
      <w:r w:rsidRPr="00972667" w:rsidR="004874D0">
        <w:rPr>
          <w:szCs w:val="22"/>
        </w:rPr>
        <w:t xml:space="preserve"> “operation of an intentional, unintentional, or incidental radiator is subject to the conditions that no harmful interference is caused . . . </w:t>
      </w:r>
      <w:r w:rsidRPr="00972667" w:rsidR="004874D0">
        <w:rPr>
          <w:szCs w:val="22"/>
        </w:rPr>
        <w:t>.”</w:t>
      </w:r>
      <w:r>
        <w:rPr>
          <w:szCs w:val="22"/>
          <w:vertAlign w:val="superscript"/>
        </w:rPr>
        <w:footnoteReference w:id="10"/>
      </w:r>
      <w:r w:rsidRPr="00972667" w:rsidR="004874D0">
        <w:rPr>
          <w:szCs w:val="22"/>
        </w:rPr>
        <w:t xml:space="preserve">  Similarly, Section 15.5(c) of the </w:t>
      </w:r>
      <w:r w:rsidR="004874D0">
        <w:rPr>
          <w:noProof/>
          <w:color w:val="000000"/>
          <w:szCs w:val="22"/>
        </w:rPr>
        <w:t>Commission’s rules</w:t>
      </w:r>
      <w:r w:rsidRPr="00DF4033" w:rsidR="004874D0">
        <w:rPr>
          <w:color w:val="000000"/>
        </w:rPr>
        <w:t xml:space="preserve"> states that</w:t>
      </w:r>
      <w:r w:rsidRPr="00972667" w:rsidR="004874D0">
        <w:rPr>
          <w:szCs w:val="22"/>
        </w:rPr>
        <w:t xml:space="preserve">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rPr>
          <w:szCs w:val="22"/>
          <w:vertAlign w:val="superscript"/>
        </w:rPr>
        <w:footnoteReference w:id="11"/>
      </w:r>
      <w:r w:rsidRPr="00972667" w:rsidR="004874D0">
        <w:rPr>
          <w:szCs w:val="22"/>
        </w:rPr>
        <w:t xml:space="preserve">  </w:t>
      </w:r>
      <w:r w:rsidRPr="00972667" w:rsidR="004874D0">
        <w:rPr>
          <w:noProof/>
          <w:color w:val="000000"/>
          <w:szCs w:val="22"/>
        </w:rPr>
        <w:t>Section 15.3(m)’</w:t>
      </w:r>
      <w:r w:rsidR="004874D0">
        <w:rPr>
          <w:noProof/>
          <w:color w:val="000000"/>
          <w:szCs w:val="22"/>
        </w:rPr>
        <w:t>s</w:t>
      </w:r>
      <w:r w:rsidRPr="00972667" w:rsidR="004874D0">
        <w:rPr>
          <w:noProof/>
          <w:color w:val="000000"/>
          <w:szCs w:val="22"/>
        </w:rPr>
        <w:t xml:space="preserve"> definition of harmful interference includes any emission, radiation or induction that “. . . obstructs or repeatedly interrupts a radiocommunications service operating in accordance with this </w:t>
      </w:r>
      <w:r w:rsidR="004874D0">
        <w:t>chapter</w:t>
      </w:r>
      <w:r w:rsidRPr="00AA3FA2" w:rsidR="00377E15">
        <w:t>.”</w:t>
      </w:r>
      <w:r w:rsidRPr="004874D0" w:rsidR="004874D0">
        <w:rPr>
          <w:szCs w:val="22"/>
          <w:vertAlign w:val="superscript"/>
        </w:rPr>
        <w:t xml:space="preserve"> </w:t>
      </w:r>
      <w:r>
        <w:rPr>
          <w:szCs w:val="22"/>
          <w:vertAlign w:val="superscript"/>
        </w:rPr>
        <w:footnoteReference w:id="12"/>
      </w:r>
      <w:r w:rsidRPr="00AA3FA2">
        <w:t xml:space="preserve"> </w:t>
      </w:r>
    </w:p>
    <w:p w:rsidR="00E10EFA" w:rsidP="00DF4033">
      <w:pPr>
        <w:pStyle w:val="ParaNum"/>
        <w:spacing w:after="120"/>
        <w:jc w:val="left"/>
        <w:rPr>
          <w:szCs w:val="22"/>
        </w:rPr>
      </w:pPr>
      <w:bookmarkEnd w:id="7"/>
      <w:r w:rsidRPr="00AA3FA2">
        <w:t xml:space="preserve">  </w:t>
      </w:r>
      <w:r w:rsidR="00AB4033">
        <w:t xml:space="preserve">    </w:t>
      </w:r>
      <w:r w:rsidRPr="00AA3FA2">
        <w:t>Based on the fore</w:t>
      </w:r>
      <w:r w:rsidRPr="00AA3FA2" w:rsidR="00BD44BE">
        <w:t xml:space="preserve">going evidence, </w:t>
      </w:r>
      <w:bookmarkStart w:id="8" w:name="_Hlk527388859"/>
      <w:r w:rsidRPr="00DF4033" w:rsidR="00C81CAF">
        <w:rPr>
          <w:color w:val="000000"/>
        </w:rPr>
        <w:t xml:space="preserve">we find that </w:t>
      </w:r>
      <w:r w:rsidR="00AB2C80">
        <w:rPr>
          <w:noProof/>
          <w:color w:val="000000"/>
          <w:szCs w:val="22"/>
        </w:rPr>
        <w:t xml:space="preserve">the </w:t>
      </w:r>
      <w:r>
        <w:rPr>
          <w:noProof/>
          <w:color w:val="000000"/>
          <w:szCs w:val="22"/>
        </w:rPr>
        <w:t>Operators</w:t>
      </w:r>
      <w:r w:rsidRPr="00DF4033" w:rsidR="00C81CAF">
        <w:rPr>
          <w:color w:val="000000"/>
        </w:rPr>
        <w:t xml:space="preserve"> violated Sections 15.5(b) and (c) of the </w:t>
      </w:r>
      <w:r w:rsidRPr="00972667" w:rsidR="00C81CAF">
        <w:rPr>
          <w:noProof/>
          <w:color w:val="000000"/>
          <w:szCs w:val="22"/>
        </w:rPr>
        <w:t>Commission’s rules by operating a device causing harmful interfereance to a wireless provider’s licensed operations and</w:t>
      </w:r>
      <w:r w:rsidRPr="00DF4033" w:rsidR="00C81CAF">
        <w:rPr>
          <w:color w:val="000000"/>
        </w:rPr>
        <w:t xml:space="preserve"> failing to promptly eliminate the interference</w:t>
      </w:r>
      <w:r w:rsidRPr="00972667" w:rsidR="00C81CAF">
        <w:rPr>
          <w:noProof/>
          <w:color w:val="000000"/>
          <w:szCs w:val="22"/>
        </w:rPr>
        <w:t xml:space="preserve"> </w:t>
      </w:r>
      <w:r w:rsidRPr="00972667" w:rsidR="00C81CAF">
        <w:rPr>
          <w:szCs w:val="22"/>
        </w:rPr>
        <w:t>upon notification by a Commission representative</w:t>
      </w:r>
      <w:bookmarkEnd w:id="8"/>
      <w:r w:rsidRPr="00972667" w:rsidR="00C81CAF">
        <w:rPr>
          <w:szCs w:val="22"/>
        </w:rPr>
        <w:t>.</w:t>
      </w:r>
      <w:r>
        <w:rPr>
          <w:rStyle w:val="FootnoteReference"/>
          <w:szCs w:val="22"/>
        </w:rPr>
        <w:footnoteReference w:id="13"/>
      </w:r>
    </w:p>
    <w:p w:rsidR="00E10EFA" w:rsidRPr="00E10EFA" w:rsidP="00DF4033">
      <w:pPr>
        <w:pStyle w:val="Heading1"/>
        <w:widowControl/>
        <w:spacing w:after="120"/>
        <w:jc w:val="left"/>
        <w:rPr>
          <w:szCs w:val="22"/>
        </w:rPr>
      </w:pPr>
      <w:r w:rsidRPr="00AA3FA2">
        <w:t>REQUEST FOR INFORMATION</w:t>
      </w:r>
    </w:p>
    <w:p w:rsidR="00854531" w:rsidRPr="00AA3FA2" w:rsidP="00DF4033">
      <w:pPr>
        <w:pStyle w:val="ParaNum"/>
        <w:spacing w:after="120"/>
      </w:pPr>
      <w:r w:rsidRPr="00424208">
        <w:t>Pursuant to Sections 4(</w:t>
      </w:r>
      <w:r w:rsidRPr="00424208">
        <w:t>i</w:t>
      </w:r>
      <w:r w:rsidRPr="00424208">
        <w:t>), 4(j), and 403 of the Act,</w:t>
      </w:r>
      <w:r>
        <w:rPr>
          <w:rStyle w:val="FootnoteReference"/>
          <w:szCs w:val="22"/>
        </w:rPr>
        <w:footnoteReference w:id="14"/>
      </w:r>
      <w:r w:rsidRPr="00424208">
        <w:t xml:space="preserve"> we direct </w:t>
      </w:r>
      <w:r w:rsidR="00AB2C80">
        <w:t xml:space="preserve">the </w:t>
      </w:r>
      <w:r>
        <w:t>Operators</w:t>
      </w:r>
      <w:r w:rsidRPr="00424208">
        <w:t xml:space="preserve"> to confirm in writing, within 30</w:t>
      </w:r>
      <w:r w:rsidRPr="00972667">
        <w:rPr>
          <w:noProof/>
        </w:rPr>
        <w:t xml:space="preserve"> days of the release of this Citation, that </w:t>
      </w:r>
      <w:r>
        <w:rPr>
          <w:noProof/>
        </w:rPr>
        <w:t>t</w:t>
      </w:r>
      <w:r w:rsidRPr="00972667">
        <w:rPr>
          <w:noProof/>
        </w:rPr>
        <w:t>he</w:t>
      </w:r>
      <w:r>
        <w:rPr>
          <w:noProof/>
        </w:rPr>
        <w:t>y</w:t>
      </w:r>
      <w:r w:rsidRPr="00972667">
        <w:rPr>
          <w:noProof/>
        </w:rPr>
        <w:t xml:space="preserve"> ha</w:t>
      </w:r>
      <w:r>
        <w:rPr>
          <w:noProof/>
        </w:rPr>
        <w:t>ve</w:t>
      </w:r>
      <w:r w:rsidRPr="00972667">
        <w:rPr>
          <w:noProof/>
        </w:rPr>
        <w:t xml:space="preserve"> taken the corrective measures to eliminate the harmful interference, as well as provide a timeline for any pending corrective actions.  </w:t>
      </w:r>
      <w:r>
        <w:rPr>
          <w:noProof/>
        </w:rPr>
        <w:t>F</w:t>
      </w:r>
      <w:r w:rsidRPr="00972667">
        <w:rPr>
          <w:noProof/>
        </w:rPr>
        <w:t>ailure to respond in writing, or the provision of an inadequate, incomplete, or misleading response, may subject</w:t>
      </w:r>
      <w:r w:rsidR="00647701">
        <w:rPr>
          <w:noProof/>
        </w:rPr>
        <w:t xml:space="preserve"> the </w:t>
      </w:r>
      <w:r>
        <w:rPr>
          <w:noProof/>
        </w:rPr>
        <w:t>Operators</w:t>
      </w:r>
      <w:r w:rsidRPr="00972667">
        <w:rPr>
          <w:noProof/>
        </w:rPr>
        <w:t xml:space="preserve"> to additional sanctions.  </w:t>
      </w:r>
    </w:p>
    <w:p w:rsidR="00390263" w:rsidRPr="00AA3FA2" w:rsidP="00DF4033">
      <w:pPr>
        <w:pStyle w:val="Heading1"/>
        <w:widowControl/>
        <w:spacing w:after="120"/>
        <w:jc w:val="left"/>
        <w:rPr>
          <w:noProof/>
        </w:rPr>
      </w:pPr>
      <w:r w:rsidRPr="00BE70CC">
        <w:t>Opportunity to respond to this citation</w:t>
      </w:r>
    </w:p>
    <w:p w:rsidR="007E45A8" w:rsidRPr="00BE70CC" w:rsidP="00DF4033">
      <w:pPr>
        <w:pStyle w:val="ParaNum"/>
        <w:spacing w:after="120"/>
        <w:jc w:val="left"/>
      </w:pPr>
      <w:r>
        <w:t xml:space="preserve">      </w:t>
      </w:r>
      <w:r w:rsidR="00AB2C80">
        <w:t xml:space="preserve">The </w:t>
      </w:r>
      <w:r w:rsidR="00E10EFA">
        <w:t>Operators</w:t>
      </w:r>
      <w:r w:rsidRPr="00BE70CC" w:rsidR="00C81CAF">
        <w:t xml:space="preserve"> </w:t>
      </w:r>
      <w:r w:rsidRPr="00BE70CC">
        <w:t>may respond to this Citation within 30 calendar days from the release date of this Citation by any of the following methods</w:t>
      </w:r>
      <w:r w:rsidRPr="00BE70CC">
        <w:t>:  (</w:t>
      </w:r>
      <w:r w:rsidRPr="00BE70CC">
        <w:t xml:space="preserve">1) a written statement, (2) a teleconference interview, or (3) a personal interview at the Commission Field Office nearest to </w:t>
      </w:r>
      <w:r w:rsidR="00AB2C80">
        <w:t xml:space="preserve">the </w:t>
      </w:r>
      <w:r w:rsidR="00E10EFA">
        <w:t>Operators’</w:t>
      </w:r>
      <w:r w:rsidRPr="00BE70CC" w:rsidR="00C81CAF">
        <w:t xml:space="preserve"> </w:t>
      </w:r>
      <w:r w:rsidR="003A22C5">
        <w:t>R</w:t>
      </w:r>
      <w:r w:rsidR="00553FC3">
        <w:t>esidence</w:t>
      </w:r>
      <w:r>
        <w:t>.  T</w:t>
      </w:r>
      <w:r w:rsidRPr="00BE70CC">
        <w:t xml:space="preserve">he Commission Field Office nearest </w:t>
      </w:r>
      <w:r w:rsidR="00E10EFA">
        <w:t>the Operators</w:t>
      </w:r>
      <w:r w:rsidRPr="00BE70CC" w:rsidR="00C81CAF">
        <w:t xml:space="preserve"> </w:t>
      </w:r>
      <w:r>
        <w:t>is located in</w:t>
      </w:r>
      <w:r>
        <w:t xml:space="preserve"> Cerritos, California</w:t>
      </w:r>
      <w:r w:rsidRPr="00BE70CC">
        <w:t xml:space="preserve">.     </w:t>
      </w:r>
    </w:p>
    <w:p w:rsidR="007E45A8" w:rsidRPr="00BE70CC" w:rsidP="00DF4033">
      <w:pPr>
        <w:pStyle w:val="ParaNum"/>
        <w:widowControl/>
        <w:tabs>
          <w:tab w:val="clear" w:pos="1080"/>
          <w:tab w:val="clear" w:pos="1440"/>
        </w:tabs>
        <w:spacing w:after="120"/>
        <w:jc w:val="left"/>
        <w:rPr>
          <w:kern w:val="2"/>
          <w:szCs w:val="22"/>
        </w:rPr>
      </w:pPr>
      <w:r w:rsidRPr="00BE70CC">
        <w:rPr>
          <w:kern w:val="2"/>
          <w:szCs w:val="22"/>
        </w:rPr>
        <w:t xml:space="preserve">If </w:t>
      </w:r>
      <w:r w:rsidR="00AB2C80">
        <w:rPr>
          <w:kern w:val="2"/>
          <w:szCs w:val="22"/>
        </w:rPr>
        <w:t xml:space="preserve">the </w:t>
      </w:r>
      <w:r w:rsidR="00E10EFA">
        <w:t>Operators</w:t>
      </w:r>
      <w:r w:rsidRPr="00BE70CC" w:rsidR="00C81CAF">
        <w:t xml:space="preserve"> </w:t>
      </w:r>
      <w:r w:rsidRPr="00BE70CC">
        <w:rPr>
          <w:kern w:val="2"/>
          <w:szCs w:val="22"/>
        </w:rPr>
        <w:t xml:space="preserve">request a teleconference or personal interview, </w:t>
      </w:r>
      <w:r>
        <w:rPr>
          <w:kern w:val="2"/>
          <w:szCs w:val="22"/>
        </w:rPr>
        <w:t>contact Lark Hadley</w:t>
      </w:r>
      <w:r w:rsidRPr="00BE70CC">
        <w:rPr>
          <w:kern w:val="2"/>
          <w:szCs w:val="22"/>
        </w:rPr>
        <w:t xml:space="preserve"> </w:t>
      </w:r>
      <w:r w:rsidRPr="00BE70CC">
        <w:rPr>
          <w:noProof/>
          <w:color w:val="000000"/>
          <w:szCs w:val="22"/>
        </w:rPr>
        <w:t xml:space="preserve">at </w:t>
      </w:r>
      <w:r w:rsidRPr="00AA3FA2">
        <w:rPr>
          <w:noProof/>
        </w:rPr>
        <w:t xml:space="preserve"> (562)</w:t>
      </w:r>
      <w:r w:rsidR="00624E28">
        <w:rPr>
          <w:noProof/>
        </w:rPr>
        <w:t xml:space="preserve"> </w:t>
      </w:r>
      <w:r w:rsidRPr="00AA3FA2">
        <w:rPr>
          <w:noProof/>
        </w:rPr>
        <w:t>860-7474</w:t>
      </w:r>
      <w:r w:rsidRPr="00BE70CC">
        <w:rPr>
          <w:kern w:val="2"/>
          <w:szCs w:val="22"/>
        </w:rPr>
        <w:t xml:space="preserve">.  We note that such teleconference or interview must take place within 30 calendar days of the release date of this Citation.  If </w:t>
      </w:r>
      <w:r w:rsidR="00AB2C80">
        <w:rPr>
          <w:kern w:val="2"/>
          <w:szCs w:val="22"/>
        </w:rPr>
        <w:t xml:space="preserve">the </w:t>
      </w:r>
      <w:r w:rsidR="00E10EFA">
        <w:t>Operators</w:t>
      </w:r>
      <w:r w:rsidRPr="00BE70CC" w:rsidR="00624E28">
        <w:t xml:space="preserve"> </w:t>
      </w:r>
      <w:r w:rsidRPr="00BE70CC">
        <w:rPr>
          <w:kern w:val="2"/>
          <w:szCs w:val="22"/>
        </w:rPr>
        <w:t xml:space="preserve">prefer to submit a written response with supporting documentation, </w:t>
      </w:r>
      <w:r w:rsidR="00E10EFA">
        <w:rPr>
          <w:kern w:val="2"/>
          <w:szCs w:val="22"/>
        </w:rPr>
        <w:t>t</w:t>
      </w:r>
      <w:r w:rsidR="00624E28">
        <w:rPr>
          <w:kern w:val="2"/>
          <w:szCs w:val="22"/>
        </w:rPr>
        <w:t>he</w:t>
      </w:r>
      <w:r w:rsidR="00E10EFA">
        <w:rPr>
          <w:kern w:val="2"/>
          <w:szCs w:val="22"/>
        </w:rPr>
        <w:t>y</w:t>
      </w:r>
      <w:r w:rsidRPr="00BE70CC" w:rsidR="00624E28">
        <w:rPr>
          <w:kern w:val="2"/>
          <w:szCs w:val="22"/>
        </w:rPr>
        <w:t xml:space="preserve"> </w:t>
      </w:r>
      <w:r w:rsidRPr="00BE70CC">
        <w:rPr>
          <w:kern w:val="2"/>
          <w:szCs w:val="22"/>
        </w:rPr>
        <w:t>must send the response within 30 calendar days of the release date of this Citation to the contact and address provided in paragraph below.</w:t>
      </w:r>
    </w:p>
    <w:p w:rsidR="007E45A8" w:rsidP="00124636">
      <w:pPr>
        <w:pStyle w:val="ParaNum"/>
        <w:widowControl/>
        <w:tabs>
          <w:tab w:val="clear" w:pos="1080"/>
        </w:tabs>
        <w:jc w:val="left"/>
        <w:rPr>
          <w:kern w:val="2"/>
          <w:szCs w:val="22"/>
        </w:rPr>
      </w:pPr>
      <w:bookmarkStart w:id="9" w:name="_Hlk527625483"/>
      <w:r w:rsidRPr="00BE70CC">
        <w:rPr>
          <w:kern w:val="2"/>
          <w:szCs w:val="22"/>
        </w:rPr>
        <w:t>All written communications should be sent to the address below.</w:t>
      </w:r>
    </w:p>
    <w:p w:rsidR="000F22C6" w:rsidRPr="008629B9" w:rsidP="000F22C6">
      <w:pPr>
        <w:pStyle w:val="ParaNum"/>
        <w:widowControl/>
        <w:numPr>
          <w:ilvl w:val="0"/>
          <w:numId w:val="0"/>
        </w:numPr>
        <w:spacing w:after="0"/>
        <w:ind w:left="720"/>
        <w:jc w:val="left"/>
        <w:rPr>
          <w:kern w:val="2"/>
          <w:szCs w:val="22"/>
        </w:rPr>
      </w:pPr>
      <w:bookmarkEnd w:id="9"/>
      <w:r>
        <w:rPr>
          <w:kern w:val="2"/>
          <w:szCs w:val="22"/>
        </w:rPr>
        <w:tab/>
      </w:r>
      <w:r>
        <w:rPr>
          <w:kern w:val="2"/>
          <w:szCs w:val="22"/>
        </w:rPr>
        <w:tab/>
      </w:r>
      <w:r w:rsidRPr="008629B9">
        <w:rPr>
          <w:kern w:val="2"/>
          <w:szCs w:val="22"/>
        </w:rPr>
        <w:t>Lark Hadley, Regional Director, Region Three</w:t>
      </w:r>
    </w:p>
    <w:p w:rsidR="007E45A8" w:rsidRPr="00D7180F" w:rsidP="00124636">
      <w:pPr>
        <w:tabs>
          <w:tab w:val="left" w:pos="-1440"/>
        </w:tabs>
        <w:ind w:left="1440"/>
        <w:rPr>
          <w:szCs w:val="22"/>
        </w:rPr>
      </w:pPr>
      <w:r>
        <w:rPr>
          <w:szCs w:val="22"/>
        </w:rPr>
        <w:tab/>
      </w:r>
      <w:r w:rsidRPr="00D7180F">
        <w:rPr>
          <w:szCs w:val="22"/>
        </w:rPr>
        <w:t>Federal Communications Commission</w:t>
      </w:r>
    </w:p>
    <w:p w:rsidR="007E45A8" w:rsidRPr="00D7180F" w:rsidP="00124636">
      <w:pPr>
        <w:tabs>
          <w:tab w:val="left" w:pos="-1440"/>
        </w:tabs>
        <w:ind w:left="1440"/>
        <w:rPr>
          <w:szCs w:val="22"/>
        </w:rPr>
      </w:pPr>
      <w:r>
        <w:rPr>
          <w:szCs w:val="22"/>
        </w:rPr>
        <w:tab/>
      </w:r>
      <w:r w:rsidRPr="00D7180F">
        <w:rPr>
          <w:szCs w:val="22"/>
        </w:rPr>
        <w:t xml:space="preserve">Los Angeles </w:t>
      </w:r>
      <w:r>
        <w:rPr>
          <w:szCs w:val="22"/>
        </w:rPr>
        <w:t xml:space="preserve">Regional </w:t>
      </w:r>
      <w:r w:rsidRPr="00D7180F">
        <w:rPr>
          <w:szCs w:val="22"/>
        </w:rPr>
        <w:t>Office</w:t>
      </w:r>
    </w:p>
    <w:p w:rsidR="007E45A8" w:rsidRPr="00D7180F" w:rsidP="00124636">
      <w:pPr>
        <w:tabs>
          <w:tab w:val="left" w:pos="-1440"/>
        </w:tabs>
        <w:ind w:left="1440"/>
        <w:rPr>
          <w:szCs w:val="22"/>
        </w:rPr>
      </w:pPr>
      <w:r>
        <w:rPr>
          <w:szCs w:val="22"/>
        </w:rPr>
        <w:tab/>
      </w:r>
      <w:r w:rsidRPr="00D7180F">
        <w:rPr>
          <w:szCs w:val="22"/>
        </w:rPr>
        <w:t>11331 183</w:t>
      </w:r>
      <w:r w:rsidRPr="00D7180F">
        <w:rPr>
          <w:szCs w:val="22"/>
          <w:vertAlign w:val="superscript"/>
        </w:rPr>
        <w:t>rd</w:t>
      </w:r>
      <w:r w:rsidRPr="00D7180F">
        <w:rPr>
          <w:szCs w:val="22"/>
        </w:rPr>
        <w:t xml:space="preserve"> Street, PMB #365</w:t>
      </w:r>
    </w:p>
    <w:p w:rsidR="007E45A8" w:rsidRPr="00D7180F" w:rsidP="00124636">
      <w:pPr>
        <w:tabs>
          <w:tab w:val="left" w:pos="-1440"/>
        </w:tabs>
        <w:ind w:left="1440"/>
        <w:rPr>
          <w:szCs w:val="22"/>
        </w:rPr>
      </w:pPr>
      <w:r>
        <w:rPr>
          <w:szCs w:val="22"/>
        </w:rPr>
        <w:tab/>
      </w:r>
      <w:r w:rsidRPr="00D7180F">
        <w:rPr>
          <w:szCs w:val="22"/>
        </w:rPr>
        <w:t>Cerritos, CA 90703</w:t>
      </w:r>
    </w:p>
    <w:p w:rsidR="007E45A8" w:rsidP="00124636">
      <w:pPr>
        <w:tabs>
          <w:tab w:val="left" w:pos="-1440"/>
        </w:tabs>
        <w:ind w:left="1440"/>
        <w:rPr>
          <w:rStyle w:val="Hyperlink"/>
          <w:szCs w:val="22"/>
        </w:rPr>
      </w:pPr>
      <w:r>
        <w:tab/>
      </w:r>
      <w:r>
        <w:fldChar w:fldCharType="begin"/>
      </w:r>
      <w:r>
        <w:instrText xml:space="preserve"> HYPERLINK "mailto:Field@FCC.gov" </w:instrText>
      </w:r>
      <w:r>
        <w:fldChar w:fldCharType="separate"/>
      </w:r>
      <w:r w:rsidRPr="00DD1678">
        <w:rPr>
          <w:rStyle w:val="Hyperlink"/>
        </w:rPr>
        <w:t>Field@FCC.</w:t>
      </w:r>
      <w:r w:rsidRPr="00DD1678">
        <w:rPr>
          <w:rStyle w:val="Hyperlink"/>
          <w:szCs w:val="22"/>
        </w:rPr>
        <w:t>gov</w:t>
      </w:r>
      <w:r>
        <w:fldChar w:fldCharType="end"/>
      </w:r>
    </w:p>
    <w:p w:rsidR="006A14B0" w:rsidRPr="00D67EBA" w:rsidP="008628D6">
      <w:pPr>
        <w:tabs>
          <w:tab w:val="left" w:pos="-1440"/>
        </w:tabs>
        <w:ind w:left="1440"/>
        <w:rPr>
          <w:b/>
          <w:color w:val="0000FF"/>
          <w:u w:val="single"/>
        </w:rPr>
      </w:pPr>
      <w:r>
        <w:tab/>
      </w:r>
      <w:r w:rsidRPr="00D67EBA" w:rsidR="00D67EBA">
        <w:rPr>
          <w:b/>
        </w:rPr>
        <w:t xml:space="preserve">RE: </w:t>
      </w:r>
      <w:r w:rsidRPr="00D67EBA" w:rsidR="007E45A8">
        <w:rPr>
          <w:b/>
        </w:rPr>
        <w:t>Case No.:  EB-FIELDWR-17-00024778</w:t>
      </w:r>
    </w:p>
    <w:p w:rsidR="006A14B0" w:rsidRPr="007E45A8" w:rsidP="00124636">
      <w:pPr>
        <w:tabs>
          <w:tab w:val="left" w:pos="-1440"/>
        </w:tabs>
        <w:ind w:left="1440"/>
        <w:rPr>
          <w:color w:val="0000FF"/>
          <w:szCs w:val="22"/>
          <w:u w:val="single"/>
        </w:rPr>
      </w:pPr>
    </w:p>
    <w:p w:rsidR="007E45A8" w:rsidRPr="00BE70CC" w:rsidP="0084369C">
      <w:pPr>
        <w:pStyle w:val="ParaNum"/>
        <w:widowControl/>
        <w:tabs>
          <w:tab w:val="clear" w:pos="1080"/>
        </w:tabs>
        <w:jc w:val="left"/>
        <w:rPr>
          <w:kern w:val="2"/>
          <w:szCs w:val="22"/>
        </w:rPr>
      </w:pPr>
      <w:r w:rsidRPr="00BE70CC">
        <w:rPr>
          <w:kern w:val="2"/>
          <w:szCs w:val="22"/>
        </w:rPr>
        <w:t xml:space="preserve">Upon request, the Commission will make reasonable accommodations for persons with disabilities.  If applicable, </w:t>
      </w:r>
      <w:r w:rsidR="002540B2">
        <w:t>the Operators</w:t>
      </w:r>
      <w:r w:rsidRPr="00BE70CC" w:rsidR="002540B2">
        <w:t xml:space="preserve"> </w:t>
      </w:r>
      <w:r w:rsidRPr="00BE70CC">
        <w:rPr>
          <w:kern w:val="2"/>
          <w:szCs w:val="22"/>
        </w:rPr>
        <w:t xml:space="preserve">should provide a description of the accommodation required, and include as much detail as possible, </w:t>
      </w:r>
      <w:r w:rsidRPr="00BE70CC">
        <w:rPr>
          <w:kern w:val="2"/>
          <w:szCs w:val="22"/>
        </w:rPr>
        <w:t>and also</w:t>
      </w:r>
      <w:r w:rsidRPr="00BE70CC">
        <w:rPr>
          <w:kern w:val="2"/>
          <w:szCs w:val="22"/>
        </w:rPr>
        <w:t xml:space="preserve"> provide a telephone number and other contact information.  </w:t>
      </w:r>
      <w:r w:rsidR="002540B2">
        <w:rPr>
          <w:kern w:val="2"/>
          <w:szCs w:val="22"/>
        </w:rPr>
        <w:t>The Operators</w:t>
      </w:r>
      <w:r w:rsidRPr="00BE70CC" w:rsidR="002540B2">
        <w:t xml:space="preserve"> </w:t>
      </w:r>
      <w:r w:rsidRPr="00BE70CC">
        <w:rPr>
          <w:kern w:val="2"/>
          <w:szCs w:val="22"/>
        </w:rPr>
        <w:t xml:space="preserve">should allow at least five business days advance notice; last minute requests will be </w:t>
      </w:r>
      <w:r w:rsidRPr="00BE70CC">
        <w:rPr>
          <w:kern w:val="2"/>
          <w:szCs w:val="22"/>
        </w:rPr>
        <w:t>accepted, but</w:t>
      </w:r>
      <w:r w:rsidRPr="00BE70CC">
        <w:rPr>
          <w:kern w:val="2"/>
          <w:szCs w:val="22"/>
        </w:rPr>
        <w:t xml:space="preserve"> may be impossible to fill.  </w:t>
      </w:r>
      <w:r w:rsidR="002540B2">
        <w:t>The Operators</w:t>
      </w:r>
      <w:r w:rsidRPr="00BE70CC" w:rsidR="002540B2">
        <w:t xml:space="preserve"> </w:t>
      </w:r>
      <w:r w:rsidRPr="00BE70CC">
        <w:rPr>
          <w:kern w:val="2"/>
          <w:szCs w:val="22"/>
        </w:rPr>
        <w:t>should send an e-mail to fcc504@fcc.gov or call the FCC’s Consumer &amp; Governmental Affairs Bureau:</w:t>
      </w:r>
    </w:p>
    <w:p w:rsidR="007E45A8" w:rsidRPr="00BE70CC" w:rsidP="0084369C">
      <w:pPr>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7E45A8" w:rsidRPr="00BE70CC" w:rsidP="0084369C">
      <w:pPr>
        <w:spacing w:after="220"/>
        <w:rPr>
          <w:kern w:val="2"/>
          <w:szCs w:val="22"/>
        </w:rPr>
      </w:pPr>
      <w:r w:rsidRPr="00BE70CC">
        <w:rPr>
          <w:kern w:val="2"/>
          <w:szCs w:val="22"/>
        </w:rPr>
        <w:tab/>
      </w:r>
      <w:r w:rsidRPr="00BE70CC">
        <w:rPr>
          <w:kern w:val="2"/>
          <w:szCs w:val="22"/>
        </w:rPr>
        <w:tab/>
        <w:t>202-418-0530 (voice), 202-418-0432 (</w:t>
      </w:r>
      <w:r w:rsidRPr="00BE70CC">
        <w:rPr>
          <w:kern w:val="2"/>
          <w:szCs w:val="22"/>
        </w:rPr>
        <w:t>tty</w:t>
      </w:r>
      <w:r w:rsidRPr="00BE70CC">
        <w:rPr>
          <w:kern w:val="2"/>
          <w:szCs w:val="22"/>
        </w:rPr>
        <w:t>);</w:t>
      </w:r>
    </w:p>
    <w:p w:rsidR="007E45A8" w:rsidRPr="00BE70CC" w:rsidP="00124636">
      <w:pPr>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w:t>
      </w:r>
      <w:r w:rsidRPr="00BE70CC">
        <w:rPr>
          <w:kern w:val="2"/>
          <w:szCs w:val="22"/>
        </w:rPr>
        <w:t>tty</w:t>
      </w:r>
      <w:r w:rsidRPr="00BE70CC">
        <w:rPr>
          <w:kern w:val="2"/>
          <w:szCs w:val="22"/>
        </w:rPr>
        <w:t>).</w:t>
      </w:r>
      <w:r w:rsidRPr="00BE70CC">
        <w:rPr>
          <w:b/>
          <w:kern w:val="2"/>
          <w:szCs w:val="22"/>
        </w:rPr>
        <w:t xml:space="preserve">  </w:t>
      </w:r>
    </w:p>
    <w:p w:rsidR="0051008E" w:rsidRPr="0051008E" w:rsidP="00DF4033">
      <w:pPr>
        <w:pStyle w:val="ParaNum"/>
        <w:spacing w:after="120"/>
        <w:jc w:val="left"/>
      </w:pPr>
      <w:r w:rsidRPr="0051008E">
        <w:rPr>
          <w:kern w:val="2"/>
        </w:rPr>
        <w:t>We advise</w:t>
      </w:r>
      <w:r>
        <w:rPr>
          <w:kern w:val="2"/>
        </w:rPr>
        <w:t xml:space="preserve"> </w:t>
      </w:r>
      <w:r w:rsidR="00AB2C80">
        <w:rPr>
          <w:kern w:val="2"/>
        </w:rPr>
        <w:t xml:space="preserve">the </w:t>
      </w:r>
      <w:r w:rsidR="00E10EFA">
        <w:rPr>
          <w:kern w:val="2"/>
        </w:rPr>
        <w:t>Operators</w:t>
      </w:r>
      <w:r w:rsidRPr="00BE70CC" w:rsidR="008628D6">
        <w:t xml:space="preserve"> </w:t>
      </w:r>
      <w:r w:rsidRPr="0051008E">
        <w:rPr>
          <w:kern w:val="2"/>
        </w:rPr>
        <w:t>th</w:t>
      </w:r>
      <w:r w:rsidRPr="0051008E">
        <w:t>at it is a violation of Section 1.17 of the Rules</w:t>
      </w:r>
      <w:r>
        <w:rPr>
          <w:rStyle w:val="FootnoteReference"/>
          <w:szCs w:val="22"/>
        </w:rPr>
        <w:footnoteReference w:id="15"/>
      </w:r>
      <w:r w:rsidRPr="0051008E">
        <w:t xml:space="preserve"> for any person to make any false or misleading written or oral statement of fact to the Commission.  Specifically, no person shall:</w:t>
      </w:r>
    </w:p>
    <w:p w:rsidR="0051008E" w:rsidRPr="00BE70CC" w:rsidP="00DF4033">
      <w:pPr>
        <w:pStyle w:val="ParaNum"/>
        <w:widowControl/>
        <w:numPr>
          <w:ilvl w:val="0"/>
          <w:numId w:val="0"/>
        </w:numPr>
        <w:spacing w:after="120"/>
        <w:ind w:left="1440" w:right="720"/>
        <w:jc w:val="left"/>
        <w:rPr>
          <w:kern w:val="2"/>
          <w:szCs w:val="22"/>
        </w:rPr>
      </w:pPr>
      <w:r w:rsidRPr="00BE70CC">
        <w:rPr>
          <w:kern w:val="2"/>
          <w:szCs w:val="22"/>
        </w:rPr>
        <w:t xml:space="preserve">(1) In any written or oral statement of fact, intentionally provide material </w:t>
      </w:r>
      <w:r w:rsidRPr="00BE70CC">
        <w:rPr>
          <w:kern w:val="2"/>
          <w:szCs w:val="22"/>
        </w:rPr>
        <w:t>factual information</w:t>
      </w:r>
      <w:r w:rsidRPr="00BE70CC">
        <w:rPr>
          <w:kern w:val="2"/>
          <w:szCs w:val="22"/>
        </w:rPr>
        <w:t xml:space="preserve"> that is incorrect or intentionally omit material information that is necessary to prevent any material factual statement that is made from being incorrect or misleading; and</w:t>
      </w:r>
    </w:p>
    <w:p w:rsidR="0051008E" w:rsidRPr="00BE70CC" w:rsidP="00DF4033">
      <w:pPr>
        <w:pStyle w:val="ParaNum"/>
        <w:widowControl/>
        <w:numPr>
          <w:ilvl w:val="0"/>
          <w:numId w:val="0"/>
        </w:numPr>
        <w:spacing w:after="120"/>
        <w:ind w:left="1440" w:right="720"/>
        <w:jc w:val="left"/>
        <w:rPr>
          <w:kern w:val="2"/>
          <w:szCs w:val="22"/>
        </w:rPr>
      </w:pPr>
      <w:r w:rsidRPr="00BE70CC">
        <w:rPr>
          <w:kern w:val="2"/>
          <w:szCs w:val="22"/>
        </w:rPr>
        <w:t xml:space="preserve">(2) In any written statement of fact, provide material </w:t>
      </w:r>
      <w:r w:rsidRPr="00BE70CC">
        <w:rPr>
          <w:kern w:val="2"/>
          <w:szCs w:val="22"/>
        </w:rPr>
        <w:t>factual information</w:t>
      </w:r>
      <w:r w:rsidRPr="00BE70CC">
        <w:rPr>
          <w:kern w:val="2"/>
          <w:szCs w:val="22"/>
        </w:rPr>
        <w:t xml:space="preserve">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51008E" w:rsidRPr="00BE70CC" w:rsidP="00124636">
      <w:pPr>
        <w:pStyle w:val="ParaNum"/>
        <w:widowControl/>
        <w:tabs>
          <w:tab w:val="clear" w:pos="1080"/>
        </w:tabs>
        <w:spacing w:after="120"/>
        <w:jc w:val="left"/>
        <w:rPr>
          <w:kern w:val="2"/>
          <w:szCs w:val="22"/>
        </w:rPr>
      </w:pPr>
      <w:r w:rsidRPr="00BE70CC">
        <w:rPr>
          <w:kern w:val="2"/>
          <w:szCs w:val="22"/>
        </w:rPr>
        <w:t>Further, the knowing and willful making of any false statement, or the concealment of any material fact, in reply to this Citation is punishable by fine or imprisonment</w:t>
      </w:r>
      <w:r>
        <w:rPr>
          <w:kern w:val="2"/>
          <w:szCs w:val="22"/>
        </w:rPr>
        <w:t>.</w:t>
      </w:r>
      <w:r>
        <w:rPr>
          <w:rStyle w:val="FootnoteReference"/>
          <w:kern w:val="2"/>
          <w:szCs w:val="22"/>
        </w:rPr>
        <w:footnoteReference w:id="16"/>
      </w:r>
    </w:p>
    <w:p w:rsidR="0051008E" w:rsidRPr="00BE70CC" w:rsidP="00124636">
      <w:pPr>
        <w:pStyle w:val="ParaNum"/>
        <w:widowControl/>
        <w:tabs>
          <w:tab w:val="clear" w:pos="1080"/>
        </w:tabs>
        <w:spacing w:after="120"/>
        <w:jc w:val="left"/>
        <w:rPr>
          <w:kern w:val="2"/>
          <w:szCs w:val="22"/>
        </w:rPr>
      </w:pPr>
      <w:r w:rsidRPr="00BE70CC">
        <w:rPr>
          <w:kern w:val="2"/>
          <w:szCs w:val="22"/>
        </w:rPr>
        <w:t>Violations of Section 1.17 of the Rules or the criminal statute referenced above may result in further legal action, including monetary forfeitures pursuant to Section 503 of the</w:t>
      </w:r>
      <w:r>
        <w:rPr>
          <w:kern w:val="2"/>
          <w:szCs w:val="22"/>
        </w:rPr>
        <w:t xml:space="preserve"> </w:t>
      </w:r>
      <w:r w:rsidRPr="00BE70CC">
        <w:rPr>
          <w:kern w:val="2"/>
          <w:szCs w:val="22"/>
        </w:rPr>
        <w:t>Act.</w:t>
      </w:r>
    </w:p>
    <w:p w:rsidR="007D724D" w:rsidRPr="00DF4033" w:rsidP="00222E2F">
      <w:pPr>
        <w:pStyle w:val="ParaNum"/>
        <w:widowControl/>
        <w:tabs>
          <w:tab w:val="clear" w:pos="1080"/>
        </w:tabs>
        <w:spacing w:after="120"/>
        <w:jc w:val="left"/>
      </w:pPr>
      <w:r w:rsidRPr="00BE70CC">
        <w:rPr>
          <w:kern w:val="2"/>
          <w:szCs w:val="22"/>
        </w:rPr>
        <w:t xml:space="preserve">Finally, we warn </w:t>
      </w:r>
      <w:r w:rsidR="00E10EFA">
        <w:t>the Operators</w:t>
      </w:r>
      <w:r w:rsidRPr="00BE70CC" w:rsidR="008628D6">
        <w:t xml:space="preserve"> </w:t>
      </w:r>
      <w:r w:rsidRPr="00BE70CC">
        <w:rPr>
          <w:kern w:val="2"/>
          <w:szCs w:val="22"/>
        </w:rPr>
        <w:t>that, under the Privacy Act of 1974</w:t>
      </w:r>
      <w:r>
        <w:rPr>
          <w:kern w:val="2"/>
          <w:szCs w:val="22"/>
        </w:rPr>
        <w:t>,</w:t>
      </w:r>
      <w:r>
        <w:rPr>
          <w:rStyle w:val="FootnoteReference"/>
          <w:kern w:val="2"/>
          <w:szCs w:val="22"/>
        </w:rPr>
        <w:footnoteReference w:id="17"/>
      </w:r>
      <w:r w:rsidRPr="00BE70CC">
        <w:rPr>
          <w:kern w:val="2"/>
          <w:szCs w:val="22"/>
        </w:rPr>
        <w:t xml:space="preserve"> Commission staff will use all relevant material information before it, including information disclosed </w:t>
      </w:r>
      <w:r>
        <w:rPr>
          <w:kern w:val="2"/>
          <w:szCs w:val="22"/>
        </w:rPr>
        <w:t>in</w:t>
      </w:r>
      <w:r w:rsidRPr="00BE70CC">
        <w:rPr>
          <w:kern w:val="2"/>
          <w:szCs w:val="22"/>
        </w:rPr>
        <w:t xml:space="preserve"> interviews or written statements, to determine what, if any, enforcement action is required to ensure </w:t>
      </w:r>
      <w:r w:rsidR="00E0538B">
        <w:t>the Operator</w:t>
      </w:r>
      <w:r w:rsidR="008628D6">
        <w:t>s</w:t>
      </w:r>
      <w:r w:rsidR="00E0538B">
        <w:t>’</w:t>
      </w:r>
      <w:r w:rsidRPr="00BE70CC" w:rsidR="008628D6">
        <w:rPr>
          <w:kern w:val="2"/>
          <w:szCs w:val="22"/>
        </w:rPr>
        <w:t xml:space="preserve"> </w:t>
      </w:r>
      <w:r w:rsidRPr="00BE70CC">
        <w:rPr>
          <w:kern w:val="2"/>
          <w:szCs w:val="22"/>
        </w:rPr>
        <w:t xml:space="preserve">compliance with the Act and </w:t>
      </w:r>
      <w:r>
        <w:rPr>
          <w:kern w:val="2"/>
          <w:szCs w:val="22"/>
        </w:rPr>
        <w:t>R</w:t>
      </w:r>
      <w:r w:rsidRPr="00BE70CC">
        <w:rPr>
          <w:kern w:val="2"/>
          <w:szCs w:val="22"/>
        </w:rPr>
        <w:t>ules.</w:t>
      </w:r>
    </w:p>
    <w:p w:rsidR="007827F0" w:rsidRPr="00AA3FA2" w:rsidP="00DF4033">
      <w:pPr>
        <w:pStyle w:val="Heading1"/>
        <w:widowControl/>
        <w:spacing w:after="120"/>
        <w:jc w:val="left"/>
        <w:rPr>
          <w:noProof/>
        </w:rPr>
      </w:pPr>
      <w:r w:rsidRPr="00AA3FA2">
        <w:rPr>
          <w:noProof/>
        </w:rPr>
        <w:t>FUTURE VIOLATIONS</w:t>
      </w:r>
      <w:r w:rsidRPr="00AA3FA2">
        <w:rPr>
          <w:noProof/>
        </w:rPr>
        <w:t xml:space="preserve"> </w:t>
      </w:r>
    </w:p>
    <w:p w:rsidR="007827F0" w:rsidRPr="00AA3FA2" w:rsidP="00452322">
      <w:pPr>
        <w:pStyle w:val="ParaNum"/>
        <w:widowControl/>
        <w:spacing w:after="120"/>
        <w:jc w:val="left"/>
      </w:pPr>
      <w:r w:rsidRPr="00AA3FA2">
        <w:t xml:space="preserve">If, </w:t>
      </w:r>
      <w:r w:rsidRPr="00972667" w:rsidR="00676697">
        <w:rPr>
          <w:noProof/>
          <w:szCs w:val="22"/>
        </w:rPr>
        <w:t>after re</w:t>
      </w:r>
      <w:bookmarkStart w:id="10" w:name="_GoBack"/>
      <w:bookmarkEnd w:id="10"/>
      <w:r w:rsidRPr="00972667" w:rsidR="00676697">
        <w:rPr>
          <w:noProof/>
          <w:szCs w:val="22"/>
        </w:rPr>
        <w:t xml:space="preserve">ceipt of this Citation, </w:t>
      </w:r>
      <w:r w:rsidR="00E10EFA">
        <w:rPr>
          <w:noProof/>
          <w:szCs w:val="22"/>
        </w:rPr>
        <w:t xml:space="preserve">the Operators </w:t>
      </w:r>
      <w:r w:rsidRPr="00972667" w:rsidR="00676697">
        <w:rPr>
          <w:noProof/>
          <w:szCs w:val="22"/>
        </w:rPr>
        <w:t xml:space="preserve">again violate Section 15.5(b) or 15(c) of the </w:t>
      </w:r>
      <w:r w:rsidR="00676697">
        <w:rPr>
          <w:noProof/>
          <w:szCs w:val="22"/>
        </w:rPr>
        <w:t>Commission’s rules</w:t>
      </w:r>
      <w:r>
        <w:rPr>
          <w:rStyle w:val="FootnoteReference"/>
          <w:noProof/>
          <w:szCs w:val="22"/>
        </w:rPr>
        <w:footnoteReference w:id="18"/>
      </w:r>
      <w:r w:rsidRPr="00972667" w:rsidR="00676697">
        <w:rPr>
          <w:noProof/>
          <w:szCs w:val="22"/>
        </w:rPr>
        <w:t xml:space="preserve"> by engaging in the type of conduct described herein, the Commission may impose </w:t>
      </w:r>
      <w:r w:rsidRPr="00972667" w:rsidR="00676697">
        <w:rPr>
          <w:szCs w:val="22"/>
        </w:rPr>
        <w:t>sanctions for each such violation</w:t>
      </w:r>
      <w:r w:rsidR="00676697">
        <w:rPr>
          <w:szCs w:val="22"/>
        </w:rPr>
        <w:t>, including</w:t>
      </w:r>
      <w:r w:rsidRPr="00972667" w:rsidR="00676697">
        <w:rPr>
          <w:szCs w:val="22"/>
        </w:rPr>
        <w:t xml:space="preserve"> monetary forfeitures.  </w:t>
      </w:r>
      <w:r w:rsidRPr="00972667" w:rsidR="00676697">
        <w:rPr>
          <w:kern w:val="2"/>
          <w:szCs w:val="22"/>
        </w:rPr>
        <w:t>The Commission may impose forfeitures</w:t>
      </w:r>
      <w:r w:rsidRPr="00DF4033" w:rsidR="00676697">
        <w:rPr>
          <w:kern w:val="2"/>
        </w:rPr>
        <w:t xml:space="preserve"> </w:t>
      </w:r>
      <w:r w:rsidRPr="00972667" w:rsidR="00676697">
        <w:rPr>
          <w:noProof/>
          <w:szCs w:val="22"/>
        </w:rPr>
        <w:t>not to exceed $</w:t>
      </w:r>
      <w:r w:rsidRPr="00972667" w:rsidR="00676697">
        <w:rPr>
          <w:noProof/>
          <w:color w:val="000000"/>
          <w:szCs w:val="22"/>
        </w:rPr>
        <w:t>19,639</w:t>
      </w:r>
      <w:r w:rsidRPr="00DF4033" w:rsidR="00676697">
        <w:rPr>
          <w:color w:val="000000"/>
        </w:rPr>
        <w:t xml:space="preserve"> </w:t>
      </w:r>
      <w:r w:rsidRPr="00972667" w:rsidR="00676697">
        <w:rPr>
          <w:noProof/>
          <w:szCs w:val="22"/>
        </w:rPr>
        <w:t>for each such violation</w:t>
      </w:r>
      <w:r w:rsidR="00676697">
        <w:rPr>
          <w:noProof/>
          <w:szCs w:val="22"/>
        </w:rPr>
        <w:t>,</w:t>
      </w:r>
      <w:r w:rsidRPr="00972667" w:rsidR="00676697">
        <w:rPr>
          <w:noProof/>
          <w:szCs w:val="22"/>
        </w:rPr>
        <w:t xml:space="preserve"> or each day of a continuing violation, and up to $147,</w:t>
      </w:r>
      <w:r w:rsidRPr="00F03B9A" w:rsidR="00676697">
        <w:rPr>
          <w:noProof/>
          <w:szCs w:val="22"/>
        </w:rPr>
        <w:t>290 for</w:t>
      </w:r>
      <w:r w:rsidRPr="00972667" w:rsidR="00676697">
        <w:rPr>
          <w:noProof/>
          <w:szCs w:val="22"/>
        </w:rPr>
        <w:t xml:space="preserve"> any single act or failure to act.</w:t>
      </w:r>
      <w:r>
        <w:rPr>
          <w:noProof/>
          <w:szCs w:val="22"/>
          <w:vertAlign w:val="superscript"/>
        </w:rPr>
        <w:footnoteReference w:id="19"/>
      </w:r>
      <w:r w:rsidRPr="00972667" w:rsidR="00676697">
        <w:rPr>
          <w:noProof/>
          <w:szCs w:val="22"/>
        </w:rPr>
        <w:t xml:space="preserve">  Further, as discussed above, </w:t>
      </w:r>
      <w:r w:rsidRPr="00972667" w:rsidR="00676697">
        <w:rPr>
          <w:szCs w:val="22"/>
        </w:rPr>
        <w:t xml:space="preserve">the Commission may assess forfeitures on both the conduct that led to this Citation and the conduct </w:t>
      </w:r>
      <w:r w:rsidR="00676697">
        <w:rPr>
          <w:szCs w:val="22"/>
        </w:rPr>
        <w:t>follow</w:t>
      </w:r>
      <w:r w:rsidR="00697F8A">
        <w:rPr>
          <w:szCs w:val="22"/>
        </w:rPr>
        <w:t>ing it</w:t>
      </w:r>
      <w:r w:rsidRPr="00972667" w:rsidR="00676697">
        <w:rPr>
          <w:noProof/>
          <w:szCs w:val="22"/>
        </w:rPr>
        <w:t>.</w:t>
      </w:r>
      <w:r>
        <w:rPr>
          <w:rStyle w:val="FootnoteReference"/>
          <w:noProof/>
          <w:szCs w:val="22"/>
        </w:rPr>
        <w:footnoteReference w:id="20"/>
      </w:r>
      <w:r w:rsidRPr="00972667" w:rsidR="00676697">
        <w:rPr>
          <w:noProof/>
          <w:szCs w:val="22"/>
        </w:rPr>
        <w:t xml:space="preserve">  </w:t>
      </w:r>
      <w:r w:rsidRPr="00972667" w:rsidR="00676697">
        <w:rPr>
          <w:szCs w:val="22"/>
        </w:rPr>
        <w:t xml:space="preserve">In addition, future </w:t>
      </w:r>
      <w:r w:rsidRPr="00972667" w:rsidR="00676697">
        <w:rPr>
          <w:szCs w:val="22"/>
        </w:rPr>
        <w:t xml:space="preserve">violations may subject </w:t>
      </w:r>
      <w:r w:rsidR="00E10EFA">
        <w:rPr>
          <w:szCs w:val="22"/>
        </w:rPr>
        <w:t>the Operators</w:t>
      </w:r>
      <w:r w:rsidRPr="00972667" w:rsidR="00676697">
        <w:rPr>
          <w:szCs w:val="22"/>
        </w:rPr>
        <w:t xml:space="preserve"> to </w:t>
      </w:r>
      <w:r w:rsidR="00697F8A">
        <w:rPr>
          <w:szCs w:val="22"/>
        </w:rPr>
        <w:t xml:space="preserve">seizure of </w:t>
      </w:r>
      <w:r w:rsidRPr="00972667" w:rsidR="00676697">
        <w:rPr>
          <w:szCs w:val="22"/>
        </w:rPr>
        <w:t xml:space="preserve">equipment through </w:t>
      </w:r>
      <w:r w:rsidRPr="00DF4033" w:rsidR="00676697">
        <w:rPr>
          <w:i/>
        </w:rPr>
        <w:t>in rem</w:t>
      </w:r>
      <w:r w:rsidRPr="00972667" w:rsidR="00676697">
        <w:rPr>
          <w:szCs w:val="22"/>
        </w:rPr>
        <w:t xml:space="preserve"> forfeiture actions</w:t>
      </w:r>
      <w:r w:rsidRPr="00972667" w:rsidR="00676697">
        <w:rPr>
          <w:noProof/>
          <w:szCs w:val="22"/>
        </w:rPr>
        <w:t>,</w:t>
      </w:r>
      <w:r>
        <w:rPr>
          <w:rStyle w:val="FootnoteReference"/>
          <w:szCs w:val="22"/>
        </w:rPr>
        <w:footnoteReference w:id="21"/>
      </w:r>
      <w:r w:rsidRPr="00972667" w:rsidR="00676697">
        <w:rPr>
          <w:noProof/>
          <w:szCs w:val="22"/>
        </w:rPr>
        <w:t xml:space="preserve"> as well as criminal sanctions, including</w:t>
      </w:r>
      <w:r w:rsidR="00676697">
        <w:rPr>
          <w:noProof/>
          <w:szCs w:val="22"/>
        </w:rPr>
        <w:t xml:space="preserve"> </w:t>
      </w:r>
      <w:r w:rsidRPr="00972667" w:rsidR="00676697">
        <w:rPr>
          <w:noProof/>
          <w:szCs w:val="22"/>
        </w:rPr>
        <w:t>imprisonment.</w:t>
      </w:r>
      <w:r>
        <w:rPr>
          <w:noProof/>
          <w:szCs w:val="22"/>
          <w:vertAlign w:val="superscript"/>
        </w:rPr>
        <w:footnoteReference w:id="22"/>
      </w:r>
    </w:p>
    <w:p w:rsidR="00D924BF" w:rsidRPr="00AA3FA2" w:rsidP="00DF4033">
      <w:pPr>
        <w:pStyle w:val="Heading1"/>
        <w:widowControl/>
        <w:spacing w:after="120"/>
        <w:jc w:val="left"/>
        <w:rPr>
          <w:noProof/>
        </w:rPr>
      </w:pPr>
      <w:r w:rsidRPr="00AA3FA2">
        <w:rPr>
          <w:noProof/>
        </w:rPr>
        <w:t>ORDERING CLAUSES</w:t>
      </w:r>
    </w:p>
    <w:p w:rsidR="0051008E" w:rsidRPr="00BE70CC" w:rsidP="00DF4033">
      <w:pPr>
        <w:pStyle w:val="ParaNum"/>
        <w:spacing w:after="120"/>
        <w:jc w:val="left"/>
        <w:rPr>
          <w:kern w:val="2"/>
        </w:rPr>
      </w:pPr>
      <w:r w:rsidRPr="00BE70CC">
        <w:t xml:space="preserve">Accordingly, </w:t>
      </w:r>
      <w:r w:rsidRPr="00BE70CC">
        <w:rPr>
          <w:b/>
        </w:rPr>
        <w:t>IT IS ORDERED</w:t>
      </w:r>
      <w:r w:rsidRPr="00BE70CC">
        <w:t xml:space="preserve"> that, pursuant to </w:t>
      </w:r>
      <w:r w:rsidRPr="00BE70CC">
        <w:rPr>
          <w:noProof/>
        </w:rPr>
        <w:t xml:space="preserve">Sections 4(i) and 4(j) of the </w:t>
      </w:r>
      <w:r>
        <w:rPr>
          <w:noProof/>
        </w:rPr>
        <w:t>Act</w:t>
      </w:r>
      <w:r w:rsidRPr="00BE70CC">
        <w:rPr>
          <w:noProof/>
        </w:rPr>
        <w:t>,</w:t>
      </w:r>
      <w:r>
        <w:rPr>
          <w:rStyle w:val="FootnoteReference"/>
          <w:noProof/>
          <w:color w:val="000000"/>
          <w:szCs w:val="22"/>
        </w:rPr>
        <w:footnoteReference w:id="23"/>
      </w:r>
      <w:r w:rsidRPr="00BE70CC">
        <w:rPr>
          <w:noProof/>
        </w:rPr>
        <w:t xml:space="preserve"> </w:t>
      </w:r>
      <w:r w:rsidR="00676697">
        <w:t xml:space="preserve">Marc Blackburn </w:t>
      </w:r>
      <w:r w:rsidR="00E10EFA">
        <w:t>and Kristin Kumamoto</w:t>
      </w:r>
      <w:r w:rsidR="00E10EFA">
        <w:rPr>
          <w:noProof/>
        </w:rPr>
        <w:t xml:space="preserve"> </w:t>
      </w:r>
      <w:r>
        <w:rPr>
          <w:noProof/>
        </w:rPr>
        <w:t xml:space="preserve">must </w:t>
      </w:r>
      <w:r w:rsidRPr="00972667" w:rsidR="00676697">
        <w:rPr>
          <w:noProof/>
          <w:color w:val="000000"/>
          <w:szCs w:val="22"/>
        </w:rPr>
        <w:t xml:space="preserve">must cease and desist from causing harmful </w:t>
      </w:r>
      <w:r w:rsidRPr="00DF4033" w:rsidR="00676697">
        <w:rPr>
          <w:color w:val="000000"/>
        </w:rPr>
        <w:t>interference</w:t>
      </w:r>
      <w:r w:rsidRPr="00972667" w:rsidR="00676697">
        <w:rPr>
          <w:noProof/>
          <w:color w:val="000000"/>
          <w:szCs w:val="22"/>
        </w:rPr>
        <w:t>, in violation of Sections 15(b) and 15(c) of the Commission’s rules.</w:t>
      </w:r>
      <w:r>
        <w:rPr>
          <w:rStyle w:val="FootnoteReference"/>
          <w:noProof/>
          <w:szCs w:val="22"/>
        </w:rPr>
        <w:footnoteReference w:id="24"/>
      </w:r>
    </w:p>
    <w:p w:rsidR="00452322" w:rsidP="00DF4033">
      <w:pPr>
        <w:pStyle w:val="ParaNum"/>
        <w:tabs>
          <w:tab w:val="clear" w:pos="1080"/>
          <w:tab w:val="num" w:pos="1440"/>
        </w:tabs>
        <w:spacing w:after="120"/>
        <w:jc w:val="left"/>
      </w:pPr>
      <w:r w:rsidRPr="00BE70CC">
        <w:rPr>
          <w:noProof/>
        </w:rPr>
        <w:t xml:space="preserve"> </w:t>
      </w:r>
      <w:r w:rsidRPr="001E3D2E">
        <w:rPr>
          <w:b/>
          <w:noProof/>
        </w:rPr>
        <w:t>IT IS FURTHER ORDERED</w:t>
      </w:r>
      <w:r w:rsidRPr="00BE70CC">
        <w:rPr>
          <w:noProof/>
        </w:rPr>
        <w:t xml:space="preserve"> that, pursuant to Sections 4(i), 4(j), and 403 of the Act,</w:t>
      </w:r>
      <w:r>
        <w:rPr>
          <w:rStyle w:val="FootnoteReference"/>
          <w:noProof/>
          <w:szCs w:val="22"/>
        </w:rPr>
        <w:footnoteReference w:id="25"/>
      </w:r>
      <w:r w:rsidRPr="00BE70CC">
        <w:rPr>
          <w:noProof/>
        </w:rPr>
        <w:t xml:space="preserve">  </w:t>
      </w:r>
      <w:r w:rsidR="00676697">
        <w:rPr>
          <w:noProof/>
        </w:rPr>
        <w:t xml:space="preserve">Marc Blackburn </w:t>
      </w:r>
      <w:r w:rsidR="00E0538B">
        <w:t>and Kristin Kumamoto</w:t>
      </w:r>
      <w:r w:rsidRPr="001E3D2E" w:rsidR="00E0538B">
        <w:rPr>
          <w:noProof/>
          <w:szCs w:val="22"/>
        </w:rPr>
        <w:t xml:space="preserve"> </w:t>
      </w:r>
      <w:r w:rsidRPr="00DF4033" w:rsidR="00676697">
        <w:rPr>
          <w:color w:val="000000"/>
        </w:rPr>
        <w:t xml:space="preserve">must provide the written information requested in </w:t>
      </w:r>
      <w:r w:rsidRPr="001E3D2E" w:rsidR="00676697">
        <w:rPr>
          <w:noProof/>
          <w:color w:val="000000"/>
          <w:szCs w:val="22"/>
        </w:rPr>
        <w:t xml:space="preserve">paragraph </w:t>
      </w:r>
      <w:r w:rsidR="00697F8A">
        <w:rPr>
          <w:noProof/>
          <w:color w:val="000000"/>
          <w:szCs w:val="22"/>
        </w:rPr>
        <w:t>twelve</w:t>
      </w:r>
      <w:r w:rsidRPr="00DF4033" w:rsidR="00676697">
        <w:rPr>
          <w:color w:val="000000"/>
        </w:rPr>
        <w:t xml:space="preserve">, above.  </w:t>
      </w:r>
      <w:r w:rsidRPr="001E3D2E" w:rsidR="00676697">
        <w:rPr>
          <w:noProof/>
          <w:color w:val="000000"/>
          <w:szCs w:val="22"/>
        </w:rPr>
        <w:t xml:space="preserve">Marc Blackburn </w:t>
      </w:r>
      <w:r w:rsidR="006F74D1">
        <w:t>and Kristin Kumamoto</w:t>
      </w:r>
      <w:r w:rsidRPr="001E3D2E" w:rsidR="006F74D1">
        <w:rPr>
          <w:noProof/>
          <w:szCs w:val="22"/>
        </w:rPr>
        <w:t xml:space="preserve"> </w:t>
      </w:r>
      <w:r w:rsidRPr="001E3D2E" w:rsidR="00676697">
        <w:rPr>
          <w:noProof/>
          <w:szCs w:val="22"/>
        </w:rPr>
        <w:t xml:space="preserve">must </w:t>
      </w:r>
      <w:r w:rsidR="006F74D1">
        <w:rPr>
          <w:noProof/>
          <w:szCs w:val="22"/>
        </w:rPr>
        <w:t xml:space="preserve">each </w:t>
      </w:r>
      <w:r w:rsidRPr="001E3D2E" w:rsidR="00676697">
        <w:rPr>
          <w:noProof/>
          <w:color w:val="000000"/>
          <w:szCs w:val="22"/>
        </w:rPr>
        <w:t xml:space="preserve">support </w:t>
      </w:r>
      <w:r w:rsidR="006F74D1">
        <w:rPr>
          <w:noProof/>
          <w:color w:val="000000"/>
          <w:szCs w:val="22"/>
        </w:rPr>
        <w:t>their</w:t>
      </w:r>
      <w:r w:rsidRPr="001E3D2E" w:rsidR="00676697">
        <w:rPr>
          <w:noProof/>
          <w:color w:val="000000"/>
          <w:szCs w:val="22"/>
        </w:rPr>
        <w:t xml:space="preserve"> responses with a</w:t>
      </w:r>
      <w:r w:rsidR="006F74D1">
        <w:rPr>
          <w:noProof/>
          <w:color w:val="000000"/>
          <w:szCs w:val="22"/>
        </w:rPr>
        <w:t xml:space="preserve"> separate</w:t>
      </w:r>
      <w:r w:rsidRPr="001E3D2E" w:rsidR="00676697">
        <w:rPr>
          <w:noProof/>
          <w:color w:val="000000"/>
          <w:szCs w:val="22"/>
        </w:rPr>
        <w:t xml:space="preserve"> affidavit or declaration made </w:t>
      </w:r>
      <w:r w:rsidRPr="00DF4033" w:rsidR="00676697">
        <w:rPr>
          <w:color w:val="000000"/>
        </w:rPr>
        <w:t>under penalty of perjury</w:t>
      </w:r>
      <w:r w:rsidRPr="001E3D2E" w:rsidR="00676697">
        <w:rPr>
          <w:noProof/>
          <w:color w:val="000000"/>
          <w:szCs w:val="22"/>
        </w:rPr>
        <w:t>, signed and dated</w:t>
      </w:r>
      <w:r w:rsidRPr="00DF4033" w:rsidR="00676697">
        <w:rPr>
          <w:color w:val="000000"/>
        </w:rPr>
        <w:t xml:space="preserve"> by </w:t>
      </w:r>
      <w:r w:rsidRPr="001E3D2E" w:rsidR="00676697">
        <w:rPr>
          <w:noProof/>
          <w:color w:val="000000"/>
          <w:szCs w:val="22"/>
        </w:rPr>
        <w:t>Marc Blackburn</w:t>
      </w:r>
      <w:r w:rsidR="006F74D1">
        <w:rPr>
          <w:noProof/>
          <w:color w:val="000000"/>
          <w:szCs w:val="22"/>
        </w:rPr>
        <w:t xml:space="preserve"> and </w:t>
      </w:r>
      <w:r w:rsidR="006F74D1">
        <w:t>Kristin Kumamoto</w:t>
      </w:r>
      <w:r w:rsidR="00476FFC">
        <w:t xml:space="preserve"> respectively</w:t>
      </w:r>
      <w:r w:rsidRPr="001E3D2E" w:rsidR="00676697">
        <w:rPr>
          <w:noProof/>
          <w:color w:val="000000"/>
          <w:szCs w:val="22"/>
        </w:rPr>
        <w:t xml:space="preserve">, attesting personal knowledge of the representations provided in </w:t>
      </w:r>
      <w:r w:rsidRPr="00DF4033" w:rsidR="00676697">
        <w:rPr>
          <w:color w:val="000000"/>
        </w:rPr>
        <w:t xml:space="preserve">the </w:t>
      </w:r>
      <w:r w:rsidRPr="001E3D2E" w:rsidR="00676697">
        <w:rPr>
          <w:noProof/>
          <w:color w:val="000000"/>
          <w:szCs w:val="22"/>
        </w:rPr>
        <w:t>response, and verifying the truth and accuracy of the information therein and that all of the information requested has been produced</w:t>
      </w:r>
      <w:r w:rsidRPr="001E3D2E" w:rsidR="00676697">
        <w:rPr>
          <w:noProof/>
          <w:szCs w:val="22"/>
        </w:rPr>
        <w:t xml:space="preserve">.  </w:t>
      </w:r>
      <w:r w:rsidRPr="001E3D2E" w:rsidR="00676697">
        <w:rPr>
          <w:szCs w:val="22"/>
        </w:rPr>
        <w:t>All such declarations provided must comply with Section 1.16 of the Commission’s rules and be substantially in the form set forth therein.</w:t>
      </w:r>
      <w:r>
        <w:rPr>
          <w:szCs w:val="22"/>
          <w:vertAlign w:val="superscript"/>
        </w:rPr>
        <w:footnoteReference w:id="26"/>
      </w:r>
      <w:r w:rsidRPr="001E3D2E" w:rsidR="00676697">
        <w:rPr>
          <w:szCs w:val="22"/>
        </w:rPr>
        <w:t xml:space="preserve">  </w:t>
      </w:r>
      <w:r w:rsidRPr="001E3D2E" w:rsidR="00676697">
        <w:rPr>
          <w:noProof/>
          <w:szCs w:val="22"/>
        </w:rPr>
        <w:t>The Commission must receive the response within 30 calendar days of the release date of this Citation and Order</w:t>
      </w:r>
      <w:r w:rsidR="00493C15">
        <w:t>.</w:t>
      </w:r>
    </w:p>
    <w:p w:rsidR="00D924BF" w:rsidRPr="00452322" w:rsidP="00DF4033">
      <w:pPr>
        <w:pStyle w:val="ParaNum"/>
        <w:tabs>
          <w:tab w:val="clear" w:pos="1080"/>
          <w:tab w:val="num" w:pos="1440"/>
        </w:tabs>
        <w:spacing w:after="120"/>
        <w:jc w:val="left"/>
      </w:pPr>
      <w:r w:rsidRPr="00452322">
        <w:rPr>
          <w:b/>
        </w:rPr>
        <w:t>IT IS FURTHER ORDERED</w:t>
      </w:r>
      <w:r w:rsidRPr="00AA3FA2">
        <w:t xml:space="preserve"> that a copy of this Citation and Order shall be sent both by First Class U.S. Mail and Certified Mail, Return Receipt Requested, to</w:t>
      </w:r>
      <w:r w:rsidRPr="00AA3FA2" w:rsidR="00AA3FA2">
        <w:t xml:space="preserve"> Marc Blackburn </w:t>
      </w:r>
      <w:r w:rsidR="006F74D1">
        <w:t>and Kristin Kumamoto</w:t>
      </w:r>
      <w:r w:rsidRPr="00AA3FA2" w:rsidR="006F74D1">
        <w:t xml:space="preserve"> </w:t>
      </w:r>
      <w:r w:rsidRPr="00AA3FA2" w:rsidR="00AA3FA2">
        <w:t xml:space="preserve">at </w:t>
      </w:r>
      <w:r w:rsidR="006F74D1">
        <w:t>the</w:t>
      </w:r>
      <w:r w:rsidR="00733D07">
        <w:t xml:space="preserve">ir </w:t>
      </w:r>
      <w:r w:rsidR="003A0095">
        <w:t>r</w:t>
      </w:r>
      <w:r w:rsidR="006F74D1">
        <w:t>esidence in</w:t>
      </w:r>
      <w:r w:rsidRPr="00AA3FA2" w:rsidR="00AA3FA2">
        <w:t xml:space="preserve"> Los Angeles, California</w:t>
      </w:r>
      <w:r w:rsidRPr="00AA3FA2" w:rsidR="00CA7297">
        <w:t xml:space="preserve">. </w:t>
      </w:r>
      <w:r w:rsidRPr="00452322">
        <w:rPr>
          <w:b/>
        </w:rPr>
        <w:t xml:space="preserve">  </w:t>
      </w:r>
    </w:p>
    <w:p w:rsidR="00222E2F" w:rsidRPr="00DF4033" w:rsidP="00D924BF">
      <w:pPr>
        <w:rPr>
          <w:b/>
        </w:rPr>
      </w:pPr>
    </w:p>
    <w:p w:rsidR="006F3E34" w:rsidRPr="00AA3FA2" w:rsidP="00D924BF">
      <w:pPr>
        <w:rPr>
          <w:b/>
          <w:bCs/>
          <w:noProof/>
          <w:szCs w:val="22"/>
        </w:rPr>
      </w:pPr>
    </w:p>
    <w:p w:rsidR="00D924BF" w:rsidRPr="00AA3FA2" w:rsidP="00D924BF">
      <w:pPr>
        <w:ind w:left="3600"/>
        <w:rPr>
          <w:b/>
          <w:bCs/>
          <w:noProof/>
          <w:szCs w:val="22"/>
        </w:rPr>
      </w:pPr>
      <w:r w:rsidRPr="00AA3FA2">
        <w:rPr>
          <w:b/>
          <w:bCs/>
          <w:noProof/>
          <w:szCs w:val="22"/>
        </w:rPr>
        <w:t>FEDERAL COMMUNICATIONS COMMISSION</w:t>
      </w:r>
    </w:p>
    <w:p w:rsidR="00D924BF" w:rsidRPr="00AA3FA2" w:rsidP="00D924BF">
      <w:pPr>
        <w:ind w:left="3600"/>
        <w:rPr>
          <w:b/>
          <w:bCs/>
          <w:noProof/>
          <w:szCs w:val="22"/>
        </w:rPr>
      </w:pPr>
    </w:p>
    <w:p w:rsidR="00D924BF" w:rsidRPr="00AA3FA2" w:rsidP="00D924BF">
      <w:pPr>
        <w:ind w:left="3600"/>
        <w:rPr>
          <w:bCs/>
          <w:noProof/>
          <w:szCs w:val="22"/>
        </w:rPr>
      </w:pPr>
    </w:p>
    <w:p w:rsidR="00854531" w:rsidP="00D924BF">
      <w:pPr>
        <w:ind w:left="3600"/>
        <w:rPr>
          <w:bCs/>
          <w:noProof/>
          <w:szCs w:val="22"/>
        </w:rPr>
      </w:pPr>
    </w:p>
    <w:p w:rsidR="00222E2F" w:rsidRPr="00AA3FA2" w:rsidP="00D924BF">
      <w:pPr>
        <w:ind w:left="3600"/>
        <w:rPr>
          <w:bCs/>
          <w:noProof/>
          <w:szCs w:val="22"/>
        </w:rPr>
      </w:pPr>
    </w:p>
    <w:p w:rsidR="00BE6EC4" w:rsidRPr="00AA3FA2" w:rsidP="00D924BF">
      <w:pPr>
        <w:ind w:left="3600"/>
        <w:rPr>
          <w:bCs/>
          <w:noProof/>
          <w:szCs w:val="22"/>
        </w:rPr>
      </w:pPr>
      <w:r w:rsidRPr="00AA3FA2">
        <w:rPr>
          <w:bCs/>
          <w:noProof/>
          <w:szCs w:val="22"/>
        </w:rPr>
        <w:t>Lark Hadley</w:t>
      </w:r>
    </w:p>
    <w:p w:rsidR="00840192" w:rsidRPr="00AA3FA2" w:rsidP="00D924BF">
      <w:pPr>
        <w:ind w:left="3600"/>
        <w:rPr>
          <w:noProof/>
          <w:szCs w:val="22"/>
        </w:rPr>
      </w:pPr>
      <w:r w:rsidRPr="00AA3FA2">
        <w:rPr>
          <w:noProof/>
          <w:szCs w:val="22"/>
        </w:rPr>
        <w:t>Regional Director</w:t>
      </w:r>
    </w:p>
    <w:p w:rsidR="00E35276" w:rsidRPr="00AA3FA2" w:rsidP="00D924BF">
      <w:pPr>
        <w:ind w:left="3600"/>
        <w:rPr>
          <w:noProof/>
          <w:szCs w:val="22"/>
        </w:rPr>
      </w:pPr>
      <w:r w:rsidRPr="00AA3FA2">
        <w:rPr>
          <w:noProof/>
          <w:szCs w:val="22"/>
        </w:rPr>
        <w:t>Region Three</w:t>
      </w:r>
    </w:p>
    <w:p w:rsidR="0077291F" w:rsidRPr="00AA3FA2" w:rsidP="00D924BF">
      <w:pPr>
        <w:ind w:left="3600"/>
        <w:rPr>
          <w:noProof/>
          <w:szCs w:val="22"/>
        </w:rPr>
      </w:pPr>
      <w:r w:rsidRPr="00AA3FA2">
        <w:rPr>
          <w:noProof/>
          <w:szCs w:val="22"/>
        </w:rPr>
        <w:t>Enforcement Bureau</w:t>
      </w:r>
    </w:p>
    <w:p w:rsidR="00D924BF" w:rsidRPr="00AA3FA2" w:rsidP="00D924BF">
      <w:pPr>
        <w:pStyle w:val="ParaNum"/>
        <w:numPr>
          <w:ilvl w:val="0"/>
          <w:numId w:val="0"/>
        </w:numPr>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F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B29">
      <w:pPr>
        <w:rPr>
          <w:sz w:val="20"/>
        </w:rPr>
      </w:pPr>
      <w:r>
        <w:rPr>
          <w:sz w:val="20"/>
        </w:rPr>
        <w:separator/>
      </w:r>
    </w:p>
  </w:footnote>
  <w:footnote w:type="continuationSeparator" w:id="1">
    <w:p w:rsidR="00D01B29">
      <w:pPr>
        <w:rPr>
          <w:sz w:val="20"/>
        </w:rPr>
      </w:pPr>
      <w:r>
        <w:rPr>
          <w:sz w:val="20"/>
        </w:rPr>
        <w:separator/>
      </w:r>
    </w:p>
    <w:p w:rsidR="00D01B29">
      <w:pPr>
        <w:rPr>
          <w:sz w:val="20"/>
        </w:rPr>
      </w:pPr>
      <w:r>
        <w:rPr>
          <w:sz w:val="20"/>
        </w:rPr>
        <w:t>(...continued from previous page)</w:t>
      </w:r>
    </w:p>
  </w:footnote>
  <w:footnote w:type="continuationNotice" w:id="2">
    <w:p w:rsidR="00D01B29">
      <w:pPr>
        <w:jc w:val="right"/>
        <w:rPr>
          <w:sz w:val="20"/>
        </w:rPr>
      </w:pPr>
    </w:p>
  </w:footnote>
  <w:footnote w:id="3">
    <w:p w:rsidR="00697F8A" w:rsidRPr="002D63C3" w:rsidP="00A22F89">
      <w:pPr>
        <w:pStyle w:val="FootnoteText"/>
        <w:jc w:val="lef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697F8A" w:rsidRPr="002D63C3" w:rsidP="00A22F89">
      <w:pPr>
        <w:pStyle w:val="FootnoteText"/>
        <w:jc w:val="left"/>
      </w:pPr>
      <w:r w:rsidRPr="002D63C3">
        <w:rPr>
          <w:rStyle w:val="FootnoteReference"/>
        </w:rPr>
        <w:footnoteRef/>
      </w:r>
      <w:r w:rsidRPr="002D63C3">
        <w:t xml:space="preserve"> </w:t>
      </w:r>
      <w:r>
        <w:t xml:space="preserve">47 CFR </w:t>
      </w:r>
      <w:r w:rsidRPr="00DF4033">
        <w:t>§§ 15.5(b</w:t>
      </w:r>
      <w:r w:rsidRPr="00222E2F">
        <w:t>)-(</w:t>
      </w:r>
      <w:r w:rsidRPr="00DF4033">
        <w:t>c)</w:t>
      </w:r>
      <w:r w:rsidRPr="00AB2C80">
        <w:t>.</w:t>
      </w:r>
      <w:r w:rsidRPr="002D63C3">
        <w:t xml:space="preserve"> </w:t>
      </w:r>
    </w:p>
  </w:footnote>
  <w:footnote w:id="5">
    <w:p w:rsidR="00697F8A" w:rsidP="00A22F89">
      <w:pPr>
        <w:pStyle w:val="FootnoteText"/>
        <w:jc w:val="left"/>
      </w:pPr>
      <w:r>
        <w:rPr>
          <w:rStyle w:val="FootnoteReference"/>
          <w:kern w:val="20"/>
        </w:rPr>
        <w:footnoteRef/>
      </w:r>
      <w:r>
        <w:rPr>
          <w:kern w:val="20"/>
        </w:rPr>
        <w:t xml:space="preserve"> </w:t>
      </w:r>
      <w:r>
        <w:rPr>
          <w:i/>
          <w:kern w:val="20"/>
        </w:rPr>
        <w:t>See</w:t>
      </w:r>
      <w:r>
        <w:rPr>
          <w:kern w:val="20"/>
        </w:rPr>
        <w:t xml:space="preserve"> 47 U.S.C § 503(b)(5).  </w:t>
      </w:r>
      <w:r>
        <w:rPr>
          <w:i/>
          <w:iCs/>
          <w:kern w:val="20"/>
        </w:rPr>
        <w:t>See also</w:t>
      </w:r>
      <w:r>
        <w:rPr>
          <w:iCs/>
          <w:kern w:val="20"/>
        </w:rPr>
        <w:t xml:space="preserve"> </w:t>
      </w:r>
      <w:r>
        <w:rPr>
          <w:kern w:val="20"/>
        </w:rPr>
        <w:t>S. Rep. 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Pr>
          <w:kern w:val="20"/>
        </w:rPr>
        <w:t>”) (emphasis added).</w:t>
      </w:r>
    </w:p>
  </w:footnote>
  <w:footnote w:id="6">
    <w:p w:rsidR="00697F8A" w:rsidP="00A22F89">
      <w:pPr>
        <w:pStyle w:val="FootnoteText"/>
        <w:jc w:val="left"/>
      </w:pPr>
      <w:r>
        <w:rPr>
          <w:rStyle w:val="FootnoteReference"/>
          <w:kern w:val="20"/>
        </w:rPr>
        <w:footnoteRef/>
      </w:r>
      <w:r>
        <w:rPr>
          <w:kern w:val="20"/>
        </w:rPr>
        <w:t xml:space="preserve"> 47 U.S.C. §§ 154(</w:t>
      </w:r>
      <w:r>
        <w:rPr>
          <w:kern w:val="20"/>
        </w:rPr>
        <w:t>i</w:t>
      </w:r>
      <w:r>
        <w:rPr>
          <w:kern w:val="20"/>
        </w:rPr>
        <w:t>)-(j), 403.</w:t>
      </w:r>
    </w:p>
  </w:footnote>
  <w:footnote w:id="7">
    <w:p w:rsidR="000A1902" w:rsidP="000A1902">
      <w:pPr>
        <w:pStyle w:val="FootnoteText"/>
        <w:jc w:val="left"/>
      </w:pPr>
      <w:r>
        <w:rPr>
          <w:rStyle w:val="FootnoteReference"/>
        </w:rPr>
        <w:footnoteRef/>
      </w:r>
      <w:r>
        <w:t xml:space="preserve"> </w:t>
      </w:r>
      <w:r w:rsidRPr="00E52064">
        <w:rPr>
          <w:i/>
        </w:rPr>
        <w:t>See</w:t>
      </w:r>
      <w:r>
        <w:t xml:space="preserve"> </w:t>
      </w:r>
      <w:r w:rsidRPr="006F3E34">
        <w:rPr>
          <w:i/>
        </w:rPr>
        <w:t>Marc Blackburn and Kristin Kumamoto</w:t>
      </w:r>
      <w:r>
        <w:t>, W</w:t>
      </w:r>
      <w:r w:rsidRPr="00AA3FA2">
        <w:t xml:space="preserve">arning </w:t>
      </w:r>
      <w:r>
        <w:t xml:space="preserve">of Harmful Interference (Oct. 24, 2017) (on file in </w:t>
      </w:r>
      <w:r w:rsidRPr="0098016B">
        <w:t>EB-FIELDWR-17-00024778</w:t>
      </w:r>
      <w:r>
        <w:t xml:space="preserve">).  </w:t>
      </w:r>
    </w:p>
  </w:footnote>
  <w:footnote w:id="8">
    <w:p w:rsidR="0098016B" w:rsidP="00A22F89">
      <w:pPr>
        <w:pStyle w:val="FootnoteText"/>
        <w:jc w:val="left"/>
      </w:pPr>
      <w:r>
        <w:rPr>
          <w:rStyle w:val="FootnoteReference"/>
        </w:rPr>
        <w:footnoteRef/>
      </w:r>
      <w:r>
        <w:t xml:space="preserve"> </w:t>
      </w:r>
      <w:r w:rsidRPr="00E52064">
        <w:rPr>
          <w:i/>
        </w:rPr>
        <w:t>See</w:t>
      </w:r>
      <w:r>
        <w:t xml:space="preserve"> </w:t>
      </w:r>
      <w:r w:rsidRPr="006F3E34">
        <w:rPr>
          <w:i/>
        </w:rPr>
        <w:t>Marc Blackburn and Kristin Kumamoto</w:t>
      </w:r>
      <w:r>
        <w:t xml:space="preserve">, Warning of Interference (Jan. 12, 2018) (on file in </w:t>
      </w:r>
      <w:r w:rsidRPr="0098016B">
        <w:t>EB-FIELDWR-17-00024778</w:t>
      </w:r>
      <w:r>
        <w:t xml:space="preserve">).  </w:t>
      </w:r>
    </w:p>
  </w:footnote>
  <w:footnote w:id="9">
    <w:p w:rsidR="0098016B" w:rsidP="00A22F89">
      <w:pPr>
        <w:pStyle w:val="FootnoteText"/>
        <w:jc w:val="left"/>
      </w:pPr>
      <w:r>
        <w:rPr>
          <w:rStyle w:val="FootnoteReference"/>
        </w:rPr>
        <w:footnoteRef/>
      </w:r>
      <w:r>
        <w:t xml:space="preserve"> </w:t>
      </w:r>
      <w:r w:rsidRPr="00E52064">
        <w:rPr>
          <w:i/>
        </w:rPr>
        <w:t>See</w:t>
      </w:r>
      <w:r>
        <w:t xml:space="preserve"> </w:t>
      </w:r>
      <w:r w:rsidRPr="006F3E34">
        <w:rPr>
          <w:i/>
        </w:rPr>
        <w:t>Marc Blackburn and Kristin Kumamoto</w:t>
      </w:r>
      <w:r>
        <w:t>, W</w:t>
      </w:r>
      <w:r w:rsidRPr="00AA3FA2">
        <w:t xml:space="preserve">arning </w:t>
      </w:r>
      <w:r>
        <w:t xml:space="preserve">of Harmful Interference (Apr. 9, 2018) (on file in </w:t>
      </w:r>
      <w:r w:rsidRPr="0098016B">
        <w:t>EB-FIELDWR-17-00024778</w:t>
      </w:r>
      <w:r>
        <w:t xml:space="preserve">).  </w:t>
      </w:r>
    </w:p>
  </w:footnote>
  <w:footnote w:id="10">
    <w:p w:rsidR="00697F8A" w:rsidP="00A22F89">
      <w:pPr>
        <w:pStyle w:val="FootnoteText"/>
        <w:jc w:val="left"/>
      </w:pPr>
      <w:r>
        <w:rPr>
          <w:rStyle w:val="FootnoteReference"/>
        </w:rPr>
        <w:footnoteRef/>
      </w:r>
      <w:r>
        <w:t xml:space="preserve"> 47 CFR § 15.5(b). </w:t>
      </w:r>
    </w:p>
  </w:footnote>
  <w:footnote w:id="11">
    <w:p w:rsidR="00697F8A" w:rsidP="00A22F89">
      <w:pPr>
        <w:pStyle w:val="FootnoteText"/>
        <w:jc w:val="left"/>
      </w:pPr>
      <w:r>
        <w:rPr>
          <w:rStyle w:val="FootnoteReference"/>
        </w:rPr>
        <w:footnoteRef/>
      </w:r>
      <w:r>
        <w:t xml:space="preserve"> 47 CFR § 15.5(c).</w:t>
      </w:r>
    </w:p>
  </w:footnote>
  <w:footnote w:id="12">
    <w:p w:rsidR="00697F8A" w:rsidP="00A22F89">
      <w:pPr>
        <w:pStyle w:val="FootnoteText"/>
        <w:jc w:val="left"/>
      </w:pPr>
      <w:r>
        <w:rPr>
          <w:rStyle w:val="FootnoteReference"/>
        </w:rPr>
        <w:footnoteRef/>
      </w:r>
      <w:r>
        <w:t xml:space="preserve"> 47 CFR §15.3(m).</w:t>
      </w:r>
    </w:p>
  </w:footnote>
  <w:footnote w:id="13">
    <w:p w:rsidR="00697F8A" w:rsidP="00A22F89">
      <w:pPr>
        <w:pStyle w:val="FootnoteText"/>
        <w:jc w:val="left"/>
      </w:pPr>
      <w:r>
        <w:rPr>
          <w:rStyle w:val="FootnoteReference"/>
        </w:rPr>
        <w:footnoteRef/>
      </w:r>
      <w:r>
        <w:t xml:space="preserve"> 47 CFR § 15.5(b)-(c).</w:t>
      </w:r>
    </w:p>
  </w:footnote>
  <w:footnote w:id="14">
    <w:p w:rsidR="00697F8A" w:rsidP="00A22F89">
      <w:pPr>
        <w:pStyle w:val="FootnoteText"/>
        <w:jc w:val="left"/>
      </w:pPr>
      <w:r>
        <w:rPr>
          <w:rStyle w:val="FootnoteReference"/>
        </w:rPr>
        <w:footnoteRef/>
      </w:r>
      <w:r>
        <w:t xml:space="preserve"> </w:t>
      </w:r>
      <w:r>
        <w:rPr>
          <w:kern w:val="20"/>
        </w:rPr>
        <w:t>47 U.S.C. §§ 154(</w:t>
      </w:r>
      <w:r>
        <w:rPr>
          <w:kern w:val="20"/>
        </w:rPr>
        <w:t>i</w:t>
      </w:r>
      <w:r>
        <w:rPr>
          <w:kern w:val="20"/>
        </w:rPr>
        <w:t>)-(j), 403.</w:t>
      </w:r>
    </w:p>
  </w:footnote>
  <w:footnote w:id="15">
    <w:p w:rsidR="00697F8A" w:rsidP="00A22F89">
      <w:pPr>
        <w:pStyle w:val="FootnoteText"/>
        <w:jc w:val="left"/>
      </w:pPr>
      <w:r>
        <w:rPr>
          <w:rStyle w:val="FootnoteReference"/>
        </w:rPr>
        <w:footnoteRef/>
      </w:r>
      <w:r>
        <w:t xml:space="preserve"> </w:t>
      </w:r>
      <w:r w:rsidRPr="00BE70CC">
        <w:rPr>
          <w:szCs w:val="22"/>
        </w:rPr>
        <w:t xml:space="preserve">47 </w:t>
      </w:r>
      <w:r>
        <w:rPr>
          <w:szCs w:val="22"/>
        </w:rPr>
        <w:t>CFR</w:t>
      </w:r>
      <w:r w:rsidRPr="00BE70CC">
        <w:rPr>
          <w:szCs w:val="22"/>
        </w:rPr>
        <w:t xml:space="preserve"> § 1.17</w:t>
      </w:r>
      <w:r>
        <w:rPr>
          <w:szCs w:val="22"/>
        </w:rPr>
        <w:t>.</w:t>
      </w:r>
    </w:p>
  </w:footnote>
  <w:footnote w:id="16">
    <w:p w:rsidR="00697F8A" w:rsidP="00A22F89">
      <w:pPr>
        <w:pStyle w:val="FootnoteText"/>
        <w:jc w:val="left"/>
      </w:pPr>
      <w:r>
        <w:rPr>
          <w:rStyle w:val="FootnoteReference"/>
        </w:rPr>
        <w:footnoteRef/>
      </w:r>
      <w:r>
        <w:t xml:space="preserve"> </w:t>
      </w:r>
      <w:r w:rsidRPr="00BE70CC">
        <w:rPr>
          <w:kern w:val="2"/>
          <w:szCs w:val="22"/>
        </w:rPr>
        <w:t>18 U.S.C. § 1001</w:t>
      </w:r>
      <w:r>
        <w:rPr>
          <w:kern w:val="2"/>
          <w:szCs w:val="22"/>
        </w:rPr>
        <w:t>.</w:t>
      </w:r>
    </w:p>
  </w:footnote>
  <w:footnote w:id="17">
    <w:p w:rsidR="00697F8A" w:rsidP="00A22F89">
      <w:pPr>
        <w:pStyle w:val="FootnoteText"/>
        <w:jc w:val="left"/>
      </w:pPr>
      <w:r>
        <w:rPr>
          <w:rStyle w:val="FootnoteReference"/>
        </w:rPr>
        <w:footnoteRef/>
      </w:r>
      <w:r>
        <w:t xml:space="preserve"> </w:t>
      </w:r>
      <w:r w:rsidRPr="00BE70CC">
        <w:rPr>
          <w:kern w:val="2"/>
          <w:szCs w:val="22"/>
        </w:rPr>
        <w:t>5 U.S.C. § 552a(e)(3)</w:t>
      </w:r>
      <w:r>
        <w:rPr>
          <w:kern w:val="2"/>
          <w:szCs w:val="22"/>
        </w:rPr>
        <w:t>.</w:t>
      </w:r>
    </w:p>
  </w:footnote>
  <w:footnote w:id="18">
    <w:p w:rsidR="00697F8A" w:rsidP="00A22F89">
      <w:pPr>
        <w:pStyle w:val="FootnoteText"/>
        <w:jc w:val="left"/>
      </w:pPr>
      <w:r>
        <w:rPr>
          <w:rStyle w:val="FootnoteReference"/>
        </w:rPr>
        <w:footnoteRef/>
      </w:r>
      <w:r>
        <w:t xml:space="preserve"> 47 CFR § 15.5(b)-(c).</w:t>
      </w:r>
    </w:p>
  </w:footnote>
  <w:footnote w:id="19">
    <w:p w:rsidR="00697F8A" w:rsidP="00A22F89">
      <w:pPr>
        <w:pStyle w:val="FootnoteText"/>
        <w:jc w:val="left"/>
      </w:pPr>
      <w:r>
        <w:rPr>
          <w:rStyle w:val="FootnoteReference"/>
        </w:rPr>
        <w:footnoteRef/>
      </w:r>
      <w:r>
        <w:t xml:space="preserve">  </w:t>
      </w:r>
      <w:r w:rsidRPr="002D63C3">
        <w:rPr>
          <w:i/>
        </w:rPr>
        <w:t xml:space="preserve">See </w:t>
      </w:r>
      <w:r w:rsidRPr="002D63C3">
        <w:t xml:space="preserve">47 U.S.C. § 503; 47 </w:t>
      </w:r>
      <w:r>
        <w:t>CFR</w:t>
      </w:r>
      <w:r w:rsidRPr="002D63C3">
        <w:t xml:space="preserve"> § 1.80(b).  This amount is subject to further adjustment for inflation.  </w:t>
      </w:r>
      <w:r w:rsidRPr="002D63C3">
        <w:rPr>
          <w:i/>
        </w:rPr>
        <w:t xml:space="preserve">See </w:t>
      </w:r>
      <w:r w:rsidRPr="002D63C3">
        <w:t xml:space="preserve">47 </w:t>
      </w:r>
      <w:r>
        <w:t>CFR</w:t>
      </w:r>
      <w:r w:rsidRPr="002D63C3">
        <w:t xml:space="preserve"> § 1.80(b)(9).    </w:t>
      </w:r>
    </w:p>
  </w:footnote>
  <w:footnote w:id="20">
    <w:p w:rsidR="00697F8A" w:rsidP="00A22F89">
      <w:pPr>
        <w:pStyle w:val="FootnoteText"/>
        <w:jc w:val="left"/>
      </w:pPr>
      <w:r>
        <w:rPr>
          <w:rStyle w:val="FootnoteReference"/>
        </w:rPr>
        <w:footnoteRef/>
      </w:r>
      <w:r>
        <w:t xml:space="preserve"> </w:t>
      </w:r>
      <w:r w:rsidRPr="00A52BF8">
        <w:rPr>
          <w:i/>
        </w:rPr>
        <w:t>See supra</w:t>
      </w:r>
      <w:r>
        <w:t xml:space="preserve"> para. 2.</w:t>
      </w:r>
    </w:p>
  </w:footnote>
  <w:footnote w:id="21">
    <w:p w:rsidR="00697F8A" w:rsidRPr="002D63C3" w:rsidP="00A22F89">
      <w:pPr>
        <w:pStyle w:val="FootnoteText"/>
        <w:jc w:val="left"/>
      </w:pPr>
      <w:r w:rsidRPr="002D63C3">
        <w:rPr>
          <w:rStyle w:val="FootnoteReference"/>
        </w:rPr>
        <w:footnoteRef/>
      </w:r>
      <w:r w:rsidRPr="002D63C3">
        <w:t xml:space="preserve"> </w:t>
      </w:r>
      <w:r w:rsidRPr="002D63C3">
        <w:rPr>
          <w:i/>
          <w:iCs/>
        </w:rPr>
        <w:t>See</w:t>
      </w:r>
      <w:r w:rsidRPr="002D63C3">
        <w:t xml:space="preserve"> 47 U.S.C. § 510.</w:t>
      </w:r>
    </w:p>
  </w:footnote>
  <w:footnote w:id="22">
    <w:p w:rsidR="00697F8A" w:rsidP="00A22F89">
      <w:pPr>
        <w:pStyle w:val="FootnoteText"/>
        <w:jc w:val="left"/>
      </w:pPr>
      <w:r>
        <w:rPr>
          <w:rStyle w:val="FootnoteReference"/>
        </w:rPr>
        <w:footnoteRef/>
      </w:r>
      <w:r>
        <w:t xml:space="preserve"> </w:t>
      </w:r>
      <w:r w:rsidRPr="00E52064">
        <w:rPr>
          <w:i/>
        </w:rPr>
        <w:t>See</w:t>
      </w:r>
      <w:r>
        <w:t xml:space="preserve"> 47 U.S.C. §§ 401, 501.</w:t>
      </w:r>
    </w:p>
  </w:footnote>
  <w:footnote w:id="23">
    <w:p w:rsidR="00697F8A" w:rsidRPr="002D63C3" w:rsidP="00A22F89">
      <w:pPr>
        <w:pStyle w:val="FootnoteText"/>
        <w:jc w:val="left"/>
      </w:pPr>
      <w:r w:rsidRPr="002D63C3">
        <w:rPr>
          <w:rStyle w:val="FootnoteReference"/>
        </w:rPr>
        <w:footnoteRef/>
      </w:r>
      <w:r w:rsidRPr="002D63C3">
        <w:t xml:space="preserve"> 47 U.S.C. §§ 154(</w:t>
      </w:r>
      <w:r w:rsidRPr="002D63C3">
        <w:t>i</w:t>
      </w:r>
      <w:r w:rsidRPr="002D63C3">
        <w:t>), 154(j).</w:t>
      </w:r>
    </w:p>
  </w:footnote>
  <w:footnote w:id="24">
    <w:p w:rsidR="00697F8A" w:rsidP="00A22F89">
      <w:pPr>
        <w:pStyle w:val="FootnoteText"/>
        <w:jc w:val="left"/>
      </w:pPr>
      <w:r>
        <w:rPr>
          <w:rStyle w:val="FootnoteReference"/>
        </w:rPr>
        <w:footnoteRef/>
      </w:r>
      <w:r>
        <w:t xml:space="preserve"> </w:t>
      </w:r>
      <w:r w:rsidRPr="00E52064">
        <w:rPr>
          <w:i/>
        </w:rPr>
        <w:t>See</w:t>
      </w:r>
      <w:r>
        <w:t xml:space="preserve"> 47 CFR § 15.5(b)-(c).</w:t>
      </w:r>
    </w:p>
  </w:footnote>
  <w:footnote w:id="25">
    <w:p w:rsidR="00697F8A" w:rsidRPr="002D63C3" w:rsidP="00A22F89">
      <w:pPr>
        <w:pStyle w:val="FootnoteText"/>
        <w:jc w:val="left"/>
      </w:pPr>
      <w:r w:rsidRPr="002D63C3">
        <w:rPr>
          <w:rStyle w:val="FootnoteReference"/>
        </w:rPr>
        <w:footnoteRef/>
      </w:r>
      <w:r w:rsidRPr="002D63C3">
        <w:t xml:space="preserve"> 47 U.S.C. §§ 154(</w:t>
      </w:r>
      <w:r w:rsidRPr="002D63C3">
        <w:t>i</w:t>
      </w:r>
      <w:r w:rsidRPr="002D63C3">
        <w:t>), 154(j), 403.</w:t>
      </w:r>
    </w:p>
  </w:footnote>
  <w:footnote w:id="26">
    <w:p w:rsidR="00697F8A" w:rsidP="00A22F89">
      <w:pPr>
        <w:pStyle w:val="FootnoteText"/>
        <w:jc w:val="left"/>
      </w:pPr>
      <w:r w:rsidRPr="002D63C3">
        <w:rPr>
          <w:rStyle w:val="FootnoteReference"/>
        </w:rPr>
        <w:footnoteRef/>
      </w:r>
      <w:r w:rsidRPr="002D63C3">
        <w:t xml:space="preserve"> 47 C.F.R.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F8A">
    <w:pPr>
      <w:pStyle w:val="Header"/>
      <w:tabs>
        <w:tab w:val="clear" w:pos="4320"/>
        <w:tab w:val="center" w:pos="4680"/>
        <w:tab w:val="clear" w:pos="8640"/>
        <w:tab w:val="right" w:pos="9360"/>
      </w:tabs>
      <w:rPr>
        <w:b/>
      </w:rPr>
    </w:pPr>
    <w:r>
      <w:rPr>
        <w:b/>
      </w:rPr>
      <w:tab/>
      <w:t>Federal Communications Commission</w:t>
    </w:r>
    <w:r>
      <w:rPr>
        <w:b/>
      </w:rPr>
      <w:tab/>
      <w:t xml:space="preserve">DA </w:t>
    </w:r>
    <w:r w:rsidRPr="007C1DFD" w:rsidR="007C1DFD">
      <w:rPr>
        <w:b/>
      </w:rPr>
      <w:t>18-1084</w:t>
    </w:r>
  </w:p>
  <w:p w:rsidR="00697F8A">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9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F8A">
    <w:pPr>
      <w:pStyle w:val="Header"/>
      <w:tabs>
        <w:tab w:val="clear" w:pos="4320"/>
        <w:tab w:val="center" w:pos="4680"/>
        <w:tab w:val="clear" w:pos="8640"/>
        <w:tab w:val="right" w:pos="9360"/>
      </w:tabs>
      <w:rPr>
        <w:b/>
      </w:rPr>
    </w:pPr>
    <w:r>
      <w:rPr>
        <w:b/>
      </w:rPr>
      <w:tab/>
      <w:t>Federal Communications Commission</w:t>
    </w:r>
    <w:r>
      <w:rPr>
        <w:b/>
      </w:rPr>
      <w:tab/>
      <w:t xml:space="preserve">DA </w:t>
    </w:r>
    <w:r w:rsidRPr="007C1DFD" w:rsidR="007C1DFD">
      <w:rPr>
        <w:b/>
      </w:rPr>
      <w:t>18-1084</w:t>
    </w:r>
  </w:p>
  <w:p w:rsidR="00697F8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9D6B92"/>
    <w:multiLevelType w:val="hybridMultilevel"/>
    <w:tmpl w:val="FA7AD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2126F842"/>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43F97807"/>
    <w:multiLevelType w:val="hybridMultilevel"/>
    <w:tmpl w:val="B746841E"/>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77978D2"/>
    <w:multiLevelType w:val="hybridMultilevel"/>
    <w:tmpl w:val="D072592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1182925"/>
    <w:multiLevelType w:val="singleLevel"/>
    <w:tmpl w:val="111C9D98"/>
    <w:lvl w:ilvl="0">
      <w:start w:val="1"/>
      <w:numFmt w:val="decimal"/>
      <w:pStyle w:val="TOC1"/>
      <w:lvlText w:val="%1."/>
      <w:lvlJc w:val="left"/>
      <w:pPr>
        <w:tabs>
          <w:tab w:val="num" w:pos="1080"/>
        </w:tabs>
        <w:ind w:left="0" w:firstLine="720"/>
      </w:pPr>
      <w:rPr>
        <w:rFonts w:cs="Times New Roman" w:hint="default"/>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5"/>
  </w:num>
  <w:num w:numId="3">
    <w:abstractNumId w:val="4"/>
  </w:num>
  <w:num w:numId="4">
    <w:abstractNumId w:val="18"/>
  </w:num>
  <w:num w:numId="5">
    <w:abstractNumId w:val="6"/>
  </w:num>
  <w:num w:numId="6">
    <w:abstractNumId w:val="22"/>
  </w:num>
  <w:num w:numId="7">
    <w:abstractNumId w:val="15"/>
  </w:num>
  <w:num w:numId="8">
    <w:abstractNumId w:val="7"/>
  </w:num>
  <w:num w:numId="9">
    <w:abstractNumId w:val="21"/>
  </w:num>
  <w:num w:numId="10">
    <w:abstractNumId w:val="12"/>
  </w:num>
  <w:num w:numId="11">
    <w:abstractNumId w:val="11"/>
  </w:num>
  <w:num w:numId="12">
    <w:abstractNumId w:val="8"/>
  </w:num>
  <w:num w:numId="13">
    <w:abstractNumId w:val="13"/>
  </w:num>
  <w:num w:numId="14">
    <w:abstractNumId w:val="19"/>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7"/>
  </w:num>
  <w:num w:numId="22">
    <w:abstractNumId w:val="5"/>
  </w:num>
  <w:num w:numId="23">
    <w:abstractNumId w:val="13"/>
  </w:num>
  <w:num w:numId="24">
    <w:abstractNumId w:val="13"/>
  </w:num>
  <w:num w:numId="25">
    <w:abstractNumId w:val="13"/>
    <w:lvlOverride w:ilvl="0">
      <w:startOverride w:val="1"/>
    </w:lvlOverride>
  </w:num>
  <w:num w:numId="26">
    <w:abstractNumId w:val="14"/>
  </w:num>
  <w:num w:numId="27">
    <w:abstractNumId w:val="20"/>
  </w:num>
  <w:num w:numId="28">
    <w:abstractNumId w:val="0"/>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Footnote Reference1,Style 12,Style 124,Style 13,Style 17,Style 3,Style 4,Style 6,fr,o"/>
    <w:basedOn w:val="DefaultParagraphFon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numPr>
        <w:numId w:val="29"/>
      </w:numPr>
      <w:tabs>
        <w:tab w:val="right" w:leader="dot" w:pos="9360"/>
      </w:tabs>
      <w:suppressAutoHyphens/>
      <w:spacing w:before="220"/>
      <w:ind w:right="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basedOn w:val="DefaultParagraphFont"/>
    <w:link w:val="FootnoteText"/>
    <w:rsid w:val="00D924BF"/>
    <w:rPr>
      <w:lang w:val="en-US" w:eastAsia="en-US" w:bidi="ar-SA"/>
    </w:rPr>
  </w:style>
  <w:style w:type="character" w:styleId="Hyperlink">
    <w:name w:val="Hyperlink"/>
    <w:basedOn w:val="DefaultParagraphFont"/>
    <w:rsid w:val="00E83C67"/>
    <w:rPr>
      <w:color w:val="0000FF"/>
      <w:u w:val="single"/>
    </w:rPr>
  </w:style>
  <w:style w:type="paragraph" w:styleId="BalloonText">
    <w:name w:val="Balloon Text"/>
    <w:basedOn w:val="Normal"/>
    <w:semiHidden/>
    <w:rsid w:val="00C074CC"/>
    <w:rPr>
      <w:rFonts w:ascii="Tahoma" w:hAnsi="Tahoma" w:cs="Tahoma"/>
      <w:sz w:val="16"/>
      <w:szCs w:val="16"/>
    </w:rPr>
  </w:style>
  <w:style w:type="character" w:styleId="CommentReference">
    <w:name w:val="annotation reference"/>
    <w:basedOn w:val="DefaultParagraphFont"/>
    <w:semiHidden/>
    <w:rsid w:val="00031C63"/>
    <w:rPr>
      <w:sz w:val="16"/>
      <w:szCs w:val="16"/>
    </w:rPr>
  </w:style>
  <w:style w:type="paragraph" w:styleId="CommentText">
    <w:name w:val="annotation text"/>
    <w:basedOn w:val="Normal"/>
    <w:semiHidden/>
    <w:rsid w:val="00031C63"/>
    <w:rPr>
      <w:sz w:val="20"/>
    </w:rPr>
  </w:style>
  <w:style w:type="paragraph" w:styleId="CommentSubject">
    <w:name w:val="annotation subject"/>
    <w:basedOn w:val="CommentText"/>
    <w:next w:val="CommentText"/>
    <w:semiHidden/>
    <w:rsid w:val="00031C63"/>
    <w:rPr>
      <w:b/>
      <w:bCs/>
    </w:rPr>
  </w:style>
  <w:style w:type="character" w:customStyle="1" w:styleId="ParaNumChar">
    <w:name w:val="ParaNum Char"/>
    <w:basedOn w:val="DefaultParagraphFont"/>
    <w:link w:val="ParaNum"/>
    <w:uiPriority w:val="99"/>
    <w:rsid w:val="00A74D3E"/>
    <w:rPr>
      <w:sz w:val="22"/>
      <w:lang w:val="en-US" w:eastAsia="en-US" w:bidi="ar-SA"/>
    </w:rPr>
  </w:style>
  <w:style w:type="paragraph" w:styleId="ListParagraph">
    <w:name w:val="List Paragraph"/>
    <w:basedOn w:val="Normal"/>
    <w:uiPriority w:val="34"/>
    <w:qFormat/>
    <w:rsid w:val="0005471D"/>
    <w:pPr>
      <w:ind w:left="720"/>
      <w:contextualSpacing/>
    </w:pPr>
  </w:style>
  <w:style w:type="character" w:customStyle="1" w:styleId="UnresolvedMention1">
    <w:name w:val="Unresolved Mention1"/>
    <w:basedOn w:val="DefaultParagraphFont"/>
    <w:uiPriority w:val="99"/>
    <w:semiHidden/>
    <w:unhideWhenUsed/>
    <w:rsid w:val="00D960D6"/>
    <w:rPr>
      <w:color w:val="808080"/>
      <w:shd w:val="clear" w:color="auto" w:fill="E6E6E6"/>
    </w:rPr>
  </w:style>
  <w:style w:type="paragraph" w:styleId="Revision">
    <w:name w:val="Revision"/>
    <w:hidden/>
    <w:uiPriority w:val="99"/>
    <w:semiHidden/>
    <w:rsid w:val="004874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