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A74A2" w:rsidRPr="00342B07" w:rsidP="003A74A2">
      <w:pPr>
        <w:jc w:val="right"/>
        <w:rPr>
          <w:b/>
          <w:szCs w:val="22"/>
        </w:rPr>
      </w:pPr>
      <w:r w:rsidRPr="00342B07">
        <w:rPr>
          <w:b/>
          <w:szCs w:val="22"/>
        </w:rPr>
        <w:t>DA 1</w:t>
      </w:r>
      <w:r>
        <w:rPr>
          <w:b/>
          <w:szCs w:val="22"/>
        </w:rPr>
        <w:t>8</w:t>
      </w:r>
      <w:r w:rsidRPr="00342B07">
        <w:rPr>
          <w:b/>
          <w:szCs w:val="22"/>
        </w:rPr>
        <w:t>-</w:t>
      </w:r>
      <w:r w:rsidR="00F3308D">
        <w:rPr>
          <w:b/>
          <w:szCs w:val="22"/>
        </w:rPr>
        <w:t>1096</w:t>
      </w:r>
    </w:p>
    <w:p w:rsidR="003A74A2" w:rsidRPr="00342B07" w:rsidP="003A74A2">
      <w:pPr>
        <w:jc w:val="right"/>
        <w:rPr>
          <w:b/>
          <w:szCs w:val="22"/>
        </w:rPr>
      </w:pPr>
      <w:r>
        <w:rPr>
          <w:b/>
          <w:szCs w:val="22"/>
        </w:rPr>
        <w:t>Released:  October 25, 2018</w:t>
      </w:r>
    </w:p>
    <w:p w:rsidR="003A74A2" w:rsidRPr="00342B07" w:rsidP="003A74A2">
      <w:pPr>
        <w:spacing w:after="120"/>
        <w:jc w:val="center"/>
        <w:rPr>
          <w:szCs w:val="22"/>
        </w:rPr>
      </w:pPr>
    </w:p>
    <w:p w:rsidR="003A74A2" w:rsidP="003A74A2">
      <w:pPr>
        <w:jc w:val="center"/>
        <w:rPr>
          <w:b/>
          <w:caps/>
          <w:szCs w:val="22"/>
        </w:rPr>
      </w:pPr>
      <w:r w:rsidRPr="00342B07">
        <w:rPr>
          <w:b/>
          <w:caps/>
          <w:szCs w:val="22"/>
        </w:rPr>
        <w:t xml:space="preserve">WIRELINE COMPETITION bureau </w:t>
      </w:r>
      <w:r>
        <w:rPr>
          <w:b/>
          <w:caps/>
          <w:szCs w:val="22"/>
        </w:rPr>
        <w:t>announces DEADLINES for oppositions and replies in response to PETITIONS FOR RECONSIDERATION OF THE</w:t>
      </w:r>
    </w:p>
    <w:p w:rsidR="003A74A2" w:rsidRPr="003A4C15" w:rsidP="003A74A2">
      <w:pPr>
        <w:jc w:val="center"/>
        <w:rPr>
          <w:b/>
          <w:caps/>
          <w:szCs w:val="22"/>
        </w:rPr>
      </w:pPr>
      <w:r>
        <w:rPr>
          <w:b/>
          <w:i/>
          <w:caps/>
          <w:szCs w:val="22"/>
        </w:rPr>
        <w:t>THIRD WIRELINE INFRASTRUCTURE REPORT AND ORDER AND DECLARATORY RULING</w:t>
      </w:r>
    </w:p>
    <w:p w:rsidR="003A74A2" w:rsidRPr="00342B07" w:rsidP="003A74A2">
      <w:pPr>
        <w:jc w:val="center"/>
        <w:rPr>
          <w:b/>
          <w:caps/>
          <w:szCs w:val="22"/>
        </w:rPr>
      </w:pPr>
    </w:p>
    <w:p w:rsidR="003A74A2" w:rsidRPr="00E14E15" w:rsidP="003A74A2">
      <w:pPr>
        <w:spacing w:after="120"/>
        <w:jc w:val="center"/>
        <w:rPr>
          <w:b/>
          <w:szCs w:val="22"/>
        </w:rPr>
      </w:pPr>
      <w:r w:rsidRPr="00342B07">
        <w:rPr>
          <w:b/>
          <w:szCs w:val="22"/>
        </w:rPr>
        <w:t>W</w:t>
      </w:r>
      <w:r>
        <w:rPr>
          <w:b/>
          <w:szCs w:val="22"/>
        </w:rPr>
        <w:t>C</w:t>
      </w:r>
      <w:r w:rsidRPr="00342B07">
        <w:rPr>
          <w:b/>
          <w:szCs w:val="22"/>
        </w:rPr>
        <w:t xml:space="preserve"> Docket No. 17-</w:t>
      </w:r>
      <w:r>
        <w:rPr>
          <w:b/>
          <w:szCs w:val="22"/>
        </w:rPr>
        <w:t>84</w:t>
      </w:r>
    </w:p>
    <w:p w:rsidR="003A74A2" w:rsidRPr="005632FF" w:rsidP="003A74A2">
      <w:pPr>
        <w:rPr>
          <w:b/>
          <w:spacing w:val="-2"/>
        </w:rPr>
      </w:pPr>
      <w:r>
        <w:rPr>
          <w:b/>
          <w:spacing w:val="-2"/>
        </w:rPr>
        <w:t>Opposition Date: November 9, 2018</w:t>
      </w:r>
    </w:p>
    <w:p w:rsidR="003A74A2" w:rsidRPr="005632FF" w:rsidP="003A74A2">
      <w:pPr>
        <w:rPr>
          <w:b/>
          <w:spacing w:val="-2"/>
        </w:rPr>
      </w:pPr>
      <w:r w:rsidRPr="005632FF">
        <w:rPr>
          <w:b/>
          <w:spacing w:val="-2"/>
        </w:rPr>
        <w:t xml:space="preserve">Reply Date:  </w:t>
      </w:r>
      <w:r>
        <w:rPr>
          <w:b/>
          <w:spacing w:val="-2"/>
        </w:rPr>
        <w:t>November 19, 2018</w:t>
      </w:r>
    </w:p>
    <w:p w:rsidR="003A74A2" w:rsidP="003A74A2">
      <w:pPr>
        <w:ind w:firstLine="720"/>
        <w:rPr>
          <w:szCs w:val="22"/>
        </w:rPr>
      </w:pPr>
    </w:p>
    <w:p w:rsidR="003A74A2" w:rsidP="003A74A2">
      <w:pPr>
        <w:spacing w:after="120"/>
        <w:ind w:firstLine="720"/>
        <w:rPr>
          <w:szCs w:val="22"/>
        </w:rPr>
      </w:pPr>
      <w:r>
        <w:rPr>
          <w:szCs w:val="22"/>
        </w:rPr>
        <w:t>In</w:t>
      </w:r>
      <w:r w:rsidRPr="00342B07">
        <w:rPr>
          <w:szCs w:val="22"/>
        </w:rPr>
        <w:t xml:space="preserve"> this Public Notice, the Wireline Competition Bureau</w:t>
      </w:r>
      <w:r>
        <w:rPr>
          <w:szCs w:val="22"/>
        </w:rPr>
        <w:t xml:space="preserve"> (Bureau)</w:t>
      </w:r>
      <w:r w:rsidRPr="00342B07">
        <w:rPr>
          <w:szCs w:val="22"/>
        </w:rPr>
        <w:t xml:space="preserve"> </w:t>
      </w:r>
      <w:r>
        <w:rPr>
          <w:szCs w:val="22"/>
        </w:rPr>
        <w:t xml:space="preserve">announces the pleading schedule for oppositions and replies to the four petitions for reconsideration of the </w:t>
      </w:r>
      <w:r>
        <w:rPr>
          <w:i/>
          <w:szCs w:val="22"/>
        </w:rPr>
        <w:t xml:space="preserve">Third Wireline Infrastructure Report and Order </w:t>
      </w:r>
      <w:r w:rsidRPr="00732511">
        <w:rPr>
          <w:i/>
          <w:szCs w:val="22"/>
        </w:rPr>
        <w:t>and</w:t>
      </w:r>
      <w:r>
        <w:rPr>
          <w:i/>
          <w:szCs w:val="22"/>
        </w:rPr>
        <w:t xml:space="preserve"> Declaratory Ruling</w:t>
      </w:r>
      <w:r>
        <w:rPr>
          <w:szCs w:val="22"/>
        </w:rPr>
        <w:t>.</w:t>
      </w:r>
      <w:r>
        <w:rPr>
          <w:rStyle w:val="FootnoteReference"/>
        </w:rPr>
        <w:footnoteReference w:id="3"/>
      </w:r>
      <w:r>
        <w:rPr>
          <w:szCs w:val="22"/>
        </w:rPr>
        <w:t xml:space="preserve">  In a previous Public Notice dated September 10, 2018, the Bureau established uniform deadline for oppositions and replies to oppositions to all petitions for reconsideration of the </w:t>
      </w:r>
      <w:r>
        <w:rPr>
          <w:i/>
          <w:szCs w:val="22"/>
        </w:rPr>
        <w:t xml:space="preserve">Third Wireline Infrastructure Report and Order </w:t>
      </w:r>
      <w:r w:rsidRPr="00732511">
        <w:rPr>
          <w:i/>
          <w:szCs w:val="22"/>
        </w:rPr>
        <w:t>and</w:t>
      </w:r>
      <w:r>
        <w:rPr>
          <w:i/>
          <w:szCs w:val="22"/>
        </w:rPr>
        <w:t xml:space="preserve"> Declaratory Ruling </w:t>
      </w:r>
      <w:r>
        <w:rPr>
          <w:szCs w:val="22"/>
        </w:rPr>
        <w:t xml:space="preserve">to avoid administrative inefficiency resulting from separate pleading deadlines for responding to petitions for reconsideration of the </w:t>
      </w:r>
      <w:r>
        <w:rPr>
          <w:i/>
          <w:szCs w:val="22"/>
        </w:rPr>
        <w:t xml:space="preserve">Report and Order </w:t>
      </w:r>
      <w:r>
        <w:rPr>
          <w:szCs w:val="22"/>
        </w:rPr>
        <w:t xml:space="preserve">and the </w:t>
      </w:r>
      <w:r>
        <w:rPr>
          <w:i/>
          <w:szCs w:val="22"/>
        </w:rPr>
        <w:t>Declaratory Ruling</w:t>
      </w:r>
      <w:r>
        <w:rPr>
          <w:szCs w:val="22"/>
        </w:rPr>
        <w:t>.</w:t>
      </w:r>
      <w:r>
        <w:rPr>
          <w:rStyle w:val="FootnoteReference"/>
          <w:szCs w:val="22"/>
        </w:rPr>
        <w:footnoteReference w:id="4"/>
      </w:r>
      <w:r>
        <w:rPr>
          <w:szCs w:val="22"/>
        </w:rPr>
        <w:t xml:space="preserve">  The Bureau determined that the pleading cycle would be governed by the Commission’s rules pertaining to petitions for reconsideration in a rulemaking proceeding.</w:t>
      </w:r>
      <w:r>
        <w:rPr>
          <w:rStyle w:val="FootnoteReference"/>
          <w:szCs w:val="22"/>
        </w:rPr>
        <w:footnoteReference w:id="5"/>
      </w:r>
      <w:r>
        <w:rPr>
          <w:szCs w:val="22"/>
        </w:rPr>
        <w:t xml:space="preserve">  Oppositions to such petitions are due 15 days after the Commission publishes notice in the Federal Register of the timely filing of a petition for reconsideration, and replies to oppositions are due 10 days after the filing deadline for oppositions.</w:t>
      </w:r>
      <w:r>
        <w:rPr>
          <w:rStyle w:val="FootnoteReference"/>
          <w:szCs w:val="22"/>
        </w:rPr>
        <w:footnoteReference w:id="6"/>
      </w:r>
      <w:r>
        <w:rPr>
          <w:szCs w:val="22"/>
        </w:rPr>
        <w:t xml:space="preserve">  </w:t>
      </w:r>
    </w:p>
    <w:p w:rsidR="003A74A2" w:rsidP="00762A36">
      <w:pPr>
        <w:widowControl/>
        <w:spacing w:after="120"/>
        <w:ind w:firstLine="720"/>
        <w:rPr>
          <w:szCs w:val="22"/>
        </w:rPr>
      </w:pPr>
      <w:r>
        <w:rPr>
          <w:szCs w:val="22"/>
        </w:rPr>
        <w:t xml:space="preserve">On October 25, 2018, the Federal Register published notice of the timely filing of </w:t>
      </w:r>
      <w:bookmarkStart w:id="1" w:name="_GoBack"/>
      <w:bookmarkEnd w:id="1"/>
      <w:r>
        <w:rPr>
          <w:szCs w:val="22"/>
        </w:rPr>
        <w:t>the four petitions for reconsideration.</w:t>
      </w:r>
      <w:r>
        <w:rPr>
          <w:rStyle w:val="FootnoteReference"/>
          <w:szCs w:val="22"/>
        </w:rPr>
        <w:footnoteReference w:id="7"/>
      </w:r>
      <w:r>
        <w:rPr>
          <w:szCs w:val="22"/>
        </w:rPr>
        <w:t xml:space="preserve">  Therefore, oppositions to the petitions will be due no later than November 9, 2018 and replies to oppositions will be due no later than November 19, 2018.  </w:t>
      </w:r>
    </w:p>
    <w:p w:rsidR="003A74A2" w:rsidP="003A74A2">
      <w:pPr>
        <w:spacing w:after="120"/>
        <w:ind w:firstLine="720"/>
      </w:pPr>
      <w:r w:rsidRPr="00FF428C">
        <w:t xml:space="preserve">For further information, please contact </w:t>
      </w:r>
      <w:r>
        <w:t>Adam Copeland</w:t>
      </w:r>
      <w:r w:rsidRPr="00FF428C">
        <w:t xml:space="preserve"> of the Wireline Competition Bureau, Competition Po</w:t>
      </w:r>
      <w:r>
        <w:t>licy Division, at (202) 418-1037</w:t>
      </w:r>
      <w:r w:rsidRPr="00FF428C">
        <w:t xml:space="preserve"> or </w:t>
      </w:r>
      <w:r>
        <w:fldChar w:fldCharType="begin"/>
      </w:r>
      <w:r>
        <w:instrText xml:space="preserve"> HYPERLINK "mailto:Adam.Copeland@fcc.gov" </w:instrText>
      </w:r>
      <w:r>
        <w:fldChar w:fldCharType="separate"/>
      </w:r>
      <w:r w:rsidRPr="004B089E">
        <w:rPr>
          <w:rStyle w:val="Hyperlink"/>
        </w:rPr>
        <w:t>Adam.Copeland@fcc.gov</w:t>
      </w:r>
      <w:r>
        <w:fldChar w:fldCharType="end"/>
      </w:r>
      <w:r>
        <w:t xml:space="preserve">. </w:t>
      </w:r>
    </w:p>
    <w:p w:rsidR="003A74A2" w:rsidP="003A74A2">
      <w:pPr>
        <w:spacing w:after="120"/>
        <w:ind w:firstLine="720"/>
        <w:rPr>
          <w:szCs w:val="22"/>
        </w:rPr>
      </w:pPr>
    </w:p>
    <w:p w:rsidR="003A74A2" w:rsidRPr="00342B07" w:rsidP="003A74A2">
      <w:pPr>
        <w:spacing w:after="120"/>
        <w:jc w:val="center"/>
        <w:rPr>
          <w:szCs w:val="22"/>
        </w:rPr>
      </w:pPr>
      <w:r w:rsidRPr="00D96E52">
        <w:rPr>
          <w:b/>
          <w:szCs w:val="22"/>
        </w:rPr>
        <w:t>- FCC –</w:t>
      </w:r>
    </w:p>
    <w:p w:rsidR="003A74A2" w:rsidRPr="00930ECF" w:rsidP="003A74A2">
      <w:pPr>
        <w:spacing w:after="120"/>
        <w:jc w:val="right"/>
        <w:rPr>
          <w:sz w:val="24"/>
        </w:rPr>
      </w:pPr>
    </w:p>
    <w:p w:rsidR="00930ECF" w:rsidRPr="003A74A2" w:rsidP="003A74A2"/>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2F85">
      <w:r>
        <w:separator/>
      </w:r>
    </w:p>
  </w:footnote>
  <w:footnote w:type="continuationSeparator" w:id="1">
    <w:p w:rsidR="00192F85">
      <w:pPr>
        <w:rPr>
          <w:sz w:val="20"/>
        </w:rPr>
      </w:pPr>
      <w:r>
        <w:rPr>
          <w:sz w:val="20"/>
        </w:rPr>
        <w:t xml:space="preserve">(Continued from previous page)  </w:t>
      </w:r>
      <w:r>
        <w:rPr>
          <w:sz w:val="20"/>
        </w:rPr>
        <w:separator/>
      </w:r>
    </w:p>
  </w:footnote>
  <w:footnote w:type="continuationNotice" w:id="2">
    <w:p w:rsidR="00192F85" w:rsidP="00910F12">
      <w:pPr>
        <w:jc w:val="right"/>
        <w:rPr>
          <w:sz w:val="20"/>
        </w:rPr>
      </w:pPr>
      <w:r>
        <w:rPr>
          <w:sz w:val="20"/>
        </w:rPr>
        <w:t>(continued….)</w:t>
      </w:r>
    </w:p>
  </w:footnote>
  <w:footnote w:id="3">
    <w:p w:rsidR="003A74A2" w:rsidRPr="00C41408" w:rsidP="003A74A2">
      <w:pPr>
        <w:pStyle w:val="FootnoteText"/>
        <w:ind w:right="-720"/>
      </w:pPr>
      <w:r w:rsidRPr="00CF1DBF">
        <w:rPr>
          <w:rStyle w:val="FootnoteReference"/>
        </w:rPr>
        <w:footnoteRef/>
      </w:r>
      <w:r w:rsidRPr="00CF1DBF">
        <w:t xml:space="preserve"> </w:t>
      </w:r>
      <w:r w:rsidRPr="00260AF5">
        <w:rPr>
          <w:i/>
        </w:rPr>
        <w:t xml:space="preserve">See </w:t>
      </w:r>
      <w:r w:rsidRPr="00C41408">
        <w:rPr>
          <w:i/>
          <w:iCs/>
        </w:rPr>
        <w:t>Wireline Broadband Deployment by Removing Barriers to Infrastructure Investment; Accelerating Wireless Broadband Deployment by Removing Barriers to Infrastructure Investment</w:t>
      </w:r>
      <w:r w:rsidRPr="00C41408">
        <w:t xml:space="preserve">, WC Docket No. 17-84, WT Docket No. 17-79, </w:t>
      </w:r>
      <w:bookmarkStart w:id="0" w:name="_Hlk524346970"/>
      <w:r w:rsidRPr="00C41408">
        <w:t>Third Report and Order and Declaratory Ruling</w:t>
      </w:r>
      <w:bookmarkEnd w:id="0"/>
      <w:r w:rsidRPr="00C41408">
        <w:t>, FCC 18-111 (rel. Aug. 3, 2018) (</w:t>
      </w:r>
      <w:r>
        <w:t xml:space="preserve">Together </w:t>
      </w:r>
      <w:r w:rsidRPr="00C11068">
        <w:t>the</w:t>
      </w:r>
      <w:r w:rsidRPr="005632FF">
        <w:rPr>
          <w:i/>
        </w:rPr>
        <w:t xml:space="preserve"> Third Report and Order and Declaratory Ruling</w:t>
      </w:r>
      <w:r>
        <w:rPr>
          <w:i/>
        </w:rPr>
        <w:t xml:space="preserve">.  </w:t>
      </w:r>
      <w:r>
        <w:t xml:space="preserve">Separately, the </w:t>
      </w:r>
      <w:r w:rsidRPr="00C41408">
        <w:rPr>
          <w:i/>
          <w:iCs/>
        </w:rPr>
        <w:t>Third</w:t>
      </w:r>
      <w:r w:rsidRPr="00C41408">
        <w:rPr>
          <w:i/>
        </w:rPr>
        <w:t xml:space="preserve"> </w:t>
      </w:r>
      <w:r w:rsidRPr="00C41408">
        <w:rPr>
          <w:i/>
          <w:iCs/>
        </w:rPr>
        <w:t xml:space="preserve">Report and Order </w:t>
      </w:r>
      <w:r w:rsidRPr="005632FF">
        <w:rPr>
          <w:iCs/>
        </w:rPr>
        <w:t>and</w:t>
      </w:r>
      <w:r w:rsidRPr="00C41408">
        <w:rPr>
          <w:i/>
          <w:iCs/>
        </w:rPr>
        <w:t xml:space="preserve"> </w:t>
      </w:r>
      <w:r w:rsidRPr="005632FF">
        <w:rPr>
          <w:iCs/>
        </w:rPr>
        <w:t>the</w:t>
      </w:r>
      <w:r>
        <w:rPr>
          <w:i/>
          <w:iCs/>
        </w:rPr>
        <w:t xml:space="preserve"> </w:t>
      </w:r>
      <w:r w:rsidRPr="00C41408">
        <w:rPr>
          <w:i/>
          <w:iCs/>
        </w:rPr>
        <w:t>Declaratory Ruling</w:t>
      </w:r>
      <w:r w:rsidRPr="00C41408">
        <w:t>).</w:t>
      </w:r>
      <w:r>
        <w:t xml:space="preserve">  </w:t>
      </w:r>
      <w:r>
        <w:rPr>
          <w:szCs w:val="22"/>
        </w:rPr>
        <w:t xml:space="preserve">The </w:t>
      </w:r>
      <w:r w:rsidRPr="00CD1EBE">
        <w:rPr>
          <w:szCs w:val="22"/>
        </w:rPr>
        <w:t>Smart Communities and Special District</w:t>
      </w:r>
      <w:r>
        <w:rPr>
          <w:szCs w:val="22"/>
        </w:rPr>
        <w:t>s Coalition and</w:t>
      </w:r>
      <w:r w:rsidRPr="00CD1EBE">
        <w:rPr>
          <w:szCs w:val="22"/>
        </w:rPr>
        <w:t xml:space="preserve"> the County Road Association of Michigan</w:t>
      </w:r>
      <w:r>
        <w:rPr>
          <w:szCs w:val="22"/>
        </w:rPr>
        <w:t xml:space="preserve"> have each filed a petition seeking reconsideration of the </w:t>
      </w:r>
      <w:r>
        <w:rPr>
          <w:i/>
          <w:szCs w:val="22"/>
        </w:rPr>
        <w:t>Declaratory Ruling</w:t>
      </w:r>
      <w:r>
        <w:rPr>
          <w:szCs w:val="22"/>
        </w:rPr>
        <w:t xml:space="preserve">, the City of New York has filed a petition seeking reconsideration of the </w:t>
      </w:r>
      <w:r>
        <w:rPr>
          <w:i/>
          <w:szCs w:val="22"/>
        </w:rPr>
        <w:t xml:space="preserve">Declaratory Ruling </w:t>
      </w:r>
      <w:r>
        <w:rPr>
          <w:szCs w:val="22"/>
        </w:rPr>
        <w:t xml:space="preserve">and of a portion of the </w:t>
      </w:r>
      <w:r>
        <w:rPr>
          <w:i/>
          <w:szCs w:val="22"/>
        </w:rPr>
        <w:t>Third Report and Order</w:t>
      </w:r>
      <w:r>
        <w:rPr>
          <w:szCs w:val="22"/>
        </w:rPr>
        <w:t xml:space="preserve">, and the Coalition of Concerned Utilities has filed a petition seeking reconsideration of the </w:t>
      </w:r>
      <w:r>
        <w:rPr>
          <w:i/>
          <w:szCs w:val="22"/>
        </w:rPr>
        <w:t>Third Report and Order</w:t>
      </w:r>
      <w:r>
        <w:rPr>
          <w:szCs w:val="22"/>
        </w:rPr>
        <w:t xml:space="preserve">.  </w:t>
      </w:r>
      <w:r w:rsidRPr="00260AF5">
        <w:rPr>
          <w:i/>
        </w:rPr>
        <w:t xml:space="preserve">See </w:t>
      </w:r>
      <w:r w:rsidRPr="00065EF7">
        <w:t>Petition for Reconsideration of the Smart Communities and Special Districts Coalition, WC Docket No. 17-84, WT Docket N</w:t>
      </w:r>
      <w:r>
        <w:t xml:space="preserve">o. 17-79 (filed Sept. 4, 2018); </w:t>
      </w:r>
      <w:r w:rsidRPr="00065EF7">
        <w:t>Petition for Reconsideration of County Road Association of Michigan, WC Docket No. 17-84, WT Docket No. 17-79 (filed Sept. 4, 2018); Petition for Reconsideration of the City of New York, WC Docket No. 17-84, WT Docket N</w:t>
      </w:r>
      <w:r>
        <w:t xml:space="preserve">o. 17-79 (filed Sept. 4, 2018); Petition for Reconsideration of the Coalition of Concerned Utilities, </w:t>
      </w:r>
      <w:r w:rsidRPr="00065EF7">
        <w:t>WC Docket No. 17-84, WT Docket N</w:t>
      </w:r>
      <w:r>
        <w:t xml:space="preserve">o. 17-79 (filed Oct. 15, 2018).  </w:t>
      </w:r>
    </w:p>
  </w:footnote>
  <w:footnote w:id="4">
    <w:p w:rsidR="003A74A2" w:rsidRPr="00666C99" w:rsidP="003A74A2">
      <w:pPr>
        <w:pStyle w:val="FootnoteText"/>
      </w:pPr>
      <w:r>
        <w:rPr>
          <w:rStyle w:val="FootnoteReference"/>
        </w:rPr>
        <w:footnoteRef/>
      </w:r>
      <w:r>
        <w:t xml:space="preserve"> </w:t>
      </w:r>
      <w:r>
        <w:rPr>
          <w:i/>
        </w:rPr>
        <w:t>Wireline Competition Bureau Establishes Uniform Deadlines for Oppositions and Replies Regarding Petitions for Reconsideration of the Third Wireline Infrastructure Report and Order and Declaratory Ruling</w:t>
      </w:r>
      <w:r>
        <w:t>, WC Docket No. 17-84, Public Notice, DA 18-932 (WCB Sept. 10, 2018).</w:t>
      </w:r>
    </w:p>
  </w:footnote>
  <w:footnote w:id="5">
    <w:p w:rsidR="003A74A2" w:rsidP="003A74A2">
      <w:pPr>
        <w:pStyle w:val="FootnoteText"/>
      </w:pPr>
      <w:r>
        <w:rPr>
          <w:rStyle w:val="FootnoteReference"/>
        </w:rPr>
        <w:footnoteRef/>
      </w:r>
      <w:r>
        <w:t xml:space="preserve"> 47 CFR § 1.106(g).</w:t>
      </w:r>
    </w:p>
  </w:footnote>
  <w:footnote w:id="6">
    <w:p w:rsidR="003A74A2" w:rsidRPr="00BA14DB" w:rsidP="003A74A2">
      <w:pPr>
        <w:pStyle w:val="FootnoteText"/>
        <w:rPr>
          <w:i/>
        </w:rPr>
      </w:pPr>
      <w:r>
        <w:rPr>
          <w:rStyle w:val="FootnoteReference"/>
        </w:rPr>
        <w:footnoteRef/>
      </w:r>
      <w:r>
        <w:t xml:space="preserve"> </w:t>
      </w:r>
      <w:r>
        <w:rPr>
          <w:i/>
        </w:rPr>
        <w:t>Id.</w:t>
      </w:r>
    </w:p>
  </w:footnote>
  <w:footnote w:id="7">
    <w:p w:rsidR="003A74A2" w:rsidRPr="00444E6E" w:rsidP="003A74A2">
      <w:pPr>
        <w:pStyle w:val="FootnoteText"/>
        <w:rPr>
          <w:b/>
        </w:rPr>
      </w:pPr>
      <w:r>
        <w:rPr>
          <w:rStyle w:val="FootnoteReference"/>
        </w:rPr>
        <w:footnoteRef/>
      </w:r>
      <w:r>
        <w:t xml:space="preserve"> Federal Communications Commission, Petitions for Reconsideration of Action in a Rulemaking Proceeding, 83 Fed. Reg. 53822 (Oct. 25,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F3308D">
      <w:rPr>
        <w:b/>
      </w:rPr>
      <w:t>DA 18-1096</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08D"/>
    <w:pPr>
      <w:widowControl w:val="0"/>
    </w:pPr>
    <w:rPr>
      <w:snapToGrid w:val="0"/>
      <w:kern w:val="28"/>
      <w:sz w:val="22"/>
    </w:rPr>
  </w:style>
  <w:style w:type="paragraph" w:styleId="Heading1">
    <w:name w:val="heading 1"/>
    <w:basedOn w:val="Normal"/>
    <w:next w:val="ParaNum"/>
    <w:qFormat/>
    <w:rsid w:val="00F3308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3308D"/>
    <w:pPr>
      <w:keepNext/>
      <w:numPr>
        <w:ilvl w:val="1"/>
        <w:numId w:val="3"/>
      </w:numPr>
      <w:spacing w:after="120"/>
      <w:outlineLvl w:val="1"/>
    </w:pPr>
    <w:rPr>
      <w:b/>
    </w:rPr>
  </w:style>
  <w:style w:type="paragraph" w:styleId="Heading3">
    <w:name w:val="heading 3"/>
    <w:basedOn w:val="Normal"/>
    <w:next w:val="ParaNum"/>
    <w:qFormat/>
    <w:rsid w:val="00F3308D"/>
    <w:pPr>
      <w:keepNext/>
      <w:numPr>
        <w:ilvl w:val="2"/>
        <w:numId w:val="3"/>
      </w:numPr>
      <w:tabs>
        <w:tab w:val="left" w:pos="2160"/>
      </w:tabs>
      <w:spacing w:after="120"/>
      <w:outlineLvl w:val="2"/>
    </w:pPr>
    <w:rPr>
      <w:b/>
    </w:rPr>
  </w:style>
  <w:style w:type="paragraph" w:styleId="Heading4">
    <w:name w:val="heading 4"/>
    <w:basedOn w:val="Normal"/>
    <w:next w:val="ParaNum"/>
    <w:qFormat/>
    <w:rsid w:val="00F3308D"/>
    <w:pPr>
      <w:keepNext/>
      <w:numPr>
        <w:ilvl w:val="3"/>
        <w:numId w:val="3"/>
      </w:numPr>
      <w:tabs>
        <w:tab w:val="left" w:pos="2880"/>
      </w:tabs>
      <w:spacing w:after="120"/>
      <w:outlineLvl w:val="3"/>
    </w:pPr>
    <w:rPr>
      <w:b/>
    </w:rPr>
  </w:style>
  <w:style w:type="paragraph" w:styleId="Heading5">
    <w:name w:val="heading 5"/>
    <w:basedOn w:val="Normal"/>
    <w:next w:val="ParaNum"/>
    <w:qFormat/>
    <w:rsid w:val="00F3308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3308D"/>
    <w:pPr>
      <w:numPr>
        <w:ilvl w:val="5"/>
        <w:numId w:val="3"/>
      </w:numPr>
      <w:tabs>
        <w:tab w:val="left" w:pos="4320"/>
      </w:tabs>
      <w:spacing w:after="120"/>
      <w:outlineLvl w:val="5"/>
    </w:pPr>
    <w:rPr>
      <w:b/>
    </w:rPr>
  </w:style>
  <w:style w:type="paragraph" w:styleId="Heading7">
    <w:name w:val="heading 7"/>
    <w:basedOn w:val="Normal"/>
    <w:next w:val="ParaNum"/>
    <w:qFormat/>
    <w:rsid w:val="00F3308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3308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3308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F330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3308D"/>
  </w:style>
  <w:style w:type="paragraph" w:customStyle="1" w:styleId="ParaNum">
    <w:name w:val="ParaNum"/>
    <w:basedOn w:val="Normal"/>
    <w:rsid w:val="00F3308D"/>
    <w:pPr>
      <w:numPr>
        <w:numId w:val="2"/>
      </w:numPr>
      <w:tabs>
        <w:tab w:val="clear" w:pos="1080"/>
        <w:tab w:val="num" w:pos="1440"/>
      </w:tabs>
      <w:spacing w:after="120"/>
    </w:pPr>
  </w:style>
  <w:style w:type="paragraph" w:styleId="EndnoteText">
    <w:name w:val="endnote text"/>
    <w:basedOn w:val="Normal"/>
    <w:semiHidden/>
    <w:rsid w:val="00F3308D"/>
    <w:rPr>
      <w:sz w:val="20"/>
    </w:rPr>
  </w:style>
  <w:style w:type="character" w:styleId="EndnoteReference">
    <w:name w:val="endnote reference"/>
    <w:semiHidden/>
    <w:rsid w:val="00F3308D"/>
    <w:rPr>
      <w:vertAlign w:val="superscript"/>
    </w:rPr>
  </w:style>
  <w:style w:type="paragraph" w:styleId="FootnoteText">
    <w:name w:val="footnote text"/>
    <w:aliases w:val="ALTS FOOTNOTE,ALTS FOOTNOTE Char,Footnote Text Char Char Char,Footnote Text Char Char Char Char Char Char,Footnote Text Char1 Char,Footnote Text Char1 Char Char Char Char,Footnote Text Char2 Char Char Char,f,fn,fn Char"/>
    <w:link w:val="FootnoteTextChar"/>
    <w:rsid w:val="00F3308D"/>
    <w:pPr>
      <w:spacing w:after="120"/>
    </w:pPr>
  </w:style>
  <w:style w:type="character" w:styleId="FootnoteReference">
    <w:name w:val="footnote reference"/>
    <w:aliases w:val="(NECG) Footnote Reference,Appel note de bas de p,FR,Footnote Reference/,Style 12,Style 124,Style 13,Style 17,Style 3,Style 6,Style 7,fr,o"/>
    <w:rsid w:val="00F3308D"/>
    <w:rPr>
      <w:rFonts w:ascii="Times New Roman" w:hAnsi="Times New Roman"/>
      <w:dstrike w:val="0"/>
      <w:color w:val="auto"/>
      <w:sz w:val="22"/>
      <w:vertAlign w:val="superscript"/>
    </w:rPr>
  </w:style>
  <w:style w:type="paragraph" w:styleId="TOC1">
    <w:name w:val="toc 1"/>
    <w:basedOn w:val="Normal"/>
    <w:next w:val="Normal"/>
    <w:uiPriority w:val="39"/>
    <w:rsid w:val="00F3308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3308D"/>
    <w:pPr>
      <w:tabs>
        <w:tab w:val="left" w:pos="720"/>
        <w:tab w:val="right" w:leader="dot" w:pos="9360"/>
      </w:tabs>
      <w:suppressAutoHyphens/>
      <w:ind w:left="720" w:right="720" w:hanging="360"/>
    </w:pPr>
    <w:rPr>
      <w:noProof/>
    </w:rPr>
  </w:style>
  <w:style w:type="paragraph" w:styleId="TOC3">
    <w:name w:val="toc 3"/>
    <w:basedOn w:val="Normal"/>
    <w:next w:val="Normal"/>
    <w:semiHidden/>
    <w:rsid w:val="00F3308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3308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3308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3308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3308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3308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3308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3308D"/>
    <w:pPr>
      <w:tabs>
        <w:tab w:val="right" w:pos="9360"/>
      </w:tabs>
      <w:suppressAutoHyphens/>
    </w:pPr>
  </w:style>
  <w:style w:type="character" w:customStyle="1" w:styleId="EquationCaption">
    <w:name w:val="_Equation Caption"/>
    <w:rsid w:val="00F3308D"/>
  </w:style>
  <w:style w:type="paragraph" w:styleId="Header">
    <w:name w:val="header"/>
    <w:basedOn w:val="Normal"/>
    <w:autoRedefine/>
    <w:rsid w:val="00F3308D"/>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F3308D"/>
    <w:pPr>
      <w:tabs>
        <w:tab w:val="center" w:pos="4320"/>
        <w:tab w:val="right" w:pos="8640"/>
      </w:tabs>
    </w:pPr>
  </w:style>
  <w:style w:type="character" w:styleId="PageNumber">
    <w:name w:val="page number"/>
    <w:rsid w:val="00F3308D"/>
  </w:style>
  <w:style w:type="paragraph" w:styleId="BlockText">
    <w:name w:val="Block Text"/>
    <w:basedOn w:val="Normal"/>
    <w:rsid w:val="00F3308D"/>
    <w:pPr>
      <w:spacing w:after="240"/>
      <w:ind w:left="1440" w:right="1440"/>
    </w:pPr>
  </w:style>
  <w:style w:type="paragraph" w:customStyle="1" w:styleId="Paratitle">
    <w:name w:val="Para title"/>
    <w:basedOn w:val="Normal"/>
    <w:rsid w:val="00F3308D"/>
    <w:pPr>
      <w:tabs>
        <w:tab w:val="center" w:pos="9270"/>
      </w:tabs>
      <w:spacing w:after="240"/>
    </w:pPr>
    <w:rPr>
      <w:spacing w:val="-2"/>
    </w:rPr>
  </w:style>
  <w:style w:type="paragraph" w:customStyle="1" w:styleId="Bullet">
    <w:name w:val="Bullet"/>
    <w:basedOn w:val="Normal"/>
    <w:rsid w:val="00F3308D"/>
    <w:pPr>
      <w:numPr>
        <w:numId w:val="1"/>
      </w:numPr>
      <w:tabs>
        <w:tab w:val="clear" w:pos="360"/>
        <w:tab w:val="left" w:pos="2160"/>
      </w:tabs>
      <w:spacing w:after="220"/>
      <w:ind w:left="2160" w:hanging="720"/>
    </w:pPr>
  </w:style>
  <w:style w:type="paragraph" w:customStyle="1" w:styleId="TableFormat">
    <w:name w:val="TableFormat"/>
    <w:basedOn w:val="Bullet"/>
    <w:rsid w:val="00F3308D"/>
    <w:pPr>
      <w:numPr>
        <w:numId w:val="0"/>
      </w:numPr>
      <w:tabs>
        <w:tab w:val="clear" w:pos="2160"/>
        <w:tab w:val="left" w:pos="5040"/>
      </w:tabs>
      <w:ind w:left="5040" w:hanging="3600"/>
    </w:pPr>
  </w:style>
  <w:style w:type="paragraph" w:customStyle="1" w:styleId="TOCTitle">
    <w:name w:val="TOC Title"/>
    <w:basedOn w:val="Normal"/>
    <w:rsid w:val="00F330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3308D"/>
    <w:pPr>
      <w:jc w:val="center"/>
    </w:pPr>
    <w:rPr>
      <w:rFonts w:ascii="Times New Roman Bold" w:hAnsi="Times New Roman Bold"/>
      <w:b/>
      <w:bCs/>
      <w:caps/>
      <w:szCs w:val="22"/>
    </w:rPr>
  </w:style>
  <w:style w:type="character" w:styleId="Hyperlink">
    <w:name w:val="Hyperlink"/>
    <w:rsid w:val="00F3308D"/>
    <w:rPr>
      <w:color w:val="0000FF"/>
      <w:u w:val="single"/>
    </w:rPr>
  </w:style>
  <w:style w:type="character" w:customStyle="1" w:styleId="FooterChar">
    <w:name w:val="Footer Char"/>
    <w:link w:val="Footer"/>
    <w:uiPriority w:val="99"/>
    <w:rsid w:val="00F3308D"/>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 Char Char Char Char,f Char,fn Char Char,fn Char1"/>
    <w:link w:val="FootnoteText"/>
    <w:locked/>
    <w:rsid w:val="003A7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