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1D63" w:rsidRPr="0072606B" w:rsidP="00B41116">
      <w:pPr>
        <w:widowControl/>
        <w:rPr>
          <w:color w:val="000000" w:themeColor="text1"/>
          <w:szCs w:val="22"/>
        </w:rPr>
      </w:pPr>
    </w:p>
    <w:p w:rsidR="0069341C" w:rsidRPr="009A626A" w:rsidP="004C1772">
      <w:pPr>
        <w:widowControl/>
        <w:tabs>
          <w:tab w:val="left" w:pos="6120"/>
        </w:tabs>
        <w:jc w:val="right"/>
        <w:rPr>
          <w:b/>
          <w:color w:val="000000" w:themeColor="text1"/>
          <w:szCs w:val="22"/>
        </w:rPr>
      </w:pPr>
      <w:r>
        <w:rPr>
          <w:b/>
          <w:color w:val="000000" w:themeColor="text1"/>
          <w:szCs w:val="22"/>
        </w:rPr>
        <w:t xml:space="preserve">                              </w:t>
      </w:r>
      <w:r w:rsidR="00663138">
        <w:rPr>
          <w:b/>
          <w:color w:val="000000" w:themeColor="text1"/>
          <w:szCs w:val="22"/>
        </w:rPr>
        <w:t xml:space="preserve">                                </w:t>
      </w:r>
      <w:r w:rsidR="00E86665">
        <w:rPr>
          <w:b/>
          <w:color w:val="000000" w:themeColor="text1"/>
          <w:szCs w:val="22"/>
        </w:rPr>
        <w:t xml:space="preserve">   </w:t>
      </w:r>
      <w:r w:rsidRPr="009A626A" w:rsidR="00613D0B">
        <w:rPr>
          <w:b/>
          <w:color w:val="000000" w:themeColor="text1"/>
          <w:szCs w:val="22"/>
        </w:rPr>
        <w:t xml:space="preserve">DA </w:t>
      </w:r>
      <w:r w:rsidRPr="009A626A" w:rsidR="008540C9">
        <w:rPr>
          <w:b/>
          <w:color w:val="000000" w:themeColor="text1"/>
          <w:szCs w:val="22"/>
        </w:rPr>
        <w:t>18-</w:t>
      </w:r>
      <w:r w:rsidR="00E86665">
        <w:rPr>
          <w:b/>
          <w:color w:val="000000" w:themeColor="text1"/>
          <w:szCs w:val="22"/>
        </w:rPr>
        <w:t>1108</w:t>
      </w:r>
      <w:r w:rsidRPr="009A626A">
        <w:rPr>
          <w:b/>
          <w:color w:val="000000" w:themeColor="text1"/>
          <w:szCs w:val="22"/>
        </w:rPr>
        <w:tab/>
      </w:r>
    </w:p>
    <w:p w:rsidR="00DE1D63" w:rsidRPr="009A626A" w:rsidP="004C1772">
      <w:pPr>
        <w:widowControl/>
        <w:tabs>
          <w:tab w:val="left" w:pos="6120"/>
        </w:tabs>
        <w:jc w:val="right"/>
        <w:rPr>
          <w:b/>
          <w:color w:val="000000" w:themeColor="text1"/>
          <w:szCs w:val="22"/>
        </w:rPr>
      </w:pPr>
      <w:r w:rsidRPr="009A626A">
        <w:rPr>
          <w:b/>
          <w:color w:val="000000" w:themeColor="text1"/>
          <w:szCs w:val="22"/>
        </w:rPr>
        <w:tab/>
      </w:r>
      <w:r w:rsidRPr="009A626A" w:rsidR="00053731">
        <w:rPr>
          <w:b/>
          <w:color w:val="000000" w:themeColor="text1"/>
          <w:szCs w:val="22"/>
        </w:rPr>
        <w:t xml:space="preserve"> </w:t>
      </w:r>
      <w:r w:rsidRPr="009A626A" w:rsidR="0069401E">
        <w:rPr>
          <w:b/>
          <w:color w:val="000000" w:themeColor="text1"/>
          <w:szCs w:val="22"/>
        </w:rPr>
        <w:t xml:space="preserve">Released: </w:t>
      </w:r>
      <w:r w:rsidR="00DA01F8">
        <w:rPr>
          <w:b/>
          <w:color w:val="000000" w:themeColor="text1"/>
          <w:szCs w:val="22"/>
        </w:rPr>
        <w:t>October 30</w:t>
      </w:r>
      <w:r w:rsidRPr="009A626A" w:rsidR="00BD33CC">
        <w:rPr>
          <w:b/>
          <w:color w:val="000000" w:themeColor="text1"/>
          <w:szCs w:val="22"/>
        </w:rPr>
        <w:t>, 2018</w:t>
      </w:r>
    </w:p>
    <w:p w:rsidR="00F83F84" w:rsidRPr="009A626A" w:rsidP="006A0B39">
      <w:pPr>
        <w:jc w:val="right"/>
        <w:rPr>
          <w:b/>
          <w:szCs w:val="22"/>
        </w:rPr>
      </w:pPr>
    </w:p>
    <w:p w:rsidR="008540C9" w:rsidRPr="009A626A" w:rsidP="008540C9">
      <w:pPr>
        <w:jc w:val="center"/>
        <w:rPr>
          <w:b/>
          <w:szCs w:val="22"/>
        </w:rPr>
      </w:pPr>
      <w:r>
        <w:rPr>
          <w:b/>
          <w:szCs w:val="22"/>
        </w:rPr>
        <w:t xml:space="preserve">INCENTIVE AUCTION TASK FORCE AND </w:t>
      </w:r>
      <w:r w:rsidR="00B45C43">
        <w:rPr>
          <w:b/>
          <w:szCs w:val="22"/>
        </w:rPr>
        <w:t xml:space="preserve">MEDIA BUREAU ANNOUNCE SETTLEMENT OPPORTUNITY FOR </w:t>
      </w:r>
      <w:r w:rsidRPr="009A626A">
        <w:rPr>
          <w:b/>
          <w:szCs w:val="22"/>
        </w:rPr>
        <w:t>MUTUALLY EXCLUSIVE DISPLACEMENT APPLICATIONS</w:t>
      </w:r>
      <w:r w:rsidR="00B45C43">
        <w:rPr>
          <w:b/>
          <w:szCs w:val="22"/>
        </w:rPr>
        <w:t xml:space="preserve"> FILED DURING THE SPECIAL DISPLACEMENT WINDOW</w:t>
      </w:r>
    </w:p>
    <w:p w:rsidR="008540C9" w:rsidRPr="009A626A" w:rsidP="008540C9">
      <w:pPr>
        <w:jc w:val="center"/>
        <w:rPr>
          <w:b/>
          <w:szCs w:val="22"/>
        </w:rPr>
      </w:pPr>
    </w:p>
    <w:p w:rsidR="008540C9" w:rsidP="008540C9">
      <w:pPr>
        <w:jc w:val="center"/>
        <w:rPr>
          <w:b/>
          <w:szCs w:val="22"/>
        </w:rPr>
      </w:pPr>
      <w:r>
        <w:rPr>
          <w:b/>
          <w:szCs w:val="22"/>
        </w:rPr>
        <w:t>OCTOBER 30, 2018 TO JANUARY 10, 2019</w:t>
      </w:r>
    </w:p>
    <w:p w:rsidR="008E76EA" w:rsidP="008540C9">
      <w:pPr>
        <w:jc w:val="center"/>
        <w:rPr>
          <w:b/>
          <w:szCs w:val="22"/>
        </w:rPr>
      </w:pPr>
    </w:p>
    <w:p w:rsidR="008E76EA" w:rsidP="008540C9">
      <w:pPr>
        <w:jc w:val="center"/>
        <w:rPr>
          <w:b/>
          <w:szCs w:val="22"/>
        </w:rPr>
      </w:pPr>
      <w:r>
        <w:rPr>
          <w:b/>
          <w:szCs w:val="22"/>
        </w:rPr>
        <w:t>MB Docket No. 16-306</w:t>
      </w:r>
    </w:p>
    <w:p w:rsidR="008540C9" w:rsidRPr="009A626A" w:rsidP="00B41116">
      <w:pPr>
        <w:jc w:val="center"/>
        <w:rPr>
          <w:b/>
          <w:szCs w:val="22"/>
        </w:rPr>
      </w:pPr>
      <w:r>
        <w:rPr>
          <w:b/>
          <w:szCs w:val="22"/>
        </w:rPr>
        <w:t>GN Docket No. 12-268</w:t>
      </w:r>
    </w:p>
    <w:p w:rsidR="008540C9" w:rsidRPr="009A626A" w:rsidP="008540C9">
      <w:pPr>
        <w:widowControl/>
        <w:numPr>
          <w:ilvl w:val="0"/>
          <w:numId w:val="13"/>
        </w:numPr>
        <w:spacing w:before="120" w:after="120"/>
        <w:ind w:left="0" w:firstLine="810"/>
        <w:rPr>
          <w:szCs w:val="22"/>
        </w:rPr>
      </w:pPr>
      <w:r w:rsidRPr="009A626A">
        <w:rPr>
          <w:snapToGrid/>
          <w:kern w:val="0"/>
          <w:szCs w:val="22"/>
        </w:rPr>
        <w:t xml:space="preserve">On February 9, 2018, the Incentive Auction Task Force and the Media Bureau announced a displacement application filing </w:t>
      </w:r>
      <w:r w:rsidRPr="009A626A">
        <w:rPr>
          <w:szCs w:val="22"/>
        </w:rPr>
        <w:t xml:space="preserve">window for </w:t>
      </w:r>
      <w:r w:rsidRPr="009A626A">
        <w:rPr>
          <w:snapToGrid/>
          <w:kern w:val="0"/>
          <w:szCs w:val="22"/>
        </w:rPr>
        <w:t>low power television (LPTV), TV translator, and analog-to-digital replacement translator (DRT)</w:t>
      </w:r>
      <w:r w:rsidR="00B45C43">
        <w:rPr>
          <w:snapToGrid/>
          <w:kern w:val="0"/>
          <w:szCs w:val="22"/>
        </w:rPr>
        <w:t xml:space="preserve"> stations</w:t>
      </w:r>
      <w:r w:rsidRPr="009A626A">
        <w:rPr>
          <w:snapToGrid/>
          <w:kern w:val="0"/>
          <w:szCs w:val="22"/>
        </w:rPr>
        <w:t xml:space="preserve"> (referred to collectively as “LPTV/translator stations”)</w:t>
      </w:r>
      <w:r w:rsidRPr="009A626A">
        <w:rPr>
          <w:rStyle w:val="FootnoteReference"/>
          <w:snapToGrid/>
          <w:kern w:val="0"/>
          <w:szCs w:val="22"/>
        </w:rPr>
        <w:t xml:space="preserve"> </w:t>
      </w:r>
      <w:r w:rsidRPr="009A626A">
        <w:rPr>
          <w:szCs w:val="22"/>
        </w:rPr>
        <w:t xml:space="preserve">that were displaced by the </w:t>
      </w:r>
      <w:r w:rsidRPr="009A626A">
        <w:t>incentive auction and repacking process</w:t>
      </w:r>
      <w:r w:rsidRPr="009A626A">
        <w:rPr>
          <w:szCs w:val="22"/>
        </w:rPr>
        <w:t xml:space="preserve"> </w:t>
      </w:r>
      <w:r w:rsidRPr="009A626A">
        <w:rPr>
          <w:snapToGrid/>
          <w:kern w:val="0"/>
          <w:szCs w:val="22"/>
        </w:rPr>
        <w:t>(Special Displacement Window)</w:t>
      </w:r>
      <w:r w:rsidR="00170800">
        <w:rPr>
          <w:snapToGrid/>
          <w:kern w:val="0"/>
          <w:szCs w:val="22"/>
        </w:rPr>
        <w:t xml:space="preserve">. </w:t>
      </w:r>
      <w:r w:rsidR="000A0E5B">
        <w:rPr>
          <w:snapToGrid/>
          <w:kern w:val="0"/>
          <w:szCs w:val="22"/>
        </w:rPr>
        <w:t xml:space="preserve"> </w:t>
      </w:r>
      <w:r w:rsidR="00170800">
        <w:rPr>
          <w:snapToGrid/>
          <w:kern w:val="0"/>
          <w:szCs w:val="22"/>
        </w:rPr>
        <w:t>The filing window was open</w:t>
      </w:r>
      <w:r w:rsidRPr="009A626A">
        <w:rPr>
          <w:snapToGrid/>
          <w:kern w:val="0"/>
          <w:szCs w:val="22"/>
        </w:rPr>
        <w:t xml:space="preserve"> from April 10, 2018</w:t>
      </w:r>
      <w:r w:rsidR="00550070">
        <w:rPr>
          <w:snapToGrid/>
          <w:kern w:val="0"/>
          <w:szCs w:val="22"/>
        </w:rPr>
        <w:t>,</w:t>
      </w:r>
      <w:r w:rsidRPr="009A626A">
        <w:rPr>
          <w:snapToGrid/>
          <w:kern w:val="0"/>
          <w:szCs w:val="22"/>
        </w:rPr>
        <w:t xml:space="preserve"> t</w:t>
      </w:r>
      <w:r w:rsidR="00B45C43">
        <w:rPr>
          <w:snapToGrid/>
          <w:kern w:val="0"/>
          <w:szCs w:val="22"/>
        </w:rPr>
        <w:t>hrough</w:t>
      </w:r>
      <w:r w:rsidRPr="009A626A">
        <w:rPr>
          <w:snapToGrid/>
          <w:kern w:val="0"/>
          <w:szCs w:val="22"/>
        </w:rPr>
        <w:t xml:space="preserve"> </w:t>
      </w:r>
      <w:r w:rsidR="00B45C43">
        <w:rPr>
          <w:snapToGrid/>
          <w:kern w:val="0"/>
          <w:szCs w:val="22"/>
        </w:rPr>
        <w:t>June 1</w:t>
      </w:r>
      <w:r w:rsidR="00C63DF9">
        <w:rPr>
          <w:snapToGrid/>
          <w:kern w:val="0"/>
          <w:szCs w:val="22"/>
        </w:rPr>
        <w:t>, 2018</w:t>
      </w:r>
      <w:r w:rsidR="00170800">
        <w:rPr>
          <w:snapToGrid/>
          <w:kern w:val="0"/>
          <w:szCs w:val="22"/>
        </w:rPr>
        <w:t>.</w:t>
      </w:r>
      <w:r>
        <w:rPr>
          <w:rStyle w:val="FootnoteReference"/>
          <w:szCs w:val="22"/>
        </w:rPr>
        <w:footnoteReference w:id="3"/>
      </w:r>
      <w:r w:rsidRPr="009A626A">
        <w:rPr>
          <w:snapToGrid/>
          <w:kern w:val="0"/>
          <w:szCs w:val="22"/>
        </w:rPr>
        <w:t xml:space="preserve"> </w:t>
      </w:r>
      <w:r w:rsidR="008E76EA">
        <w:rPr>
          <w:snapToGrid/>
          <w:kern w:val="0"/>
          <w:szCs w:val="22"/>
        </w:rPr>
        <w:t xml:space="preserve"> </w:t>
      </w:r>
      <w:r w:rsidR="00C63DF9">
        <w:rPr>
          <w:snapToGrid/>
          <w:kern w:val="0"/>
          <w:szCs w:val="22"/>
        </w:rPr>
        <w:t xml:space="preserve">The Commission received over </w:t>
      </w:r>
      <w:r w:rsidR="000A0E5B">
        <w:rPr>
          <w:snapToGrid/>
          <w:kern w:val="0"/>
          <w:szCs w:val="22"/>
        </w:rPr>
        <w:t>2,100</w:t>
      </w:r>
      <w:r w:rsidR="00C63DF9">
        <w:rPr>
          <w:snapToGrid/>
          <w:kern w:val="0"/>
          <w:szCs w:val="22"/>
        </w:rPr>
        <w:t xml:space="preserve"> displacement applications during the Special Displacement Windo</w:t>
      </w:r>
      <w:r w:rsidR="00170800">
        <w:rPr>
          <w:snapToGrid/>
          <w:kern w:val="0"/>
          <w:szCs w:val="22"/>
        </w:rPr>
        <w:t>w.</w:t>
      </w:r>
      <w:r>
        <w:rPr>
          <w:rStyle w:val="FootnoteReference"/>
          <w:snapToGrid/>
          <w:kern w:val="0"/>
          <w:szCs w:val="22"/>
        </w:rPr>
        <w:footnoteReference w:id="4"/>
      </w:r>
      <w:r w:rsidR="00C63DF9">
        <w:rPr>
          <w:snapToGrid/>
          <w:kern w:val="0"/>
          <w:szCs w:val="22"/>
        </w:rPr>
        <w:t xml:space="preserve">  </w:t>
      </w:r>
    </w:p>
    <w:p w:rsidR="008152E6" w:rsidP="008152E6">
      <w:pPr>
        <w:widowControl/>
        <w:numPr>
          <w:ilvl w:val="0"/>
          <w:numId w:val="13"/>
        </w:numPr>
        <w:spacing w:before="120" w:after="120"/>
        <w:ind w:left="0" w:firstLine="810"/>
        <w:rPr>
          <w:szCs w:val="22"/>
        </w:rPr>
      </w:pPr>
      <w:r w:rsidRPr="009A626A">
        <w:rPr>
          <w:szCs w:val="22"/>
        </w:rPr>
        <w:t>Appendix A</w:t>
      </w:r>
      <w:r w:rsidR="000A0E5B">
        <w:rPr>
          <w:szCs w:val="22"/>
        </w:rPr>
        <w:t xml:space="preserve"> of this Public Notice</w:t>
      </w:r>
      <w:r w:rsidRPr="009A626A">
        <w:rPr>
          <w:szCs w:val="22"/>
        </w:rPr>
        <w:t xml:space="preserve"> list</w:t>
      </w:r>
      <w:r w:rsidR="000A0E5B">
        <w:rPr>
          <w:szCs w:val="22"/>
        </w:rPr>
        <w:t>s</w:t>
      </w:r>
      <w:r w:rsidRPr="009A626A">
        <w:rPr>
          <w:szCs w:val="22"/>
        </w:rPr>
        <w:t xml:space="preserve"> all displacement applications </w:t>
      </w:r>
      <w:r w:rsidR="000A0E5B">
        <w:rPr>
          <w:szCs w:val="22"/>
        </w:rPr>
        <w:t xml:space="preserve">received in the Special Displacement Window </w:t>
      </w:r>
      <w:r w:rsidRPr="009A626A">
        <w:rPr>
          <w:szCs w:val="22"/>
        </w:rPr>
        <w:t>that</w:t>
      </w:r>
      <w:r w:rsidR="006846D8">
        <w:rPr>
          <w:szCs w:val="22"/>
        </w:rPr>
        <w:t xml:space="preserve"> are mutually exclusive</w:t>
      </w:r>
      <w:r w:rsidRPr="009A626A">
        <w:rPr>
          <w:szCs w:val="22"/>
        </w:rPr>
        <w:t xml:space="preserve"> with other applications.</w:t>
      </w:r>
      <w:r>
        <w:rPr>
          <w:szCs w:val="22"/>
        </w:rPr>
        <w:t xml:space="preserve">  P</w:t>
      </w:r>
      <w:r w:rsidRPr="009A626A">
        <w:rPr>
          <w:szCs w:val="22"/>
        </w:rPr>
        <w:t xml:space="preserve">arties with applications in the </w:t>
      </w:r>
      <w:r w:rsidR="006846D8">
        <w:rPr>
          <w:szCs w:val="22"/>
        </w:rPr>
        <w:t>mutually exclusive</w:t>
      </w:r>
      <w:r w:rsidRPr="009A626A">
        <w:rPr>
          <w:szCs w:val="22"/>
        </w:rPr>
        <w:t xml:space="preserve"> groups listed in Appendix A </w:t>
      </w:r>
      <w:r>
        <w:rPr>
          <w:szCs w:val="22"/>
        </w:rPr>
        <w:t>may</w:t>
      </w:r>
      <w:r w:rsidR="006846D8">
        <w:rPr>
          <w:szCs w:val="22"/>
        </w:rPr>
        <w:t xml:space="preserve"> resolve their mutual exclusivity</w:t>
      </w:r>
      <w:r w:rsidRPr="009A626A">
        <w:rPr>
          <w:szCs w:val="22"/>
        </w:rPr>
        <w:t xml:space="preserve"> by unilateral engineering amendment, legal settlement</w:t>
      </w:r>
      <w:r>
        <w:rPr>
          <w:szCs w:val="22"/>
        </w:rPr>
        <w:t>,</w:t>
      </w:r>
      <w:r w:rsidRPr="009A626A">
        <w:rPr>
          <w:szCs w:val="22"/>
        </w:rPr>
        <w:t xml:space="preserve"> or engineering settlement</w:t>
      </w:r>
      <w:r w:rsidR="006846D8">
        <w:rPr>
          <w:szCs w:val="22"/>
        </w:rPr>
        <w:t xml:space="preserve"> </w:t>
      </w:r>
      <w:r>
        <w:rPr>
          <w:szCs w:val="22"/>
        </w:rPr>
        <w:t>during</w:t>
      </w:r>
      <w:r w:rsidRPr="009A626A" w:rsidR="008540C9">
        <w:rPr>
          <w:szCs w:val="22"/>
        </w:rPr>
        <w:t xml:space="preserve"> a </w:t>
      </w:r>
      <w:r w:rsidR="008A430B">
        <w:rPr>
          <w:szCs w:val="22"/>
        </w:rPr>
        <w:t xml:space="preserve">settlement </w:t>
      </w:r>
      <w:r w:rsidRPr="009A626A" w:rsidR="008540C9">
        <w:rPr>
          <w:szCs w:val="22"/>
        </w:rPr>
        <w:t>period beginning</w:t>
      </w:r>
      <w:r w:rsidRPr="009A626A" w:rsidR="001A10B5">
        <w:rPr>
          <w:szCs w:val="22"/>
        </w:rPr>
        <w:t xml:space="preserve"> </w:t>
      </w:r>
      <w:r w:rsidRPr="009A626A" w:rsidR="00737B32">
        <w:rPr>
          <w:b/>
          <w:szCs w:val="22"/>
        </w:rPr>
        <w:t xml:space="preserve">today, </w:t>
      </w:r>
      <w:r w:rsidR="00DA01F8">
        <w:rPr>
          <w:b/>
          <w:szCs w:val="22"/>
        </w:rPr>
        <w:t>October 30, 2018</w:t>
      </w:r>
      <w:r w:rsidRPr="009A626A" w:rsidR="00266093">
        <w:rPr>
          <w:b/>
          <w:szCs w:val="22"/>
        </w:rPr>
        <w:t>,</w:t>
      </w:r>
      <w:r w:rsidRPr="009A626A" w:rsidR="008540C9">
        <w:rPr>
          <w:szCs w:val="22"/>
        </w:rPr>
        <w:t xml:space="preserve"> </w:t>
      </w:r>
      <w:r w:rsidRPr="009A626A" w:rsidR="008540C9">
        <w:rPr>
          <w:b/>
          <w:szCs w:val="22"/>
        </w:rPr>
        <w:t xml:space="preserve">and ending </w:t>
      </w:r>
      <w:r w:rsidRPr="009A626A" w:rsidR="00266093">
        <w:rPr>
          <w:b/>
          <w:szCs w:val="22"/>
        </w:rPr>
        <w:t xml:space="preserve">at </w:t>
      </w:r>
      <w:r w:rsidRPr="009A626A" w:rsidR="00BD33CC">
        <w:rPr>
          <w:b/>
          <w:szCs w:val="22"/>
        </w:rPr>
        <w:t xml:space="preserve">11:59 pm ET, </w:t>
      </w:r>
      <w:r w:rsidR="00DA01F8">
        <w:rPr>
          <w:b/>
          <w:szCs w:val="22"/>
        </w:rPr>
        <w:t>January 10, 2019</w:t>
      </w:r>
      <w:r>
        <w:rPr>
          <w:b/>
          <w:szCs w:val="22"/>
        </w:rPr>
        <w:t>.</w:t>
      </w:r>
      <w:r>
        <w:rPr>
          <w:szCs w:val="22"/>
        </w:rPr>
        <w:t xml:space="preserve">  </w:t>
      </w:r>
    </w:p>
    <w:p w:rsidR="00BD33CC" w:rsidRPr="00B41116" w:rsidP="00BD33CC">
      <w:pPr>
        <w:widowControl/>
        <w:numPr>
          <w:ilvl w:val="0"/>
          <w:numId w:val="13"/>
        </w:numPr>
        <w:spacing w:before="120" w:after="120"/>
        <w:ind w:left="0" w:firstLine="810"/>
        <w:rPr>
          <w:szCs w:val="22"/>
        </w:rPr>
      </w:pPr>
      <w:r>
        <w:rPr>
          <w:szCs w:val="22"/>
        </w:rPr>
        <w:t>T</w:t>
      </w:r>
      <w:r w:rsidR="00731380">
        <w:rPr>
          <w:szCs w:val="22"/>
        </w:rPr>
        <w:t xml:space="preserve">he </w:t>
      </w:r>
      <w:r>
        <w:rPr>
          <w:szCs w:val="22"/>
        </w:rPr>
        <w:t xml:space="preserve">applications </w:t>
      </w:r>
      <w:r w:rsidR="00731380">
        <w:rPr>
          <w:szCs w:val="22"/>
        </w:rPr>
        <w:t>listed in Appendix A are subject to the Commission’s competitive bidding procedures</w:t>
      </w:r>
      <w:r>
        <w:rPr>
          <w:szCs w:val="22"/>
        </w:rPr>
        <w:t xml:space="preserve"> unless their mutual exclusivity is resolved</w:t>
      </w:r>
      <w:r w:rsidR="00731380">
        <w:rPr>
          <w:szCs w:val="22"/>
        </w:rPr>
        <w:t>.</w:t>
      </w:r>
      <w:r>
        <w:rPr>
          <w:rStyle w:val="FootnoteReference"/>
          <w:szCs w:val="22"/>
        </w:rPr>
        <w:footnoteReference w:id="5"/>
      </w:r>
      <w:r w:rsidR="00731380">
        <w:rPr>
          <w:szCs w:val="22"/>
        </w:rPr>
        <w:t xml:space="preserve">  </w:t>
      </w:r>
      <w:r w:rsidR="000A0E5B">
        <w:rPr>
          <w:szCs w:val="22"/>
        </w:rPr>
        <w:t>We</w:t>
      </w:r>
      <w:r w:rsidRPr="009A626A" w:rsidR="00731380">
        <w:rPr>
          <w:szCs w:val="22"/>
        </w:rPr>
        <w:t xml:space="preserve"> will w</w:t>
      </w:r>
      <w:r w:rsidR="008A5C09">
        <w:rPr>
          <w:szCs w:val="22"/>
        </w:rPr>
        <w:t>ithhold further action on the mutually exclusive</w:t>
      </w:r>
      <w:r w:rsidRPr="009A626A" w:rsidR="00731380">
        <w:rPr>
          <w:szCs w:val="22"/>
        </w:rPr>
        <w:t xml:space="preserve"> proposals listed in Appendix A pending submission of settlement agreements or engineering amendments to resolve </w:t>
      </w:r>
      <w:r w:rsidR="00422F9E">
        <w:rPr>
          <w:szCs w:val="22"/>
        </w:rPr>
        <w:t>mutual exclusivity</w:t>
      </w:r>
      <w:r w:rsidR="006846D8">
        <w:rPr>
          <w:szCs w:val="22"/>
        </w:rPr>
        <w:t xml:space="preserve"> </w:t>
      </w:r>
      <w:r w:rsidR="000A0E5B">
        <w:rPr>
          <w:szCs w:val="22"/>
        </w:rPr>
        <w:t>prior to</w:t>
      </w:r>
      <w:r w:rsidR="00170800">
        <w:rPr>
          <w:szCs w:val="22"/>
        </w:rPr>
        <w:t xml:space="preserve"> </w:t>
      </w:r>
      <w:r w:rsidR="00422F9E">
        <w:rPr>
          <w:szCs w:val="22"/>
        </w:rPr>
        <w:t>the close of the settlement period</w:t>
      </w:r>
      <w:r w:rsidRPr="009A626A" w:rsidR="00731380">
        <w:rPr>
          <w:szCs w:val="22"/>
        </w:rPr>
        <w:t xml:space="preserve">.  </w:t>
      </w:r>
      <w:r w:rsidR="00170800">
        <w:rPr>
          <w:szCs w:val="22"/>
        </w:rPr>
        <w:t xml:space="preserve">Thereafter, </w:t>
      </w:r>
      <w:r w:rsidRPr="009A626A" w:rsidR="00731380">
        <w:rPr>
          <w:szCs w:val="22"/>
        </w:rPr>
        <w:t>the Wireless Telecommunications</w:t>
      </w:r>
      <w:r w:rsidR="006846D8">
        <w:rPr>
          <w:szCs w:val="22"/>
        </w:rPr>
        <w:t xml:space="preserve"> </w:t>
      </w:r>
      <w:r w:rsidRPr="009A626A" w:rsidR="00731380">
        <w:rPr>
          <w:szCs w:val="22"/>
        </w:rPr>
        <w:t>and Media Bureau</w:t>
      </w:r>
      <w:r w:rsidR="00170800">
        <w:rPr>
          <w:szCs w:val="22"/>
        </w:rPr>
        <w:t>s</w:t>
      </w:r>
      <w:r w:rsidRPr="009A626A" w:rsidR="00731380">
        <w:rPr>
          <w:szCs w:val="22"/>
        </w:rPr>
        <w:t xml:space="preserve"> will announce an auction date and propose auction procedures for the remaining </w:t>
      </w:r>
      <w:r w:rsidR="008A5C09">
        <w:rPr>
          <w:szCs w:val="22"/>
        </w:rPr>
        <w:t>mutually exclusive</w:t>
      </w:r>
      <w:r w:rsidRPr="009A626A" w:rsidR="00731380">
        <w:rPr>
          <w:szCs w:val="22"/>
        </w:rPr>
        <w:t xml:space="preserve"> applications.</w:t>
      </w:r>
    </w:p>
    <w:p w:rsidR="00BD33CC" w:rsidRPr="00B41116" w:rsidP="00BD33CC">
      <w:pPr>
        <w:widowControl/>
        <w:numPr>
          <w:ilvl w:val="0"/>
          <w:numId w:val="13"/>
        </w:numPr>
        <w:spacing w:before="120" w:after="120"/>
        <w:ind w:left="0" w:firstLine="810"/>
        <w:rPr>
          <w:szCs w:val="22"/>
        </w:rPr>
      </w:pPr>
      <w:r w:rsidRPr="009A626A">
        <w:rPr>
          <w:b/>
          <w:szCs w:val="22"/>
          <w:u w:val="single"/>
        </w:rPr>
        <w:t>Unilateral Engineering Amendments</w:t>
      </w:r>
      <w:r w:rsidR="00B41116">
        <w:rPr>
          <w:b/>
          <w:szCs w:val="22"/>
          <w:u w:val="single"/>
        </w:rPr>
        <w:t>.</w:t>
      </w:r>
      <w:r>
        <w:rPr>
          <w:szCs w:val="22"/>
        </w:rPr>
        <w:t xml:space="preserve">  </w:t>
      </w:r>
      <w:r w:rsidR="006846D8">
        <w:rPr>
          <w:szCs w:val="22"/>
        </w:rPr>
        <w:t>Applicants may resolve their mutual exclusivity</w:t>
      </w:r>
      <w:r w:rsidRPr="009A626A">
        <w:rPr>
          <w:szCs w:val="22"/>
        </w:rPr>
        <w:t xml:space="preserve"> by filing an</w:t>
      </w:r>
      <w:r w:rsidRPr="009A626A" w:rsidR="00AB48B3">
        <w:rPr>
          <w:szCs w:val="22"/>
        </w:rPr>
        <w:t xml:space="preserve"> engineering </w:t>
      </w:r>
      <w:r w:rsidRPr="009A626A">
        <w:rPr>
          <w:szCs w:val="22"/>
        </w:rPr>
        <w:t>amendment</w:t>
      </w:r>
      <w:r w:rsidRPr="009A626A" w:rsidR="00AB48B3">
        <w:rPr>
          <w:szCs w:val="22"/>
        </w:rPr>
        <w:t xml:space="preserve"> to their application</w:t>
      </w:r>
      <w:r w:rsidRPr="009A626A">
        <w:rPr>
          <w:szCs w:val="22"/>
        </w:rPr>
        <w:t xml:space="preserve">.  </w:t>
      </w:r>
      <w:r>
        <w:rPr>
          <w:szCs w:val="22"/>
        </w:rPr>
        <w:t>An amendment that does not implicate the application of another station may be filed</w:t>
      </w:r>
      <w:r w:rsidR="00A2024D">
        <w:rPr>
          <w:szCs w:val="22"/>
        </w:rPr>
        <w:t xml:space="preserve"> by</w:t>
      </w:r>
      <w:r>
        <w:rPr>
          <w:szCs w:val="22"/>
        </w:rPr>
        <w:t xml:space="preserve"> the station during the settlement period without coordination with any other entity.  </w:t>
      </w:r>
      <w:r w:rsidRPr="009A626A">
        <w:rPr>
          <w:szCs w:val="22"/>
        </w:rPr>
        <w:t>All such amendments must</w:t>
      </w:r>
      <w:r w:rsidRPr="009A626A" w:rsidR="00737B32">
        <w:rPr>
          <w:szCs w:val="22"/>
        </w:rPr>
        <w:t xml:space="preserve"> be</w:t>
      </w:r>
      <w:r w:rsidRPr="009A626A">
        <w:rPr>
          <w:szCs w:val="22"/>
        </w:rPr>
        <w:t xml:space="preserve"> submitted by filing an amended FCC Form 2100 – Schedule C </w:t>
      </w:r>
      <w:r w:rsidR="009D7708">
        <w:rPr>
          <w:szCs w:val="22"/>
        </w:rPr>
        <w:t>i</w:t>
      </w:r>
      <w:r w:rsidRPr="009A626A">
        <w:rPr>
          <w:szCs w:val="22"/>
        </w:rPr>
        <w:t xml:space="preserve">n the Media Bureau’s Licensing and Management System (LMS) by </w:t>
      </w:r>
      <w:r w:rsidR="009A626A">
        <w:rPr>
          <w:b/>
          <w:szCs w:val="22"/>
        </w:rPr>
        <w:t xml:space="preserve">11:59 pm </w:t>
      </w:r>
      <w:r w:rsidR="00DA01F8">
        <w:rPr>
          <w:b/>
          <w:szCs w:val="22"/>
        </w:rPr>
        <w:t>ET on January 10, 2019</w:t>
      </w:r>
      <w:r w:rsidRPr="009A626A">
        <w:rPr>
          <w:szCs w:val="22"/>
        </w:rPr>
        <w:t xml:space="preserve">.  </w:t>
      </w:r>
      <w:r w:rsidRPr="009A626A" w:rsidR="00AB48B3">
        <w:rPr>
          <w:szCs w:val="22"/>
        </w:rPr>
        <w:t xml:space="preserve">Engineering </w:t>
      </w:r>
      <w:r w:rsidRPr="009A626A">
        <w:rPr>
          <w:szCs w:val="22"/>
        </w:rPr>
        <w:t xml:space="preserve">amendments submitted by applicants to unilaterally resolve their </w:t>
      </w:r>
      <w:r w:rsidR="006846D8">
        <w:rPr>
          <w:szCs w:val="22"/>
        </w:rPr>
        <w:t xml:space="preserve">mutual exclusivity </w:t>
      </w:r>
      <w:r w:rsidRPr="009A626A">
        <w:rPr>
          <w:szCs w:val="22"/>
        </w:rPr>
        <w:t xml:space="preserve">must be minor, as defined by the applicable rules, and must </w:t>
      </w:r>
      <w:r w:rsidRPr="009A626A" w:rsidR="00AB48B3">
        <w:rPr>
          <w:szCs w:val="22"/>
        </w:rPr>
        <w:t xml:space="preserve">not create new </w:t>
      </w:r>
      <w:r w:rsidR="006846D8">
        <w:rPr>
          <w:szCs w:val="22"/>
        </w:rPr>
        <w:t>mutual exclusivities</w:t>
      </w:r>
      <w:r w:rsidRPr="009A626A">
        <w:rPr>
          <w:szCs w:val="22"/>
        </w:rPr>
        <w:t xml:space="preserve"> or application conflict</w:t>
      </w:r>
      <w:r w:rsidR="006846D8">
        <w:rPr>
          <w:szCs w:val="22"/>
        </w:rPr>
        <w:t>s</w:t>
      </w:r>
      <w:r w:rsidRPr="009A626A">
        <w:rPr>
          <w:szCs w:val="22"/>
        </w:rPr>
        <w:t>.</w:t>
      </w:r>
      <w:r>
        <w:rPr>
          <w:rStyle w:val="FootnoteReference"/>
          <w:szCs w:val="22"/>
        </w:rPr>
        <w:footnoteReference w:id="6"/>
      </w:r>
    </w:p>
    <w:p w:rsidR="00540542" w:rsidRPr="009A626A" w:rsidP="00540542">
      <w:pPr>
        <w:widowControl/>
        <w:numPr>
          <w:ilvl w:val="0"/>
          <w:numId w:val="13"/>
        </w:numPr>
        <w:spacing w:before="120" w:after="120"/>
        <w:ind w:left="0" w:firstLine="810"/>
        <w:rPr>
          <w:szCs w:val="22"/>
        </w:rPr>
      </w:pPr>
      <w:r w:rsidRPr="009A626A">
        <w:rPr>
          <w:b/>
          <w:szCs w:val="22"/>
          <w:u w:val="single"/>
        </w:rPr>
        <w:t>Legal Settlements</w:t>
      </w:r>
      <w:r w:rsidR="00B41116">
        <w:rPr>
          <w:b/>
          <w:szCs w:val="22"/>
          <w:u w:val="single"/>
        </w:rPr>
        <w:t>.</w:t>
      </w:r>
      <w:r w:rsidRPr="009A626A">
        <w:rPr>
          <w:szCs w:val="22"/>
        </w:rPr>
        <w:t xml:space="preserve"> </w:t>
      </w:r>
      <w:r>
        <w:rPr>
          <w:szCs w:val="22"/>
        </w:rPr>
        <w:t xml:space="preserve"> </w:t>
      </w:r>
      <w:r w:rsidRPr="009A626A" w:rsidR="00BD33CC">
        <w:rPr>
          <w:szCs w:val="22"/>
        </w:rPr>
        <w:t xml:space="preserve">Applicants may </w:t>
      </w:r>
      <w:r w:rsidR="00550070">
        <w:rPr>
          <w:szCs w:val="22"/>
        </w:rPr>
        <w:t xml:space="preserve">also </w:t>
      </w:r>
      <w:r w:rsidRPr="009A626A" w:rsidR="00BD33CC">
        <w:rPr>
          <w:szCs w:val="22"/>
        </w:rPr>
        <w:t xml:space="preserve">resolve their </w:t>
      </w:r>
      <w:r w:rsidR="006846D8">
        <w:rPr>
          <w:szCs w:val="22"/>
        </w:rPr>
        <w:t>mutual exclusivity</w:t>
      </w:r>
      <w:r w:rsidRPr="009A626A" w:rsidR="00BD33CC">
        <w:rPr>
          <w:szCs w:val="22"/>
        </w:rPr>
        <w:t xml:space="preserve"> through a legal settlement that</w:t>
      </w:r>
      <w:r w:rsidR="00170800">
        <w:rPr>
          <w:szCs w:val="22"/>
        </w:rPr>
        <w:t xml:space="preserve"> provides</w:t>
      </w:r>
      <w:r w:rsidR="00D41731">
        <w:rPr>
          <w:szCs w:val="22"/>
        </w:rPr>
        <w:t xml:space="preserve"> </w:t>
      </w:r>
      <w:r w:rsidRPr="009A626A" w:rsidR="00BD33CC">
        <w:rPr>
          <w:szCs w:val="22"/>
        </w:rPr>
        <w:t xml:space="preserve">for the dismissal of one or more of the application(s) in their </w:t>
      </w:r>
      <w:r w:rsidR="008A5C09">
        <w:rPr>
          <w:szCs w:val="22"/>
        </w:rPr>
        <w:t>mutually exclusive</w:t>
      </w:r>
      <w:r w:rsidRPr="009A626A" w:rsidR="00BD33CC">
        <w:rPr>
          <w:szCs w:val="22"/>
        </w:rPr>
        <w:t xml:space="preserve"> group.  </w:t>
      </w:r>
      <w:r w:rsidRPr="009A626A" w:rsidR="004968AE">
        <w:rPr>
          <w:szCs w:val="22"/>
        </w:rPr>
        <w:t xml:space="preserve">Such agreements must be submitted for Commission approval.  </w:t>
      </w:r>
      <w:r w:rsidRPr="009A626A" w:rsidR="008540C9">
        <w:rPr>
          <w:szCs w:val="22"/>
        </w:rPr>
        <w:t xml:space="preserve">Parties </w:t>
      </w:r>
      <w:r w:rsidRPr="009A626A" w:rsidR="008152E6">
        <w:rPr>
          <w:szCs w:val="22"/>
        </w:rPr>
        <w:t xml:space="preserve">submitting a </w:t>
      </w:r>
      <w:r w:rsidRPr="009A626A" w:rsidR="00BD33CC">
        <w:rPr>
          <w:szCs w:val="22"/>
        </w:rPr>
        <w:t xml:space="preserve">legal </w:t>
      </w:r>
      <w:r w:rsidRPr="009A626A" w:rsidR="008152E6">
        <w:rPr>
          <w:szCs w:val="22"/>
        </w:rPr>
        <w:t xml:space="preserve">settlement </w:t>
      </w:r>
      <w:r w:rsidRPr="009A626A" w:rsidR="004968AE">
        <w:rPr>
          <w:szCs w:val="22"/>
        </w:rPr>
        <w:t xml:space="preserve">for approval </w:t>
      </w:r>
      <w:r w:rsidRPr="009A626A" w:rsidR="008540C9">
        <w:rPr>
          <w:szCs w:val="22"/>
        </w:rPr>
        <w:t>m</w:t>
      </w:r>
      <w:r w:rsidRPr="009A626A" w:rsidR="008152E6">
        <w:rPr>
          <w:szCs w:val="22"/>
        </w:rPr>
        <w:t>ust ensure that their</w:t>
      </w:r>
      <w:r w:rsidRPr="009A626A" w:rsidR="008540C9">
        <w:rPr>
          <w:szCs w:val="22"/>
        </w:rPr>
        <w:t xml:space="preserve"> agreements comply with the provisions of Section 311(c) of the Communications Act of 1934, as amended, and the pertinent requirements of Section 73.3525 of the Commission’s rules, including, inter alia, the settlement reimbursement restrictions.</w:t>
      </w:r>
      <w:r>
        <w:rPr>
          <w:rStyle w:val="FootnoteReference"/>
          <w:szCs w:val="22"/>
        </w:rPr>
        <w:footnoteReference w:id="7"/>
      </w:r>
      <w:r w:rsidRPr="009A626A" w:rsidR="008152E6">
        <w:rPr>
          <w:szCs w:val="22"/>
        </w:rPr>
        <w:t xml:space="preserve">  </w:t>
      </w:r>
      <w:r w:rsidRPr="009A626A" w:rsidR="004968AE">
        <w:rPr>
          <w:szCs w:val="22"/>
        </w:rPr>
        <w:t>Parties filing a request for approval of settlement agreement must include</w:t>
      </w:r>
      <w:r w:rsidRPr="009A626A" w:rsidR="00125AA7">
        <w:rPr>
          <w:szCs w:val="22"/>
        </w:rPr>
        <w:t xml:space="preserve"> a copy of their agreement and</w:t>
      </w:r>
      <w:r w:rsidRPr="009A626A" w:rsidR="004968AE">
        <w:rPr>
          <w:szCs w:val="22"/>
        </w:rPr>
        <w:t xml:space="preserve">:  (1) </w:t>
      </w:r>
      <w:r w:rsidRPr="009A626A" w:rsidR="00AB48B3">
        <w:rPr>
          <w:szCs w:val="22"/>
        </w:rPr>
        <w:t>a statement outlining t</w:t>
      </w:r>
      <w:r w:rsidRPr="009A626A" w:rsidR="004968AE">
        <w:rPr>
          <w:szCs w:val="22"/>
        </w:rPr>
        <w:t>he reasons why</w:t>
      </w:r>
      <w:r w:rsidR="006846D8">
        <w:rPr>
          <w:szCs w:val="22"/>
        </w:rPr>
        <w:t xml:space="preserve"> </w:t>
      </w:r>
      <w:r w:rsidRPr="009A626A" w:rsidR="004968AE">
        <w:rPr>
          <w:szCs w:val="22"/>
        </w:rPr>
        <w:t>such agreement is in the public interest; (2) a</w:t>
      </w:r>
      <w:r w:rsidRPr="009A626A" w:rsidR="00AB48B3">
        <w:rPr>
          <w:szCs w:val="22"/>
        </w:rPr>
        <w:t xml:space="preserve"> statement that each party</w:t>
      </w:r>
      <w:r w:rsidRPr="009A626A" w:rsidR="004968AE">
        <w:rPr>
          <w:szCs w:val="22"/>
        </w:rPr>
        <w:t>’</w:t>
      </w:r>
      <w:r w:rsidRPr="009A626A" w:rsidR="00AB48B3">
        <w:rPr>
          <w:szCs w:val="22"/>
        </w:rPr>
        <w:t>s</w:t>
      </w:r>
      <w:r w:rsidRPr="009A626A" w:rsidR="004968AE">
        <w:rPr>
          <w:szCs w:val="22"/>
        </w:rPr>
        <w:t xml:space="preserve"> application was not filed for the purpose of reaching or carrying out such agreement; (3) a certification that neither the dismissing applicant nor its principals has received any money or other consideration in excess of the legitimate and prudent expenses of the applicant; (4) </w:t>
      </w:r>
      <w:r w:rsidRPr="009A626A" w:rsidR="00AB48B3">
        <w:rPr>
          <w:szCs w:val="22"/>
        </w:rPr>
        <w:t xml:space="preserve">a statement outlining </w:t>
      </w:r>
      <w:r w:rsidRPr="009A626A" w:rsidR="004968AE">
        <w:rPr>
          <w:szCs w:val="22"/>
        </w:rPr>
        <w:t xml:space="preserve">the exact nature and amount of any consideration paid or promised; (5) an itemized accounting of the expenses for which it seeks reimbursement; and (6) the terms of any oral agreement relating to the </w:t>
      </w:r>
      <w:bookmarkStart w:id="0" w:name="_Hlk509479001"/>
      <w:r w:rsidRPr="009A626A" w:rsidR="004968AE">
        <w:rPr>
          <w:szCs w:val="22"/>
        </w:rPr>
        <w:t>dismissal or withdrawal of its application.</w:t>
      </w:r>
    </w:p>
    <w:p w:rsidR="00125AA7" w:rsidRPr="00B41116" w:rsidP="00125AA7">
      <w:pPr>
        <w:widowControl/>
        <w:numPr>
          <w:ilvl w:val="0"/>
          <w:numId w:val="13"/>
        </w:numPr>
        <w:spacing w:before="120" w:after="120"/>
        <w:ind w:left="0" w:firstLine="810"/>
        <w:rPr>
          <w:szCs w:val="22"/>
        </w:rPr>
      </w:pPr>
      <w:r w:rsidRPr="009A626A">
        <w:rPr>
          <w:szCs w:val="22"/>
        </w:rPr>
        <w:t>Requests for a</w:t>
      </w:r>
      <w:r w:rsidRPr="009A626A" w:rsidR="00AB48B3">
        <w:rPr>
          <w:szCs w:val="22"/>
        </w:rPr>
        <w:t>pproval of settlement agreement</w:t>
      </w:r>
      <w:r w:rsidRPr="009A626A">
        <w:rPr>
          <w:szCs w:val="22"/>
        </w:rPr>
        <w:t xml:space="preserve"> and </w:t>
      </w:r>
      <w:r w:rsidRPr="009A626A">
        <w:rPr>
          <w:szCs w:val="22"/>
        </w:rPr>
        <w:t xml:space="preserve">the above-outlined </w:t>
      </w:r>
      <w:r w:rsidRPr="009A626A">
        <w:rPr>
          <w:szCs w:val="22"/>
        </w:rPr>
        <w:t>document</w:t>
      </w:r>
      <w:r w:rsidRPr="009A626A" w:rsidR="00540542">
        <w:rPr>
          <w:szCs w:val="22"/>
        </w:rPr>
        <w:t>s</w:t>
      </w:r>
      <w:r w:rsidRPr="009A626A">
        <w:rPr>
          <w:szCs w:val="22"/>
        </w:rPr>
        <w:t xml:space="preserve"> </w:t>
      </w:r>
      <w:r w:rsidRPr="009A626A" w:rsidR="00540542">
        <w:rPr>
          <w:szCs w:val="22"/>
        </w:rPr>
        <w:t xml:space="preserve">required by Section 73.3525 </w:t>
      </w:r>
      <w:r w:rsidRPr="009A626A">
        <w:rPr>
          <w:szCs w:val="22"/>
        </w:rPr>
        <w:t xml:space="preserve">must be submitted </w:t>
      </w:r>
      <w:r w:rsidRPr="009A626A" w:rsidR="00540542">
        <w:rPr>
          <w:szCs w:val="22"/>
        </w:rPr>
        <w:t xml:space="preserve">in the form of an </w:t>
      </w:r>
      <w:r w:rsidRPr="009A626A" w:rsidR="00AB48B3">
        <w:rPr>
          <w:szCs w:val="22"/>
        </w:rPr>
        <w:t>amendment to each party’s</w:t>
      </w:r>
      <w:r w:rsidRPr="009A626A">
        <w:rPr>
          <w:szCs w:val="22"/>
        </w:rPr>
        <w:t xml:space="preserve"> pending application </w:t>
      </w:r>
      <w:r w:rsidR="009D7708">
        <w:rPr>
          <w:szCs w:val="22"/>
        </w:rPr>
        <w:t>i</w:t>
      </w:r>
      <w:r w:rsidR="006846D8">
        <w:rPr>
          <w:szCs w:val="22"/>
        </w:rPr>
        <w:t>n LMS</w:t>
      </w:r>
      <w:r w:rsidRPr="009A626A" w:rsidR="00540542">
        <w:rPr>
          <w:szCs w:val="22"/>
        </w:rPr>
        <w:t xml:space="preserve"> by </w:t>
      </w:r>
      <w:r w:rsidR="00DA01F8">
        <w:rPr>
          <w:b/>
          <w:szCs w:val="22"/>
        </w:rPr>
        <w:t>11:59 pm ET on January 10, 2019</w:t>
      </w:r>
      <w:r w:rsidRPr="009A626A" w:rsidR="00540542">
        <w:rPr>
          <w:b/>
          <w:szCs w:val="22"/>
        </w:rPr>
        <w:t>.</w:t>
      </w:r>
      <w:bookmarkEnd w:id="0"/>
    </w:p>
    <w:p w:rsidR="00E820F4" w:rsidP="006A084B">
      <w:pPr>
        <w:widowControl/>
        <w:numPr>
          <w:ilvl w:val="0"/>
          <w:numId w:val="13"/>
        </w:numPr>
        <w:spacing w:before="120" w:after="120"/>
        <w:ind w:left="0" w:firstLine="810"/>
        <w:rPr>
          <w:szCs w:val="22"/>
        </w:rPr>
      </w:pPr>
      <w:r w:rsidRPr="009A626A">
        <w:rPr>
          <w:b/>
          <w:szCs w:val="22"/>
          <w:u w:val="single"/>
        </w:rPr>
        <w:t>Engineering Settlements</w:t>
      </w:r>
      <w:r w:rsidR="00B41116">
        <w:rPr>
          <w:b/>
          <w:szCs w:val="22"/>
          <w:u w:val="single"/>
        </w:rPr>
        <w:t>.</w:t>
      </w:r>
      <w:r w:rsidRPr="006A084B">
        <w:rPr>
          <w:szCs w:val="22"/>
        </w:rPr>
        <w:t xml:space="preserve"> </w:t>
      </w:r>
      <w:r>
        <w:rPr>
          <w:szCs w:val="22"/>
        </w:rPr>
        <w:t xml:space="preserve"> </w:t>
      </w:r>
      <w:r w:rsidRPr="006A084B" w:rsidR="008540C9">
        <w:rPr>
          <w:szCs w:val="22"/>
        </w:rPr>
        <w:t xml:space="preserve">Applicants </w:t>
      </w:r>
      <w:r w:rsidRPr="006A084B" w:rsidR="004968AE">
        <w:rPr>
          <w:szCs w:val="22"/>
        </w:rPr>
        <w:t>may also enter into a settlement agreement to resolve</w:t>
      </w:r>
      <w:r w:rsidR="006846D8">
        <w:rPr>
          <w:szCs w:val="22"/>
        </w:rPr>
        <w:t xml:space="preserve"> their mutual exclusivity</w:t>
      </w:r>
      <w:r w:rsidRPr="006A084B" w:rsidR="008540C9">
        <w:rPr>
          <w:szCs w:val="22"/>
        </w:rPr>
        <w:t xml:space="preserve"> by m</w:t>
      </w:r>
      <w:r w:rsidRPr="006A084B" w:rsidR="00E3321B">
        <w:rPr>
          <w:szCs w:val="22"/>
        </w:rPr>
        <w:t xml:space="preserve">eans of </w:t>
      </w:r>
      <w:r w:rsidRPr="006A084B" w:rsidR="008152E6">
        <w:rPr>
          <w:szCs w:val="22"/>
        </w:rPr>
        <w:t xml:space="preserve">an </w:t>
      </w:r>
      <w:r w:rsidRPr="006A084B" w:rsidR="00E3321B">
        <w:rPr>
          <w:szCs w:val="22"/>
        </w:rPr>
        <w:t>engineering solution</w:t>
      </w:r>
      <w:r w:rsidRPr="006A084B" w:rsidR="004968AE">
        <w:rPr>
          <w:szCs w:val="22"/>
        </w:rPr>
        <w:t xml:space="preserve">. </w:t>
      </w:r>
      <w:r w:rsidR="00D41731">
        <w:rPr>
          <w:szCs w:val="22"/>
        </w:rPr>
        <w:t xml:space="preserve"> As with unilat</w:t>
      </w:r>
      <w:r w:rsidR="001E05A3">
        <w:rPr>
          <w:szCs w:val="22"/>
        </w:rPr>
        <w:t>eral engineering amendments, e</w:t>
      </w:r>
      <w:r w:rsidRPr="009A626A" w:rsidR="001E05A3">
        <w:rPr>
          <w:szCs w:val="22"/>
        </w:rPr>
        <w:t xml:space="preserve">ngineering amendments submitted </w:t>
      </w:r>
      <w:r w:rsidR="001E05A3">
        <w:rPr>
          <w:szCs w:val="22"/>
        </w:rPr>
        <w:t>in conjunction with a settlement</w:t>
      </w:r>
      <w:r w:rsidRPr="009A626A" w:rsidR="001E05A3">
        <w:rPr>
          <w:szCs w:val="22"/>
        </w:rPr>
        <w:t xml:space="preserve"> must be minor, as defined by the applicable rules, and must not create new </w:t>
      </w:r>
      <w:r w:rsidR="006846D8">
        <w:rPr>
          <w:szCs w:val="22"/>
        </w:rPr>
        <w:t>mutual exclusivities o</w:t>
      </w:r>
      <w:r w:rsidRPr="009A626A" w:rsidR="001E05A3">
        <w:rPr>
          <w:szCs w:val="22"/>
        </w:rPr>
        <w:t>r application conflict</w:t>
      </w:r>
      <w:r w:rsidR="006846D8">
        <w:rPr>
          <w:szCs w:val="22"/>
        </w:rPr>
        <w:t>s</w:t>
      </w:r>
      <w:r w:rsidRPr="009A626A" w:rsidR="001E05A3">
        <w:rPr>
          <w:szCs w:val="22"/>
        </w:rPr>
        <w:t>.</w:t>
      </w:r>
      <w:r>
        <w:rPr>
          <w:rStyle w:val="FootnoteReference"/>
          <w:szCs w:val="22"/>
        </w:rPr>
        <w:footnoteReference w:id="8"/>
      </w:r>
      <w:r>
        <w:rPr>
          <w:szCs w:val="22"/>
        </w:rPr>
        <w:t xml:space="preserve"> </w:t>
      </w:r>
      <w:r w:rsidR="001E05A3">
        <w:rPr>
          <w:szCs w:val="22"/>
        </w:rPr>
        <w:t xml:space="preserve"> </w:t>
      </w:r>
      <w:r w:rsidRPr="006A084B" w:rsidR="006A084B">
        <w:rPr>
          <w:szCs w:val="22"/>
        </w:rPr>
        <w:t xml:space="preserve">Such settlements may include proposing channel sharing as means to resolve their </w:t>
      </w:r>
      <w:r w:rsidR="006846D8">
        <w:rPr>
          <w:szCs w:val="22"/>
        </w:rPr>
        <w:t>mutual exclusivity</w:t>
      </w:r>
      <w:r w:rsidRPr="006A084B" w:rsidR="006A084B">
        <w:rPr>
          <w:szCs w:val="22"/>
        </w:rPr>
        <w:t>.</w:t>
      </w:r>
      <w:r w:rsidR="006A084B">
        <w:rPr>
          <w:szCs w:val="22"/>
        </w:rPr>
        <w:t xml:space="preserve"> E</w:t>
      </w:r>
      <w:r w:rsidRPr="006A084B" w:rsidR="00540542">
        <w:rPr>
          <w:szCs w:val="22"/>
        </w:rPr>
        <w:t>ngineering settlement</w:t>
      </w:r>
      <w:r w:rsidRPr="006A084B" w:rsidR="004968AE">
        <w:rPr>
          <w:szCs w:val="22"/>
        </w:rPr>
        <w:t xml:space="preserve"> agreement</w:t>
      </w:r>
      <w:r w:rsidRPr="006A084B" w:rsidR="00540542">
        <w:rPr>
          <w:szCs w:val="22"/>
        </w:rPr>
        <w:t>s</w:t>
      </w:r>
      <w:r w:rsidRPr="006A084B" w:rsidR="004968AE">
        <w:rPr>
          <w:szCs w:val="22"/>
        </w:rPr>
        <w:t xml:space="preserve"> </w:t>
      </w:r>
      <w:r w:rsidR="00550070">
        <w:rPr>
          <w:szCs w:val="22"/>
        </w:rPr>
        <w:t xml:space="preserve">must </w:t>
      </w:r>
      <w:r w:rsidRPr="006A084B" w:rsidR="00125AA7">
        <w:rPr>
          <w:szCs w:val="22"/>
        </w:rPr>
        <w:t xml:space="preserve">also </w:t>
      </w:r>
      <w:r w:rsidRPr="006A084B" w:rsidR="004968AE">
        <w:rPr>
          <w:szCs w:val="22"/>
        </w:rPr>
        <w:t xml:space="preserve">be filed with the Commission for approval and must include the documentation </w:t>
      </w:r>
      <w:r w:rsidRPr="006A084B" w:rsidR="00125AA7">
        <w:rPr>
          <w:szCs w:val="22"/>
        </w:rPr>
        <w:t xml:space="preserve">required by Section 73.3525 outlined above. </w:t>
      </w:r>
      <w:r>
        <w:rPr>
          <w:szCs w:val="22"/>
        </w:rPr>
        <w:t xml:space="preserve"> </w:t>
      </w:r>
    </w:p>
    <w:p w:rsidR="006A084B" w:rsidRPr="006A084B" w:rsidP="006A084B">
      <w:pPr>
        <w:widowControl/>
        <w:numPr>
          <w:ilvl w:val="0"/>
          <w:numId w:val="13"/>
        </w:numPr>
        <w:spacing w:before="120" w:after="120"/>
        <w:ind w:left="0" w:firstLine="810"/>
        <w:rPr>
          <w:szCs w:val="22"/>
        </w:rPr>
      </w:pPr>
      <w:r w:rsidRPr="006A084B">
        <w:rPr>
          <w:szCs w:val="22"/>
        </w:rPr>
        <w:t xml:space="preserve">Requests for approval of </w:t>
      </w:r>
      <w:r w:rsidRPr="006A084B" w:rsidR="00125AA7">
        <w:rPr>
          <w:szCs w:val="22"/>
        </w:rPr>
        <w:t xml:space="preserve">engineering </w:t>
      </w:r>
      <w:r w:rsidRPr="006A084B">
        <w:rPr>
          <w:szCs w:val="22"/>
        </w:rPr>
        <w:t>settlement agreements</w:t>
      </w:r>
      <w:r w:rsidRPr="006A084B" w:rsidR="00125AA7">
        <w:rPr>
          <w:szCs w:val="22"/>
        </w:rPr>
        <w:t xml:space="preserve">, </w:t>
      </w:r>
      <w:r w:rsidRPr="006A084B">
        <w:rPr>
          <w:szCs w:val="22"/>
        </w:rPr>
        <w:t>accompanying document</w:t>
      </w:r>
      <w:r w:rsidRPr="006A084B" w:rsidR="00125AA7">
        <w:rPr>
          <w:szCs w:val="22"/>
        </w:rPr>
        <w:t xml:space="preserve">ation, and corresponding technical amendments </w:t>
      </w:r>
      <w:r w:rsidRPr="006A084B">
        <w:rPr>
          <w:szCs w:val="22"/>
        </w:rPr>
        <w:t xml:space="preserve">must be submitted in the form of an </w:t>
      </w:r>
      <w:r w:rsidRPr="006A084B" w:rsidR="00AB48B3">
        <w:rPr>
          <w:szCs w:val="22"/>
        </w:rPr>
        <w:t>amendment to each party</w:t>
      </w:r>
      <w:r w:rsidRPr="006A084B">
        <w:rPr>
          <w:szCs w:val="22"/>
        </w:rPr>
        <w:t>’</w:t>
      </w:r>
      <w:r w:rsidRPr="006A084B" w:rsidR="00AB48B3">
        <w:rPr>
          <w:szCs w:val="22"/>
        </w:rPr>
        <w:t>s</w:t>
      </w:r>
      <w:r w:rsidRPr="006A084B">
        <w:rPr>
          <w:szCs w:val="22"/>
        </w:rPr>
        <w:t xml:space="preserve"> pending application </w:t>
      </w:r>
      <w:r w:rsidR="009D7708">
        <w:rPr>
          <w:szCs w:val="22"/>
        </w:rPr>
        <w:t>i</w:t>
      </w:r>
      <w:r w:rsidRPr="006A084B" w:rsidR="00125AA7">
        <w:rPr>
          <w:szCs w:val="22"/>
        </w:rPr>
        <w:t xml:space="preserve">n LMS </w:t>
      </w:r>
      <w:r w:rsidRPr="006A084B">
        <w:rPr>
          <w:szCs w:val="22"/>
        </w:rPr>
        <w:t xml:space="preserve">by </w:t>
      </w:r>
      <w:r w:rsidRPr="006A084B" w:rsidR="00737B32">
        <w:rPr>
          <w:b/>
          <w:szCs w:val="22"/>
        </w:rPr>
        <w:t xml:space="preserve">11:59 pm ET on </w:t>
      </w:r>
      <w:r w:rsidR="00DA01F8">
        <w:rPr>
          <w:b/>
          <w:szCs w:val="22"/>
        </w:rPr>
        <w:t>January 10, 2019</w:t>
      </w:r>
      <w:r w:rsidRPr="006A084B">
        <w:rPr>
          <w:b/>
          <w:szCs w:val="22"/>
        </w:rPr>
        <w:t>.</w:t>
      </w:r>
      <w:r>
        <w:rPr>
          <w:b/>
          <w:szCs w:val="22"/>
        </w:rPr>
        <w:t xml:space="preserve">  </w:t>
      </w:r>
      <w:r>
        <w:rPr>
          <w:szCs w:val="22"/>
        </w:rPr>
        <w:t xml:space="preserve">In the case of channel sharing settlements, the proposed </w:t>
      </w:r>
      <w:r w:rsidRPr="006A084B">
        <w:rPr>
          <w:szCs w:val="22"/>
        </w:rPr>
        <w:t>sharee</w:t>
      </w:r>
      <w:r w:rsidRPr="006A084B">
        <w:rPr>
          <w:szCs w:val="22"/>
        </w:rPr>
        <w:t xml:space="preserve"> </w:t>
      </w:r>
      <w:r>
        <w:rPr>
          <w:szCs w:val="22"/>
        </w:rPr>
        <w:t xml:space="preserve">station shall </w:t>
      </w:r>
      <w:r w:rsidRPr="006A084B">
        <w:rPr>
          <w:szCs w:val="22"/>
        </w:rPr>
        <w:t>file to modify it</w:t>
      </w:r>
      <w:r w:rsidR="004430A7">
        <w:rPr>
          <w:szCs w:val="22"/>
        </w:rPr>
        <w:t>s</w:t>
      </w:r>
      <w:r w:rsidRPr="006A084B">
        <w:rPr>
          <w:szCs w:val="22"/>
        </w:rPr>
        <w:t xml:space="preserve"> current license, specifying the technical parameters in the </w:t>
      </w:r>
      <w:r w:rsidR="001E05A3">
        <w:rPr>
          <w:szCs w:val="22"/>
        </w:rPr>
        <w:t>proposed</w:t>
      </w:r>
      <w:r w:rsidRPr="006A084B">
        <w:rPr>
          <w:szCs w:val="22"/>
        </w:rPr>
        <w:t xml:space="preserve"> host</w:t>
      </w:r>
      <w:r w:rsidR="001E05A3">
        <w:rPr>
          <w:szCs w:val="22"/>
        </w:rPr>
        <w:t xml:space="preserve"> station</w:t>
      </w:r>
      <w:r w:rsidRPr="006A084B">
        <w:rPr>
          <w:szCs w:val="22"/>
        </w:rPr>
        <w:t xml:space="preserve">’s displacement application and </w:t>
      </w:r>
      <w:r w:rsidR="001E05A3">
        <w:rPr>
          <w:szCs w:val="22"/>
        </w:rPr>
        <w:t xml:space="preserve">request that its </w:t>
      </w:r>
      <w:r w:rsidRPr="006A084B">
        <w:rPr>
          <w:szCs w:val="22"/>
        </w:rPr>
        <w:t>displacement application be dismissed upon grant of the channel sharing.</w:t>
      </w:r>
    </w:p>
    <w:p w:rsidR="008540C9" w:rsidP="004A151E">
      <w:pPr>
        <w:widowControl/>
        <w:numPr>
          <w:ilvl w:val="0"/>
          <w:numId w:val="13"/>
        </w:numPr>
        <w:spacing w:before="120" w:after="120"/>
        <w:ind w:left="0" w:firstLine="810"/>
        <w:rPr>
          <w:szCs w:val="22"/>
        </w:rPr>
      </w:pPr>
      <w:r>
        <w:rPr>
          <w:szCs w:val="22"/>
        </w:rPr>
        <w:t xml:space="preserve">In the case of </w:t>
      </w:r>
      <w:r w:rsidR="00425F3F">
        <w:rPr>
          <w:szCs w:val="22"/>
        </w:rPr>
        <w:t xml:space="preserve">legal and </w:t>
      </w:r>
      <w:r w:rsidR="00B41116">
        <w:rPr>
          <w:szCs w:val="22"/>
        </w:rPr>
        <w:t>e</w:t>
      </w:r>
      <w:r>
        <w:rPr>
          <w:szCs w:val="22"/>
        </w:rPr>
        <w:t>ngineering</w:t>
      </w:r>
      <w:r w:rsidR="00425F3F">
        <w:rPr>
          <w:szCs w:val="22"/>
        </w:rPr>
        <w:t xml:space="preserve"> </w:t>
      </w:r>
      <w:r>
        <w:rPr>
          <w:szCs w:val="22"/>
        </w:rPr>
        <w:t>settlements, the</w:t>
      </w:r>
      <w:r w:rsidRPr="009A626A" w:rsidR="00125AA7">
        <w:rPr>
          <w:szCs w:val="22"/>
        </w:rPr>
        <w:t xml:space="preserve"> parties should endeavor, wherever possible, to </w:t>
      </w:r>
      <w:r w:rsidRPr="009A626A">
        <w:rPr>
          <w:szCs w:val="22"/>
        </w:rPr>
        <w:t xml:space="preserve">resolve their </w:t>
      </w:r>
      <w:r w:rsidR="006846D8">
        <w:rPr>
          <w:szCs w:val="22"/>
        </w:rPr>
        <w:t>mutual exclusivity</w:t>
      </w:r>
      <w:r w:rsidRPr="009A626A" w:rsidR="00125AA7">
        <w:rPr>
          <w:szCs w:val="22"/>
        </w:rPr>
        <w:t xml:space="preserve"> through </w:t>
      </w:r>
      <w:r w:rsidRPr="009A626A">
        <w:rPr>
          <w:szCs w:val="22"/>
        </w:rPr>
        <w:t>minor</w:t>
      </w:r>
      <w:r w:rsidRPr="009A626A" w:rsidR="00125AA7">
        <w:rPr>
          <w:szCs w:val="22"/>
        </w:rPr>
        <w:t xml:space="preserve"> </w:t>
      </w:r>
      <w:r w:rsidRPr="009A626A" w:rsidR="00266093">
        <w:rPr>
          <w:szCs w:val="22"/>
        </w:rPr>
        <w:t xml:space="preserve">engineering </w:t>
      </w:r>
      <w:r w:rsidRPr="009A626A" w:rsidR="00125AA7">
        <w:rPr>
          <w:szCs w:val="22"/>
        </w:rPr>
        <w:t>amendments</w:t>
      </w:r>
      <w:r w:rsidRPr="009A626A">
        <w:rPr>
          <w:szCs w:val="22"/>
        </w:rPr>
        <w:t>, as defined b</w:t>
      </w:r>
      <w:r w:rsidRPr="009A626A" w:rsidR="00125AA7">
        <w:rPr>
          <w:szCs w:val="22"/>
        </w:rPr>
        <w:t>y the applicable rules.</w:t>
      </w:r>
      <w:r>
        <w:rPr>
          <w:rStyle w:val="FootnoteReference"/>
          <w:szCs w:val="22"/>
        </w:rPr>
        <w:footnoteReference w:id="9"/>
      </w:r>
      <w:r w:rsidRPr="009A626A" w:rsidR="00125AA7">
        <w:rPr>
          <w:szCs w:val="22"/>
        </w:rPr>
        <w:t xml:space="preserve">  However, applicants that are unable to resolve their </w:t>
      </w:r>
      <w:r w:rsidR="006846D8">
        <w:rPr>
          <w:szCs w:val="22"/>
        </w:rPr>
        <w:t>mutual exclusivity</w:t>
      </w:r>
      <w:r w:rsidRPr="009A626A" w:rsidR="00125AA7">
        <w:rPr>
          <w:szCs w:val="22"/>
        </w:rPr>
        <w:t xml:space="preserve"> through a minor </w:t>
      </w:r>
      <w:r w:rsidRPr="009A626A" w:rsidR="00737B32">
        <w:rPr>
          <w:szCs w:val="22"/>
        </w:rPr>
        <w:t xml:space="preserve">engineering </w:t>
      </w:r>
      <w:r w:rsidRPr="009A626A" w:rsidR="00125AA7">
        <w:rPr>
          <w:szCs w:val="22"/>
        </w:rPr>
        <w:t xml:space="preserve">amendment may, as part of their </w:t>
      </w:r>
      <w:r w:rsidR="00550070">
        <w:rPr>
          <w:szCs w:val="22"/>
        </w:rPr>
        <w:t xml:space="preserve">legal or engineering </w:t>
      </w:r>
      <w:r w:rsidRPr="009A626A" w:rsidR="00125AA7">
        <w:rPr>
          <w:szCs w:val="22"/>
        </w:rPr>
        <w:t xml:space="preserve">settlement, amend their application(s) to propose a new </w:t>
      </w:r>
      <w:r w:rsidRPr="009A626A" w:rsidR="000F5991">
        <w:rPr>
          <w:szCs w:val="22"/>
        </w:rPr>
        <w:t xml:space="preserve">available </w:t>
      </w:r>
      <w:r w:rsidRPr="009A626A" w:rsidR="00125AA7">
        <w:rPr>
          <w:szCs w:val="22"/>
        </w:rPr>
        <w:t>channe</w:t>
      </w:r>
      <w:r w:rsidR="006846D8">
        <w:rPr>
          <w:szCs w:val="22"/>
        </w:rPr>
        <w:t>l</w:t>
      </w:r>
      <w:r w:rsidR="004430A7">
        <w:rPr>
          <w:szCs w:val="22"/>
        </w:rPr>
        <w:t xml:space="preserve">.  The </w:t>
      </w:r>
      <w:r w:rsidRPr="009A626A" w:rsidR="000F5991">
        <w:rPr>
          <w:szCs w:val="22"/>
        </w:rPr>
        <w:t>new channel</w:t>
      </w:r>
      <w:r w:rsidR="00425F3F">
        <w:rPr>
          <w:szCs w:val="22"/>
        </w:rPr>
        <w:t xml:space="preserve"> proposal</w:t>
      </w:r>
      <w:r w:rsidRPr="009A626A" w:rsidR="000F5991">
        <w:rPr>
          <w:szCs w:val="22"/>
        </w:rPr>
        <w:t xml:space="preserve"> </w:t>
      </w:r>
      <w:r w:rsidR="004430A7">
        <w:rPr>
          <w:szCs w:val="22"/>
        </w:rPr>
        <w:t>may</w:t>
      </w:r>
      <w:r w:rsidR="006846D8">
        <w:rPr>
          <w:szCs w:val="22"/>
        </w:rPr>
        <w:t xml:space="preserve"> </w:t>
      </w:r>
      <w:r w:rsidRPr="009A626A" w:rsidR="00125AA7">
        <w:rPr>
          <w:szCs w:val="22"/>
        </w:rPr>
        <w:t>n</w:t>
      </w:r>
      <w:r w:rsidRPr="009A626A" w:rsidR="000F5991">
        <w:rPr>
          <w:szCs w:val="22"/>
        </w:rPr>
        <w:t xml:space="preserve">ot create a new </w:t>
      </w:r>
      <w:r w:rsidR="006846D8">
        <w:rPr>
          <w:szCs w:val="22"/>
        </w:rPr>
        <w:t>mutual exclusivity</w:t>
      </w:r>
      <w:r w:rsidRPr="009A626A" w:rsidR="000F5991">
        <w:rPr>
          <w:szCs w:val="22"/>
        </w:rPr>
        <w:t xml:space="preserve"> or </w:t>
      </w:r>
      <w:r w:rsidRPr="009A626A" w:rsidR="00125AA7">
        <w:rPr>
          <w:szCs w:val="22"/>
        </w:rPr>
        <w:t>conflict with any other application previously-filed in the Special Displacement Window.</w:t>
      </w:r>
    </w:p>
    <w:p w:rsidR="00B41116" w:rsidRPr="004A151E" w:rsidP="00B41116">
      <w:pPr>
        <w:widowControl/>
        <w:spacing w:before="120" w:after="120"/>
        <w:rPr>
          <w:szCs w:val="22"/>
        </w:rPr>
      </w:pPr>
    </w:p>
    <w:p w:rsidR="0055722E" w:rsidRPr="009A626A" w:rsidP="00125AA7">
      <w:pPr>
        <w:widowControl/>
        <w:numPr>
          <w:ilvl w:val="0"/>
          <w:numId w:val="13"/>
        </w:numPr>
        <w:spacing w:before="120" w:after="120"/>
        <w:ind w:left="0" w:firstLine="810"/>
        <w:rPr>
          <w:szCs w:val="22"/>
        </w:rPr>
      </w:pPr>
      <w:r w:rsidRPr="009A626A">
        <w:rPr>
          <w:snapToGrid/>
          <w:kern w:val="0"/>
          <w:szCs w:val="22"/>
        </w:rPr>
        <w:t>For additional information or questions</w:t>
      </w:r>
      <w:r w:rsidRPr="009A626A">
        <w:t xml:space="preserve">, please contact Hossein Hashemzadeh (technical), </w:t>
      </w:r>
      <w:r>
        <w:fldChar w:fldCharType="begin"/>
      </w:r>
      <w:r>
        <w:instrText xml:space="preserve"> HYPERLINK "mailto:Hossein.Hashemzadeh@fcc.gov" </w:instrText>
      </w:r>
      <w:r>
        <w:fldChar w:fldCharType="separate"/>
      </w:r>
      <w:r w:rsidRPr="009A626A">
        <w:rPr>
          <w:rStyle w:val="Hyperlink"/>
          <w:color w:val="auto"/>
        </w:rPr>
        <w:t>Hossein.Hashemzadeh@fcc.gov</w:t>
      </w:r>
      <w:r>
        <w:fldChar w:fldCharType="end"/>
      </w:r>
      <w:r w:rsidRPr="009A626A">
        <w:rPr>
          <w:rStyle w:val="Hyperlink"/>
          <w:color w:val="auto"/>
        </w:rPr>
        <w:t>,</w:t>
      </w:r>
      <w:r w:rsidRPr="009A626A">
        <w:t xml:space="preserve"> (202) 418-1658</w:t>
      </w:r>
      <w:r w:rsidR="00550070">
        <w:t>,</w:t>
      </w:r>
      <w:r w:rsidRPr="009A626A">
        <w:t xml:space="preserve"> or Shaun Maher (legal), </w:t>
      </w:r>
      <w:r>
        <w:fldChar w:fldCharType="begin"/>
      </w:r>
      <w:r>
        <w:instrText xml:space="preserve"> HYPERLINK "mailto:Shaun.Maher@fcc.gov" </w:instrText>
      </w:r>
      <w:r>
        <w:fldChar w:fldCharType="separate"/>
      </w:r>
      <w:r w:rsidRPr="009A626A">
        <w:rPr>
          <w:rStyle w:val="Hyperlink"/>
          <w:color w:val="auto"/>
        </w:rPr>
        <w:t>Shaun.Maher@fcc.gov</w:t>
      </w:r>
      <w:r>
        <w:fldChar w:fldCharType="end"/>
      </w:r>
      <w:r w:rsidRPr="009A626A">
        <w:rPr>
          <w:rStyle w:val="Hyperlink"/>
          <w:color w:val="auto"/>
        </w:rPr>
        <w:t>,</w:t>
      </w:r>
      <w:r w:rsidRPr="009A626A">
        <w:t xml:space="preserve"> (202) 418-2324</w:t>
      </w:r>
      <w:r w:rsidR="00550070">
        <w:t>,</w:t>
      </w:r>
      <w:r w:rsidRPr="009A626A">
        <w:t xml:space="preserve"> of the Video Division, Media Bureau.</w:t>
      </w:r>
    </w:p>
    <w:p w:rsidR="00E3321B" w:rsidRPr="009A626A" w:rsidP="00E3321B">
      <w:pPr>
        <w:widowControl/>
        <w:spacing w:before="120" w:after="120"/>
        <w:jc w:val="center"/>
        <w:rPr>
          <w:b/>
        </w:rPr>
      </w:pPr>
      <w:r w:rsidRPr="009A626A">
        <w:rPr>
          <w:b/>
        </w:rPr>
        <w:t>-FCC-</w:t>
      </w:r>
    </w:p>
    <w:p w:rsidR="008152E6" w:rsidRPr="009A626A">
      <w:pPr>
        <w:widowControl/>
        <w:rPr>
          <w:b/>
        </w:rPr>
      </w:pPr>
      <w:r w:rsidRPr="009A626A">
        <w:rPr>
          <w:b/>
        </w:rPr>
        <w:br w:type="page"/>
      </w:r>
    </w:p>
    <w:p w:rsidR="008152E6" w:rsidRPr="009A626A" w:rsidP="00E3321B">
      <w:pPr>
        <w:widowControl/>
        <w:spacing w:before="120" w:after="120"/>
        <w:jc w:val="center"/>
        <w:rPr>
          <w:b/>
        </w:rPr>
      </w:pPr>
      <w:r w:rsidRPr="009A626A">
        <w:rPr>
          <w:b/>
        </w:rPr>
        <w:t>APPENDIX A</w:t>
      </w:r>
    </w:p>
    <w:p w:rsidR="008152E6" w:rsidP="00E3321B">
      <w:pPr>
        <w:widowControl/>
        <w:spacing w:before="120" w:after="120"/>
        <w:jc w:val="center"/>
        <w:rPr>
          <w:b/>
        </w:rPr>
      </w:pPr>
      <w:r w:rsidRPr="009A626A">
        <w:rPr>
          <w:b/>
        </w:rPr>
        <w:t>MUTUALLY EXCLUSIVE APPLICATIONS</w:t>
      </w:r>
    </w:p>
    <w:tbl>
      <w:tblPr>
        <w:tblW w:w="9320" w:type="dxa"/>
        <w:tblInd w:w="5" w:type="dxa"/>
        <w:tblLook w:val="04A0"/>
      </w:tblPr>
      <w:tblGrid>
        <w:gridCol w:w="706"/>
        <w:gridCol w:w="1027"/>
        <w:gridCol w:w="1000"/>
        <w:gridCol w:w="750"/>
        <w:gridCol w:w="415"/>
        <w:gridCol w:w="2191"/>
        <w:gridCol w:w="556"/>
        <w:gridCol w:w="2675"/>
      </w:tblGrid>
      <w:tr w:rsidTr="0046625D">
        <w:tblPrEx>
          <w:tblW w:w="9320" w:type="dxa"/>
          <w:tblInd w:w="5" w:type="dxa"/>
          <w:tblLook w:val="04A0"/>
        </w:tblPrEx>
        <w:trPr>
          <w:trHeight w:val="450"/>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b/>
                <w:bCs/>
                <w:snapToGrid/>
                <w:color w:val="000000"/>
                <w:kern w:val="0"/>
                <w:sz w:val="16"/>
                <w:szCs w:val="16"/>
              </w:rPr>
            </w:pPr>
            <w:r w:rsidRPr="0046625D">
              <w:rPr>
                <w:rFonts w:ascii="Calibri" w:hAnsi="Calibri" w:cs="Calibri"/>
                <w:b/>
                <w:bCs/>
                <w:snapToGrid/>
                <w:color w:val="000000"/>
                <w:kern w:val="0"/>
                <w:sz w:val="16"/>
                <w:szCs w:val="16"/>
              </w:rPr>
              <w:t>MX GROUP</w:t>
            </w:r>
          </w:p>
        </w:tc>
        <w:tc>
          <w:tcPr>
            <w:tcW w:w="985" w:type="dxa"/>
            <w:tcBorders>
              <w:top w:val="single" w:sz="4" w:space="0" w:color="auto"/>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b/>
                <w:bCs/>
                <w:snapToGrid/>
                <w:color w:val="000000"/>
                <w:kern w:val="0"/>
                <w:sz w:val="16"/>
                <w:szCs w:val="16"/>
              </w:rPr>
            </w:pPr>
            <w:r w:rsidRPr="0046625D">
              <w:rPr>
                <w:rFonts w:ascii="Calibri" w:hAnsi="Calibri" w:cs="Calibri"/>
                <w:b/>
                <w:bCs/>
                <w:snapToGrid/>
                <w:color w:val="000000"/>
                <w:kern w:val="0"/>
                <w:sz w:val="16"/>
                <w:szCs w:val="16"/>
              </w:rPr>
              <w:t>FILE NUMER</w:t>
            </w:r>
          </w:p>
        </w:tc>
        <w:tc>
          <w:tcPr>
            <w:tcW w:w="1000" w:type="dxa"/>
            <w:tcBorders>
              <w:top w:val="single" w:sz="4" w:space="0" w:color="auto"/>
              <w:left w:val="nil"/>
              <w:bottom w:val="single" w:sz="4" w:space="0" w:color="auto"/>
              <w:right w:val="single" w:sz="4" w:space="0" w:color="auto"/>
            </w:tcBorders>
            <w:shd w:val="clear" w:color="auto" w:fill="auto"/>
            <w:noWrap/>
            <w:hideMark/>
          </w:tcPr>
          <w:p w:rsidR="0046625D" w:rsidRPr="0046625D" w:rsidP="0046625D">
            <w:pPr>
              <w:widowControl/>
              <w:rPr>
                <w:rFonts w:ascii="Calibri" w:hAnsi="Calibri" w:cs="Calibri"/>
                <w:b/>
                <w:bCs/>
                <w:snapToGrid/>
                <w:color w:val="000000"/>
                <w:kern w:val="0"/>
                <w:sz w:val="16"/>
                <w:szCs w:val="16"/>
              </w:rPr>
            </w:pPr>
            <w:r w:rsidRPr="0046625D">
              <w:rPr>
                <w:rFonts w:ascii="Calibri" w:hAnsi="Calibri" w:cs="Calibri"/>
                <w:b/>
                <w:bCs/>
                <w:snapToGrid/>
                <w:color w:val="000000"/>
                <w:kern w:val="0"/>
                <w:sz w:val="16"/>
                <w:szCs w:val="16"/>
              </w:rPr>
              <w:t>CALL SIGN</w:t>
            </w:r>
          </w:p>
        </w:tc>
        <w:tc>
          <w:tcPr>
            <w:tcW w:w="677" w:type="dxa"/>
            <w:tcBorders>
              <w:top w:val="single" w:sz="4" w:space="0" w:color="auto"/>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b/>
                <w:bCs/>
                <w:snapToGrid/>
                <w:color w:val="000000"/>
                <w:kern w:val="0"/>
                <w:sz w:val="16"/>
                <w:szCs w:val="16"/>
              </w:rPr>
            </w:pPr>
            <w:r w:rsidRPr="0046625D">
              <w:rPr>
                <w:rFonts w:ascii="Calibri" w:hAnsi="Calibri" w:cs="Calibri"/>
                <w:b/>
                <w:bCs/>
                <w:snapToGrid/>
                <w:color w:val="000000"/>
                <w:kern w:val="0"/>
                <w:sz w:val="16"/>
                <w:szCs w:val="16"/>
              </w:rPr>
              <w:t>FAC ID</w:t>
            </w:r>
          </w:p>
        </w:tc>
        <w:tc>
          <w:tcPr>
            <w:tcW w:w="422" w:type="dxa"/>
            <w:tcBorders>
              <w:top w:val="single" w:sz="4" w:space="0" w:color="auto"/>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b/>
                <w:bCs/>
                <w:snapToGrid/>
                <w:color w:val="000000"/>
                <w:kern w:val="0"/>
                <w:sz w:val="16"/>
                <w:szCs w:val="16"/>
              </w:rPr>
            </w:pPr>
            <w:r w:rsidRPr="0046625D">
              <w:rPr>
                <w:rFonts w:ascii="Calibri" w:hAnsi="Calibri" w:cs="Calibri"/>
                <w:b/>
                <w:bCs/>
                <w:snapToGrid/>
                <w:color w:val="000000"/>
                <w:kern w:val="0"/>
                <w:sz w:val="16"/>
                <w:szCs w:val="16"/>
              </w:rPr>
              <w:t>CH</w:t>
            </w:r>
          </w:p>
        </w:tc>
        <w:tc>
          <w:tcPr>
            <w:tcW w:w="2005" w:type="dxa"/>
            <w:tcBorders>
              <w:top w:val="single" w:sz="4" w:space="0" w:color="auto"/>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b/>
                <w:bCs/>
                <w:snapToGrid/>
                <w:color w:val="000000"/>
                <w:kern w:val="0"/>
                <w:sz w:val="16"/>
                <w:szCs w:val="16"/>
              </w:rPr>
            </w:pPr>
            <w:r w:rsidRPr="0046625D">
              <w:rPr>
                <w:rFonts w:ascii="Calibri" w:hAnsi="Calibri" w:cs="Calibri"/>
                <w:b/>
                <w:bCs/>
                <w:snapToGrid/>
                <w:color w:val="000000"/>
                <w:kern w:val="0"/>
                <w:sz w:val="16"/>
                <w:szCs w:val="16"/>
              </w:rPr>
              <w:t>CITY</w:t>
            </w:r>
          </w:p>
        </w:tc>
        <w:tc>
          <w:tcPr>
            <w:tcW w:w="601" w:type="dxa"/>
            <w:tcBorders>
              <w:top w:val="single" w:sz="4" w:space="0" w:color="auto"/>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b/>
                <w:bCs/>
                <w:snapToGrid/>
                <w:color w:val="000000"/>
                <w:kern w:val="0"/>
                <w:sz w:val="16"/>
                <w:szCs w:val="16"/>
              </w:rPr>
            </w:pPr>
            <w:r w:rsidRPr="0046625D">
              <w:rPr>
                <w:rFonts w:ascii="Calibri" w:hAnsi="Calibri" w:cs="Calibri"/>
                <w:b/>
                <w:bCs/>
                <w:snapToGrid/>
                <w:color w:val="000000"/>
                <w:kern w:val="0"/>
                <w:sz w:val="16"/>
                <w:szCs w:val="16"/>
              </w:rPr>
              <w:t>ST</w:t>
            </w:r>
          </w:p>
        </w:tc>
        <w:tc>
          <w:tcPr>
            <w:tcW w:w="2964" w:type="dxa"/>
            <w:tcBorders>
              <w:top w:val="single" w:sz="4" w:space="0" w:color="auto"/>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b/>
                <w:bCs/>
                <w:snapToGrid/>
                <w:color w:val="000000"/>
                <w:kern w:val="0"/>
                <w:sz w:val="16"/>
                <w:szCs w:val="16"/>
              </w:rPr>
            </w:pPr>
            <w:r w:rsidRPr="0046625D">
              <w:rPr>
                <w:rFonts w:ascii="Calibri" w:hAnsi="Calibri" w:cs="Calibri"/>
                <w:b/>
                <w:bCs/>
                <w:snapToGrid/>
                <w:color w:val="000000"/>
                <w:kern w:val="0"/>
                <w:sz w:val="16"/>
                <w:szCs w:val="16"/>
              </w:rPr>
              <w:t>LICENSEE</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0000053709</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K31PG-D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43003</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GRANITE FALLS</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MN</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MINNESOTA VALLEY TV IMPROVEMENT CORP</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0000053920</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K31OR-D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55743</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OLIVIA</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MN</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RENVILLE CNTY TV CORPORATION</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0000054341</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K43MH-D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130215</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VESTA</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MN</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THREE ANGELS BROADCASTING NETWORK,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0000052533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WFUN-LD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60542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20</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MIAMI</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AMERICA-CV STATION GROUP,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0000053956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W24DE-D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168061</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20</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MIAMI</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MAPALE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0000052578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WLMF-LD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51285</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MIAMI</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PAGING SYSTEMS,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0000054402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K30PU-D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35836</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MYTON, ETC.</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UT</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KUTV LICENSEE,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0000054502</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K30PV-D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36609</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OURAY</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UT</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LARRY H. MILLER COMMUNICATIONS CORP.</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0000054868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KSOY-LD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16230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34</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MCALLEN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EDUARDO S. GALLEGOS</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0000052867</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KNWS-LP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3265</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35</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BROWNSVILLE</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NORTHSTAR BROWNVILLE LICENSE,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0000053848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KAZH-LP</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68574</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MCALLEN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NORTHSTAR MCALLEN LICENSE,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0000053785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KDTF-LD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13022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SAN DIEGO</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ENTRAVISION HOLDINGS,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0000053783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KHAX-LP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70394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25</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VISTA</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ENTRAVISION HOLDINGS,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0000052238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KSDY-LD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56830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25</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San Diego</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INTERNATIONAL COMMUNICATIONS NETWORK,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0000053768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K48CU</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22840</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PUEBLO</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FULL GOSPEL OUTREACH, INC.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MX113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0000054347</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KZCS-LP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67544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COLORADO SPRINGS</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SCRIPPS MEDIA,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0000029478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WGSR-LD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12834</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19</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REIDSVILLE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STARNEWS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0000045780</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WTNC-LD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70112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19</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DURHAM</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WUVC LICENSE PARTNERSHIP, G.P.</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0000034875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K15KL-D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168424</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JACKSONVILLE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KTVL LICENSEE,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0000029923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K15KJ-D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60739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15</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GOLD HILL</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OREGON TV LICENSE COMPANY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0000035598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K18LW-D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5012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CAVE JUNCTION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BETTER LIFE TELEVISION, INC.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0000032043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K18LU-D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168440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GLENDALE, ETC.</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KTVL LICENSEE,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0000051781</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W25FB-D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183797</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PARKERSBURG</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WV</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EICB-TV EAST,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0000052516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WIYE-LD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130392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26</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PARKERSBURG</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WV</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GRAY TELEVISION LICENSEE,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0000051652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W21DM-D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188698</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TUSCALOOSA</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AL</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0000054790</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W50BO</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31647</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ASHVILLE</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AL</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JOSEPH V. EARLY</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0000052973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WBMA-LD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60214</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BIRMINGHAM</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WBMA LICENSEE,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0000054309</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W20DE-D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61208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BIRMINGHAM</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VENTANA TELEVISION,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MX19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0000054796</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WOTM-LD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64339</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Birmingham</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WOTM,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0000053156</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K19II-D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181159</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ARDMORE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OK</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EICB-TV EAST,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0000054047</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K31LQ-D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184857</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SHERMAN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PAUL G. DONNER</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0000054760</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KGCS-LD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4206</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21</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JOPLIN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MO</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BOARD OF GOVERNORS-MISSOURI SOUTHERN STATE UNIVESITY</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0000026473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KPJO-LP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127415</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21</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PITTSBURG</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KS</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0000053343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WQMK-LD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60822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CUSSETA</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BEN JORDAN COMMUNICATIONS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0000052929</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W43CW-D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184013</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COLUMBUS</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0000052631</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K20KY-D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186283</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24</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JOPLIN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MO</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0000052520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KYCW-LD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11135</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24</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BRANSON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MO</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EICB-TV EAST,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0000053952</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WESV-LD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68043</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CHICAGO</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KRCA LICENSE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0000052810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W25DW-D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61692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ARBURY HILLS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MAKO COMMUNICATIONS,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0000054814</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WCHU-LD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129745</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CHICAGO</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VENTURE TECHNOLOGIES GROUP,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0000052714</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KTBV-LD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125499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LOS ANGELES</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EICB-TV WEST,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0000054820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KEDD-LD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56793</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LOS ANGELES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VENTURE TECHNOLOGIES GROUP,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0000052735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KSGA-LD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5342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Los Angeles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KJLA,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0000054274</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KVHD-LD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67901</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LOS ANGELES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 SPECTRUM HOLDING COMPANY,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0000054676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K47LG-D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6381</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POINT PULLEY, ETC.</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KIRO-TV,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MX28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0000054677</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K49IX-D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66788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PUYALLUP</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KIRO-TV,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0000051623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KEHO-LD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130156</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HOUSTON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ELVA ROSA AND MOISES GOMEZ</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0000051766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KCTL-LD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28943</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LIVINGSTON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INTERNATIONAL BROADCASTING NETWORK</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0000052730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KHTX-LD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168805</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HUNTSVILLE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INTERNATIONAL BROADCASTING NETWORK</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0000054787</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WGDV-LD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187979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28</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SALISBURY</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MD</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AIRPORT INVESTORS L.P.</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0000054251</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WNDC-LP</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130443</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SALISBURY</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MD</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IGLESIA MANMIN TODA LA CREACION USA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0000054255</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KBHO-LD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130327</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9</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Richmond</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CENTRO CRISTIANO DE VIDA ETERNA</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0000051624</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KBMN-LD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188068</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9</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BEAUMONT</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0000052395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KHLM-LD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57189</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HOUSTON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LOTUS TV OF HOUSTON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0000051939</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KUVM-LD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167664</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MISSOURI CITY</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MAKO COMMUNICATIONS,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0000053992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K27MA-D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22834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DENVER</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FULL GOSPEL OUTREACH,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0000052715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KDNF-LD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131123</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FORT COLLINS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WORD OF GOD FELLOWSHIP,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0000053828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K51EH-D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35473</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THE DALLES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KPTV-KPDX BROADCASTING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0000053668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K38KV-D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12432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Hood River</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RURAL OREGON WIRELESS TV,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0000053774</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KPMC-LD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130502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BAKERSFIELD</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COCOLA BROADCASTING COMPANIES,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0000054927</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KNXT-LP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16944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BAKERSFIELD</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DIOCESE OF FRESNO EDUCATION CORP.</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MX35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0000054823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KEBK-LD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128230</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BAKERSFIELD</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VENTURE TECHNOLOGIES GROUP,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0000054613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KVCV-LD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167449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VICTORIA</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xml:space="preserve">Ismael Martinez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0000052675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KVTX-LP</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5842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VICTORIA</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SAGA BROADCASTING,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0000029989</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K30OH-D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68077</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LOVELAND</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DIGITAL NETWORKS-MIDWEST,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0000054741</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KZCO-LD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168782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DENVER</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SCRIPPS MEDIA,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0000052171</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KLPD - 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67539</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DENVER</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SYNCOM MEDIA GROUP,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0000035603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K14QQ-D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5007</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ROSEBURG</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BETTER LIFE TELEVISION,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0000029043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K15KN-D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50582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15</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ROSEBURG</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OREGON PUBLIC BROADCASTING</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0000052801</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W26DC-D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49882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 City</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 LICENSEE, INC.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0000054668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WYXN-LD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38945</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 SPECTRUM HOLDING COMPANY,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0000048135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WNYN-LD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74305</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TVC NY LICENSE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0000054804</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W34DI-D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127812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VENTURE TECHNOLOGIES GROUP,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0000054813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WNJJ-LD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167314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VENTURE TECHNOLOGIES GROUP,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0000051634</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KFMS-LD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182091</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KEYES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JOSEPH FIORI</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0000030068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K31ND-D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33744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OROVILLE</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 MEDIA HOLDINGS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0000052702</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WODP-LD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183653</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17</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FORT WAYNE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IN</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0000054397</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W38EA-D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67788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17</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FORT WAYNE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IN</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TRI-STATE CHRISTIAN TELEVISION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0000052704</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W33EG-D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187804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LUMBERTON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MS</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0000054757</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WGUD-LD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67989</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PASCAGOULA</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MS</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SCRANTON BROADCASTING COMPANY,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0000051604</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WIDN-LD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183590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ROCKFORD</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IL</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0000054708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WCRD-LP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128366</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Freeport</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IL</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FXM BROADCASTING,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0000054588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WDMW-LD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68041</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JANESVILLE</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WI</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WORD OF GOD FELLOWSHIP,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0000052705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WQDH-LD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182080</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34</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WILMINGTON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AMERITRADE ENTERPRISES,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0000052413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WILT-LD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182320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WILMINGTON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CAPITOL BROADCASTING COMPANY,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0000054257</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K20KE-D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182260</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DENVER</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CENTRO CRISTIANO DE VIDA ETERNA</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0000052727</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KZDN-LD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67543</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10</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DENVER</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SYNCOM MEDIA GROUP,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0000051673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WZPA-LD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72536</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PHILADELPHIA</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MAKO COMMUNICATIONS,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0000051787</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W45CP-D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68044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ATLANTIC CITY</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NJ</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WORD OF GOD FELLOWSHIP,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MX59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0000051711</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WELL-LD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167028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PHILADELPHIA</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WORD OF GOD FELLOWSHIP,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0000051796</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K31MU-D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183206</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LINGLEVILLE-CROWLEY</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EICB-TV EAST,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0000051676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K31GL-D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52923</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DE SOTO</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MAKO COMMUNICATIONS,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0000053902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KVFW-LD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53433</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FORT WORTH</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 SPECTRUM HOLDING COMPANY,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0000054800</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K25FW-D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42342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CORSICANA</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VENTANA TELEVISION,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0000052731</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WATV-LD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67101</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ORLANDO</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TMA TIG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0000051712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WDTO-LD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10550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ORLANDO</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WORD OF GOD FELLOWSHIP,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0000053842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K18NE-D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13846</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ST. JAMES</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MN</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COOPERATIVE TELEVISION ASSOCIATION OF SOUTHERN MINNESOTA</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0000051902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K43JE-D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130209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LAKE CRYSTAL</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MN</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THREE ANGELS BROADCASTING NETWORK,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0000054259</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KGRQ-LD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187708</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21</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GILA RIVER INDIAN CO</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AZ</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GILA RIVER TELECOMMUNICATIONS,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0000051968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KFPB-LD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37578</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21</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GLOBE</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AZ</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GLOBE LPTV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0000052464</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W15EJ-D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9058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HENDERSONVILLE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CAROLINA CHRISTIAN BROADCASTING, INC.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0000053814</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W15EK-D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23924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15</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TOCCOA</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GEORGIA PUBLIC TELECOMMUNICATIONS COMMISSION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0000052465</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W16DY-D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67372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HONEA PATH</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SC</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CAROLINA CHRISTIAN BROADCASTING,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0000053446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W16DZ-D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69189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TRYON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UNIVERSITY OF NORTH CAROLINA</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0000052515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KWWB-LD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39491</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MESQUITE, ETC.</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NV</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ENTRAVISION HOLDINGS,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0000050582</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K29LP-D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70994</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SANTA CLARA</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UT</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KUTV LICENSEE,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0000052633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K47NH-D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186288</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26</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JOPLIN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MO</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0000054720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K17FU-D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48526</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26</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MARSHFIELD</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MO</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LIFE EVANGELISTIC CENTER,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0000054715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K22JW-D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181610</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LAKE JACKSON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DAIJ MEDIA,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MX68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0000052679</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KUNU-LD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57866</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VICTORIA</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SAGA BROADCASTING,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0000053702</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KSAO-LD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34578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SACRAMENTO</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COCOLA BROADCASTING COMPANIES,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0000054315</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K46LG-D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183829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MONTEREY</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KMCE,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0000054935</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KAAP-LD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167425</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SANTA CRUZ</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MIRAGE MEDIA 2,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0000053901</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KMMC-LD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30977</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SAN FRANCISCO</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 SPECTRUM HOLDING COMPANY,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0000054596</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KQTA-LD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182960</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San Francisco</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ONE MINISTRIES, INC.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0000054670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KMMW-LD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18744</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STOCKTON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SERESTAR COMMUNICATIONS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0000054818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KBKF-LP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127882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SAN JOSE</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VENTURE TECHNOLOGIES GROUP,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0000052106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KDTS-LD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167032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SAN FRANCISCO</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WORD OF GOD FELLOWSHIP,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0000053878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KBPX-LD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17746</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HOUSTON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ION MEDIA LPTV, INC.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0000054049</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K49LC-D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182059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COLLEGE STATION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MIK,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0000053158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KQHO-LD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127916</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HOUSTON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 SPECTRUM HOLDING COMPANY,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0000053955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W17DG-D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4332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MIAMI</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MAPALE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0000053159</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WTXI-LD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168482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MIAMI</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 SPECTRUM HOLDING COMPANY,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0000053440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W41DI-D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168591</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22</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BAT CAVE, ETC.</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UNIVERSITY OF NORTH CAROLINA</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0000053445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W51EE-D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168595</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22</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MARION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UNIVERSITY OF NORTH CAROLINA</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0000053643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W08BP-D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66394</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BEAVER DAM</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MEDIA GENERAL COMMUNICATIONS HOLDINGS,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0000053442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W19HK-D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69389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BLACK MOUNTAIN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UNIVERSITY OF NORTH CAROLINA</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0000053782</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W17DH-D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182282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22</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GAINESVILLE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0000054323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WUBF-LD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68750</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22</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JACKSONVILLE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UMMAT BROADCASTING CORPORATION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0000053914</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K43GQ-D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19110</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KLAGETOH</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AZ</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KOB-TV,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0000053890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K38AU-D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66144</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TOHATCHI</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NM</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THE NAVAJO NATION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0000053954</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WASA-LD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167320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PORT JERVIS</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KRCA LICENSE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0000054730</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WKOB-LD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51441</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NAVE COMMUNICATIONS,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0000054808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W28ES-D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130477</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VENTURE TECHNOLOGIES GROUP,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0000054509</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WVBG-LP</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74018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GREENWICH</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WIRELESS ACCESS,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0000053980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W38DL-D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73358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ADAMS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WNYT-TV,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0000054144</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KCJY-LP</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56777</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TWIN FALLS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ID</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CHRISTIAN BROADCASTING OF IDAHO,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0000054122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K30QH-D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167733</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BURLEY, ETC.</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ID</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GRAY TELEVISION LICENSEE,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0000054156</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W08AO-D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66409</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CANTON</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MEDIA GENERAL COMMUNICATIONS HOLDINGS,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MX79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0000054210</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W44CX-D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72301</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SYLVA</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MEREDITH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0000054540</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KGWZ-LD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30810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PORTLAND</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OR</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SANDER OPERATING CO. III LLC D/B/A KGW TELEVISION</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0000054548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KEVE-LD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67878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VANCOUVER</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SOUTHERN OREGON CONFERENCE ASSN. OF SEVENTH-DAY ADVENTISTS</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0000054900</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KTFF-LD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23272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FRESNO</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UNIMAS FRESNO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0000054276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KVHF-LD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23269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31</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FRESNO</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VENTURA TV VIDEO AND APPLIANCE CENTER,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0000054503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K14RS-D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35838</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14</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SPRING GLEN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UT</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KUTV LICENSEE, LLC</w:t>
            </w:r>
          </w:p>
        </w:tc>
      </w:tr>
      <w:tr w:rsidTr="0046625D">
        <w:tblPrEx>
          <w:tblW w:w="9320" w:type="dxa"/>
          <w:tblInd w:w="5" w:type="dxa"/>
          <w:tblLook w:val="04A0"/>
        </w:tblPrEx>
        <w:trPr>
          <w:trHeight w:val="67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MX81</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0000053387</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K15LP-D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167144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15</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RURAL CARBON COUNTY</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UT</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UTAH STATE BOARD OF REGENTS</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0000052618</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K27OK-D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182534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RAPID CITY</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SD</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DTV AMERICA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0000054526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KCWS-LP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38116</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SIOUX FALLS</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SD</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J.F. BROADCASTING,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0000054738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WCEE-LD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67967</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17</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CHARLOTTE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NORSAN CONSULTING &amp; MANAGEMENT, LLC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0000054532</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W24AY-D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32316</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17</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LILESVILLE/WADESBORO</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WCNC-TV,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MX83</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0000054923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WDMC-LD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67836</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17</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CHARLOTTE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WORD OF GOD FELLOWSHIP,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0000054618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WAWW-LP</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27573</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Rochester</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SQUIRREL BROADCASTING,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MX84</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0000054849</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WNIB-LD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67785</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30</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ROCHESTER</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TRI-STATE CHRISTIAN TV,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0000054719</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WSSS-LP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270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18</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STEUBENVILLE</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OH</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ABACUS TELEVISION</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MX85</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0000054635</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W30CO-D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167354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17</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WHEELING</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WV</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WEST VIRGINIA EDUCATIONAL BROADCASTING AUTHORITY</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0000054682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W40AS-D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69754</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MOOREFIELD</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WV</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VALLEY TV COOPERATIVE, INC.</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MX86</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0000054636</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W23DR-D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167358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ROMNEY</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WV</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WEST VIRGINIA EDUCATIONAL BROADCASTING AUTHORITY</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0000054687</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KZKC-LP</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65763</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BAKERSFIELD</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SCRIPPS MEDIA,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MX87</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0000054822</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KDBK-LP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128238</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28</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BAKERSFIELD</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CA</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VENTURE TECHNOLOGIES GROUP,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0000054092</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W18EH-D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190082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RALEIGH</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DIGITAL NETWORKS-SOUTHEAST,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MX88</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0000054721</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W46EU-D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61209</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RALEIGH</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NC</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VENTANA TELEVISION,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0000054728</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K39GV</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1252</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BURLEY, ETC.</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ID</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IDAHO BROADCAST PARTNERS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MX89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0000054775</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KSAW-LD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59256</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28</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TWIN FALLS</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ID</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JOURNAL BROADCAST CORPORATION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0000054483</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K34FM</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67880</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AUSTIN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ENLACE CHRISTIAN TELEVISION, INC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0000054339</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KADF-LP</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32281</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AUSTIN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JOSEPH W. SHAFFER</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MX9</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0000054145</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K29HW-D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167743</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32</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AUSTIN</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TX</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THE UNIVERSITY OF TEXAS AT AUSTIN</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450"/>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MX90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0000053900</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WXNY-LD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29231</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NY</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NEW YORK SPECTRUM HOLDING COMPANY,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MX90</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0000054811</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W25FA-D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130475</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23</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West Orange</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NJ</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VENTURE TECHNOLOGIES GROUP,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 </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 </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MX92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0000051686</w:t>
            </w:r>
          </w:p>
        </w:tc>
        <w:tc>
          <w:tcPr>
            <w:tcW w:w="1000" w:type="dxa"/>
            <w:tcBorders>
              <w:top w:val="nil"/>
              <w:left w:val="nil"/>
              <w:bottom w:val="single" w:sz="4" w:space="0" w:color="auto"/>
              <w:right w:val="single" w:sz="4" w:space="0" w:color="auto"/>
            </w:tcBorders>
            <w:shd w:val="clear" w:color="FFFFFF" w:fill="F8FBFC"/>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WTAM-LD</w:t>
            </w:r>
          </w:p>
        </w:tc>
        <w:tc>
          <w:tcPr>
            <w:tcW w:w="677"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168552</w:t>
            </w:r>
          </w:p>
        </w:tc>
        <w:tc>
          <w:tcPr>
            <w:tcW w:w="422"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35</w:t>
            </w:r>
          </w:p>
        </w:tc>
        <w:tc>
          <w:tcPr>
            <w:tcW w:w="2005"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TAMPA</w:t>
            </w:r>
          </w:p>
        </w:tc>
        <w:tc>
          <w:tcPr>
            <w:tcW w:w="601"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8FBFC"/>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TMA TIG LLC</w:t>
            </w:r>
          </w:p>
        </w:tc>
      </w:tr>
      <w:tr w:rsidTr="0046625D">
        <w:tblPrEx>
          <w:tblW w:w="9320" w:type="dxa"/>
          <w:tblInd w:w="5" w:type="dxa"/>
          <w:tblLook w:val="04A0"/>
        </w:tblPrEx>
        <w:trPr>
          <w:trHeight w:val="225"/>
        </w:trPr>
        <w:tc>
          <w:tcPr>
            <w:tcW w:w="666" w:type="dxa"/>
            <w:tcBorders>
              <w:top w:val="nil"/>
              <w:left w:val="single" w:sz="4" w:space="0" w:color="auto"/>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MX92</w:t>
            </w:r>
          </w:p>
        </w:tc>
        <w:tc>
          <w:tcPr>
            <w:tcW w:w="985" w:type="dxa"/>
            <w:tcBorders>
              <w:top w:val="nil"/>
              <w:left w:val="nil"/>
              <w:bottom w:val="single" w:sz="4" w:space="0" w:color="auto"/>
              <w:right w:val="single" w:sz="4" w:space="0" w:color="auto"/>
            </w:tcBorders>
            <w:shd w:val="clear" w:color="auto" w:fill="auto"/>
            <w:hideMark/>
          </w:tcPr>
          <w:p w:rsidR="0046625D" w:rsidRPr="0046625D" w:rsidP="0046625D">
            <w:pPr>
              <w:widowControl/>
              <w:rPr>
                <w:rFonts w:ascii="Calibri" w:hAnsi="Calibri" w:cs="Calibri"/>
                <w:snapToGrid/>
                <w:color w:val="000000"/>
                <w:kern w:val="0"/>
                <w:sz w:val="16"/>
                <w:szCs w:val="16"/>
              </w:rPr>
            </w:pPr>
            <w:r w:rsidRPr="0046625D">
              <w:rPr>
                <w:rFonts w:ascii="Calibri" w:hAnsi="Calibri" w:cs="Calibri"/>
                <w:snapToGrid/>
                <w:color w:val="000000"/>
                <w:kern w:val="0"/>
                <w:sz w:val="16"/>
                <w:szCs w:val="16"/>
              </w:rPr>
              <w:t>0000054933</w:t>
            </w:r>
          </w:p>
        </w:tc>
        <w:tc>
          <w:tcPr>
            <w:tcW w:w="1000" w:type="dxa"/>
            <w:tcBorders>
              <w:top w:val="nil"/>
              <w:left w:val="nil"/>
              <w:bottom w:val="single" w:sz="4" w:space="0" w:color="auto"/>
              <w:right w:val="single" w:sz="4" w:space="0" w:color="auto"/>
            </w:tcBorders>
            <w:shd w:val="clear" w:color="FFFFFF" w:fill="FFFFFF"/>
            <w:noWrap/>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WSVT-LD</w:t>
            </w:r>
          </w:p>
        </w:tc>
        <w:tc>
          <w:tcPr>
            <w:tcW w:w="677"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54948</w:t>
            </w:r>
          </w:p>
        </w:tc>
        <w:tc>
          <w:tcPr>
            <w:tcW w:w="422"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35</w:t>
            </w:r>
          </w:p>
        </w:tc>
        <w:tc>
          <w:tcPr>
            <w:tcW w:w="2005"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TAMPA</w:t>
            </w:r>
          </w:p>
        </w:tc>
        <w:tc>
          <w:tcPr>
            <w:tcW w:w="601"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FL</w:t>
            </w:r>
          </w:p>
        </w:tc>
        <w:tc>
          <w:tcPr>
            <w:tcW w:w="2964" w:type="dxa"/>
            <w:tcBorders>
              <w:top w:val="nil"/>
              <w:left w:val="nil"/>
              <w:bottom w:val="single" w:sz="4" w:space="0" w:color="auto"/>
              <w:right w:val="single" w:sz="4" w:space="0" w:color="auto"/>
            </w:tcBorders>
            <w:shd w:val="clear" w:color="FFFFFF" w:fill="FFFFFF"/>
            <w:hideMark/>
          </w:tcPr>
          <w:p w:rsidR="0046625D" w:rsidRPr="0046625D" w:rsidP="0046625D">
            <w:pPr>
              <w:widowControl/>
              <w:rPr>
                <w:rFonts w:ascii="Arial" w:hAnsi="Arial" w:cs="Arial"/>
                <w:snapToGrid/>
                <w:color w:val="333333"/>
                <w:kern w:val="0"/>
                <w:sz w:val="16"/>
                <w:szCs w:val="16"/>
              </w:rPr>
            </w:pPr>
            <w:r w:rsidRPr="0046625D">
              <w:rPr>
                <w:rFonts w:ascii="Arial" w:hAnsi="Arial" w:cs="Arial"/>
                <w:snapToGrid/>
                <w:color w:val="333333"/>
                <w:kern w:val="0"/>
                <w:sz w:val="16"/>
                <w:szCs w:val="16"/>
              </w:rPr>
              <w:t>WORD OF GOD FELLOWSHIP, INC.</w:t>
            </w:r>
          </w:p>
        </w:tc>
      </w:tr>
    </w:tbl>
    <w:p w:rsidR="0046625D" w:rsidRPr="00E3321B" w:rsidP="00E3321B">
      <w:pPr>
        <w:widowControl/>
        <w:spacing w:before="120" w:after="120"/>
        <w:jc w:val="center"/>
        <w:rPr>
          <w:b/>
        </w:rPr>
      </w:pPr>
      <w:r>
        <w:rPr>
          <w:b/>
        </w:rPr>
        <w:t>-END-</w:t>
      </w:r>
    </w:p>
    <w:sectPr w:rsidSect="001B101F">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25D">
      <w:r>
        <w:separator/>
      </w:r>
    </w:p>
  </w:footnote>
  <w:footnote w:type="continuationSeparator" w:id="1">
    <w:p w:rsidR="0046625D">
      <w:r>
        <w:continuationSeparator/>
      </w:r>
    </w:p>
  </w:footnote>
  <w:footnote w:type="continuationNotice" w:id="2">
    <w:p w:rsidR="0046625D" w:rsidRPr="00A574E4" w:rsidP="00A574E4">
      <w:pPr>
        <w:pStyle w:val="Footer"/>
      </w:pPr>
    </w:p>
  </w:footnote>
  <w:footnote w:id="3">
    <w:p w:rsidR="0046625D" w:rsidRPr="00400658" w:rsidP="008540C9">
      <w:pPr>
        <w:pStyle w:val="FootnoteText"/>
      </w:pPr>
      <w:r>
        <w:rPr>
          <w:rStyle w:val="FootnoteReference"/>
        </w:rPr>
        <w:footnoteRef/>
      </w:r>
      <w:r>
        <w:rPr>
          <w:i/>
        </w:rPr>
        <w:t xml:space="preserve"> Incentive Auction Task Force and Media Bureau Announce Post Incentive Auction Special Displacement Window </w:t>
      </w:r>
      <w:r w:rsidRPr="00E3321B">
        <w:rPr>
          <w:i/>
        </w:rPr>
        <w:t>A</w:t>
      </w:r>
      <w:r>
        <w:rPr>
          <w:i/>
        </w:rPr>
        <w:t>pril</w:t>
      </w:r>
      <w:r w:rsidRPr="00E3321B">
        <w:rPr>
          <w:i/>
        </w:rPr>
        <w:t xml:space="preserve"> 10, 2018, T</w:t>
      </w:r>
      <w:r>
        <w:rPr>
          <w:i/>
        </w:rPr>
        <w:t>hrough May 15, 2018, and Make Location and Channel Data Available</w:t>
      </w:r>
      <w:r>
        <w:t xml:space="preserve">, Public Notice, 32 FCC </w:t>
      </w:r>
      <w:r>
        <w:t>Rcd</w:t>
      </w:r>
      <w:r>
        <w:t xml:space="preserve"> 1234 (IATF and MB 2018); </w:t>
      </w:r>
      <w:r>
        <w:rPr>
          <w:i/>
        </w:rPr>
        <w:t>I</w:t>
      </w:r>
      <w:r w:rsidRPr="00400658">
        <w:rPr>
          <w:i/>
        </w:rPr>
        <w:t>ncentive Auction Task Force and Media Bureau Extend Post Incentive Auction Special Displacement Window Through June 1, 2018</w:t>
      </w:r>
      <w:r>
        <w:t>, Public Notice, DA 18-389 (rel. April 18, 2018).</w:t>
      </w:r>
    </w:p>
  </w:footnote>
  <w:footnote w:id="4">
    <w:p w:rsidR="0046625D" w:rsidRPr="001E05A3">
      <w:pPr>
        <w:pStyle w:val="FootnoteText"/>
      </w:pPr>
      <w:r>
        <w:rPr>
          <w:rStyle w:val="FootnoteReference"/>
        </w:rPr>
        <w:footnoteRef/>
      </w:r>
      <w:r>
        <w:t xml:space="preserve"> All applications filed during the Special Displacement Window were considered filed on the last day of the window for purposes of determining mutual exclusivity.  </w:t>
      </w:r>
      <w:r>
        <w:rPr>
          <w:i/>
        </w:rPr>
        <w:t xml:space="preserve">See </w:t>
      </w:r>
      <w:r w:rsidRPr="00A66645">
        <w:rPr>
          <w:i/>
        </w:rPr>
        <w:t>Expanding the Economic and Innovation Opportunities of Spectrum Through Incentive Auctions</w:t>
      </w:r>
      <w:r w:rsidRPr="00A66645">
        <w:t xml:space="preserve">, GN Docket No. 12-268, Report and Order, 29 FCC </w:t>
      </w:r>
      <w:r w:rsidRPr="00A66645">
        <w:t>Rcd</w:t>
      </w:r>
      <w:r w:rsidRPr="00A66645">
        <w:t xml:space="preserve"> 6567, </w:t>
      </w:r>
      <w:r>
        <w:t>6836, n.1837</w:t>
      </w:r>
      <w:r w:rsidRPr="00A66645">
        <w:t xml:space="preserve"> (2014)</w:t>
      </w:r>
      <w:r>
        <w:t>.</w:t>
      </w:r>
    </w:p>
  </w:footnote>
  <w:footnote w:id="5">
    <w:p w:rsidR="0046625D">
      <w:pPr>
        <w:pStyle w:val="FootnoteText"/>
      </w:pPr>
      <w:r>
        <w:rPr>
          <w:rStyle w:val="FootnoteReference"/>
        </w:rPr>
        <w:footnoteRef/>
      </w:r>
      <w:r>
        <w:t xml:space="preserve"> </w:t>
      </w:r>
      <w:r w:rsidRPr="00731380">
        <w:rPr>
          <w:i/>
        </w:rPr>
        <w:t xml:space="preserve">See </w:t>
      </w:r>
      <w:r>
        <w:t xml:space="preserve">47 CFR § 73.3500 </w:t>
      </w:r>
      <w:r w:rsidRPr="00731380">
        <w:rPr>
          <w:i/>
        </w:rPr>
        <w:t>et seq</w:t>
      </w:r>
      <w:r>
        <w:t>.</w:t>
      </w:r>
    </w:p>
  </w:footnote>
  <w:footnote w:id="6">
    <w:p w:rsidR="0046625D" w:rsidP="00BD33CC">
      <w:pPr>
        <w:pStyle w:val="FootnoteText"/>
      </w:pPr>
      <w:r>
        <w:rPr>
          <w:rStyle w:val="FootnoteReference"/>
        </w:rPr>
        <w:footnoteRef/>
      </w:r>
      <w:r>
        <w:t xml:space="preserve"> </w:t>
      </w:r>
      <w:r w:rsidRPr="00E3321B">
        <w:rPr>
          <w:i/>
        </w:rPr>
        <w:t>See</w:t>
      </w:r>
      <w:r w:rsidRPr="00E3321B">
        <w:t xml:space="preserve"> 47 CFR §§ 73.3572(a)(4), 74.787(a)(4).  </w:t>
      </w:r>
    </w:p>
  </w:footnote>
  <w:footnote w:id="7">
    <w:p w:rsidR="0046625D" w:rsidP="008540C9">
      <w:pPr>
        <w:pStyle w:val="FootnoteText"/>
      </w:pPr>
      <w:r>
        <w:rPr>
          <w:rStyle w:val="FootnoteReference"/>
        </w:rPr>
        <w:footnoteRef/>
      </w:r>
      <w:r>
        <w:t xml:space="preserve"> </w:t>
      </w:r>
      <w:r w:rsidRPr="00035754">
        <w:rPr>
          <w:i/>
        </w:rPr>
        <w:t>See</w:t>
      </w:r>
      <w:r>
        <w:t xml:space="preserve"> 47 U.S.C. § 309(j); 47 CF</w:t>
      </w:r>
      <w:r w:rsidRPr="00035754">
        <w:t xml:space="preserve">R. § 73.5000(a); </w:t>
      </w:r>
      <w:r w:rsidRPr="00035754">
        <w:rPr>
          <w:i/>
        </w:rPr>
        <w:t>see generally</w:t>
      </w:r>
      <w:r w:rsidRPr="00035754">
        <w:t xml:space="preserve">, </w:t>
      </w:r>
      <w:r w:rsidRPr="00035754">
        <w:rPr>
          <w:i/>
        </w:rPr>
        <w:t>Implementation of Section 309(j) of the Communications Act -- Competitive Bidding for Commercial Broadcast and Instructional Television Fixed Service Licenses</w:t>
      </w:r>
      <w:r w:rsidRPr="00035754">
        <w:t xml:space="preserve">, </w:t>
      </w:r>
      <w:r>
        <w:t xml:space="preserve">First Report and Order, </w:t>
      </w:r>
      <w:r w:rsidRPr="00035754">
        <w:t xml:space="preserve">13 FCC </w:t>
      </w:r>
      <w:r w:rsidRPr="00035754">
        <w:t>Rcd</w:t>
      </w:r>
      <w:r w:rsidRPr="00035754">
        <w:t xml:space="preserve"> 15920 (1998) (</w:t>
      </w:r>
      <w:r w:rsidRPr="00035754">
        <w:rPr>
          <w:i/>
        </w:rPr>
        <w:t xml:space="preserve">Broadcast </w:t>
      </w:r>
      <w:r>
        <w:rPr>
          <w:i/>
        </w:rPr>
        <w:t xml:space="preserve">Auctions </w:t>
      </w:r>
      <w:r w:rsidRPr="00035754">
        <w:rPr>
          <w:i/>
        </w:rPr>
        <w:t>First Report and Order</w:t>
      </w:r>
      <w:r w:rsidRPr="00035754">
        <w:t>).</w:t>
      </w:r>
    </w:p>
  </w:footnote>
  <w:footnote w:id="8">
    <w:p w:rsidR="0046625D" w:rsidP="001E05A3">
      <w:pPr>
        <w:pStyle w:val="FootnoteText"/>
      </w:pPr>
      <w:r>
        <w:rPr>
          <w:rStyle w:val="FootnoteReference"/>
        </w:rPr>
        <w:footnoteRef/>
      </w:r>
      <w:r>
        <w:t xml:space="preserve"> </w:t>
      </w:r>
      <w:r w:rsidRPr="00E3321B">
        <w:rPr>
          <w:i/>
        </w:rPr>
        <w:t>See</w:t>
      </w:r>
      <w:r w:rsidRPr="00E3321B">
        <w:t xml:space="preserve"> 47 CFR §§ 73.3572(a)(4), 74.787(a)(4).  </w:t>
      </w:r>
    </w:p>
  </w:footnote>
  <w:footnote w:id="9">
    <w:p w:rsidR="0046625D" w:rsidP="008540C9">
      <w:pPr>
        <w:pStyle w:val="FootnoteText"/>
      </w:pPr>
      <w:r>
        <w:rPr>
          <w:rStyle w:val="FootnoteReference"/>
        </w:rPr>
        <w:footnoteRef/>
      </w:r>
      <w:r>
        <w:t xml:space="preserve"> </w:t>
      </w:r>
      <w:r>
        <w:rPr>
          <w:i/>
        </w:rPr>
        <w:t>Id</w:t>
      </w:r>
      <w:r w:rsidRPr="00E332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C26BAF"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Pr>
        <w:rFonts w:ascii="Times New Roman" w:hAnsi="Times New Roman"/>
        <w:b/>
        <w:sz w:val="22"/>
        <w:szCs w:val="22"/>
      </w:rPr>
      <w:t>18-</w:t>
    </w:r>
    <w:r w:rsidR="00E86665">
      <w:rPr>
        <w:rFonts w:ascii="Times New Roman" w:hAnsi="Times New Roman"/>
        <w:b/>
        <w:sz w:val="22"/>
        <w:szCs w:val="22"/>
      </w:rPr>
      <w:t>1108</w:t>
    </w:r>
    <w:bookmarkStart w:id="1" w:name="_GoBack"/>
    <w:bookmarkEnd w:id="1"/>
  </w:p>
  <w:p w:rsidR="0046625D" w:rsidRPr="00C26BAF"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625D" w:rsidRPr="00C26BAF"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BA6E7A" w:rsidP="00C26BA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625D"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4918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46625D" w:rsidRPr="00C26BAF" w:rsidP="00C26BA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625D" w:rsidP="00C26BAF">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6667135"/>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8A148C9"/>
    <w:multiLevelType w:val="hybridMultilevel"/>
    <w:tmpl w:val="B5A85B2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8"/>
  </w:num>
  <w:num w:numId="4">
    <w:abstractNumId w:val="4"/>
  </w:num>
  <w:num w:numId="5">
    <w:abstractNumId w:val="12"/>
  </w:num>
  <w:num w:numId="6">
    <w:abstractNumId w:val="3"/>
  </w:num>
  <w:num w:numId="7">
    <w:abstractNumId w:val="5"/>
  </w:num>
  <w:num w:numId="8">
    <w:abstractNumId w:val="0"/>
  </w:num>
  <w:num w:numId="9">
    <w:abstractNumId w:val="13"/>
  </w:num>
  <w:num w:numId="10">
    <w:abstractNumId w:val="7"/>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uiPriority w:val="99"/>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uiPriority w:val="99"/>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paragraph" w:customStyle="1" w:styleId="msonormal">
    <w:name w:val="msonormal"/>
    <w:basedOn w:val="Normal"/>
    <w:rsid w:val="0046625D"/>
    <w:pPr>
      <w:widowControl/>
      <w:spacing w:before="100" w:beforeAutospacing="1" w:after="100" w:afterAutospacing="1"/>
    </w:pPr>
    <w:rPr>
      <w:snapToGrid/>
      <w:kern w:val="0"/>
      <w:sz w:val="24"/>
      <w:szCs w:val="24"/>
    </w:rPr>
  </w:style>
  <w:style w:type="paragraph" w:customStyle="1" w:styleId="xl63">
    <w:name w:val="xl63"/>
    <w:basedOn w:val="Normal"/>
    <w:rsid w:val="0046625D"/>
    <w:pPr>
      <w:widowControl/>
      <w:spacing w:before="100" w:beforeAutospacing="1" w:after="100" w:afterAutospacing="1"/>
      <w:textAlignment w:val="top"/>
    </w:pPr>
    <w:rPr>
      <w:snapToGrid/>
      <w:kern w:val="0"/>
      <w:sz w:val="16"/>
      <w:szCs w:val="16"/>
    </w:rPr>
  </w:style>
  <w:style w:type="paragraph" w:customStyle="1" w:styleId="xl64">
    <w:name w:val="xl64"/>
    <w:basedOn w:val="Normal"/>
    <w:rsid w:val="0046625D"/>
    <w:pPr>
      <w:widowControl/>
      <w:spacing w:before="100" w:beforeAutospacing="1" w:after="100" w:afterAutospacing="1"/>
      <w:textAlignment w:val="top"/>
    </w:pPr>
    <w:rPr>
      <w:snapToGrid/>
      <w:kern w:val="0"/>
      <w:sz w:val="16"/>
      <w:szCs w:val="16"/>
    </w:rPr>
  </w:style>
  <w:style w:type="paragraph" w:customStyle="1" w:styleId="xl65">
    <w:name w:val="xl65"/>
    <w:basedOn w:val="Normal"/>
    <w:rsid w:val="0046625D"/>
    <w:pPr>
      <w:widowControl/>
      <w:spacing w:before="100" w:beforeAutospacing="1" w:after="100" w:afterAutospacing="1"/>
      <w:textAlignment w:val="top"/>
    </w:pPr>
    <w:rPr>
      <w:b/>
      <w:bCs/>
      <w:snapToGrid/>
      <w:kern w:val="0"/>
      <w:sz w:val="16"/>
      <w:szCs w:val="16"/>
    </w:rPr>
  </w:style>
  <w:style w:type="paragraph" w:customStyle="1" w:styleId="xl66">
    <w:name w:val="xl66"/>
    <w:basedOn w:val="Normal"/>
    <w:rsid w:val="0046625D"/>
    <w:pPr>
      <w:widowControl/>
      <w:spacing w:before="100" w:beforeAutospacing="1" w:after="100" w:afterAutospacing="1"/>
      <w:textAlignment w:val="top"/>
    </w:pPr>
    <w:rPr>
      <w:snapToGrid/>
      <w:kern w:val="0"/>
      <w:sz w:val="16"/>
      <w:szCs w:val="16"/>
    </w:rPr>
  </w:style>
  <w:style w:type="paragraph" w:customStyle="1" w:styleId="xl67">
    <w:name w:val="xl6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68">
    <w:name w:val="xl68"/>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69">
    <w:name w:val="xl69"/>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0">
    <w:name w:val="xl70"/>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1">
    <w:name w:val="xl71"/>
    <w:basedOn w:val="Normal"/>
    <w:rsid w:val="0046625D"/>
    <w:pPr>
      <w:widowControl/>
      <w:spacing w:before="100" w:beforeAutospacing="1" w:after="100" w:afterAutospacing="1"/>
      <w:textAlignment w:val="top"/>
    </w:pPr>
    <w:rPr>
      <w:snapToGrid/>
      <w:kern w:val="0"/>
      <w:sz w:val="16"/>
      <w:szCs w:val="16"/>
    </w:rPr>
  </w:style>
  <w:style w:type="paragraph" w:customStyle="1" w:styleId="xl72">
    <w:name w:val="xl72"/>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3">
    <w:name w:val="xl73"/>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4">
    <w:name w:val="xl74"/>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75">
    <w:name w:val="xl75"/>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6">
    <w:name w:val="xl76"/>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numbering" w:customStyle="1" w:styleId="NoList1">
    <w:name w:val="No List1"/>
    <w:next w:val="NoList"/>
    <w:uiPriority w:val="99"/>
    <w:semiHidden/>
    <w:unhideWhenUsed/>
    <w:rsid w:val="0046625D"/>
  </w:style>
  <w:style w:type="paragraph" w:customStyle="1" w:styleId="xl77">
    <w:name w:val="xl7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paragraph" w:customStyle="1" w:styleId="xl78">
    <w:name w:val="xl78"/>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9">
    <w:name w:val="xl79"/>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80">
    <w:name w:val="xl80"/>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