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26791">
      <w:pPr>
        <w:jc w:val="center"/>
        <w:rPr>
          <w:b/>
        </w:rPr>
      </w:pPr>
      <w:bookmarkStart w:id="0" w:name="_GoBack"/>
      <w:bookmarkEnd w:id="0"/>
      <w:r>
        <w:rPr>
          <w:b/>
        </w:rPr>
        <w:t>Before the</w:t>
      </w:r>
    </w:p>
    <w:p w:rsidR="00C26791">
      <w:pPr>
        <w:jc w:val="center"/>
        <w:rPr>
          <w:b/>
        </w:rPr>
      </w:pPr>
      <w:r>
        <w:rPr>
          <w:b/>
        </w:rPr>
        <w:t>Federal Communications Commission</w:t>
      </w:r>
    </w:p>
    <w:p w:rsidR="00C26791">
      <w:pPr>
        <w:jc w:val="center"/>
        <w:rPr>
          <w:b/>
        </w:rPr>
      </w:pPr>
      <w:r>
        <w:rPr>
          <w:b/>
        </w:rPr>
        <w:t>Washington, D.C. 20554</w:t>
      </w:r>
    </w:p>
    <w:p w:rsidR="00C26791"/>
    <w:p w:rsidR="00C26791"/>
    <w:tbl>
      <w:tblPr>
        <w:tblW w:w="0" w:type="auto"/>
        <w:tblLayout w:type="fixed"/>
        <w:tblLook w:val="0000"/>
      </w:tblPr>
      <w:tblGrid>
        <w:gridCol w:w="4698"/>
        <w:gridCol w:w="720"/>
        <w:gridCol w:w="4230"/>
      </w:tblGrid>
      <w:tr>
        <w:tblPrEx>
          <w:tblW w:w="0" w:type="auto"/>
          <w:tblLayout w:type="fixed"/>
          <w:tblLook w:val="0000"/>
        </w:tblPrEx>
        <w:tc>
          <w:tcPr>
            <w:tcW w:w="4698" w:type="dxa"/>
          </w:tcPr>
          <w:p w:rsidR="00C26791">
            <w:pPr>
              <w:ind w:right="-18"/>
            </w:pPr>
            <w:r>
              <w:t>In the Matter of</w:t>
            </w:r>
          </w:p>
          <w:p w:rsidR="00C26791">
            <w:pPr>
              <w:ind w:right="-18"/>
            </w:pPr>
          </w:p>
          <w:p w:rsidR="00C26791">
            <w:pPr>
              <w:ind w:right="-18"/>
            </w:pPr>
            <w:r>
              <w:t xml:space="preserve">Requests of </w:t>
            </w:r>
            <w:r w:rsidR="003F2AAD">
              <w:t>Three</w:t>
            </w:r>
            <w:r>
              <w:t xml:space="preserve"> Licensees of </w:t>
            </w:r>
            <w:r w:rsidR="003F2AAD">
              <w:t>22</w:t>
            </w:r>
            <w:r>
              <w:t xml:space="preserve"> Licenses in the </w:t>
            </w:r>
            <w:r>
              <w:br/>
              <w:t>Multichannel</w:t>
            </w:r>
            <w:r w:rsidR="00E1761B">
              <w:t xml:space="preserve"> </w:t>
            </w:r>
            <w:r>
              <w:t xml:space="preserve">Video and Data Distribution Service for </w:t>
            </w:r>
            <w:r w:rsidR="00A03A17">
              <w:t>Extension of Time to Me</w:t>
            </w:r>
            <w:r w:rsidR="00C85842">
              <w:t xml:space="preserve">et the </w:t>
            </w:r>
            <w:r w:rsidR="00E1761B">
              <w:t xml:space="preserve">Final </w:t>
            </w:r>
            <w:r w:rsidR="00C85842">
              <w:t>Buildout Requirement for</w:t>
            </w:r>
            <w:r>
              <w:t xml:space="preserve"> Providing Substantial Service </w:t>
            </w:r>
            <w:r w:rsidR="00E1761B">
              <w:t>under Section 101.1413 of the Commission’s Rules</w:t>
            </w:r>
          </w:p>
          <w:p w:rsidR="00C26791">
            <w:pPr>
              <w:ind w:right="-18"/>
            </w:pPr>
          </w:p>
          <w:p w:rsidR="00A03A17">
            <w:pPr>
              <w:ind w:right="-18"/>
            </w:pPr>
            <w:r>
              <w:t xml:space="preserve">Applications of Three Licensees for Renewal of </w:t>
            </w:r>
            <w:r>
              <w:t>22</w:t>
            </w:r>
            <w:r>
              <w:t xml:space="preserve"> Licenses in the </w:t>
            </w:r>
            <w:r>
              <w:t xml:space="preserve">Multichannel Video and </w:t>
            </w:r>
            <w:r>
              <w:t xml:space="preserve">Data </w:t>
            </w:r>
            <w:r>
              <w:t>Distribution Service</w:t>
            </w:r>
          </w:p>
        </w:tc>
        <w:tc>
          <w:tcPr>
            <w:tcW w:w="720" w:type="dxa"/>
          </w:tcPr>
          <w:p w:rsidR="00C26791">
            <w:pPr>
              <w:rPr>
                <w:b/>
              </w:rPr>
            </w:pPr>
            <w:r>
              <w:rPr>
                <w:b/>
              </w:rPr>
              <w:t>)</w:t>
            </w:r>
          </w:p>
          <w:p w:rsidR="00C26791">
            <w:pPr>
              <w:rPr>
                <w:b/>
              </w:rPr>
            </w:pPr>
            <w:r>
              <w:rPr>
                <w:b/>
              </w:rPr>
              <w:t>)</w:t>
            </w:r>
          </w:p>
          <w:p w:rsidR="00C26791">
            <w:pPr>
              <w:rPr>
                <w:b/>
              </w:rPr>
            </w:pPr>
            <w:r>
              <w:rPr>
                <w:b/>
              </w:rPr>
              <w:t>)</w:t>
            </w:r>
          </w:p>
          <w:p w:rsidR="00C26791">
            <w:pPr>
              <w:rPr>
                <w:b/>
              </w:rPr>
            </w:pPr>
            <w:r>
              <w:rPr>
                <w:b/>
              </w:rPr>
              <w:t>)</w:t>
            </w:r>
          </w:p>
          <w:p w:rsidR="00C26791">
            <w:pPr>
              <w:rPr>
                <w:b/>
              </w:rPr>
            </w:pPr>
            <w:r>
              <w:rPr>
                <w:b/>
              </w:rPr>
              <w:t>)</w:t>
            </w:r>
          </w:p>
          <w:p w:rsidR="00C26791">
            <w:pPr>
              <w:rPr>
                <w:b/>
              </w:rPr>
            </w:pPr>
            <w:r>
              <w:rPr>
                <w:b/>
              </w:rPr>
              <w:t>)</w:t>
            </w:r>
          </w:p>
          <w:p w:rsidR="00A03A17">
            <w:pPr>
              <w:rPr>
                <w:b/>
              </w:rPr>
            </w:pPr>
            <w:r>
              <w:rPr>
                <w:b/>
              </w:rPr>
              <w:t>)</w:t>
            </w:r>
          </w:p>
          <w:p w:rsidR="00A03A17">
            <w:pPr>
              <w:rPr>
                <w:b/>
              </w:rPr>
            </w:pPr>
            <w:r>
              <w:rPr>
                <w:b/>
              </w:rPr>
              <w:t>)</w:t>
            </w:r>
          </w:p>
          <w:p w:rsidR="00A03A17">
            <w:pPr>
              <w:rPr>
                <w:b/>
              </w:rPr>
            </w:pPr>
            <w:r>
              <w:rPr>
                <w:b/>
              </w:rPr>
              <w:t>)</w:t>
            </w:r>
          </w:p>
          <w:p w:rsidR="00C85842">
            <w:pPr>
              <w:rPr>
                <w:b/>
              </w:rPr>
            </w:pPr>
            <w:r>
              <w:rPr>
                <w:b/>
              </w:rPr>
              <w:t>)</w:t>
            </w:r>
          </w:p>
          <w:p w:rsidR="00642529">
            <w:pPr>
              <w:rPr>
                <w:b/>
              </w:rPr>
            </w:pPr>
            <w:r>
              <w:rPr>
                <w:b/>
              </w:rPr>
              <w:t>)</w:t>
            </w:r>
          </w:p>
          <w:p w:rsidR="005C0061">
            <w:pPr>
              <w:rPr>
                <w:b/>
              </w:rPr>
            </w:pPr>
            <w:r>
              <w:rPr>
                <w:b/>
              </w:rPr>
              <w:t>)</w:t>
            </w:r>
          </w:p>
        </w:tc>
        <w:tc>
          <w:tcPr>
            <w:tcW w:w="4230" w:type="dxa"/>
          </w:tcPr>
          <w:p w:rsidR="00C26791"/>
          <w:p w:rsidR="00C26791"/>
          <w:p w:rsidR="00C26791">
            <w:pPr>
              <w:rPr>
                <w:szCs w:val="22"/>
              </w:rPr>
            </w:pPr>
            <w:r>
              <w:rPr>
                <w:szCs w:val="22"/>
              </w:rPr>
              <w:t xml:space="preserve">File Nos. </w:t>
            </w:r>
            <w:r w:rsidR="00DA558A">
              <w:rPr>
                <w:szCs w:val="22"/>
              </w:rPr>
              <w:t xml:space="preserve">0007219617-0007219636 </w:t>
            </w:r>
            <w:r>
              <w:rPr>
                <w:szCs w:val="22"/>
              </w:rPr>
              <w:t>000</w:t>
            </w:r>
            <w:r w:rsidR="00DA558A">
              <w:rPr>
                <w:szCs w:val="22"/>
              </w:rPr>
              <w:t>7221703, 0007226755</w:t>
            </w:r>
          </w:p>
          <w:p w:rsidR="00A03A17">
            <w:pPr>
              <w:rPr>
                <w:szCs w:val="22"/>
              </w:rPr>
            </w:pPr>
          </w:p>
          <w:p w:rsidR="00A03A17">
            <w:pPr>
              <w:rPr>
                <w:szCs w:val="22"/>
              </w:rPr>
            </w:pPr>
          </w:p>
          <w:p w:rsidR="00A03A17">
            <w:pPr>
              <w:rPr>
                <w:szCs w:val="22"/>
              </w:rPr>
            </w:pPr>
          </w:p>
          <w:p w:rsidR="00A03A17">
            <w:pPr>
              <w:rPr>
                <w:szCs w:val="22"/>
              </w:rPr>
            </w:pPr>
          </w:p>
          <w:p w:rsidR="005C0061"/>
          <w:p w:rsidR="00A03A17">
            <w:r>
              <w:t>File Nos. 000</w:t>
            </w:r>
            <w:r w:rsidR="00DA558A">
              <w:t>7214632-0007214651</w:t>
            </w:r>
            <w:r>
              <w:t>,</w:t>
            </w:r>
          </w:p>
          <w:p w:rsidR="00A03A17">
            <w:r>
              <w:t>0007090626, 0007222445</w:t>
            </w:r>
          </w:p>
        </w:tc>
      </w:tr>
    </w:tbl>
    <w:p w:rsidR="00C26791"/>
    <w:p w:rsidR="00C26791">
      <w:pPr>
        <w:spacing w:before="120"/>
        <w:jc w:val="center"/>
        <w:rPr>
          <w:b/>
        </w:rPr>
      </w:pPr>
      <w:r>
        <w:rPr>
          <w:b/>
          <w:spacing w:val="-2"/>
        </w:rPr>
        <w:t>ORDER</w:t>
      </w:r>
    </w:p>
    <w:p w:rsidR="00C26791"/>
    <w:p w:rsidR="00C26791">
      <w:pPr>
        <w:tabs>
          <w:tab w:val="right" w:pos="9360"/>
        </w:tabs>
        <w:rPr>
          <w:b/>
        </w:rPr>
      </w:pPr>
      <w:r>
        <w:rPr>
          <w:b/>
        </w:rPr>
        <w:t xml:space="preserve">Adopted:  </w:t>
      </w:r>
      <w:r w:rsidR="00A76A5D">
        <w:rPr>
          <w:b/>
        </w:rPr>
        <w:t xml:space="preserve">October </w:t>
      </w:r>
      <w:r w:rsidR="00954240">
        <w:rPr>
          <w:b/>
        </w:rPr>
        <w:t>29</w:t>
      </w:r>
      <w:r w:rsidR="003F2AAD">
        <w:rPr>
          <w:b/>
        </w:rPr>
        <w:t>, 2018</w:t>
      </w:r>
      <w:r>
        <w:rPr>
          <w:b/>
        </w:rPr>
        <w:tab/>
        <w:t xml:space="preserve">Released:  </w:t>
      </w:r>
      <w:r w:rsidR="00A76A5D">
        <w:rPr>
          <w:b/>
        </w:rPr>
        <w:t xml:space="preserve">October </w:t>
      </w:r>
      <w:r w:rsidR="00954240">
        <w:rPr>
          <w:b/>
        </w:rPr>
        <w:t>29</w:t>
      </w:r>
      <w:r>
        <w:rPr>
          <w:b/>
        </w:rPr>
        <w:t>,</w:t>
      </w:r>
      <w:r>
        <w:rPr>
          <w:b/>
          <w:spacing w:val="-2"/>
        </w:rPr>
        <w:t xml:space="preserve"> 201</w:t>
      </w:r>
      <w:r w:rsidR="003F2AAD">
        <w:rPr>
          <w:b/>
          <w:spacing w:val="-2"/>
        </w:rPr>
        <w:t>8</w:t>
      </w:r>
    </w:p>
    <w:p w:rsidR="00C26791">
      <w:pPr>
        <w:tabs>
          <w:tab w:val="left" w:pos="5760"/>
        </w:tabs>
        <w:rPr>
          <w:b/>
        </w:rPr>
      </w:pPr>
    </w:p>
    <w:p w:rsidR="00C26791">
      <w:pPr>
        <w:tabs>
          <w:tab w:val="left" w:pos="5760"/>
        </w:tabs>
      </w:pPr>
      <w:r>
        <w:t xml:space="preserve">By the </w:t>
      </w:r>
      <w:r>
        <w:rPr>
          <w:spacing w:val="-2"/>
        </w:rPr>
        <w:t xml:space="preserve">Chief, </w:t>
      </w:r>
      <w:r w:rsidR="003F2AAD">
        <w:rPr>
          <w:spacing w:val="-2"/>
        </w:rPr>
        <w:t xml:space="preserve">Broadband Division, </w:t>
      </w:r>
      <w:r>
        <w:rPr>
          <w:spacing w:val="-2"/>
        </w:rPr>
        <w:t>Wireless Telecommunications Bureau:</w:t>
      </w:r>
    </w:p>
    <w:p w:rsidR="00C26791">
      <w:pPr>
        <w:tabs>
          <w:tab w:val="left" w:pos="5760"/>
        </w:tabs>
        <w:rPr>
          <w:b/>
        </w:rPr>
      </w:pPr>
    </w:p>
    <w:p w:rsidR="00C26791">
      <w:pPr>
        <w:pStyle w:val="Heading1"/>
        <w:widowControl/>
        <w:jc w:val="left"/>
      </w:pPr>
      <w:r>
        <w:t>introduction</w:t>
      </w:r>
    </w:p>
    <w:p w:rsidR="003F2AAD" w:rsidP="003F2AAD">
      <w:pPr>
        <w:pStyle w:val="ParaNum"/>
        <w:widowControl/>
        <w:tabs>
          <w:tab w:val="clear" w:pos="1530"/>
        </w:tabs>
        <w:ind w:left="0"/>
        <w:jc w:val="left"/>
      </w:pPr>
      <w:r>
        <w:t xml:space="preserve">In this </w:t>
      </w:r>
      <w:r w:rsidRPr="00E74B0E">
        <w:rPr>
          <w:i/>
        </w:rPr>
        <w:t>Order</w:t>
      </w:r>
      <w:r>
        <w:t xml:space="preserve">, we address </w:t>
      </w:r>
      <w:r w:rsidR="00E74B0E">
        <w:t xml:space="preserve">the </w:t>
      </w:r>
      <w:r w:rsidR="00A03A17">
        <w:t>requests of three Multichannel Video and Data Distribution Service (MVDDS) licensees</w:t>
      </w:r>
      <w:r>
        <w:rPr>
          <w:rStyle w:val="FootnoteReference"/>
        </w:rPr>
        <w:footnoteReference w:id="3"/>
      </w:r>
      <w:r w:rsidR="00A03A17">
        <w:t xml:space="preserve"> (License</w:t>
      </w:r>
      <w:r w:rsidR="00E74B0E">
        <w:t>e</w:t>
      </w:r>
      <w:r w:rsidR="00A03A17">
        <w:t xml:space="preserve">s) for </w:t>
      </w:r>
      <w:r w:rsidR="005C0061">
        <w:t xml:space="preserve">waiver and </w:t>
      </w:r>
      <w:r w:rsidR="00A03A17">
        <w:t xml:space="preserve">extension </w:t>
      </w:r>
      <w:r w:rsidR="00AD7FA8">
        <w:t>of the</w:t>
      </w:r>
      <w:r w:rsidR="00E74B0E">
        <w:t xml:space="preserve"> </w:t>
      </w:r>
      <w:r w:rsidR="007F3C81">
        <w:t xml:space="preserve">10-year, final </w:t>
      </w:r>
      <w:r w:rsidR="00E74B0E">
        <w:t xml:space="preserve">construction requirement </w:t>
      </w:r>
      <w:r w:rsidR="00DE0280">
        <w:t xml:space="preserve">for </w:t>
      </w:r>
      <w:r w:rsidR="00E74B0E">
        <w:t xml:space="preserve">22 MVDDS </w:t>
      </w:r>
      <w:r w:rsidR="002A0B02">
        <w:t>l</w:t>
      </w:r>
      <w:r w:rsidR="00E74B0E">
        <w:t xml:space="preserve">icenses </w:t>
      </w:r>
      <w:r w:rsidR="00A30846">
        <w:t xml:space="preserve">granted </w:t>
      </w:r>
      <w:r w:rsidR="007F3C81">
        <w:t>in 2006</w:t>
      </w:r>
      <w:r w:rsidR="00DE0280">
        <w:t xml:space="preserve">, and the 22 applications to renew </w:t>
      </w:r>
      <w:r w:rsidR="00E74B0E">
        <w:t>the</w:t>
      </w:r>
      <w:r w:rsidR="00DE0280">
        <w:t>se</w:t>
      </w:r>
      <w:r w:rsidR="00A03A17">
        <w:t xml:space="preserve"> licenses.</w:t>
      </w:r>
      <w:bookmarkStart w:id="1" w:name="_Ref516227427"/>
      <w:r>
        <w:rPr>
          <w:rStyle w:val="FootnoteReference"/>
        </w:rPr>
        <w:footnoteReference w:id="4"/>
      </w:r>
      <w:bookmarkEnd w:id="1"/>
      <w:r w:rsidR="00A03A17">
        <w:t xml:space="preserve"> </w:t>
      </w:r>
      <w:r w:rsidR="002A0B02">
        <w:t xml:space="preserve"> </w:t>
      </w:r>
      <w:r w:rsidR="00A30846">
        <w:t xml:space="preserve">The </w:t>
      </w:r>
      <w:r w:rsidR="0027769C">
        <w:t>L</w:t>
      </w:r>
      <w:r w:rsidR="00E74B0E">
        <w:t>icensees seek a five-</w:t>
      </w:r>
      <w:r w:rsidR="00A03A17">
        <w:t>year extension of time</w:t>
      </w:r>
      <w:r w:rsidR="008E6912">
        <w:t xml:space="preserve">, </w:t>
      </w:r>
      <w:r w:rsidR="00E74B0E">
        <w:t xml:space="preserve">until </w:t>
      </w:r>
      <w:r w:rsidR="00755764">
        <w:t>April 3</w:t>
      </w:r>
      <w:r w:rsidR="0027769C">
        <w:t>, 2021</w:t>
      </w:r>
      <w:r w:rsidR="008E6912">
        <w:t>, to meet the construction requirement</w:t>
      </w:r>
      <w:r w:rsidR="00E74B0E">
        <w:t xml:space="preserve">.  </w:t>
      </w:r>
      <w:r>
        <w:t>For the reasons discussed below, we deny the</w:t>
      </w:r>
      <w:r w:rsidR="00F26E96">
        <w:t xml:space="preserve"> waiver and extension</w:t>
      </w:r>
      <w:r>
        <w:t xml:space="preserve"> </w:t>
      </w:r>
      <w:r w:rsidR="00BE4AA1">
        <w:t>requests, dismiss</w:t>
      </w:r>
      <w:r w:rsidR="00E74B0E">
        <w:t xml:space="preserve"> the renewal applications, and note that the </w:t>
      </w:r>
      <w:r w:rsidR="0027769C">
        <w:t>L</w:t>
      </w:r>
      <w:r w:rsidR="00E74B0E">
        <w:t xml:space="preserve">icenses automatically cancelled on </w:t>
      </w:r>
      <w:r w:rsidR="00755764">
        <w:t>April 3, 2016</w:t>
      </w:r>
      <w:r w:rsidR="00E74B0E">
        <w:t>.</w:t>
      </w:r>
    </w:p>
    <w:p w:rsidR="00C26791">
      <w:pPr>
        <w:pStyle w:val="Heading1"/>
        <w:widowControl/>
        <w:jc w:val="left"/>
        <w:rPr>
          <w:bCs/>
        </w:rPr>
      </w:pPr>
      <w:r>
        <w:rPr>
          <w:bCs/>
        </w:rPr>
        <w:t>background</w:t>
      </w:r>
    </w:p>
    <w:p w:rsidR="00C26791">
      <w:pPr>
        <w:pStyle w:val="ParaNum"/>
        <w:widowControl/>
        <w:ind w:left="0"/>
        <w:jc w:val="left"/>
      </w:pPr>
      <w:r>
        <w:t>MVDDS is a fixed wireless terrestrial service at 12.2-12.7 GHz that may be used for any digital fixed non-broadcast service, including one-way direct-to-home/office wireless service.</w:t>
      </w:r>
      <w:r>
        <w:rPr>
          <w:rStyle w:val="FootnoteReference"/>
        </w:rPr>
        <w:footnoteReference w:id="5"/>
      </w:r>
      <w:r>
        <w:t xml:space="preserve">  MVDDS is authorized on a co-primary, non-harmful interference basis with incumbent Direct Satellite Services (DBS) providers and on a co-primary basis with non-geostationary satellite orbit fixed-satellite service </w:t>
      </w:r>
      <w:r>
        <w:t>(NGSO FSS) stations.</w:t>
      </w:r>
      <w:r>
        <w:rPr>
          <w:rStyle w:val="FootnoteReference"/>
        </w:rPr>
        <w:footnoteReference w:id="6"/>
      </w:r>
      <w:r>
        <w:t xml:space="preserve">  MVDDS is licensed on a geographic area basis according to Nielsen’s 2002 Designated Market Areas </w:t>
      </w:r>
      <w:r w:rsidR="001B0DE7">
        <w:t>(DMAs)</w:t>
      </w:r>
      <w:r>
        <w:rPr>
          <w:rStyle w:val="FootnoteReference"/>
        </w:rPr>
        <w:footnoteReference w:id="7"/>
      </w:r>
      <w:r w:rsidR="001B0DE7">
        <w:t xml:space="preserve"> </w:t>
      </w:r>
      <w:r>
        <w:t xml:space="preserve">and </w:t>
      </w:r>
      <w:r w:rsidR="00B83545">
        <w:t xml:space="preserve">four </w:t>
      </w:r>
      <w:r>
        <w:t>FCC-defined areas.</w:t>
      </w:r>
      <w:r>
        <w:rPr>
          <w:rStyle w:val="FootnoteReference"/>
        </w:rPr>
        <w:footnoteReference w:id="8"/>
      </w:r>
      <w:r w:rsidR="00B83545">
        <w:t xml:space="preserve"> </w:t>
      </w:r>
      <w:r>
        <w:t xml:space="preserve"> The Commission adopted specific </w:t>
      </w:r>
      <w:r>
        <w:rPr>
          <w:bCs/>
          <w:color w:val="000000"/>
          <w:szCs w:val="22"/>
        </w:rPr>
        <w:t>service and technical rules to permit MVDDS operators to share the 12.2-12.7 GHz band with DBS and NGSO FSS without causing harmful interference.</w:t>
      </w:r>
      <w:r>
        <w:rPr>
          <w:rStyle w:val="FootnoteReference"/>
        </w:rPr>
        <w:footnoteReference w:id="9"/>
      </w:r>
      <w:r>
        <w:rPr>
          <w:bCs/>
          <w:color w:val="000000"/>
          <w:szCs w:val="22"/>
        </w:rPr>
        <w:t xml:space="preserve"> </w:t>
      </w:r>
      <w:r>
        <w:t xml:space="preserve"> </w:t>
      </w:r>
      <w:r w:rsidR="00A141C5">
        <w:t xml:space="preserve"> </w:t>
      </w:r>
    </w:p>
    <w:p w:rsidR="00C26791">
      <w:pPr>
        <w:pStyle w:val="ParaNum"/>
        <w:widowControl/>
        <w:ind w:left="0"/>
        <w:jc w:val="left"/>
        <w:rPr>
          <w:color w:val="000000"/>
          <w:szCs w:val="22"/>
        </w:rPr>
      </w:pPr>
      <w:r>
        <w:t xml:space="preserve">In 2002, the Commission adopted a ten-year license term for MVDDS and gave licensees a renewal expectancy upon a showing of substantial service at license renewal, </w:t>
      </w:r>
      <w:r>
        <w:rPr>
          <w:i/>
        </w:rPr>
        <w:t>i.e.</w:t>
      </w:r>
      <w:r>
        <w:t>, ten years after license grant.</w:t>
      </w:r>
      <w:r>
        <w:rPr>
          <w:rStyle w:val="FootnoteReference"/>
          <w:szCs w:val="22"/>
        </w:rPr>
        <w:footnoteReference w:id="10"/>
      </w:r>
      <w:r>
        <w:rPr>
          <w:szCs w:val="22"/>
        </w:rPr>
        <w:t xml:space="preserve"> </w:t>
      </w:r>
      <w:r>
        <w:t xml:space="preserve"> Substantial service means “service that is sound, favorable, and substantially above a level of mediocre service which might minimally warrant renewal.”</w:t>
      </w:r>
      <w:r>
        <w:rPr>
          <w:rStyle w:val="FootnoteReference"/>
        </w:rPr>
        <w:footnoteReference w:id="11"/>
      </w:r>
      <w:r>
        <w:t xml:space="preserve">  </w:t>
      </w:r>
      <w:r>
        <w:rPr>
          <w:szCs w:val="22"/>
        </w:rPr>
        <w:t>The Commission also adopted safe harbors to assist MVDDS licensees in satisfying the substantial service requirement, as well as additional factors that it would take into consideration in determining whether a licensee satisfies the substantial service standard.</w:t>
      </w:r>
      <w:r>
        <w:rPr>
          <w:rStyle w:val="FootnoteReference"/>
        </w:rPr>
        <w:footnoteReference w:id="12"/>
      </w:r>
      <w:r>
        <w:t xml:space="preserve">  The Commission declined to adopt an interim deadline, stating that because of various operating restrictions and the complexity and contention surrounding the issues involving band sharing, a ten-year buildout period was appropriate.</w:t>
      </w:r>
      <w:r>
        <w:rPr>
          <w:rStyle w:val="FootnoteReference"/>
        </w:rPr>
        <w:footnoteReference w:id="13"/>
      </w:r>
      <w:r>
        <w:t xml:space="preserve">  </w:t>
      </w:r>
      <w:r w:rsidR="00B83545">
        <w:t>I</w:t>
      </w:r>
      <w:r>
        <w:t>n 2003</w:t>
      </w:r>
      <w:r w:rsidR="00AF3F7B">
        <w:t>, however,</w:t>
      </w:r>
      <w:r>
        <w:t xml:space="preserve"> the Commission added a five-year interim build</w:t>
      </w:r>
      <w:r w:rsidR="003F0B8E">
        <w:t>-</w:t>
      </w:r>
      <w:r>
        <w:t xml:space="preserve">out requirement </w:t>
      </w:r>
      <w:r w:rsidR="00091D4E">
        <w:t xml:space="preserve">in response to commenters’ contentions that five years was sufficient time to deploy and </w:t>
      </w:r>
      <w:r w:rsidR="003F0B8E">
        <w:t xml:space="preserve">that </w:t>
      </w:r>
      <w:r w:rsidR="00A22473">
        <w:t>imposing an interim requirement</w:t>
      </w:r>
      <w:r w:rsidR="00091D4E">
        <w:t xml:space="preserve"> would prevent </w:t>
      </w:r>
      <w:r>
        <w:t>spectrum warehousing and promote the rapid deployment of service to the public</w:t>
      </w:r>
      <w:r w:rsidR="00091D4E">
        <w:t>.</w:t>
      </w:r>
      <w:bookmarkStart w:id="2" w:name="_Ref267401318"/>
      <w:r>
        <w:rPr>
          <w:rStyle w:val="FootnoteReference"/>
        </w:rPr>
        <w:footnoteReference w:id="14"/>
      </w:r>
      <w:bookmarkEnd w:id="2"/>
      <w:r>
        <w:t xml:space="preserve">  </w:t>
      </w:r>
      <w:r>
        <w:rPr>
          <w:szCs w:val="22"/>
        </w:rPr>
        <w:t>The Commission applies a renewal expectancy to MVDDS licenses based on a showing of substantial service within five years into the license term and again at ten years into the license term.</w:t>
      </w:r>
      <w:r>
        <w:rPr>
          <w:rStyle w:val="FootnoteReference"/>
          <w:szCs w:val="22"/>
        </w:rPr>
        <w:footnoteReference w:id="15"/>
      </w:r>
    </w:p>
    <w:p w:rsidR="00C248CC" w:rsidP="00C248CC">
      <w:pPr>
        <w:pStyle w:val="ParaNum"/>
        <w:widowControl/>
        <w:ind w:left="0"/>
        <w:jc w:val="left"/>
      </w:pPr>
      <w:bookmarkStart w:id="3" w:name="_Hlk516563223"/>
      <w:r>
        <w:t>In 2004, the Commission held Auction No. 53,</w:t>
      </w:r>
      <w:r>
        <w:rPr>
          <w:rStyle w:val="FootnoteReference"/>
        </w:rPr>
        <w:footnoteReference w:id="16"/>
      </w:r>
      <w:r>
        <w:t xml:space="preserve"> and </w:t>
      </w:r>
      <w:r w:rsidR="00835912">
        <w:t xml:space="preserve">subsequently granted </w:t>
      </w:r>
      <w:r w:rsidR="00D672E9">
        <w:t xml:space="preserve">eleven licensees </w:t>
      </w:r>
      <w:r>
        <w:t>192 of the 214 MVDDS licenses</w:t>
      </w:r>
      <w:r w:rsidR="00835912">
        <w:t xml:space="preserve"> for ten years.  The </w:t>
      </w:r>
      <w:r w:rsidR="00DE5DCE">
        <w:t xml:space="preserve">interim, </w:t>
      </w:r>
      <w:r w:rsidR="00835912">
        <w:t xml:space="preserve">five-year deadlines for demonstrating substantial service for these licenses </w:t>
      </w:r>
      <w:r w:rsidR="00DE5DCE">
        <w:t xml:space="preserve">were in 2009 </w:t>
      </w:r>
      <w:r>
        <w:t xml:space="preserve">but the Bureau </w:t>
      </w:r>
      <w:r w:rsidR="00F9774F">
        <w:t xml:space="preserve">extended these deadlines </w:t>
      </w:r>
      <w:r w:rsidR="00252548">
        <w:t xml:space="preserve">for </w:t>
      </w:r>
      <w:r w:rsidR="0040174D">
        <w:t xml:space="preserve">all </w:t>
      </w:r>
      <w:r w:rsidR="00252548">
        <w:t xml:space="preserve">ten licensees of </w:t>
      </w:r>
      <w:r w:rsidR="00BF3E42">
        <w:t xml:space="preserve">a total of </w:t>
      </w:r>
      <w:r w:rsidR="00252548">
        <w:t>191 licenses</w:t>
      </w:r>
      <w:r>
        <w:rPr>
          <w:rStyle w:val="FootnoteReference"/>
        </w:rPr>
        <w:footnoteReference w:id="17"/>
      </w:r>
      <w:r w:rsidR="00D672E9">
        <w:t xml:space="preserve"> </w:t>
      </w:r>
      <w:r w:rsidR="00F9774F">
        <w:t xml:space="preserve">because it found </w:t>
      </w:r>
      <w:bookmarkEnd w:id="3"/>
      <w:r w:rsidR="00F9774F">
        <w:t xml:space="preserve">that the record demonstrated that there was a lack of viable, affordable equipment for MVDDS that </w:t>
      </w:r>
      <w:r w:rsidR="00CB53CA">
        <w:t xml:space="preserve">could </w:t>
      </w:r>
      <w:r w:rsidR="00F9774F">
        <w:t xml:space="preserve">be deployed in the 12.2-12.7 GHz band and that the lack of equipment and the resulting challenge in deploying MVDDS service affects every MVDDS </w:t>
      </w:r>
      <w:r w:rsidR="00BF3E42">
        <w:t>l</w:t>
      </w:r>
      <w:r w:rsidR="00F9774F">
        <w:t xml:space="preserve">icensee and </w:t>
      </w:r>
      <w:r w:rsidR="00CB53CA">
        <w:t>wa</w:t>
      </w:r>
      <w:r w:rsidR="00F9774F">
        <w:t>s thus widespread.</w:t>
      </w:r>
      <w:r>
        <w:rPr>
          <w:rStyle w:val="FootnoteReference"/>
        </w:rPr>
        <w:footnoteReference w:id="18"/>
      </w:r>
      <w:r w:rsidR="00F9774F">
        <w:t xml:space="preserve">  </w:t>
      </w:r>
      <w:r w:rsidR="004C681E">
        <w:t>In 2014, t</w:t>
      </w:r>
      <w:r w:rsidR="00EE674A">
        <w:t xml:space="preserve">he </w:t>
      </w:r>
      <w:r w:rsidR="004C681E">
        <w:t xml:space="preserve">ten licensees of the 191 licenses requested extensions of the final, </w:t>
      </w:r>
      <w:r w:rsidR="00DE6336">
        <w:t>10-year deadlines</w:t>
      </w:r>
      <w:r w:rsidR="004C681E">
        <w:t xml:space="preserve"> and license renewals, which the Bureau granted </w:t>
      </w:r>
      <w:r w:rsidR="00DE6336">
        <w:t xml:space="preserve">based on a finding that the record, </w:t>
      </w:r>
      <w:r w:rsidRPr="00376FED" w:rsidR="00DE6336">
        <w:rPr>
          <w:i/>
        </w:rPr>
        <w:t>in toto</w:t>
      </w:r>
      <w:r w:rsidR="00DE6336">
        <w:t>, reflected circumstances beyond the licensee</w:t>
      </w:r>
      <w:r w:rsidR="00A22473">
        <w:t>s</w:t>
      </w:r>
      <w:r w:rsidR="00DE6336">
        <w:t xml:space="preserve">’ control: a lack of commercially viable MVDDS equipment.  The Bureau also granted </w:t>
      </w:r>
      <w:r w:rsidR="009A5CB5">
        <w:t>the 191 license</w:t>
      </w:r>
      <w:r w:rsidR="00642529">
        <w:t xml:space="preserve"> </w:t>
      </w:r>
      <w:r w:rsidR="009A5CB5">
        <w:t xml:space="preserve">renewal </w:t>
      </w:r>
      <w:r w:rsidR="00EE674A">
        <w:t xml:space="preserve">applications </w:t>
      </w:r>
      <w:r w:rsidR="00CA61CD">
        <w:t xml:space="preserve">subject to </w:t>
      </w:r>
      <w:r w:rsidR="004F2EE5">
        <w:t>the following condition: “If the licensee fails to meet its substantial service obligations (as defined in 47 CFR § 101.1413) by the [2019] buildout deadline date appearing on [each] license, the authorization terminates automatically (in whole) without specific Commission action</w:t>
      </w:r>
      <w:r w:rsidR="004F2EE5">
        <w:t>. . . .</w:t>
      </w:r>
      <w:r w:rsidR="004F2EE5">
        <w:t xml:space="preserve">”  </w:t>
      </w:r>
    </w:p>
    <w:p w:rsidR="004872AF" w:rsidP="008758D7">
      <w:pPr>
        <w:pStyle w:val="ParaNum"/>
        <w:widowControl/>
        <w:ind w:left="0"/>
        <w:jc w:val="left"/>
      </w:pPr>
      <w:r>
        <w:t>In 2005</w:t>
      </w:r>
      <w:r w:rsidR="00C26791">
        <w:t>, th</w:t>
      </w:r>
      <w:r>
        <w:t>e Commission held Auction No. 63</w:t>
      </w:r>
      <w:r w:rsidR="00DE5DCE">
        <w:t xml:space="preserve"> for the 22 MVDDS licenses that remained unsold in Auction No. 53</w:t>
      </w:r>
      <w:r>
        <w:rPr>
          <w:rStyle w:val="FootnoteReference"/>
        </w:rPr>
        <w:footnoteReference w:id="19"/>
      </w:r>
      <w:r w:rsidR="00CB53CA">
        <w:t xml:space="preserve"> and, o</w:t>
      </w:r>
      <w:r w:rsidR="00C26791">
        <w:t xml:space="preserve">n </w:t>
      </w:r>
      <w:r w:rsidR="00C5100C">
        <w:t>April 3, 2006</w:t>
      </w:r>
      <w:r w:rsidR="00C26791">
        <w:t>,</w:t>
      </w:r>
      <w:r>
        <w:rPr>
          <w:rStyle w:val="FootnoteReference"/>
        </w:rPr>
        <w:footnoteReference w:id="20"/>
      </w:r>
      <w:r w:rsidR="00C26791">
        <w:t xml:space="preserve"> </w:t>
      </w:r>
      <w:r w:rsidR="00DE5DCE">
        <w:t xml:space="preserve">the </w:t>
      </w:r>
      <w:r w:rsidR="0045268A">
        <w:t xml:space="preserve">Bureau </w:t>
      </w:r>
      <w:r w:rsidR="00DE5DCE">
        <w:t xml:space="preserve">granted the 22 licenses </w:t>
      </w:r>
      <w:r w:rsidR="00CB53CA">
        <w:t xml:space="preserve">to three licensees </w:t>
      </w:r>
      <w:r w:rsidR="00DE5DCE">
        <w:t>for ten</w:t>
      </w:r>
      <w:r w:rsidR="00510474">
        <w:t>-</w:t>
      </w:r>
      <w:r w:rsidR="00DE5DCE">
        <w:t>year</w:t>
      </w:r>
      <w:r w:rsidR="00510474">
        <w:t xml:space="preserve"> terms</w:t>
      </w:r>
      <w:r w:rsidR="00DE5DCE">
        <w:t xml:space="preserve">.  The interim, </w:t>
      </w:r>
      <w:r w:rsidR="00600417">
        <w:t>five-year deadline</w:t>
      </w:r>
      <w:r w:rsidR="00C26791">
        <w:t xml:space="preserve"> for demonstrating substantial service </w:t>
      </w:r>
      <w:r w:rsidR="00DE5DCE">
        <w:t xml:space="preserve">was </w:t>
      </w:r>
      <w:r w:rsidR="00600417">
        <w:t>April 3, 2011</w:t>
      </w:r>
      <w:r w:rsidR="006A1D6C">
        <w:t xml:space="preserve">, </w:t>
      </w:r>
      <w:r w:rsidR="0045268A">
        <w:t>but the Bureau granted the three licensees’ requests for waiver and extension</w:t>
      </w:r>
      <w:r w:rsidR="0036771F">
        <w:t xml:space="preserve"> of this deadline</w:t>
      </w:r>
      <w:r w:rsidR="00986B6E">
        <w:t xml:space="preserve"> based on </w:t>
      </w:r>
      <w:r w:rsidR="009A5CB5">
        <w:t xml:space="preserve">its </w:t>
      </w:r>
      <w:r w:rsidR="00986B6E">
        <w:t>2010 finding</w:t>
      </w:r>
      <w:r w:rsidR="0045268A">
        <w:t xml:space="preserve">.  </w:t>
      </w:r>
      <w:r w:rsidR="008362FE">
        <w:t>In so doing, h</w:t>
      </w:r>
      <w:r w:rsidR="0045268A">
        <w:t>owever, the Bureau also made clear that each licensee “must demonstrate substantial service ten years from license grant (April 3, 2016), i.e., at license renewal.”</w:t>
      </w:r>
      <w:r w:rsidRPr="008362FE" w:rsidR="008362FE">
        <w:rPr>
          <w:rStyle w:val="FootnoteReference"/>
        </w:rPr>
        <w:t xml:space="preserve"> </w:t>
      </w:r>
      <w:bookmarkStart w:id="4" w:name="_Ref516235995"/>
      <w:r>
        <w:rPr>
          <w:rStyle w:val="FootnoteReference"/>
        </w:rPr>
        <w:footnoteReference w:id="21"/>
      </w:r>
      <w:bookmarkEnd w:id="4"/>
      <w:r w:rsidR="00355598">
        <w:t xml:space="preserve"> </w:t>
      </w:r>
    </w:p>
    <w:p w:rsidR="00232B5F" w:rsidP="008758D7">
      <w:pPr>
        <w:pStyle w:val="ParaNum"/>
        <w:widowControl/>
        <w:ind w:left="0"/>
        <w:jc w:val="left"/>
      </w:pPr>
      <w:r>
        <w:t xml:space="preserve">In </w:t>
      </w:r>
      <w:r w:rsidR="005C0061">
        <w:t>April 2016</w:t>
      </w:r>
      <w:r w:rsidR="00C26791">
        <w:t xml:space="preserve">, </w:t>
      </w:r>
      <w:r w:rsidR="005C3AFC">
        <w:t>the three Licensees filed</w:t>
      </w:r>
      <w:r w:rsidR="00CB3622">
        <w:t xml:space="preserve"> </w:t>
      </w:r>
      <w:r w:rsidR="00614850">
        <w:t xml:space="preserve">22 requests for extension of the </w:t>
      </w:r>
      <w:r w:rsidR="00366E8E">
        <w:t xml:space="preserve">MVDDS </w:t>
      </w:r>
      <w:r w:rsidR="00614850">
        <w:t>final, 10-year construction requirement</w:t>
      </w:r>
      <w:r w:rsidR="00295A14">
        <w:t xml:space="preserve"> under Section 1.946(e)(1) of the Commission’s Rules</w:t>
      </w:r>
      <w:r w:rsidR="00614850">
        <w:t xml:space="preserve"> and </w:t>
      </w:r>
      <w:r w:rsidR="005C3AFC">
        <w:t>22</w:t>
      </w:r>
      <w:r w:rsidR="00C26791">
        <w:t xml:space="preserve"> </w:t>
      </w:r>
      <w:r w:rsidR="00614850">
        <w:t xml:space="preserve">license </w:t>
      </w:r>
      <w:r w:rsidR="007F4AFC">
        <w:t>renewal applications</w:t>
      </w:r>
      <w:r w:rsidR="00614850">
        <w:t>.</w:t>
      </w:r>
      <w:r>
        <w:rPr>
          <w:rStyle w:val="FootnoteReference"/>
        </w:rPr>
        <w:footnoteReference w:id="22"/>
      </w:r>
      <w:r w:rsidR="007F4AFC">
        <w:t xml:space="preserve"> </w:t>
      </w:r>
      <w:r w:rsidR="00295A14">
        <w:t xml:space="preserve"> </w:t>
      </w:r>
      <w:r w:rsidR="00C21D77">
        <w:t>The</w:t>
      </w:r>
      <w:r w:rsidR="00C26791">
        <w:t xml:space="preserve"> Licensees ask for a five-year extension of time to construct, which would be </w:t>
      </w:r>
      <w:bookmarkStart w:id="5" w:name="_Ref267327284"/>
      <w:r w:rsidR="00B32E6D">
        <w:t>April 3, 2021.</w:t>
      </w:r>
      <w:bookmarkEnd w:id="5"/>
      <w:r w:rsidR="00C26791">
        <w:t xml:space="preserve">  </w:t>
      </w:r>
    </w:p>
    <w:p w:rsidR="00893D01">
      <w:pPr>
        <w:pStyle w:val="ParaNum"/>
        <w:widowControl/>
        <w:ind w:left="0"/>
        <w:jc w:val="left"/>
      </w:pPr>
      <w:r>
        <w:t xml:space="preserve">MDS Operations </w:t>
      </w:r>
      <w:r w:rsidR="005332A2">
        <w:t>holds a total of 80 MVDDS licen</w:t>
      </w:r>
      <w:r w:rsidR="00CB13FE">
        <w:t>s</w:t>
      </w:r>
      <w:r w:rsidR="005332A2">
        <w:t>ees: 60 licenses granted in 2004 with a 2014 final deadline that we previously extended until 2019</w:t>
      </w:r>
      <w:r w:rsidR="009F7842">
        <w:t>,</w:t>
      </w:r>
      <w:r w:rsidR="005332A2">
        <w:t xml:space="preserve"> and 20 licenses granted in 2006 with a 2016 final deadline</w:t>
      </w:r>
      <w:r w:rsidR="00243E03">
        <w:t xml:space="preserve">.  </w:t>
      </w:r>
      <w:r w:rsidR="005332A2">
        <w:t xml:space="preserve">MDS Operations </w:t>
      </w:r>
      <w:r w:rsidR="00243E03">
        <w:t xml:space="preserve">contends that </w:t>
      </w:r>
      <w:r w:rsidR="00A86BFB">
        <w:t xml:space="preserve">we should extend </w:t>
      </w:r>
      <w:r w:rsidR="00EB3C7D">
        <w:t xml:space="preserve">the 2016 deadline applicable to 20 of its licenses </w:t>
      </w:r>
      <w:r w:rsidR="00A86BFB">
        <w:t xml:space="preserve">based on the </w:t>
      </w:r>
      <w:r w:rsidR="00510474">
        <w:t xml:space="preserve">showing that it made in 2014 </w:t>
      </w:r>
      <w:r w:rsidR="0063523D">
        <w:t xml:space="preserve">for </w:t>
      </w:r>
      <w:r w:rsidR="00DE5329">
        <w:t xml:space="preserve">its </w:t>
      </w:r>
      <w:r w:rsidR="00A86BFB">
        <w:t xml:space="preserve">60 licenses with </w:t>
      </w:r>
      <w:r w:rsidR="00DE5329">
        <w:t xml:space="preserve">the </w:t>
      </w:r>
      <w:r w:rsidR="00A86BFB">
        <w:t>2014 final deadline.</w:t>
      </w:r>
      <w:r>
        <w:rPr>
          <w:rStyle w:val="FootnoteReference"/>
        </w:rPr>
        <w:footnoteReference w:id="23"/>
      </w:r>
      <w:r>
        <w:t xml:space="preserve">  Braunston Spectrum LLC and Montana Internet Corporation</w:t>
      </w:r>
      <w:r w:rsidR="0063523D">
        <w:t xml:space="preserve"> similarly note that we extended MVDDS final deadlines in 2014 and </w:t>
      </w:r>
      <w:r w:rsidR="00C26791">
        <w:t>maintain that</w:t>
      </w:r>
      <w:r w:rsidR="00794F66">
        <w:t xml:space="preserve"> </w:t>
      </w:r>
      <w:r w:rsidR="006160A4">
        <w:t>“</w:t>
      </w:r>
      <w:r w:rsidR="00794F66">
        <w:t>providing substant</w:t>
      </w:r>
      <w:r w:rsidR="008246E8">
        <w:t xml:space="preserve">ial service is not practical at </w:t>
      </w:r>
      <w:r w:rsidR="00794F66">
        <w:t>present</w:t>
      </w:r>
      <w:r w:rsidR="006160A4">
        <w:t>”</w:t>
      </w:r>
      <w:r w:rsidR="00794F66">
        <w:t xml:space="preserve"> because</w:t>
      </w:r>
      <w:r w:rsidR="00C26791">
        <w:t xml:space="preserve"> </w:t>
      </w:r>
      <w:r w:rsidR="0025427E">
        <w:t xml:space="preserve">of the unavailability of reasonable priced commercially deployable equipment and </w:t>
      </w:r>
      <w:r w:rsidR="00794F66">
        <w:t>because of unavoidable technical constraints beyond their control.</w:t>
      </w:r>
      <w:r>
        <w:rPr>
          <w:rStyle w:val="FootnoteReference"/>
        </w:rPr>
        <w:footnoteReference w:id="24"/>
      </w:r>
      <w:r w:rsidR="00794F66">
        <w:t xml:space="preserve"> </w:t>
      </w:r>
      <w:r>
        <w:t xml:space="preserve"> There were no oppositions filed.</w:t>
      </w:r>
    </w:p>
    <w:p w:rsidR="00C26791">
      <w:pPr>
        <w:pStyle w:val="Heading1"/>
        <w:widowControl/>
        <w:jc w:val="left"/>
        <w:rPr>
          <w:bCs/>
        </w:rPr>
      </w:pPr>
      <w:r>
        <w:rPr>
          <w:bCs/>
        </w:rPr>
        <w:t>discussion</w:t>
      </w:r>
    </w:p>
    <w:p w:rsidR="006E5C14" w:rsidRPr="006E5C14" w:rsidP="0079399E">
      <w:pPr>
        <w:pStyle w:val="ParaNum"/>
        <w:widowControl/>
        <w:ind w:left="0"/>
        <w:jc w:val="left"/>
        <w:rPr>
          <w:szCs w:val="22"/>
        </w:rPr>
      </w:pPr>
      <w:r w:rsidRPr="00911E27">
        <w:t>We find that</w:t>
      </w:r>
      <w:r>
        <w:t xml:space="preserve"> </w:t>
      </w:r>
      <w:r w:rsidR="00FC25F2">
        <w:t xml:space="preserve">the </w:t>
      </w:r>
      <w:r>
        <w:t>Licensees have</w:t>
      </w:r>
      <w:r w:rsidRPr="00911E27">
        <w:t xml:space="preserve"> not justified grant of an extension of time, or waiver of the construction deadline, for </w:t>
      </w:r>
      <w:r>
        <w:t xml:space="preserve">the </w:t>
      </w:r>
      <w:r w:rsidR="00FC25F2">
        <w:t xml:space="preserve">22 </w:t>
      </w:r>
      <w:r w:rsidR="0058759F">
        <w:t>L</w:t>
      </w:r>
      <w:r>
        <w:t>icenses</w:t>
      </w:r>
      <w:r w:rsidRPr="00911E27">
        <w:t xml:space="preserve">. </w:t>
      </w:r>
      <w:r w:rsidR="006160A4">
        <w:t xml:space="preserve"> </w:t>
      </w:r>
      <w:r w:rsidR="00B14AE1">
        <w:t>W</w:t>
      </w:r>
      <w:r w:rsidRPr="00911E27">
        <w:t xml:space="preserve">ithout such extension or waiver, </w:t>
      </w:r>
      <w:r>
        <w:t xml:space="preserve">the </w:t>
      </w:r>
      <w:r w:rsidR="008758D7">
        <w:t xml:space="preserve">22 </w:t>
      </w:r>
      <w:r>
        <w:t>L</w:t>
      </w:r>
      <w:r w:rsidRPr="00911E27">
        <w:t xml:space="preserve">icenses automatically terminated, by operation of Sections 1.946(c) and 1.955(a)(2) of the Commission’s Rules, as of </w:t>
      </w:r>
      <w:r>
        <w:t>April 3</w:t>
      </w:r>
      <w:r w:rsidRPr="00911E27">
        <w:t xml:space="preserve">, </w:t>
      </w:r>
      <w:r>
        <w:t xml:space="preserve">2016.  </w:t>
      </w:r>
      <w:r w:rsidRPr="00911E27">
        <w:t xml:space="preserve">We </w:t>
      </w:r>
      <w:r w:rsidR="00B14AE1">
        <w:t xml:space="preserve">explain </w:t>
      </w:r>
      <w:r w:rsidRPr="00911E27">
        <w:t>these findings in detail below.</w:t>
      </w:r>
    </w:p>
    <w:p w:rsidR="006E5C14" w:rsidRPr="006E5C14" w:rsidP="0079399E">
      <w:pPr>
        <w:pStyle w:val="ParaNum"/>
        <w:widowControl/>
        <w:ind w:left="0"/>
        <w:jc w:val="left"/>
        <w:rPr>
          <w:szCs w:val="22"/>
        </w:rPr>
      </w:pPr>
      <w:r>
        <w:t>Licensees may request a waiver of the performance requirement under Section 1.925(b)(3) or Section 1.3 of the Commission’s rules, or an extension pursuant to Section 1.946(e).</w:t>
      </w:r>
      <w:r>
        <w:rPr>
          <w:vertAlign w:val="superscript"/>
        </w:rPr>
        <w:footnoteReference w:id="25"/>
      </w:r>
      <w:r w:rsidRPr="006E5C14">
        <w:rPr>
          <w:vertAlign w:val="superscript"/>
        </w:rPr>
        <w:t xml:space="preserve"> </w:t>
      </w:r>
      <w:r>
        <w:t xml:space="preserve"> Section 1.925(b)(3) of the Commission’s rules states that the Commission may grant a waiver when either “(</w:t>
      </w:r>
      <w:r>
        <w:t>i</w:t>
      </w:r>
      <w:r>
        <w:t>)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6"/>
      </w:r>
      <w:r>
        <w:t xml:space="preserve">  </w:t>
      </w:r>
    </w:p>
    <w:p w:rsidR="006E5C14" w:rsidRPr="00DE5329" w:rsidP="00DE5329">
      <w:pPr>
        <w:pStyle w:val="ParaNum"/>
        <w:widowControl/>
        <w:ind w:left="0"/>
        <w:jc w:val="left"/>
        <w:rPr>
          <w:szCs w:val="22"/>
        </w:rPr>
      </w:pPr>
      <w:r>
        <w:t>As with other Commission rules, requests to waive a performance requirement must “meet a high hurdle at the starting gate.”</w:t>
      </w:r>
      <w:r>
        <w:rPr>
          <w:rStyle w:val="FootnoteReference"/>
        </w:rPr>
        <w:footnoteReference w:id="27"/>
      </w:r>
      <w:r>
        <w:t xml:space="preserve">  We note that the waiver standard must be applied in light of Section 309(j) of the Communications Act, which provides that the Commission shall include performance requirements to ensure intensive use of valuable spectrum and to prevent the stockpiling and warehousing of spectrum by licensees.</w:t>
      </w:r>
      <w:r>
        <w:rPr>
          <w:rStyle w:val="FootnoteReference"/>
        </w:rPr>
        <w:footnoteReference w:id="28"/>
      </w:r>
      <w:r>
        <w:t xml:space="preserve">  While each case must be determined in light of its specific circumstances, waivers of performance requirements are granted infrequently and are only appropriate when consistent with t</w:t>
      </w:r>
      <w:r w:rsidRPr="001D27AD">
        <w:t>he statute and the public interest.</w:t>
      </w:r>
      <w:r>
        <w:rPr>
          <w:rStyle w:val="FootnoteReference"/>
        </w:rPr>
        <w:footnoteReference w:id="29"/>
      </w:r>
      <w:r w:rsidRPr="001D27AD">
        <w:t xml:space="preserve">  The Commission also may waive its rules for good cause shown</w:t>
      </w:r>
      <w:r>
        <w:t xml:space="preserve"> under Section 1.3 of its rules</w:t>
      </w:r>
      <w:r w:rsidRPr="001D27AD">
        <w:t>.</w:t>
      </w:r>
      <w:r>
        <w:rPr>
          <w:rStyle w:val="FootnoteReference"/>
        </w:rPr>
        <w:footnoteReference w:id="30"/>
      </w:r>
      <w:r w:rsidRPr="001D27AD">
        <w:t xml:space="preserve">  Alternatively, the Commission </w:t>
      </w:r>
      <w:r>
        <w:t xml:space="preserve">may </w:t>
      </w:r>
      <w:r w:rsidRPr="001D27AD">
        <w:t xml:space="preserve">grant a licensee an </w:t>
      </w:r>
      <w:r w:rsidRPr="001D27AD">
        <w:t xml:space="preserve">extension of time </w:t>
      </w:r>
      <w:r w:rsidRPr="00C34ACE">
        <w:t xml:space="preserve">pursuant to Section 1.946(e), but only </w:t>
      </w:r>
      <w:r>
        <w:t>“</w:t>
      </w:r>
      <w:r w:rsidRPr="00C34ACE">
        <w:t>if the failure to commence service is due to causes beyond its control.”</w:t>
      </w:r>
      <w:r>
        <w:rPr>
          <w:rStyle w:val="FootnoteReference"/>
        </w:rPr>
        <w:footnoteReference w:id="31"/>
      </w:r>
      <w:r w:rsidRPr="00C34ACE">
        <w:t xml:space="preserve">  </w:t>
      </w:r>
      <w:r>
        <w:t xml:space="preserve">We further </w:t>
      </w:r>
      <w:r w:rsidRPr="00B54FC7">
        <w:t xml:space="preserve">observe that </w:t>
      </w:r>
      <w:r w:rsidRPr="00155910">
        <w:rPr>
          <w:color w:val="000000"/>
        </w:rPr>
        <w:t>it is a licensee’s responsibility to exercise due diligence to confirm that it can satisfy performance requirements in advance of acquiring spectrum, a fact of which we routinely remind licensees prior to auctioning licenses.</w:t>
      </w:r>
      <w:bookmarkStart w:id="6" w:name="FN_FN45_"/>
      <w:bookmarkEnd w:id="6"/>
      <w:r>
        <w:rPr>
          <w:rStyle w:val="FootnoteReference"/>
        </w:rPr>
        <w:footnoteReference w:id="32"/>
      </w:r>
    </w:p>
    <w:p w:rsidR="00155910" w:rsidP="00D30289">
      <w:pPr>
        <w:pStyle w:val="ParaNum"/>
        <w:widowControl/>
        <w:ind w:left="0"/>
        <w:jc w:val="left"/>
        <w:rPr>
          <w:color w:val="000000"/>
        </w:rPr>
      </w:pPr>
      <w:r>
        <w:t xml:space="preserve">The </w:t>
      </w:r>
      <w:r w:rsidR="006F1C9C">
        <w:t>Licensees were</w:t>
      </w:r>
      <w:r w:rsidRPr="00294EC2" w:rsidR="006E5C14">
        <w:t xml:space="preserve"> on notice of the obligation to build out </w:t>
      </w:r>
      <w:r w:rsidR="00E83FB8">
        <w:t>their respective</w:t>
      </w:r>
      <w:r w:rsidRPr="00294EC2" w:rsidR="00E83FB8">
        <w:t xml:space="preserve"> </w:t>
      </w:r>
      <w:r w:rsidRPr="00294EC2" w:rsidR="006E5C14">
        <w:t xml:space="preserve">markets by the end of </w:t>
      </w:r>
      <w:r w:rsidR="00E83FB8">
        <w:t>their respective</w:t>
      </w:r>
      <w:r w:rsidRPr="00294EC2" w:rsidR="00E83FB8">
        <w:t xml:space="preserve"> </w:t>
      </w:r>
      <w:r w:rsidRPr="00294EC2" w:rsidR="006E5C14">
        <w:t xml:space="preserve">license terms and </w:t>
      </w:r>
      <w:r w:rsidR="008453C1">
        <w:t xml:space="preserve">of </w:t>
      </w:r>
      <w:r w:rsidRPr="00294EC2" w:rsidR="006E5C14">
        <w:t xml:space="preserve">the technical requirements applicable to the </w:t>
      </w:r>
      <w:r w:rsidR="006F1C9C">
        <w:t>MVDDS</w:t>
      </w:r>
      <w:r w:rsidRPr="00294EC2" w:rsidR="006E5C14">
        <w:t xml:space="preserve"> before </w:t>
      </w:r>
      <w:r w:rsidR="006F1C9C">
        <w:t>they</w:t>
      </w:r>
      <w:r w:rsidRPr="00294EC2" w:rsidR="006E5C14">
        <w:t xml:space="preserve"> acquired </w:t>
      </w:r>
      <w:r w:rsidR="006F1C9C">
        <w:t xml:space="preserve">their </w:t>
      </w:r>
      <w:r w:rsidRPr="00294EC2" w:rsidR="006E5C14">
        <w:t xml:space="preserve">licenses.  </w:t>
      </w:r>
      <w:r w:rsidRPr="00D42474" w:rsidR="006E5C14">
        <w:t xml:space="preserve">As a general matter, </w:t>
      </w:r>
      <w:r w:rsidRPr="006E5C14" w:rsidR="006E5C14">
        <w:rPr>
          <w:color w:val="000000"/>
        </w:rPr>
        <w:t xml:space="preserve">it is a licensee’s responsibility to conduct adequate due diligence prior to acquisition of licenses:  </w:t>
      </w:r>
      <w:r w:rsidRPr="00294EC2" w:rsidR="006E5C14">
        <w:t>potential licensees are required to familiarize themselves with all applicable rules (including any technical restrictions) with respect to deployment of the relevant spectrum, to assure that they can timely construct as specified per service rules</w:t>
      </w:r>
      <w:r w:rsidRPr="006E5C14" w:rsidR="006E5C14">
        <w:rPr>
          <w:color w:val="000000"/>
        </w:rPr>
        <w:t>, and to confirm that the spectrum is suitable for the licensee’s business plans and needs.</w:t>
      </w:r>
      <w:r w:rsidRPr="006E5C14" w:rsidR="006E5C14">
        <w:rPr>
          <w:color w:val="000000"/>
          <w:sz w:val="20"/>
        </w:rPr>
        <w:t xml:space="preserve">  </w:t>
      </w:r>
      <w:r w:rsidRPr="006E5C14" w:rsidR="006E5C14">
        <w:rPr>
          <w:color w:val="000000"/>
        </w:rPr>
        <w:t xml:space="preserve">The Commission’s rules do not contemplate </w:t>
      </w:r>
      <w:r w:rsidRPr="006E5C14" w:rsidR="00B14AE1">
        <w:rPr>
          <w:color w:val="000000"/>
        </w:rPr>
        <w:t xml:space="preserve">generally </w:t>
      </w:r>
      <w:r w:rsidRPr="006E5C14" w:rsidR="006E5C14">
        <w:rPr>
          <w:color w:val="000000"/>
        </w:rPr>
        <w:t xml:space="preserve">waiving rules (including those involving deadlines) for types of considerations that licensees should </w:t>
      </w:r>
      <w:r w:rsidRPr="006E5C14" w:rsidR="006E5C14">
        <w:rPr>
          <w:color w:val="000000"/>
        </w:rPr>
        <w:t>take into account</w:t>
      </w:r>
      <w:r w:rsidRPr="006E5C14" w:rsidR="006E5C14">
        <w:rPr>
          <w:color w:val="000000"/>
        </w:rPr>
        <w:t xml:space="preserve"> as part of this type of due diligence. </w:t>
      </w:r>
      <w:r w:rsidR="006E5C14">
        <w:t xml:space="preserve"> Indeed, the Commission has repeatedly reminded prospective licensees that each licensee has an obligation </w:t>
      </w:r>
      <w:r w:rsidRPr="00294EC2" w:rsidR="006E5C14">
        <w:t xml:space="preserve">to conduct adequate research </w:t>
      </w:r>
      <w:r w:rsidR="006E5C14">
        <w:t xml:space="preserve">in order to </w:t>
      </w:r>
      <w:r w:rsidRPr="00294EC2" w:rsidR="006E5C14">
        <w:t xml:space="preserve">assess whether </w:t>
      </w:r>
      <w:r w:rsidR="006E5C14">
        <w:t xml:space="preserve">it </w:t>
      </w:r>
      <w:r w:rsidRPr="00294EC2" w:rsidR="006E5C14">
        <w:t>has the ability to fully comply with all applicable technical and legal requirements</w:t>
      </w:r>
      <w:r w:rsidR="006E5C14">
        <w:t>, and the wherewithal to shoulder the inherent risks of taking on the responsibilities of a licensee</w:t>
      </w:r>
      <w:r w:rsidRPr="00294EC2" w:rsidR="006E5C14">
        <w:t>.</w:t>
      </w:r>
      <w:r>
        <w:rPr>
          <w:rStyle w:val="FootnoteReference"/>
          <w:szCs w:val="22"/>
        </w:rPr>
        <w:footnoteReference w:id="33"/>
      </w:r>
      <w:r w:rsidRPr="00294EC2" w:rsidR="006E5C14">
        <w:t xml:space="preserve">  </w:t>
      </w:r>
      <w:r w:rsidR="006E5C14">
        <w:t xml:space="preserve">With respect to </w:t>
      </w:r>
      <w:r w:rsidR="006F1C9C">
        <w:t>MVDDS</w:t>
      </w:r>
      <w:r w:rsidR="006E5C14">
        <w:t xml:space="preserve"> licenses specifically, the Bureau, u</w:t>
      </w:r>
      <w:r w:rsidRPr="00294EC2" w:rsidR="006E5C14">
        <w:t>pon establishing the auction bidding procedures for this spectrum in 200</w:t>
      </w:r>
      <w:r w:rsidR="008F0CB0">
        <w:t>5</w:t>
      </w:r>
      <w:r w:rsidRPr="00294EC2" w:rsidR="006E5C14">
        <w:t xml:space="preserve">, cautioned potential applicants that Commission rules as well as incumbent operations may affect how </w:t>
      </w:r>
      <w:r w:rsidR="006F1C9C">
        <w:t xml:space="preserve">MVDDS </w:t>
      </w:r>
      <w:r w:rsidRPr="00294EC2" w:rsidR="006E5C14">
        <w:t>licensees use the spectrum, and directed bidders to become familiar with any applicable rules, orders, pending proceedings and incumbent operations prior to participating in the auction.</w:t>
      </w:r>
      <w:r>
        <w:rPr>
          <w:color w:val="000000"/>
          <w:vertAlign w:val="superscript"/>
        </w:rPr>
        <w:footnoteReference w:id="34"/>
      </w:r>
      <w:r w:rsidRPr="00294EC2" w:rsidR="006E5C14">
        <w:t xml:space="preserve">  </w:t>
      </w:r>
    </w:p>
    <w:p w:rsidR="00504EA3" w:rsidP="00AA2C75">
      <w:pPr>
        <w:pStyle w:val="ParaNum"/>
        <w:widowControl/>
        <w:tabs>
          <w:tab w:val="clear" w:pos="1530"/>
        </w:tabs>
        <w:ind w:left="0"/>
        <w:jc w:val="left"/>
      </w:pPr>
      <w:r>
        <w:t>In addition to</w:t>
      </w:r>
      <w:r w:rsidR="00864D0D">
        <w:t xml:space="preserve"> the </w:t>
      </w:r>
      <w:r w:rsidR="00DF4386">
        <w:t xml:space="preserve">notice provided by the rules </w:t>
      </w:r>
      <w:r w:rsidR="00863021">
        <w:t xml:space="preserve">themselves, as well as the auction notices, the Bureau specifically cautioned that “Licensee must demonstrate substantial service ten years from license grant (April 3, 2016), i.e., at license renewal” when it extended the </w:t>
      </w:r>
      <w:r w:rsidR="004A61B2">
        <w:t>April 3, 2011, interim deadline for each of the 22 licenses</w:t>
      </w:r>
      <w:r w:rsidR="00863021">
        <w:t>.</w:t>
      </w:r>
      <w:r>
        <w:rPr>
          <w:vertAlign w:val="superscript"/>
        </w:rPr>
        <w:footnoteReference w:id="35"/>
      </w:r>
      <w:r w:rsidRPr="00AA2C75">
        <w:rPr>
          <w:vertAlign w:val="superscript"/>
        </w:rPr>
        <w:t xml:space="preserve"> </w:t>
      </w:r>
      <w:r>
        <w:t xml:space="preserve"> </w:t>
      </w:r>
    </w:p>
    <w:p w:rsidR="002050F3" w:rsidP="002050F3">
      <w:pPr>
        <w:pStyle w:val="ParaNum"/>
        <w:widowControl/>
        <w:tabs>
          <w:tab w:val="clear" w:pos="1530"/>
        </w:tabs>
        <w:ind w:left="0"/>
        <w:jc w:val="left"/>
      </w:pPr>
      <w:r>
        <w:t xml:space="preserve">In </w:t>
      </w:r>
      <w:r w:rsidR="008453C1">
        <w:t>considering</w:t>
      </w:r>
      <w:r>
        <w:t xml:space="preserve"> </w:t>
      </w:r>
      <w:r w:rsidR="00A14C7C">
        <w:t>each e</w:t>
      </w:r>
      <w:r>
        <w:t>xt</w:t>
      </w:r>
      <w:r w:rsidR="00DD6486">
        <w:t xml:space="preserve">ension </w:t>
      </w:r>
      <w:r w:rsidR="00A14C7C">
        <w:t>r</w:t>
      </w:r>
      <w:r w:rsidR="00DD6486">
        <w:t>equest,</w:t>
      </w:r>
      <w:r>
        <w:t xml:space="preserve"> </w:t>
      </w:r>
      <w:r w:rsidR="004A5D9F">
        <w:t>we evaluate the licensee</w:t>
      </w:r>
      <w:r w:rsidR="00A14C7C">
        <w:t xml:space="preserve">’s </w:t>
      </w:r>
      <w:r w:rsidR="004A5D9F">
        <w:t>efforts since the grant of the prior extension request</w:t>
      </w:r>
      <w:r w:rsidR="00AA2C75">
        <w:t xml:space="preserve"> </w:t>
      </w:r>
      <w:r w:rsidR="00155910">
        <w:t>in 2011</w:t>
      </w:r>
      <w:r w:rsidR="00F073A6">
        <w:t>.</w:t>
      </w:r>
      <w:r>
        <w:rPr>
          <w:vertAlign w:val="superscript"/>
        </w:rPr>
        <w:footnoteReference w:id="36"/>
      </w:r>
      <w:r w:rsidRPr="00740822" w:rsidR="004A5D9F">
        <w:rPr>
          <w:vertAlign w:val="superscript"/>
        </w:rPr>
        <w:t xml:space="preserve"> </w:t>
      </w:r>
      <w:r w:rsidR="004A5D9F">
        <w:t xml:space="preserve"> </w:t>
      </w:r>
      <w:r w:rsidR="00F073A6">
        <w:t xml:space="preserve"> Based on the record of each of the captioned extension requests, we find that t</w:t>
      </w:r>
      <w:r w:rsidR="004A5D9F">
        <w:t xml:space="preserve">he </w:t>
      </w:r>
      <w:r w:rsidR="00F073A6">
        <w:t xml:space="preserve">Licensees have offered </w:t>
      </w:r>
      <w:r w:rsidR="004A5D9F">
        <w:t xml:space="preserve">no evidence of </w:t>
      </w:r>
      <w:r w:rsidR="00F073A6">
        <w:t xml:space="preserve">any </w:t>
      </w:r>
      <w:r w:rsidR="004A5D9F">
        <w:t xml:space="preserve">efforts </w:t>
      </w:r>
      <w:r w:rsidR="00F073A6">
        <w:t xml:space="preserve">to meet their </w:t>
      </w:r>
      <w:r w:rsidR="00B35CDE">
        <w:t xml:space="preserve">April 3, 2016, </w:t>
      </w:r>
      <w:r w:rsidR="00F073A6">
        <w:t xml:space="preserve">final </w:t>
      </w:r>
      <w:r w:rsidR="00B35CDE">
        <w:t xml:space="preserve">deadline—either since 2011 or since we last granted extensions for </w:t>
      </w:r>
      <w:r w:rsidR="00B35CDE">
        <w:t>MVDDS</w:t>
      </w:r>
      <w:r w:rsidR="00B35CDE">
        <w:t xml:space="preserve"> licenses</w:t>
      </w:r>
      <w:r w:rsidR="0091122F">
        <w:t xml:space="preserve"> based on </w:t>
      </w:r>
      <w:r w:rsidR="005413D3">
        <w:t xml:space="preserve">filings in </w:t>
      </w:r>
      <w:r w:rsidR="0091122F">
        <w:t xml:space="preserve">2014.  </w:t>
      </w:r>
      <w:r w:rsidR="00E916C7">
        <w:t xml:space="preserve">Accordingly, we are </w:t>
      </w:r>
      <w:r w:rsidR="00045EB1">
        <w:t>not persuaded that</w:t>
      </w:r>
      <w:r w:rsidR="009827FE">
        <w:t xml:space="preserve"> the </w:t>
      </w:r>
      <w:r w:rsidR="00E916C7">
        <w:t>Licensees would be able to meet an extended final deadline</w:t>
      </w:r>
      <w:r w:rsidR="008A5E6D">
        <w:t xml:space="preserve"> and we find no basis for concluding that the Licensees have </w:t>
      </w:r>
      <w:r w:rsidR="007844A8">
        <w:t>met the waiver standard under section 1.925 of the Commission’s rules.</w:t>
      </w:r>
      <w:r>
        <w:rPr>
          <w:rStyle w:val="FootnoteReference"/>
        </w:rPr>
        <w:footnoteReference w:id="37"/>
      </w:r>
      <w:r w:rsidR="007844A8">
        <w:t xml:space="preserve">  </w:t>
      </w:r>
      <w:r>
        <w:t xml:space="preserve">Additionally, apart from their general reliance on findings made regarding MVDDS in 2014, the Licensees offer no evidence to support their assertions that failure to meet their 2016 deadline was caused by circumstances beyond their control.  Under these circumstances, we find that the Licensees have not met their burden under section 1.946(e).  </w:t>
      </w:r>
    </w:p>
    <w:p w:rsidR="00C26791">
      <w:pPr>
        <w:pStyle w:val="Heading1"/>
        <w:widowControl/>
        <w:jc w:val="left"/>
      </w:pPr>
      <w:r>
        <w:t>conclusion</w:t>
      </w:r>
    </w:p>
    <w:p w:rsidR="00C26791">
      <w:pPr>
        <w:pStyle w:val="ParaNum"/>
        <w:widowControl/>
        <w:ind w:left="0"/>
        <w:jc w:val="left"/>
      </w:pPr>
      <w:r>
        <w:t>The Licensees have failed to justify a</w:t>
      </w:r>
      <w:r w:rsidR="00A11888">
        <w:t xml:space="preserve"> waiver or</w:t>
      </w:r>
      <w:r>
        <w:t xml:space="preserve"> extension of time to meet the </w:t>
      </w:r>
      <w:r w:rsidR="008A5E6D">
        <w:t xml:space="preserve">April 3, 2016, </w:t>
      </w:r>
      <w:r>
        <w:t xml:space="preserve">construction requirement applicable to </w:t>
      </w:r>
      <w:r w:rsidR="008A5E6D">
        <w:t xml:space="preserve">22 </w:t>
      </w:r>
      <w:r>
        <w:t>MVDDS licensees</w:t>
      </w:r>
      <w:r w:rsidR="008316A6">
        <w:t xml:space="preserve"> </w:t>
      </w:r>
      <w:r w:rsidR="008A5E6D">
        <w:t xml:space="preserve">under </w:t>
      </w:r>
      <w:r w:rsidR="008316A6">
        <w:t xml:space="preserve">Section 101.1413 of the Commission’s Rules. </w:t>
      </w:r>
      <w:r w:rsidR="008A5E6D">
        <w:t xml:space="preserve"> </w:t>
      </w:r>
      <w:r w:rsidR="008316A6">
        <w:t>We</w:t>
      </w:r>
      <w:r>
        <w:t xml:space="preserve"> </w:t>
      </w:r>
      <w:r w:rsidR="008316A6">
        <w:t xml:space="preserve">therefore deny the </w:t>
      </w:r>
      <w:r w:rsidR="008A5E6D">
        <w:t xml:space="preserve">above-captioned </w:t>
      </w:r>
      <w:r w:rsidR="008316A6">
        <w:t xml:space="preserve">Extension Applications and declare that the </w:t>
      </w:r>
      <w:r w:rsidR="008A5E6D">
        <w:t>22 l</w:t>
      </w:r>
      <w:r w:rsidR="008316A6">
        <w:t>icenses automatically terminated on April 3, 2016.</w:t>
      </w:r>
      <w:r>
        <w:t xml:space="preserve">  </w:t>
      </w:r>
    </w:p>
    <w:p w:rsidR="00C26791">
      <w:pPr>
        <w:pStyle w:val="Heading1"/>
        <w:widowControl/>
        <w:jc w:val="left"/>
        <w:rPr>
          <w:bCs/>
        </w:rPr>
      </w:pPr>
      <w:r>
        <w:rPr>
          <w:bCs/>
        </w:rPr>
        <w:t>ordering clauses</w:t>
      </w:r>
    </w:p>
    <w:p w:rsidR="008316A6" w:rsidP="008316A6">
      <w:pPr>
        <w:pStyle w:val="ParaNum"/>
        <w:widowControl/>
        <w:tabs>
          <w:tab w:val="clear" w:pos="1530"/>
        </w:tabs>
        <w:ind w:left="0"/>
        <w:jc w:val="left"/>
      </w:pPr>
      <w:r>
        <w:t>Accordingly, IT IS ORDERED that, pursuant to Sections 4(</w:t>
      </w:r>
      <w:r>
        <w:t>i</w:t>
      </w:r>
      <w:r>
        <w:t>) and 309</w:t>
      </w:r>
      <w:r w:rsidRPr="008316A6">
        <w:t xml:space="preserve"> </w:t>
      </w:r>
      <w:r>
        <w:t>of the Communications Act of 1934, as amended, 47 U.S.C. §§ 154(</w:t>
      </w:r>
      <w:r>
        <w:t>i</w:t>
      </w:r>
      <w:r>
        <w:t xml:space="preserve">), 309, and Sections 1.925 and 1.946 of the Commission’s Rules, 47 C.F.R. §§ 1.925, 1.946, that the above-captioned </w:t>
      </w:r>
      <w:r w:rsidR="008A5E6D">
        <w:t xml:space="preserve">22 </w:t>
      </w:r>
      <w:r>
        <w:t>request</w:t>
      </w:r>
      <w:r w:rsidR="008A5E6D">
        <w:t>s</w:t>
      </w:r>
      <w:r>
        <w:t xml:space="preserve"> for waiver </w:t>
      </w:r>
      <w:r w:rsidR="008A5E6D">
        <w:t xml:space="preserve">or </w:t>
      </w:r>
      <w:r>
        <w:t>extension of time to demonstrate substantial service ARE DENIED.</w:t>
      </w:r>
    </w:p>
    <w:p w:rsidR="008316A6" w:rsidP="008316A6">
      <w:pPr>
        <w:pStyle w:val="ParaNum"/>
        <w:widowControl/>
        <w:tabs>
          <w:tab w:val="clear" w:pos="1530"/>
        </w:tabs>
        <w:ind w:left="0"/>
        <w:jc w:val="left"/>
      </w:pPr>
      <w:r>
        <w:t>IT IS FURTHER ORDERED that, pursuant to Sections 4(</w:t>
      </w:r>
      <w:r>
        <w:t>i</w:t>
      </w:r>
      <w:r>
        <w:t>) and 309</w:t>
      </w:r>
      <w:r>
        <w:rPr>
          <w:b/>
        </w:rPr>
        <w:t xml:space="preserve"> </w:t>
      </w:r>
      <w:r>
        <w:t>of the Communications Act of 1934, as amended, 47 U.S.C. §§ 154(</w:t>
      </w:r>
      <w:r>
        <w:t>i</w:t>
      </w:r>
      <w:r>
        <w:t xml:space="preserve">), 309, and Sections 1.925 and 1.946 of the Commission’s Rules, 47 C.F.R. §§ 1.925, 1.946, that the above-captioned applications for renewal of </w:t>
      </w:r>
      <w:r w:rsidR="00D275AC">
        <w:t xml:space="preserve">22 </w:t>
      </w:r>
      <w:r>
        <w:t>licenses</w:t>
      </w:r>
      <w:r w:rsidR="000114F1">
        <w:t xml:space="preserve"> </w:t>
      </w:r>
      <w:r>
        <w:t>ARE DISMISSED.</w:t>
      </w:r>
      <w:r w:rsidR="000114F1">
        <w:t xml:space="preserve">  </w:t>
      </w:r>
    </w:p>
    <w:p w:rsidR="008316A6" w:rsidP="008316A6">
      <w:pPr>
        <w:pStyle w:val="ParaNum"/>
        <w:widowControl/>
        <w:tabs>
          <w:tab w:val="clear" w:pos="1530"/>
        </w:tabs>
        <w:ind w:left="0"/>
        <w:jc w:val="left"/>
      </w:pPr>
      <w:r>
        <w:t>IT IS FURTHER ORDERED that, pursuant to Sections 4(</w:t>
      </w:r>
      <w:r>
        <w:t>i</w:t>
      </w:r>
      <w:r>
        <w:t>) and 303(r) of the Communications Act, as amended, 47 U.S.C. §§ 154(</w:t>
      </w:r>
      <w:r>
        <w:t>i</w:t>
      </w:r>
      <w:r>
        <w:t xml:space="preserve">), 303(r), and Section 1.955(a)(2) of the Commission’s rules, 47 C.F.R. § 1.955(a)(2), that the </w:t>
      </w:r>
      <w:r w:rsidR="000114F1">
        <w:t xml:space="preserve">22 </w:t>
      </w:r>
      <w:r>
        <w:t xml:space="preserve">licenses </w:t>
      </w:r>
      <w:r w:rsidR="000114F1">
        <w:t xml:space="preserve">of </w:t>
      </w:r>
      <w:r>
        <w:t>MDS Operations, Inc.</w:t>
      </w:r>
      <w:r w:rsidR="000114F1">
        <w:t xml:space="preserve"> (20 licenses)</w:t>
      </w:r>
      <w:r>
        <w:t xml:space="preserve">, </w:t>
      </w:r>
      <w:r w:rsidR="000114F1">
        <w:t>Mo</w:t>
      </w:r>
      <w:r>
        <w:t>ntana Internet Corporation</w:t>
      </w:r>
      <w:r w:rsidR="000114F1">
        <w:t xml:space="preserve"> (1 license),</w:t>
      </w:r>
      <w:r>
        <w:t xml:space="preserve"> and Braunston Spectrum LLC </w:t>
      </w:r>
      <w:r w:rsidR="000114F1">
        <w:t xml:space="preserve">(1 license) </w:t>
      </w:r>
      <w:r>
        <w:t xml:space="preserve">listed in </w:t>
      </w:r>
      <w:r w:rsidR="000114F1">
        <w:t xml:space="preserve">note </w:t>
      </w:r>
      <w:r>
        <w:fldChar w:fldCharType="begin"/>
      </w:r>
      <w:r>
        <w:instrText xml:space="preserve"> NOTEREF _Ref516227427 </w:instrText>
      </w:r>
      <w:r>
        <w:fldChar w:fldCharType="separate"/>
      </w:r>
      <w:r w:rsidR="001E761A">
        <w:t>2</w:t>
      </w:r>
      <w:r w:rsidR="001E761A">
        <w:fldChar w:fldCharType="end"/>
      </w:r>
      <w:r w:rsidR="000114F1">
        <w:t xml:space="preserve">, </w:t>
      </w:r>
      <w:r w:rsidRPr="000114F1" w:rsidR="000114F1">
        <w:rPr>
          <w:i/>
        </w:rPr>
        <w:t>supra</w:t>
      </w:r>
      <w:r w:rsidR="000114F1">
        <w:t xml:space="preserve">, </w:t>
      </w:r>
      <w:r>
        <w:t>ARE DECLARED TERMINATED as of April 3, 2016.</w:t>
      </w:r>
    </w:p>
    <w:p w:rsidR="008316A6" w:rsidRPr="006121C0" w:rsidP="008316A6">
      <w:pPr>
        <w:pStyle w:val="ParaNum"/>
        <w:widowControl/>
        <w:tabs>
          <w:tab w:val="clear" w:pos="1530"/>
        </w:tabs>
        <w:ind w:left="0"/>
        <w:jc w:val="left"/>
      </w:pPr>
      <w:r w:rsidRPr="006121C0">
        <w:t>This action is taken under delegated authority pursuant to Sections 0.131 and 0.331 of the Commission’s Rules, 47 C.F.R. §§ 0.131, 0.331.</w:t>
      </w:r>
    </w:p>
    <w:p w:rsidR="00C26791">
      <w:pPr>
        <w:ind w:left="4320"/>
        <w:rPr>
          <w:szCs w:val="22"/>
        </w:rPr>
      </w:pPr>
      <w:r>
        <w:rPr>
          <w:szCs w:val="22"/>
        </w:rPr>
        <w:t>FEDERAL COMMUNICATIONS COMMISSION</w:t>
      </w:r>
    </w:p>
    <w:p w:rsidR="00C26791">
      <w:pPr>
        <w:ind w:right="-18"/>
        <w:rPr>
          <w:szCs w:val="22"/>
        </w:rPr>
      </w:pPr>
    </w:p>
    <w:p w:rsidR="00C26791">
      <w:pPr>
        <w:ind w:right="-18"/>
        <w:rPr>
          <w:szCs w:val="22"/>
        </w:rPr>
      </w:pPr>
    </w:p>
    <w:p w:rsidR="005960A2">
      <w:pPr>
        <w:ind w:right="-18"/>
        <w:rPr>
          <w:szCs w:val="22"/>
        </w:rPr>
      </w:pPr>
    </w:p>
    <w:p w:rsidR="00C26791">
      <w:pPr>
        <w:pStyle w:val="ParaNumChar1"/>
        <w:widowControl/>
        <w:tabs>
          <w:tab w:val="clear" w:pos="990"/>
        </w:tabs>
        <w:spacing w:after="0"/>
        <w:ind w:left="4320" w:firstLine="0"/>
        <w:jc w:val="left"/>
      </w:pPr>
      <w:r>
        <w:t xml:space="preserve">Blaise </w:t>
      </w:r>
      <w:r w:rsidR="00427227">
        <w:t xml:space="preserve">A. </w:t>
      </w:r>
      <w:r>
        <w:t>Scinto</w:t>
      </w:r>
    </w:p>
    <w:p w:rsidR="008316A6">
      <w:pPr>
        <w:pStyle w:val="ParaNumChar1"/>
        <w:widowControl/>
        <w:tabs>
          <w:tab w:val="clear" w:pos="990"/>
        </w:tabs>
        <w:spacing w:after="0"/>
        <w:ind w:left="4320" w:firstLine="0"/>
        <w:jc w:val="left"/>
      </w:pPr>
      <w:r>
        <w:t xml:space="preserve">Chief, </w:t>
      </w:r>
      <w:r>
        <w:t>Broadband Division</w:t>
      </w:r>
    </w:p>
    <w:p w:rsidR="00C26791" w:rsidP="005960A2">
      <w:pPr>
        <w:pStyle w:val="ParaNumChar1"/>
        <w:widowControl/>
        <w:tabs>
          <w:tab w:val="clear" w:pos="990"/>
        </w:tabs>
        <w:spacing w:after="0"/>
        <w:ind w:left="4320" w:firstLine="0"/>
        <w:jc w:val="left"/>
      </w:pPr>
      <w:r>
        <w:t>Wireless Telecommunications Bureau</w:t>
      </w:r>
    </w:p>
    <w:sectPr w:rsidSect="00AC7F2B">
      <w:headerReference w:type="default" r:id="rId5"/>
      <w:footerReference w:type="default" r:id="rId6"/>
      <w:headerReference w:type="first" r:id="rId7"/>
      <w:pgSz w:w="12240" w:h="15840" w:code="1"/>
      <w:pgMar w:top="1440" w:right="1440" w:bottom="576" w:left="1440" w:header="720" w:footer="57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791">
    <w:pPr>
      <w:pStyle w:val="Footer"/>
      <w:jc w:val="center"/>
    </w:pPr>
    <w:r>
      <w:rPr>
        <w:rStyle w:val="PageNumber"/>
      </w:rPr>
      <w:fldChar w:fldCharType="begin"/>
    </w:r>
    <w:r>
      <w:rPr>
        <w:rStyle w:val="PageNumber"/>
      </w:rPr>
      <w:instrText xml:space="preserve"> PAGE </w:instrText>
    </w:r>
    <w:r>
      <w:rPr>
        <w:rStyle w:val="PageNumber"/>
      </w:rPr>
      <w:fldChar w:fldCharType="separate"/>
    </w:r>
    <w:r w:rsidR="00B14AE1">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3FCC">
      <w:pPr>
        <w:rPr>
          <w:sz w:val="20"/>
        </w:rPr>
      </w:pPr>
      <w:r>
        <w:rPr>
          <w:sz w:val="20"/>
        </w:rPr>
        <w:separator/>
      </w:r>
    </w:p>
  </w:footnote>
  <w:footnote w:type="continuationSeparator" w:id="1">
    <w:p w:rsidR="00153FCC">
      <w:pPr>
        <w:rPr>
          <w:sz w:val="20"/>
        </w:rPr>
      </w:pPr>
      <w:r>
        <w:rPr>
          <w:sz w:val="20"/>
        </w:rPr>
        <w:separator/>
      </w:r>
    </w:p>
    <w:p w:rsidR="00153FCC">
      <w:pPr>
        <w:rPr>
          <w:sz w:val="20"/>
        </w:rPr>
      </w:pPr>
      <w:r>
        <w:rPr>
          <w:sz w:val="20"/>
        </w:rPr>
        <w:t>(...continued from previous page)</w:t>
      </w:r>
    </w:p>
  </w:footnote>
  <w:footnote w:type="continuationNotice" w:id="2">
    <w:p w:rsidR="00153FCC">
      <w:pPr>
        <w:jc w:val="right"/>
        <w:rPr>
          <w:sz w:val="20"/>
        </w:rPr>
      </w:pPr>
      <w:r>
        <w:rPr>
          <w:sz w:val="20"/>
        </w:rPr>
        <w:t>(continued....)</w:t>
      </w:r>
    </w:p>
  </w:footnote>
  <w:footnote w:id="3">
    <w:p w:rsidR="00842511" w:rsidP="00375265">
      <w:pPr>
        <w:pStyle w:val="FootnoteText"/>
        <w:jc w:val="left"/>
      </w:pPr>
      <w:r>
        <w:rPr>
          <w:rStyle w:val="FootnoteReference"/>
        </w:rPr>
        <w:footnoteRef/>
      </w:r>
      <w:r>
        <w:t xml:space="preserve"> </w:t>
      </w:r>
      <w:r w:rsidRPr="00366E8E" w:rsidR="002050F3">
        <w:t>MDS Operations Waiver and Extensi</w:t>
      </w:r>
      <w:r w:rsidR="002050F3">
        <w:t xml:space="preserve">on Request (filed Apr. 6, 2016).  </w:t>
      </w:r>
      <w:r w:rsidRPr="00366E8E" w:rsidR="002050F3">
        <w:t>Braunston Spectrum LLC Waiver and Extension Request (filed Apr. 7, 2016)</w:t>
      </w:r>
      <w:r w:rsidR="002050F3">
        <w:t>.</w:t>
      </w:r>
      <w:r w:rsidRPr="00366E8E" w:rsidR="002050F3">
        <w:t xml:space="preserve">  Montana Internet Corporation Waiver and Extension Request (filed Apr. 8, 2016).</w:t>
      </w:r>
    </w:p>
  </w:footnote>
  <w:footnote w:id="4">
    <w:p w:rsidR="006B6A43" w:rsidRPr="00366E8E" w:rsidP="00375265">
      <w:pPr>
        <w:pStyle w:val="FootnoteText"/>
        <w:jc w:val="left"/>
      </w:pPr>
      <w:r w:rsidRPr="00366E8E">
        <w:rPr>
          <w:rStyle w:val="FootnoteReference"/>
        </w:rPr>
        <w:footnoteRef/>
      </w:r>
      <w:r w:rsidRPr="00366E8E">
        <w:t xml:space="preserve"> </w:t>
      </w:r>
      <w:r w:rsidRPr="00366E8E" w:rsidR="0001124A">
        <w:t xml:space="preserve">The three licensees of the 22 MVDDS licenses are: </w:t>
      </w:r>
      <w:r w:rsidRPr="00366E8E">
        <w:t>Braunston Spectrum LLC (WQES369); Montana Internet Corporation (WQES397); and MDS Operations, Inc. (WQES348, WQES349, WQES350, WQES351, WQES352, WQES353, WQES354, WQES355, WQES356, WQES357, WQES358, WQES359, WQES360, WQES361, WQES362, WQES363, WQES364, WQES365, WQES366, and WQES367).</w:t>
      </w:r>
      <w:r w:rsidRPr="00366E8E" w:rsidR="00C76081">
        <w:t xml:space="preserve">  MDS Operations Inc. </w:t>
      </w:r>
      <w:r w:rsidRPr="00366E8E" w:rsidR="00CB315C">
        <w:t xml:space="preserve">holds </w:t>
      </w:r>
      <w:r w:rsidRPr="00366E8E" w:rsidR="0001124A">
        <w:t xml:space="preserve">an additional </w:t>
      </w:r>
      <w:r w:rsidRPr="00366E8E" w:rsidR="00C76081">
        <w:t xml:space="preserve">60 </w:t>
      </w:r>
      <w:r w:rsidRPr="00366E8E" w:rsidR="0001124A">
        <w:t xml:space="preserve">MVDDS </w:t>
      </w:r>
      <w:r w:rsidRPr="00366E8E" w:rsidR="00C76081">
        <w:t>licenses</w:t>
      </w:r>
      <w:r w:rsidRPr="00366E8E" w:rsidR="0001124A">
        <w:t xml:space="preserve"> that are not the subject of the instant Order.  </w:t>
      </w:r>
      <w:r w:rsidRPr="00366E8E" w:rsidR="00C76081">
        <w:rPr>
          <w:i/>
        </w:rPr>
        <w:t>See</w:t>
      </w:r>
      <w:r w:rsidRPr="00366E8E" w:rsidR="008B0B0B">
        <w:rPr>
          <w:i/>
        </w:rPr>
        <w:t>, e.g.,</w:t>
      </w:r>
      <w:r w:rsidRPr="00366E8E" w:rsidR="00C76081">
        <w:t xml:space="preserve"> MDS Operations, Inc., Request for Waiver, (filed Apr. 6, 2016) at 2.</w:t>
      </w:r>
    </w:p>
  </w:footnote>
  <w:footnote w:id="5">
    <w:p w:rsidR="00C26791" w:rsidRPr="00366E8E" w:rsidP="00375265">
      <w:pPr>
        <w:pStyle w:val="FootnoteText"/>
        <w:jc w:val="left"/>
        <w:rPr>
          <w:i/>
        </w:rPr>
      </w:pPr>
      <w:r w:rsidRPr="00366E8E">
        <w:rPr>
          <w:rStyle w:val="FootnoteReference"/>
        </w:rPr>
        <w:footnoteRef/>
      </w:r>
      <w:r w:rsidRPr="00366E8E">
        <w:t xml:space="preserve"> </w:t>
      </w:r>
      <w:r w:rsidRPr="00366E8E">
        <w:rPr>
          <w:i/>
        </w:rPr>
        <w:t>See</w:t>
      </w:r>
      <w:r w:rsidRPr="00366E8E">
        <w:t xml:space="preserve"> 47 CFR § 101.1407.  </w:t>
      </w:r>
      <w:r w:rsidRPr="00366E8E" w:rsidR="00AC7B9F">
        <w:t>Two-</w:t>
      </w:r>
      <w:r w:rsidRPr="00366E8E">
        <w:t xml:space="preserve">way services can be provided using spectrum in other bands for the return link.  </w:t>
      </w:r>
      <w:r w:rsidRPr="00366E8E">
        <w:rPr>
          <w:i/>
        </w:rPr>
        <w:t>See</w:t>
      </w:r>
      <w:r w:rsidR="00642529">
        <w:rPr>
          <w:i/>
        </w:rPr>
        <w:t> </w:t>
      </w:r>
      <w:r w:rsidRPr="00366E8E">
        <w:rPr>
          <w:i/>
        </w:rPr>
        <w:t xml:space="preserve">id.  </w:t>
      </w:r>
    </w:p>
  </w:footnote>
  <w:footnote w:id="6">
    <w:p w:rsidR="00C26791" w:rsidRPr="00366E8E" w:rsidP="00375265">
      <w:pPr>
        <w:pStyle w:val="FootnoteText"/>
        <w:jc w:val="left"/>
      </w:pPr>
      <w:r w:rsidRPr="00366E8E">
        <w:rPr>
          <w:rStyle w:val="FootnoteReference"/>
        </w:rPr>
        <w:footnoteRef/>
      </w:r>
      <w:r w:rsidRPr="00366E8E">
        <w:t xml:space="preserve"> </w:t>
      </w:r>
      <w:r w:rsidRPr="00366E8E">
        <w:rPr>
          <w:i/>
        </w:rPr>
        <w:t>See, e.g.</w:t>
      </w:r>
      <w:r w:rsidRPr="00366E8E">
        <w:t xml:space="preserve">, </w:t>
      </w:r>
      <w:r w:rsidRPr="00366E8E">
        <w:rPr>
          <w:i/>
        </w:rPr>
        <w:t>Amendment of Parts 2 and 25 of the Commission’s Rules to Permit Operation of NGSO FSS Systems Co-Frequency with GSO and Terrestrial Systems in the Ku-Band Frequency Range</w:t>
      </w:r>
      <w:r w:rsidRPr="00366E8E">
        <w:t>, ET Docket No. 98-206, First Report and Order and Further Notice of Proposed Rule Making, 16 FCC Rcd 4096, 4099-4100 ¶ 2 (2000) (</w:t>
      </w:r>
      <w:r w:rsidRPr="00366E8E">
        <w:rPr>
          <w:i/>
        </w:rPr>
        <w:t>First R&amp;O)</w:t>
      </w:r>
      <w:r w:rsidRPr="00366E8E">
        <w:t xml:space="preserve">; </w:t>
      </w:r>
      <w:r w:rsidRPr="00366E8E">
        <w:rPr>
          <w:i/>
        </w:rPr>
        <w:t>see also</w:t>
      </w:r>
      <w:r w:rsidRPr="00366E8E">
        <w:t xml:space="preserve"> 47 CFR § 2.106.  </w:t>
      </w:r>
    </w:p>
  </w:footnote>
  <w:footnote w:id="7">
    <w:p w:rsidR="00B83545" w:rsidRPr="00366E8E" w:rsidP="00375265">
      <w:pPr>
        <w:pStyle w:val="FootnoteText"/>
        <w:jc w:val="left"/>
      </w:pPr>
      <w:r w:rsidRPr="00366E8E">
        <w:rPr>
          <w:rStyle w:val="FootnoteReference"/>
        </w:rPr>
        <w:footnoteRef/>
      </w:r>
      <w:r w:rsidRPr="00366E8E">
        <w:t xml:space="preserve"> </w:t>
      </w:r>
      <w:r w:rsidRPr="00366E8E">
        <w:rPr>
          <w:i/>
        </w:rPr>
        <w:t>See</w:t>
      </w:r>
      <w:r w:rsidRPr="00366E8E">
        <w:t xml:space="preserve"> 47 CFR § 101.1401.  Designated Market Area (DMA®) is a registered trademark of Nielsen Media Research, Inc. (Nielsen).  </w:t>
      </w:r>
      <w:smartTag w:uri="urn:schemas-microsoft-com:office:smarttags" w:element="PersonName">
        <w:r w:rsidRPr="00366E8E">
          <w:t>Al</w:t>
        </w:r>
      </w:smartTag>
      <w:r w:rsidRPr="00366E8E">
        <w:t xml:space="preserve">though Nielsen revises DMAs periodically, the MVDDS license areas remain fixed to the boundaries of the 2002 DMAs.  To avoid confusion with Nielsen’s current DMAs, MVDDS license areas are designated as “MVDs” in the Universal Licensing System. </w:t>
      </w:r>
    </w:p>
  </w:footnote>
  <w:footnote w:id="8">
    <w:p w:rsidR="00B83545" w:rsidP="00375265">
      <w:pPr>
        <w:pStyle w:val="FootnoteText"/>
        <w:jc w:val="left"/>
      </w:pPr>
      <w:r>
        <w:rPr>
          <w:rStyle w:val="FootnoteReference"/>
        </w:rPr>
        <w:footnoteRef/>
      </w:r>
      <w:r>
        <w:t xml:space="preserve"> There are four FCC-defined areas:  Alaska—Balance of State (all geographic areas of Alaska not included in Nielsen's three DMAs for the state: Anchorage, Fairbanks, and Juneau); Guam and the Northern Mariana Islands; Puerto Rico and the United States Virgin Islands; and American Samoa.  </w:t>
      </w:r>
      <w:r w:rsidRPr="00B83545">
        <w:rPr>
          <w:i/>
        </w:rPr>
        <w:t>Id</w:t>
      </w:r>
      <w:r>
        <w:t xml:space="preserve">. § 1011401(a)-(d).  </w:t>
      </w:r>
    </w:p>
  </w:footnote>
  <w:footnote w:id="9">
    <w:p w:rsidR="00C26791" w:rsidRPr="00366E8E" w:rsidP="00375265">
      <w:pPr>
        <w:pStyle w:val="FootnoteText"/>
        <w:jc w:val="left"/>
      </w:pPr>
      <w:r w:rsidRPr="00366E8E">
        <w:rPr>
          <w:rStyle w:val="FootnoteReference"/>
        </w:rPr>
        <w:footnoteRef/>
      </w:r>
      <w:r w:rsidRPr="00366E8E">
        <w:t xml:space="preserve"> </w:t>
      </w:r>
      <w:r w:rsidRPr="00366E8E">
        <w:rPr>
          <w:i/>
        </w:rPr>
        <w:t>See Amendment of Parts 2 and 25 of the Commission’s Rules to Permit Operations of NGSO FSS Systems Co-Frequency with GSO and Terrestrial Systems in the Ku-Band with Frequency Range</w:t>
      </w:r>
      <w:r w:rsidRPr="00366E8E">
        <w:t xml:space="preserve">; ET Docket No. 98-206, </w:t>
      </w:r>
      <w:r w:rsidRPr="00366E8E" w:rsidR="00AC7B9F">
        <w:t xml:space="preserve">Second Report and Order, </w:t>
      </w:r>
      <w:r w:rsidRPr="00366E8E">
        <w:t xml:space="preserve">17 FCC </w:t>
      </w:r>
      <w:r w:rsidRPr="00366E8E">
        <w:t>Rcd</w:t>
      </w:r>
      <w:r w:rsidRPr="00366E8E">
        <w:t xml:space="preserve"> 9614 (2002) (</w:t>
      </w:r>
      <w:r w:rsidRPr="00366E8E">
        <w:rPr>
          <w:i/>
        </w:rPr>
        <w:t>Second Report and Order</w:t>
      </w:r>
      <w:r w:rsidRPr="00366E8E">
        <w:t xml:space="preserve">).  </w:t>
      </w:r>
    </w:p>
  </w:footnote>
  <w:footnote w:id="10">
    <w:p w:rsidR="00C26791" w:rsidRPr="00366E8E" w:rsidP="00375265">
      <w:pPr>
        <w:pStyle w:val="FootnoteText"/>
        <w:jc w:val="left"/>
      </w:pPr>
      <w:r w:rsidRPr="00366E8E">
        <w:rPr>
          <w:rStyle w:val="FootnoteReference"/>
        </w:rPr>
        <w:footnoteRef/>
      </w:r>
      <w:r w:rsidRPr="00366E8E">
        <w:t xml:space="preserve"> </w:t>
      </w:r>
      <w:r w:rsidRPr="00366E8E">
        <w:rPr>
          <w:i/>
        </w:rPr>
        <w:t>Second Report and Order</w:t>
      </w:r>
      <w:r w:rsidRPr="00366E8E">
        <w:t xml:space="preserve">, 17 FCC Rcd 9614, 9684 ¶ 177.  </w:t>
      </w:r>
      <w:r w:rsidRPr="00366E8E">
        <w:rPr>
          <w:i/>
        </w:rPr>
        <w:t>See also</w:t>
      </w:r>
      <w:r w:rsidR="003D2FBD">
        <w:t xml:space="preserve"> </w:t>
      </w:r>
      <w:r w:rsidRPr="00366E8E">
        <w:t xml:space="preserve">47 </w:t>
      </w:r>
      <w:r w:rsidRPr="00366E8E" w:rsidR="008B0B0B">
        <w:t>CFR</w:t>
      </w:r>
      <w:r w:rsidRPr="00366E8E">
        <w:t xml:space="preserve"> § 101.1413(b)</w:t>
      </w:r>
      <w:r w:rsidR="0028288D">
        <w:t xml:space="preserve"> (2016)</w:t>
      </w:r>
      <w:r w:rsidRPr="00366E8E">
        <w:t xml:space="preserve">.  </w:t>
      </w:r>
    </w:p>
  </w:footnote>
  <w:footnote w:id="11">
    <w:p w:rsidR="00C26791" w:rsidRPr="00366E8E" w:rsidP="00375265">
      <w:pPr>
        <w:pStyle w:val="FootnoteText"/>
        <w:jc w:val="left"/>
      </w:pPr>
      <w:r w:rsidRPr="00366E8E">
        <w:rPr>
          <w:rStyle w:val="FootnoteReference"/>
        </w:rPr>
        <w:footnoteRef/>
      </w:r>
      <w:r w:rsidRPr="00366E8E">
        <w:t xml:space="preserve"> 47 </w:t>
      </w:r>
      <w:r w:rsidRPr="00366E8E" w:rsidR="008B0B0B">
        <w:t>CFR</w:t>
      </w:r>
      <w:r w:rsidRPr="00366E8E">
        <w:t xml:space="preserve"> §</w:t>
      </w:r>
      <w:r w:rsidR="0028288D">
        <w:t xml:space="preserve"> </w:t>
      </w:r>
      <w:r w:rsidRPr="00366E8E">
        <w:t>101.1413(b).</w:t>
      </w:r>
    </w:p>
  </w:footnote>
  <w:footnote w:id="12">
    <w:p w:rsidR="00C26791" w:rsidRPr="00366E8E" w:rsidP="00375265">
      <w:pPr>
        <w:pStyle w:val="FootnoteText"/>
        <w:jc w:val="left"/>
      </w:pPr>
      <w:r w:rsidRPr="00366E8E">
        <w:rPr>
          <w:rStyle w:val="FootnoteReference"/>
        </w:rPr>
        <w:footnoteRef/>
      </w:r>
      <w:r w:rsidRPr="00366E8E">
        <w:t xml:space="preserve"> </w:t>
      </w:r>
      <w:r w:rsidRPr="00366E8E">
        <w:rPr>
          <w:i/>
        </w:rPr>
        <w:t>Second Report and Order</w:t>
      </w:r>
      <w:r w:rsidRPr="00366E8E">
        <w:t xml:space="preserve">, 17 FCC Rcd 9614, 9684 ¶ 177.  </w:t>
      </w:r>
      <w:r w:rsidRPr="00366E8E">
        <w:rPr>
          <w:i/>
        </w:rPr>
        <w:t>See also</w:t>
      </w:r>
      <w:r w:rsidRPr="00366E8E">
        <w:t xml:space="preserve"> 47 </w:t>
      </w:r>
      <w:r w:rsidRPr="00366E8E" w:rsidR="008B0B0B">
        <w:t>CFR</w:t>
      </w:r>
      <w:r w:rsidRPr="00366E8E">
        <w:t xml:space="preserve"> § 101.1413(b)</w:t>
      </w:r>
      <w:r w:rsidR="0028288D">
        <w:t xml:space="preserve"> (2016)</w:t>
      </w:r>
      <w:r w:rsidRPr="00366E8E">
        <w:t xml:space="preserve">.  </w:t>
      </w:r>
    </w:p>
  </w:footnote>
  <w:footnote w:id="13">
    <w:p w:rsidR="00C26791" w:rsidRPr="00366E8E" w:rsidP="00375265">
      <w:pPr>
        <w:pStyle w:val="FootnoteText"/>
        <w:jc w:val="left"/>
      </w:pPr>
      <w:r w:rsidRPr="00366E8E">
        <w:rPr>
          <w:rStyle w:val="FootnoteReference"/>
        </w:rPr>
        <w:footnoteRef/>
      </w:r>
      <w:r w:rsidRPr="00366E8E">
        <w:t xml:space="preserve"> </w:t>
      </w:r>
      <w:r w:rsidRPr="00366E8E">
        <w:rPr>
          <w:i/>
        </w:rPr>
        <w:t>Second Report and Order</w:t>
      </w:r>
      <w:r w:rsidRPr="00366E8E" w:rsidR="0043694F">
        <w:t xml:space="preserve">, 17 FCC </w:t>
      </w:r>
      <w:r w:rsidRPr="00366E8E" w:rsidR="0043694F">
        <w:t>Rcd</w:t>
      </w:r>
      <w:r w:rsidRPr="00366E8E" w:rsidR="0043694F">
        <w:t xml:space="preserve"> at </w:t>
      </w:r>
      <w:r w:rsidRPr="00366E8E">
        <w:t xml:space="preserve">9684 ¶ 176.  </w:t>
      </w:r>
    </w:p>
  </w:footnote>
  <w:footnote w:id="14">
    <w:p w:rsidR="00C26791" w:rsidRPr="00366E8E" w:rsidP="00375265">
      <w:pPr>
        <w:pStyle w:val="FootnoteText"/>
        <w:jc w:val="left"/>
      </w:pPr>
      <w:r w:rsidRPr="00366E8E">
        <w:rPr>
          <w:rStyle w:val="FootnoteReference"/>
        </w:rPr>
        <w:footnoteRef/>
      </w:r>
      <w:r w:rsidRPr="00366E8E">
        <w:t xml:space="preserve"> </w:t>
      </w:r>
      <w:r w:rsidRPr="00366E8E">
        <w:rPr>
          <w:i/>
        </w:rPr>
        <w:t>Amendment of Parts 2 and 25 of the Commission’s Rules to Permit Operation of NGSO FSS Systems Co-Frequency with GSO and Terrestrial Systems in the Ku-Band Frequency Range</w:t>
      </w:r>
      <w:r w:rsidRPr="00366E8E">
        <w:t>, ET Docket No. 98-206, Third Report and Order, 18 FCC Rcd 13468, 13475 ¶¶ 15-16 (2003) (</w:t>
      </w:r>
      <w:r w:rsidRPr="00366E8E">
        <w:rPr>
          <w:i/>
        </w:rPr>
        <w:t>Third Report and Order</w:t>
      </w:r>
      <w:r w:rsidRPr="00366E8E">
        <w:t xml:space="preserve">).  </w:t>
      </w:r>
      <w:r w:rsidRPr="00366E8E" w:rsidR="00822E4F">
        <w:t xml:space="preserve">“Although we previously believed that a longer build out period was necessary in order to provide MVDDS licensees ample time and flexibility to work with other service providers in the 12 GHz band, the commenters contend that a five-year period is sufficient time to deploy MVDDS services in this band.”  </w:t>
      </w:r>
      <w:r w:rsidRPr="00366E8E" w:rsidR="00822E4F">
        <w:rPr>
          <w:i/>
        </w:rPr>
        <w:t>Id.</w:t>
      </w:r>
      <w:r w:rsidRPr="00366E8E" w:rsidR="00822E4F">
        <w:t xml:space="preserve"> at 13475 ¶¶ 15, 16 </w:t>
      </w:r>
      <w:r w:rsidR="00326DF3">
        <w:t>(</w:t>
      </w:r>
      <w:r w:rsidRPr="00366E8E" w:rsidR="00822E4F">
        <w:rPr>
          <w:i/>
        </w:rPr>
        <w:t>citing</w:t>
      </w:r>
      <w:r w:rsidRPr="00366E8E" w:rsidR="00822E4F">
        <w:t xml:space="preserve"> comments of MDS America (an affiliate of MDS Operations Inc.</w:t>
      </w:r>
      <w:r w:rsidRPr="00366E8E" w:rsidR="00DE0280">
        <w:t xml:space="preserve">) and </w:t>
      </w:r>
      <w:r w:rsidRPr="00366E8E" w:rsidR="00822E4F">
        <w:t>other commenters</w:t>
      </w:r>
      <w:r w:rsidRPr="00366E8E" w:rsidR="00F32508">
        <w:t>,</w:t>
      </w:r>
      <w:r w:rsidRPr="00366E8E" w:rsidR="00822E4F">
        <w:t xml:space="preserve"> </w:t>
      </w:r>
      <w:r w:rsidRPr="00366E8E" w:rsidR="00F32508">
        <w:rPr>
          <w:i/>
        </w:rPr>
        <w:t>s</w:t>
      </w:r>
      <w:r w:rsidRPr="00366E8E" w:rsidR="00822E4F">
        <w:rPr>
          <w:i/>
        </w:rPr>
        <w:t>ee id</w:t>
      </w:r>
      <w:r w:rsidRPr="00366E8E" w:rsidR="00822E4F">
        <w:t>., n.33</w:t>
      </w:r>
      <w:r w:rsidRPr="00366E8E" w:rsidR="00F32508">
        <w:t xml:space="preserve">, that argued that </w:t>
      </w:r>
      <w:r w:rsidRPr="00366E8E" w:rsidR="00822E4F">
        <w:t>a shorter build out deadline would prevent spectrum warehousing and promote the rapid deployment of service to the public</w:t>
      </w:r>
      <w:r w:rsidR="00326DF3">
        <w:t>)</w:t>
      </w:r>
      <w:r w:rsidRPr="00366E8E" w:rsidR="00822E4F">
        <w:t xml:space="preserve">.  </w:t>
      </w:r>
    </w:p>
  </w:footnote>
  <w:footnote w:id="15">
    <w:p w:rsidR="00C26791" w:rsidRPr="00366E8E" w:rsidP="00375265">
      <w:pPr>
        <w:pStyle w:val="FootnoteText"/>
        <w:jc w:val="left"/>
      </w:pPr>
      <w:r w:rsidRPr="00366E8E">
        <w:rPr>
          <w:rStyle w:val="FootnoteReference"/>
        </w:rPr>
        <w:footnoteRef/>
      </w:r>
      <w:r w:rsidRPr="00366E8E">
        <w:t xml:space="preserve"> 47 CFR § 101.1413(a).  </w:t>
      </w:r>
    </w:p>
  </w:footnote>
  <w:footnote w:id="16">
    <w:p w:rsidR="00C21D77" w:rsidRPr="00366E8E" w:rsidP="00375265">
      <w:pPr>
        <w:pStyle w:val="FootnoteText"/>
        <w:jc w:val="left"/>
      </w:pPr>
      <w:r w:rsidRPr="00366E8E">
        <w:rPr>
          <w:rStyle w:val="FootnoteReference"/>
        </w:rPr>
        <w:footnoteRef/>
      </w:r>
      <w:r w:rsidRPr="00366E8E">
        <w:t xml:space="preserve"> </w:t>
      </w:r>
      <w:r w:rsidRPr="00366E8E">
        <w:rPr>
          <w:i/>
        </w:rPr>
        <w:t>Auction of Multichannel Video Distribution and Data Services Licenses</w:t>
      </w:r>
      <w:r w:rsidRPr="00366E8E">
        <w:t xml:space="preserve">, Public Notice, </w:t>
      </w:r>
      <w:r w:rsidRPr="00366E8E" w:rsidR="00940F2F">
        <w:t xml:space="preserve">17 FCC </w:t>
      </w:r>
      <w:r w:rsidRPr="00366E8E" w:rsidR="00940F2F">
        <w:t>Rcd</w:t>
      </w:r>
      <w:r w:rsidRPr="00366E8E" w:rsidR="00940F2F">
        <w:t xml:space="preserve"> 9612</w:t>
      </w:r>
      <w:r w:rsidRPr="00366E8E">
        <w:t xml:space="preserve"> (</w:t>
      </w:r>
      <w:r w:rsidRPr="00366E8E">
        <w:t>WTB</w:t>
      </w:r>
      <w:r w:rsidRPr="00366E8E">
        <w:t xml:space="preserve"> 2002).</w:t>
      </w:r>
    </w:p>
  </w:footnote>
  <w:footnote w:id="17">
    <w:p w:rsidR="00D672E9" w:rsidRPr="00366E8E" w:rsidP="00375265">
      <w:pPr>
        <w:pStyle w:val="FootnoteText"/>
        <w:jc w:val="left"/>
      </w:pPr>
      <w:r w:rsidRPr="00366E8E">
        <w:rPr>
          <w:rStyle w:val="FootnoteReference"/>
        </w:rPr>
        <w:footnoteRef/>
      </w:r>
      <w:r w:rsidRPr="00366E8E">
        <w:t xml:space="preserve"> </w:t>
      </w:r>
      <w:r w:rsidRPr="00366E8E" w:rsidR="00252548">
        <w:rPr>
          <w:i/>
        </w:rPr>
        <w:t>See Ten Licensees of 191 Licenses in the Multichannel Video and Data Distribution Service for Wavier of the Five-Year Deadline for Providing Substantial Service</w:t>
      </w:r>
      <w:r w:rsidRPr="00366E8E" w:rsidR="00252548">
        <w:t xml:space="preserve">, Order, 25 FCC </w:t>
      </w:r>
      <w:r w:rsidRPr="00366E8E" w:rsidR="00252548">
        <w:t>Rcd</w:t>
      </w:r>
      <w:r w:rsidRPr="00366E8E" w:rsidR="00252548">
        <w:t xml:space="preserve"> 10097 at para. 10 (2010).  </w:t>
      </w:r>
      <w:r w:rsidRPr="00366E8E">
        <w:t xml:space="preserve">One licensee of one </w:t>
      </w:r>
      <w:r w:rsidRPr="00366E8E" w:rsidR="00252548">
        <w:t xml:space="preserve">of the 192 </w:t>
      </w:r>
      <w:r w:rsidRPr="00366E8E">
        <w:t>license</w:t>
      </w:r>
      <w:r w:rsidRPr="00366E8E" w:rsidR="00252548">
        <w:t>s</w:t>
      </w:r>
      <w:r w:rsidRPr="00366E8E">
        <w:t xml:space="preserve"> granted in 2004 </w:t>
      </w:r>
      <w:r w:rsidR="00A22473">
        <w:t>neither</w:t>
      </w:r>
      <w:r w:rsidRPr="00366E8E">
        <w:t xml:space="preserve"> report</w:t>
      </w:r>
      <w:r w:rsidR="00A22473">
        <w:t>ed</w:t>
      </w:r>
      <w:r w:rsidRPr="00366E8E">
        <w:t xml:space="preserve"> that it satisfied the five-year buildout requirement </w:t>
      </w:r>
      <w:r w:rsidR="00A22473">
        <w:t>n</w:t>
      </w:r>
      <w:r w:rsidRPr="00366E8E">
        <w:t>or request</w:t>
      </w:r>
      <w:r w:rsidR="00A22473">
        <w:t>ed</w:t>
      </w:r>
      <w:r w:rsidRPr="00366E8E">
        <w:t xml:space="preserve"> an extension of time to meet the five-year deadline.  Accordingly, the license, MVD202 – Zanesville (Call Sign WQAR709) cancelled automatically and was terminated effective July 26, 2009.  </w:t>
      </w:r>
    </w:p>
  </w:footnote>
  <w:footnote w:id="18">
    <w:p w:rsidR="00F9774F" w:rsidRPr="005960A2" w:rsidP="00375265">
      <w:pPr>
        <w:pStyle w:val="FootnoteText"/>
        <w:jc w:val="left"/>
        <w:rPr>
          <w:i/>
        </w:rPr>
      </w:pPr>
      <w:r w:rsidRPr="00366E8E">
        <w:rPr>
          <w:rStyle w:val="FootnoteReference"/>
        </w:rPr>
        <w:footnoteRef/>
      </w:r>
      <w:r w:rsidRPr="00366E8E">
        <w:t xml:space="preserve"> </w:t>
      </w:r>
      <w:r w:rsidR="005960A2">
        <w:rPr>
          <w:i/>
        </w:rPr>
        <w:t xml:space="preserve">Id.  </w:t>
      </w:r>
    </w:p>
  </w:footnote>
  <w:footnote w:id="19">
    <w:p w:rsidR="00C26791" w:rsidRPr="00366E8E" w:rsidP="00375265">
      <w:pPr>
        <w:pStyle w:val="FootnoteText"/>
        <w:jc w:val="left"/>
      </w:pPr>
      <w:r w:rsidRPr="00366E8E">
        <w:rPr>
          <w:rStyle w:val="FootnoteReference"/>
        </w:rPr>
        <w:footnoteRef/>
      </w:r>
      <w:r w:rsidRPr="00366E8E">
        <w:t xml:space="preserve"> </w:t>
      </w:r>
      <w:r w:rsidRPr="00366E8E">
        <w:rPr>
          <w:i/>
        </w:rPr>
        <w:t>Auction of Multichannel Video Distribution and Data Services Licenses</w:t>
      </w:r>
      <w:r w:rsidRPr="00366E8E">
        <w:t xml:space="preserve">, Public Notice, </w:t>
      </w:r>
      <w:r w:rsidRPr="00366E8E" w:rsidR="00940F2F">
        <w:t xml:space="preserve">20 FCC </w:t>
      </w:r>
      <w:r w:rsidRPr="00366E8E" w:rsidR="00940F2F">
        <w:t>Rcd</w:t>
      </w:r>
      <w:r w:rsidRPr="00366E8E" w:rsidR="00940F2F">
        <w:t xml:space="preserve"> 10481</w:t>
      </w:r>
      <w:r w:rsidRPr="00366E8E">
        <w:t xml:space="preserve"> (</w:t>
      </w:r>
      <w:r w:rsidRPr="00366E8E">
        <w:t>WTB</w:t>
      </w:r>
      <w:r w:rsidRPr="00366E8E">
        <w:t xml:space="preserve"> </w:t>
      </w:r>
      <w:r w:rsidRPr="00366E8E" w:rsidR="00940F2F">
        <w:t>2005</w:t>
      </w:r>
      <w:r w:rsidRPr="00366E8E">
        <w:t>).</w:t>
      </w:r>
    </w:p>
  </w:footnote>
  <w:footnote w:id="20">
    <w:p w:rsidR="00C26791" w:rsidRPr="00366E8E" w:rsidP="00375265">
      <w:pPr>
        <w:pStyle w:val="FootnoteText"/>
        <w:jc w:val="left"/>
        <w:rPr>
          <w:b/>
        </w:rPr>
      </w:pPr>
      <w:r w:rsidRPr="00366E8E">
        <w:rPr>
          <w:rStyle w:val="FootnoteReference"/>
        </w:rPr>
        <w:footnoteRef/>
      </w:r>
      <w:r w:rsidRPr="00366E8E">
        <w:t xml:space="preserve"> </w:t>
      </w:r>
      <w:r w:rsidRPr="00366E8E">
        <w:rPr>
          <w:i/>
        </w:rPr>
        <w:t xml:space="preserve">See </w:t>
      </w:r>
      <w:r w:rsidRPr="00366E8E">
        <w:t xml:space="preserve">Wireless </w:t>
      </w:r>
      <w:smartTag w:uri="urn:schemas-microsoft-com:office:smarttags" w:element="PersonName">
        <w:r w:rsidRPr="00366E8E">
          <w:t>Telecommunications</w:t>
        </w:r>
      </w:smartTag>
      <w:r w:rsidRPr="00366E8E">
        <w:t xml:space="preserve"> Bureau Grants Multichannel Video Distribution and Data Service Licenses; Auction Event No. </w:t>
      </w:r>
      <w:r w:rsidRPr="00366E8E" w:rsidR="00C5100C">
        <w:t>63</w:t>
      </w:r>
      <w:r w:rsidRPr="00366E8E">
        <w:t xml:space="preserve">, </w:t>
      </w:r>
      <w:r w:rsidRPr="00366E8E">
        <w:rPr>
          <w:i/>
        </w:rPr>
        <w:t xml:space="preserve">Public Notice, </w:t>
      </w:r>
      <w:r w:rsidRPr="00366E8E" w:rsidR="006A7E21">
        <w:t xml:space="preserve">21 FCC </w:t>
      </w:r>
      <w:r w:rsidRPr="00366E8E" w:rsidR="006A7E21">
        <w:t>Rcd</w:t>
      </w:r>
      <w:r w:rsidRPr="00366E8E" w:rsidR="006A7E21">
        <w:t xml:space="preserve"> 3524 (</w:t>
      </w:r>
      <w:r w:rsidRPr="00366E8E" w:rsidR="006A7E21">
        <w:t>WTB</w:t>
      </w:r>
      <w:r w:rsidRPr="00366E8E" w:rsidR="006A7E21">
        <w:t xml:space="preserve"> 2006</w:t>
      </w:r>
      <w:r w:rsidRPr="00366E8E">
        <w:t xml:space="preserve">).  </w:t>
      </w:r>
    </w:p>
  </w:footnote>
  <w:footnote w:id="21">
    <w:p w:rsidR="008362FE" w:rsidRPr="00366E8E" w:rsidP="00375265">
      <w:pPr>
        <w:pStyle w:val="FootnoteText"/>
        <w:jc w:val="left"/>
      </w:pPr>
      <w:r w:rsidRPr="00366E8E">
        <w:rPr>
          <w:rStyle w:val="FootnoteReference"/>
        </w:rPr>
        <w:footnoteRef/>
      </w:r>
      <w:r w:rsidRPr="00366E8E">
        <w:t xml:space="preserve"> </w:t>
      </w:r>
      <w:r>
        <w:rPr>
          <w:i/>
        </w:rPr>
        <w:t xml:space="preserve">See </w:t>
      </w:r>
      <w:r w:rsidRPr="00AF2ABA">
        <w:t>Requests for Exten</w:t>
      </w:r>
      <w:r>
        <w:t>s</w:t>
      </w:r>
      <w:r w:rsidRPr="00AF2ABA">
        <w:t>ion of Time</w:t>
      </w:r>
      <w:r>
        <w:rPr>
          <w:i/>
        </w:rPr>
        <w:t xml:space="preserve">, </w:t>
      </w:r>
      <w:r w:rsidRPr="00AF2ABA">
        <w:t>MDS Operations,</w:t>
      </w:r>
      <w:r>
        <w:t xml:space="preserve"> </w:t>
      </w:r>
      <w:r w:rsidRPr="00AF2ABA">
        <w:t>Inc.</w:t>
      </w:r>
      <w:r>
        <w:t>,</w:t>
      </w:r>
      <w:r>
        <w:rPr>
          <w:i/>
        </w:rPr>
        <w:t xml:space="preserve"> </w:t>
      </w:r>
      <w:r>
        <w:t xml:space="preserve">File Nos. </w:t>
      </w:r>
      <w:r w:rsidRPr="00C91852">
        <w:t>0004586297</w:t>
      </w:r>
      <w:r>
        <w:t>-</w:t>
      </w:r>
      <w:r w:rsidRPr="00C91852">
        <w:t>0004586</w:t>
      </w:r>
      <w:r>
        <w:t>316 (</w:t>
      </w:r>
      <w:r w:rsidRPr="00366E8E">
        <w:t xml:space="preserve">filed </w:t>
      </w:r>
      <w:r>
        <w:t>Jan. 2</w:t>
      </w:r>
      <w:r w:rsidRPr="00366E8E">
        <w:t>5, 2011</w:t>
      </w:r>
      <w:r>
        <w:t xml:space="preserve">, granted March 31, 2011), </w:t>
      </w:r>
      <w:r w:rsidRPr="00366E8E">
        <w:t>Montana Internet Corporation</w:t>
      </w:r>
      <w:r>
        <w:t xml:space="preserve">, File No. </w:t>
      </w:r>
      <w:r w:rsidRPr="00366E8E">
        <w:t>0004614974</w:t>
      </w:r>
      <w:r>
        <w:t xml:space="preserve"> (</w:t>
      </w:r>
      <w:r w:rsidRPr="00366E8E">
        <w:t>filed Feb</w:t>
      </w:r>
      <w:r>
        <w:t>.</w:t>
      </w:r>
      <w:r w:rsidRPr="00366E8E">
        <w:t xml:space="preserve"> 15, 2011</w:t>
      </w:r>
      <w:r>
        <w:t xml:space="preserve">, granted March 31, 2011, </w:t>
      </w:r>
      <w:r w:rsidRPr="00366E8E">
        <w:t>Braunston Spectrum LLC</w:t>
      </w:r>
      <w:r>
        <w:t>, File No.</w:t>
      </w:r>
      <w:r w:rsidRPr="00366E8E">
        <w:t xml:space="preserve"> 0004625754</w:t>
      </w:r>
      <w:r>
        <w:t xml:space="preserve"> (</w:t>
      </w:r>
      <w:r w:rsidRPr="00366E8E">
        <w:t>filed Feb</w:t>
      </w:r>
      <w:r>
        <w:t>.</w:t>
      </w:r>
      <w:r w:rsidRPr="00366E8E">
        <w:t xml:space="preserve"> 22, 2011</w:t>
      </w:r>
      <w:r>
        <w:t>, granted March 31, 2011.</w:t>
      </w:r>
    </w:p>
  </w:footnote>
  <w:footnote w:id="22">
    <w:p w:rsidR="00163A6B" w:rsidRPr="002050F3" w:rsidP="00375265">
      <w:pPr>
        <w:pStyle w:val="FootnoteText"/>
        <w:jc w:val="left"/>
        <w:rPr>
          <w:i/>
        </w:rPr>
      </w:pPr>
      <w:r w:rsidRPr="00366E8E">
        <w:rPr>
          <w:rStyle w:val="FootnoteReference"/>
        </w:rPr>
        <w:footnoteRef/>
      </w:r>
      <w:r w:rsidRPr="00366E8E">
        <w:t xml:space="preserve"> </w:t>
      </w:r>
      <w:r w:rsidRPr="00366E8E" w:rsidR="00295A14">
        <w:t>47 CFR § 1.946(e).  MDS Operations, Inc. filed 20 extension requests on April 6, 2016, Braunston Spectrum LLC, and Montana Internet Corporation each filed on</w:t>
      </w:r>
      <w:r w:rsidRPr="00366E8E" w:rsidR="00BB11AD">
        <w:t>e</w:t>
      </w:r>
      <w:r w:rsidRPr="00366E8E" w:rsidR="00295A14">
        <w:t xml:space="preserve"> request on April 7 and 12, 2016, respectively.  </w:t>
      </w:r>
      <w:r w:rsidRPr="00366E8E">
        <w:t xml:space="preserve">MDS Operations, Inc. filed </w:t>
      </w:r>
      <w:r w:rsidRPr="00366E8E" w:rsidR="00295A14">
        <w:t xml:space="preserve">20 license renewal applications </w:t>
      </w:r>
      <w:r w:rsidRPr="00366E8E">
        <w:t xml:space="preserve">on April 4, 2016, Montana Internet Corporation </w:t>
      </w:r>
      <w:r w:rsidRPr="00366E8E" w:rsidR="008758D7">
        <w:t xml:space="preserve">and </w:t>
      </w:r>
      <w:r w:rsidRPr="00366E8E">
        <w:t xml:space="preserve">Braunston Spectrum LLC </w:t>
      </w:r>
      <w:r w:rsidRPr="00366E8E" w:rsidR="008758D7">
        <w:t xml:space="preserve">each </w:t>
      </w:r>
      <w:r w:rsidRPr="00366E8E">
        <w:t xml:space="preserve">filed </w:t>
      </w:r>
      <w:r w:rsidRPr="00366E8E" w:rsidR="008758D7">
        <w:t xml:space="preserve">one renewal application on </w:t>
      </w:r>
      <w:r w:rsidRPr="00366E8E">
        <w:t xml:space="preserve">April </w:t>
      </w:r>
      <w:r w:rsidRPr="00366E8E" w:rsidR="008758D7">
        <w:t xml:space="preserve">8 and </w:t>
      </w:r>
      <w:r w:rsidRPr="00366E8E">
        <w:t>11, 2016</w:t>
      </w:r>
      <w:r w:rsidRPr="00366E8E" w:rsidR="008758D7">
        <w:t>, respectively</w:t>
      </w:r>
      <w:r w:rsidRPr="00366E8E">
        <w:t xml:space="preserve">.  </w:t>
      </w:r>
      <w:r w:rsidRPr="00366E8E" w:rsidR="00F4463A">
        <w:t>Under its policy regarding late-filed renewal applications in wireless services, the Commission has acknowledged that there may be circumstances when a renewal filing is missed and that</w:t>
      </w:r>
      <w:r w:rsidRPr="00366E8E" w:rsidR="007927B9">
        <w:t xml:space="preserve"> the subsequent denial of the renewal application and termination of the license would be too harsh a result in proportion to the nature of the violation.  </w:t>
      </w:r>
      <w:r w:rsidRPr="00366E8E" w:rsidR="007927B9">
        <w:rPr>
          <w:i/>
        </w:rPr>
        <w:t>See</w:t>
      </w:r>
      <w:r w:rsidRPr="00366E8E" w:rsidR="007927B9">
        <w:t xml:space="preserve"> </w:t>
      </w:r>
      <w:r w:rsidRPr="00366E8E" w:rsidR="007927B9">
        <w:rPr>
          <w:i/>
        </w:rPr>
        <w:t>In</w:t>
      </w:r>
      <w:r w:rsidRPr="00366E8E" w:rsidR="007927B9">
        <w:rPr>
          <w:i/>
        </w:rPr>
        <w:t xml:space="preserve"> the Matter of Biennial Regulatory Review – Amendment of Parts 0, 1, 13, 22, 24, 26, 27, 80, 87, 90, 95, and 101 of the Commission’s Rules to Facilitate the Development and Use of the Universal Licensing System in the Wireless Telecommunications Services</w:t>
      </w:r>
      <w:r w:rsidRPr="00366E8E" w:rsidR="007927B9">
        <w:t xml:space="preserve">, Memorandum Opinion and Order on Reconsideration, 14 FCC </w:t>
      </w:r>
      <w:r w:rsidRPr="00366E8E" w:rsidR="007927B9">
        <w:t>Rcd</w:t>
      </w:r>
      <w:r w:rsidRPr="00366E8E" w:rsidR="007927B9">
        <w:t xml:space="preserve"> 11476, 11485, para. 22 (1999).  To mitigate a harsh result, under the Commission’s policy regarding late-filed renewal applications in wireless services, where a renewal application is filed up to 30 days after the license expiration date, a waiver of the filing deadline and the renewal application will be granted as long as the application is otherwise sufficient under Commission rules, but the licensee may be subject to enforcement action.  Because we are dismissing the renewal applications as moot we need not address the late-filed </w:t>
      </w:r>
      <w:r w:rsidR="002050F3">
        <w:t xml:space="preserve">renewal application </w:t>
      </w:r>
      <w:r w:rsidRPr="00366E8E" w:rsidR="007927B9">
        <w:t>waiver</w:t>
      </w:r>
      <w:r w:rsidR="0097692D">
        <w:t xml:space="preserve"> request</w:t>
      </w:r>
      <w:r w:rsidRPr="00366E8E" w:rsidR="007927B9">
        <w:t>s</w:t>
      </w:r>
      <w:r w:rsidR="00AA2C75">
        <w:t>.</w:t>
      </w:r>
    </w:p>
  </w:footnote>
  <w:footnote w:id="23">
    <w:p w:rsidR="00517749" w:rsidRPr="00366E8E" w:rsidP="00375265">
      <w:pPr>
        <w:pStyle w:val="FootnoteText"/>
        <w:jc w:val="left"/>
      </w:pPr>
      <w:r w:rsidRPr="00366E8E">
        <w:rPr>
          <w:rStyle w:val="FootnoteReference"/>
        </w:rPr>
        <w:footnoteRef/>
      </w:r>
      <w:r w:rsidRPr="00366E8E">
        <w:t xml:space="preserve"> MDS Operations Waiver and Extension Request (filed Apr. 6, 2016) at 3.</w:t>
      </w:r>
    </w:p>
  </w:footnote>
  <w:footnote w:id="24">
    <w:p w:rsidR="00517749" w:rsidRPr="00366E8E" w:rsidP="00375265">
      <w:pPr>
        <w:pStyle w:val="FootnoteText"/>
        <w:jc w:val="left"/>
      </w:pPr>
      <w:r w:rsidRPr="00366E8E">
        <w:rPr>
          <w:rStyle w:val="FootnoteReference"/>
        </w:rPr>
        <w:footnoteRef/>
      </w:r>
      <w:r w:rsidRPr="00366E8E">
        <w:t xml:space="preserve"> Braunston Spectrum LLC Waiver and Extension Request</w:t>
      </w:r>
      <w:r w:rsidRPr="00366E8E" w:rsidR="00841730">
        <w:t xml:space="preserve"> (filed Apr. 7, 2016) at 1.  Montana Internet Corporation Waiver and Extension Request (filed Apr. 8, 2016) at 1.</w:t>
      </w:r>
    </w:p>
  </w:footnote>
  <w:footnote w:id="25">
    <w:p w:rsidR="002A2ECD" w:rsidRPr="00366E8E" w:rsidP="00375265">
      <w:pPr>
        <w:pStyle w:val="FootnoteText"/>
        <w:jc w:val="left"/>
      </w:pPr>
      <w:r w:rsidRPr="00366E8E">
        <w:rPr>
          <w:rStyle w:val="FootnoteReference"/>
        </w:rPr>
        <w:footnoteRef/>
      </w:r>
      <w:r w:rsidRPr="00366E8E">
        <w:t xml:space="preserve"> </w:t>
      </w:r>
      <w:r w:rsidRPr="00366E8E">
        <w:rPr>
          <w:i/>
        </w:rPr>
        <w:t>See</w:t>
      </w:r>
      <w:r w:rsidRPr="00366E8E">
        <w:t xml:space="preserve"> 47 CFR §§ 1.3, 1.925(b)(3), 1.946(e).</w:t>
      </w:r>
    </w:p>
  </w:footnote>
  <w:footnote w:id="26">
    <w:p w:rsidR="002A2ECD" w:rsidRPr="00366E8E" w:rsidP="00375265">
      <w:pPr>
        <w:pStyle w:val="FootnoteText"/>
        <w:jc w:val="left"/>
      </w:pPr>
      <w:r w:rsidRPr="00366E8E">
        <w:rPr>
          <w:rStyle w:val="FootnoteReference"/>
        </w:rPr>
        <w:footnoteRef/>
      </w:r>
      <w:r w:rsidRPr="00366E8E">
        <w:t xml:space="preserve"> </w:t>
      </w:r>
      <w:r w:rsidRPr="00366E8E">
        <w:rPr>
          <w:i/>
        </w:rPr>
        <w:t>Id.</w:t>
      </w:r>
      <w:r w:rsidRPr="00366E8E">
        <w:t xml:space="preserve"> § 1.925(b)(3)(</w:t>
      </w:r>
      <w:r w:rsidRPr="00366E8E">
        <w:t>i</w:t>
      </w:r>
      <w:r w:rsidRPr="00366E8E">
        <w:t xml:space="preserve">)-(ii).  </w:t>
      </w:r>
    </w:p>
  </w:footnote>
  <w:footnote w:id="27">
    <w:p w:rsidR="00C07684" w:rsidRPr="00366E8E" w:rsidP="00375265">
      <w:pPr>
        <w:pStyle w:val="FootnoteText"/>
        <w:jc w:val="left"/>
      </w:pPr>
      <w:r w:rsidRPr="00366E8E">
        <w:rPr>
          <w:rStyle w:val="FootnoteReference"/>
        </w:rPr>
        <w:footnoteRef/>
      </w:r>
      <w:r w:rsidRPr="00366E8E">
        <w:t xml:space="preserve"> </w:t>
      </w:r>
      <w:r w:rsidRPr="00366E8E">
        <w:rPr>
          <w:i/>
          <w:color w:val="000000"/>
        </w:rPr>
        <w:t xml:space="preserve">WAIT Radio v. FCC, </w:t>
      </w:r>
      <w:r w:rsidRPr="00366E8E">
        <w:rPr>
          <w:color w:val="000000"/>
        </w:rPr>
        <w:t>459 F.2d 1203, 1207 (D.C. Cir. 1972).</w:t>
      </w:r>
    </w:p>
  </w:footnote>
  <w:footnote w:id="28">
    <w:p w:rsidR="00C07684" w:rsidRPr="00366E8E" w:rsidP="00375265">
      <w:pPr>
        <w:pStyle w:val="FootnoteText"/>
        <w:jc w:val="left"/>
      </w:pPr>
      <w:r w:rsidRPr="00366E8E">
        <w:rPr>
          <w:rStyle w:val="FootnoteReference"/>
        </w:rPr>
        <w:footnoteRef/>
      </w:r>
      <w:r w:rsidRPr="00366E8E">
        <w:t xml:space="preserve"> </w:t>
      </w:r>
      <w:r w:rsidRPr="00366E8E">
        <w:rPr>
          <w:i/>
        </w:rPr>
        <w:t xml:space="preserve">See </w:t>
      </w:r>
      <w:r w:rsidRPr="00366E8E">
        <w:t xml:space="preserve">47 U.S.C. § 309(j).  </w:t>
      </w:r>
    </w:p>
  </w:footnote>
  <w:footnote w:id="29">
    <w:p w:rsidR="00C07684" w:rsidRPr="00366E8E" w:rsidP="00375265">
      <w:pPr>
        <w:pStyle w:val="FootnoteText"/>
        <w:jc w:val="left"/>
      </w:pPr>
      <w:r w:rsidRPr="00366E8E">
        <w:rPr>
          <w:rStyle w:val="FootnoteReference"/>
        </w:rPr>
        <w:footnoteRef/>
      </w:r>
      <w:r w:rsidRPr="00366E8E">
        <w:t xml:space="preserve"> </w:t>
      </w:r>
      <w:r w:rsidRPr="00366E8E">
        <w:rPr>
          <w:i/>
        </w:rPr>
        <w:t xml:space="preserve">See WAIT Radio v. FCC, </w:t>
      </w:r>
      <w:r w:rsidRPr="00366E8E">
        <w:t xml:space="preserve">418 F.2d 1153, 1157 (D.C. Cir. 1969), </w:t>
      </w:r>
      <w:r w:rsidRPr="00366E8E">
        <w:rPr>
          <w:i/>
        </w:rPr>
        <w:t>aff’d</w:t>
      </w:r>
      <w:r w:rsidRPr="00366E8E">
        <w:t xml:space="preserve">, 459 F.2d 1203 (D.C. Cir. 1972), </w:t>
      </w:r>
      <w:r w:rsidRPr="00366E8E">
        <w:rPr>
          <w:i/>
        </w:rPr>
        <w:t xml:space="preserve">cert. denied, </w:t>
      </w:r>
      <w:r w:rsidRPr="00366E8E">
        <w:t xml:space="preserve">93 S. Ct. 461 (1972).  </w:t>
      </w:r>
    </w:p>
  </w:footnote>
  <w:footnote w:id="30">
    <w:p w:rsidR="00C07684" w:rsidRPr="00366E8E" w:rsidP="00375265">
      <w:pPr>
        <w:pStyle w:val="FootnoteText"/>
        <w:jc w:val="left"/>
      </w:pPr>
      <w:r w:rsidRPr="00366E8E">
        <w:rPr>
          <w:rStyle w:val="FootnoteReference"/>
        </w:rPr>
        <w:footnoteRef/>
      </w:r>
      <w:r w:rsidRPr="00366E8E">
        <w:t xml:space="preserve"> 47 CFR § 1.3.</w:t>
      </w:r>
    </w:p>
  </w:footnote>
  <w:footnote w:id="31">
    <w:p w:rsidR="00C07684" w:rsidRPr="00366E8E" w:rsidP="00375265">
      <w:pPr>
        <w:pStyle w:val="FootnoteText"/>
        <w:jc w:val="left"/>
      </w:pPr>
      <w:r w:rsidRPr="00366E8E">
        <w:rPr>
          <w:rStyle w:val="FootnoteReference"/>
        </w:rPr>
        <w:footnoteRef/>
      </w:r>
      <w:r w:rsidRPr="00366E8E">
        <w:t xml:space="preserve"> </w:t>
      </w:r>
      <w:r w:rsidRPr="00366E8E">
        <w:rPr>
          <w:i/>
        </w:rPr>
        <w:t>Id.</w:t>
      </w:r>
      <w:r w:rsidRPr="00366E8E">
        <w:t xml:space="preserve"> § 1.946(e)(1).</w:t>
      </w:r>
    </w:p>
  </w:footnote>
  <w:footnote w:id="32">
    <w:p w:rsidR="00C07684" w:rsidRPr="00324C66" w:rsidP="00375265">
      <w:pPr>
        <w:pStyle w:val="FootnoteText"/>
        <w:jc w:val="left"/>
      </w:pPr>
      <w:r w:rsidRPr="00366E8E">
        <w:rPr>
          <w:rStyle w:val="FootnoteReference"/>
        </w:rPr>
        <w:footnoteRef/>
      </w:r>
      <w:r w:rsidRPr="00366E8E">
        <w:t xml:space="preserve"> </w:t>
      </w:r>
      <w:r w:rsidRPr="00366E8E">
        <w:rPr>
          <w:i/>
        </w:rPr>
        <w:t xml:space="preserve">See </w:t>
      </w:r>
      <w:r w:rsidRPr="00366E8E" w:rsidR="00A82B27">
        <w:rPr>
          <w:i/>
        </w:rPr>
        <w:t>Auction of Multichannel Video Distribution and Data Services Licenses</w:t>
      </w:r>
      <w:r w:rsidRPr="00366E8E" w:rsidR="00A82B27">
        <w:t xml:space="preserve">, Public Notice, </w:t>
      </w:r>
      <w:r w:rsidRPr="00366E8E" w:rsidR="006E5C14">
        <w:t xml:space="preserve">20 FCC </w:t>
      </w:r>
      <w:r w:rsidRPr="00366E8E" w:rsidR="006E5C14">
        <w:t>Rcd</w:t>
      </w:r>
      <w:r w:rsidRPr="00366E8E" w:rsidR="006E5C14">
        <w:t xml:space="preserve"> 18016</w:t>
      </w:r>
      <w:r w:rsidR="00A7684E">
        <w:t xml:space="preserve">, 18019-21 </w:t>
      </w:r>
      <w:r w:rsidRPr="00366E8E" w:rsidR="00A82B27">
        <w:t>(</w:t>
      </w:r>
      <w:r w:rsidRPr="00366E8E" w:rsidR="00A82B27">
        <w:t>WTB</w:t>
      </w:r>
      <w:r w:rsidRPr="00366E8E" w:rsidR="00A82B27">
        <w:t xml:space="preserve"> 2005)</w:t>
      </w:r>
      <w:r w:rsidR="00DE5329">
        <w:t xml:space="preserve"> </w:t>
      </w:r>
      <w:r w:rsidR="00324C66">
        <w:t>(</w:t>
      </w:r>
      <w:r w:rsidRPr="00A7684E" w:rsidR="00324C66">
        <w:rPr>
          <w:i/>
        </w:rPr>
        <w:t>Auction</w:t>
      </w:r>
      <w:r w:rsidR="00A7684E">
        <w:rPr>
          <w:i/>
        </w:rPr>
        <w:t>-</w:t>
      </w:r>
      <w:r w:rsidRPr="00A7684E" w:rsidR="00324C66">
        <w:rPr>
          <w:i/>
        </w:rPr>
        <w:t>63 Public Notice</w:t>
      </w:r>
      <w:r w:rsidR="00324C66">
        <w:t xml:space="preserve">).  </w:t>
      </w:r>
      <w:r w:rsidR="00DE5329">
        <w:t>“</w:t>
      </w:r>
      <w:r w:rsidRPr="00DE5329" w:rsidR="00DE5329">
        <w:t>Potential bidders are reminded that they are solely responsible for investigating and evaluating all technical and marketplace factors that may have a bearing on the value of the licenses being offered in this auction.  The Commission makes no representations or warranties about the use of this spectrum for particular services</w:t>
      </w:r>
      <w:r w:rsidRPr="00DE5329" w:rsidR="00DE5329">
        <w:t>. . . .</w:t>
      </w:r>
      <w:r w:rsidRPr="00DE5329" w:rsidR="00DE5329">
        <w:t xml:space="preserve">  Additionally, potential bidders should perform technical analyses </w:t>
      </w:r>
      <w:r w:rsidRPr="00DE5329" w:rsidR="00DE5329">
        <w:t>sufficient</w:t>
      </w:r>
      <w:r w:rsidRPr="00DE5329" w:rsidR="00DE5329">
        <w:t xml:space="preserve"> to assure them that, if they prevail in competitive bidding for a particular license, they will be able to build and operate facilities that will comply fully with the Commission’s technical and legal requirements.  As part of their due diligence efforts, potential applicants should physically inspect any sites located in, or near, the service area for which they plan to bid.</w:t>
      </w:r>
      <w:r w:rsidR="00DE5329">
        <w:t>”</w:t>
      </w:r>
      <w:r w:rsidR="00324C66">
        <w:t xml:space="preserve">  </w:t>
      </w:r>
      <w:r w:rsidR="00200DC8">
        <w:rPr>
          <w:i/>
        </w:rPr>
        <w:t>Id.</w:t>
      </w:r>
      <w:r w:rsidR="00324C66">
        <w:t xml:space="preserve"> at 18019.</w:t>
      </w:r>
    </w:p>
  </w:footnote>
  <w:footnote w:id="33">
    <w:p w:rsidR="006E5C14" w:rsidRPr="00366E8E" w:rsidP="00375265">
      <w:pPr>
        <w:pStyle w:val="FootnoteText"/>
        <w:jc w:val="left"/>
      </w:pPr>
      <w:r w:rsidRPr="00366E8E">
        <w:rPr>
          <w:rStyle w:val="FootnoteReference"/>
        </w:rPr>
        <w:footnoteRef/>
      </w:r>
      <w:r w:rsidRPr="00366E8E">
        <w:t xml:space="preserve"> </w:t>
      </w:r>
      <w:r w:rsidRPr="00366E8E">
        <w:rPr>
          <w:i/>
        </w:rPr>
        <w:t>See, e.g., NTCH, Inc.,</w:t>
      </w:r>
      <w:r w:rsidRPr="00366E8E">
        <w:t xml:space="preserve"> Memorandum Opinion and Order, 28 FCC </w:t>
      </w:r>
      <w:r w:rsidRPr="00366E8E">
        <w:t>Rcd</w:t>
      </w:r>
      <w:r w:rsidRPr="00366E8E">
        <w:t xml:space="preserve"> 16108, 16144, para. 19 (WTB ASAD 2013) (“Prior to an auction, we consistently advise bidders that they are solely responsible for conducting due diligence to investigate and evaluate all technical and marketplace factors that may bear upon their decision to bid upon a license being offered”); </w:t>
      </w:r>
      <w:r w:rsidRPr="00366E8E">
        <w:rPr>
          <w:i/>
        </w:rPr>
        <w:t xml:space="preserve">Auction of Advanced Wireless Services (AWS-3) Licenses Scheduled for November 13, 2014; Notice and Filing Requirements, Reserve Prices, Minimum Opening Bids, Upfront Payments, and Other Procedures for Auction 97, </w:t>
      </w:r>
      <w:r w:rsidRPr="00366E8E">
        <w:t xml:space="preserve">Public Notice, 29 FCC </w:t>
      </w:r>
      <w:r w:rsidRPr="00366E8E">
        <w:t>Rcd</w:t>
      </w:r>
      <w:r w:rsidRPr="00366E8E">
        <w:t xml:space="preserve"> 8386, 8403-8404, paras. 46-48 (WTB 2014) (“As always, the burden is on the potential bidder to determine how much research to undertake, depending on specific facts and circumstances related to its interests</w:t>
      </w:r>
      <w:r w:rsidR="00CB13FE">
        <w:t>.</w:t>
      </w:r>
      <w:r w:rsidRPr="00366E8E">
        <w:t>”).</w:t>
      </w:r>
    </w:p>
  </w:footnote>
  <w:footnote w:id="34">
    <w:p w:rsidR="006E5C14" w:rsidRPr="00366E8E" w:rsidP="00375265">
      <w:pPr>
        <w:pStyle w:val="FootnoteText"/>
        <w:jc w:val="left"/>
      </w:pPr>
      <w:r w:rsidRPr="00366E8E">
        <w:rPr>
          <w:rStyle w:val="FootnoteReference"/>
        </w:rPr>
        <w:footnoteRef/>
      </w:r>
      <w:r w:rsidRPr="00366E8E">
        <w:t xml:space="preserve"> </w:t>
      </w:r>
      <w:r w:rsidRPr="00366E8E" w:rsidR="006F1C9C">
        <w:rPr>
          <w:i/>
        </w:rPr>
        <w:t>See Auction</w:t>
      </w:r>
      <w:r w:rsidR="00A7684E">
        <w:rPr>
          <w:i/>
        </w:rPr>
        <w:t>-63 Public Notice</w:t>
      </w:r>
      <w:r w:rsidRPr="00366E8E" w:rsidR="006F1C9C">
        <w:t xml:space="preserve">, 20 FCC </w:t>
      </w:r>
      <w:r w:rsidRPr="00366E8E" w:rsidR="006F1C9C">
        <w:t>Rcd</w:t>
      </w:r>
      <w:r w:rsidRPr="00366E8E" w:rsidR="006F1C9C">
        <w:t xml:space="preserve"> </w:t>
      </w:r>
      <w:r w:rsidR="00406606">
        <w:t xml:space="preserve">at </w:t>
      </w:r>
      <w:r w:rsidRPr="00366E8E" w:rsidR="006F1C9C">
        <w:t>1801</w:t>
      </w:r>
      <w:r w:rsidR="00D00134">
        <w:t xml:space="preserve">9.  </w:t>
      </w:r>
      <w:r w:rsidR="008F0CB0">
        <w:rPr>
          <w:i/>
        </w:rPr>
        <w:t xml:space="preserve">See also </w:t>
      </w:r>
      <w:r w:rsidRPr="008F0CB0" w:rsidR="008F0CB0">
        <w:rPr>
          <w:i/>
        </w:rPr>
        <w:t>Auction of Multichannel Video Distribution and Data Service Licenses Scheduled for December 7, 2005; Notice and Filing Requirements, Minimum Opening Bids, Upfront Payments and Other Procedures for Auction No. 63</w:t>
      </w:r>
      <w:r w:rsidR="008F0CB0">
        <w:t xml:space="preserve">, Public Notice, 20 FCC </w:t>
      </w:r>
      <w:r w:rsidR="008F0CB0">
        <w:t>Rcd</w:t>
      </w:r>
      <w:r w:rsidR="008F0CB0">
        <w:t xml:space="preserve"> 13327, 13334-37 (</w:t>
      </w:r>
      <w:r w:rsidR="008F0CB0">
        <w:t>WTB</w:t>
      </w:r>
      <w:r w:rsidR="008F0CB0">
        <w:t xml:space="preserve"> 2005).</w:t>
      </w:r>
      <w:r w:rsidR="00D30289">
        <w:t xml:space="preserve">  </w:t>
      </w:r>
    </w:p>
  </w:footnote>
  <w:footnote w:id="35">
    <w:p w:rsidR="003D2FBD" w:rsidP="00375265">
      <w:pPr>
        <w:pStyle w:val="FootnoteText"/>
        <w:jc w:val="left"/>
      </w:pPr>
      <w:r>
        <w:rPr>
          <w:rStyle w:val="FootnoteReference"/>
        </w:rPr>
        <w:footnoteRef/>
      </w:r>
      <w:r>
        <w:t xml:space="preserve"> </w:t>
      </w:r>
      <w:r w:rsidRPr="000146FC" w:rsidR="000146FC">
        <w:rPr>
          <w:i/>
        </w:rPr>
        <w:t>See supra</w:t>
      </w:r>
      <w:r w:rsidR="000146FC">
        <w:t xml:space="preserve"> note </w:t>
      </w:r>
      <w:r w:rsidR="000146FC">
        <w:fldChar w:fldCharType="begin"/>
      </w:r>
      <w:r w:rsidR="000146FC">
        <w:instrText xml:space="preserve"> NOTEREF _Ref516235995 </w:instrText>
      </w:r>
      <w:r w:rsidR="00375265">
        <w:instrText xml:space="preserve"> \* MERGEFORMAT </w:instrText>
      </w:r>
      <w:r w:rsidR="000146FC">
        <w:fldChar w:fldCharType="separate"/>
      </w:r>
      <w:r w:rsidR="001E761A">
        <w:t>19</w:t>
      </w:r>
      <w:r w:rsidR="000146FC">
        <w:fldChar w:fldCharType="end"/>
      </w:r>
      <w:r w:rsidR="000146FC">
        <w:t>.</w:t>
      </w:r>
    </w:p>
  </w:footnote>
  <w:footnote w:id="36">
    <w:p w:rsidR="004A5D9F" w:rsidRPr="00366E8E" w:rsidP="00375265">
      <w:pPr>
        <w:pStyle w:val="FootnoteText"/>
        <w:jc w:val="left"/>
      </w:pPr>
      <w:r w:rsidRPr="00366E8E">
        <w:rPr>
          <w:rStyle w:val="FootnoteReference"/>
        </w:rPr>
        <w:footnoteRef/>
      </w:r>
      <w:r w:rsidRPr="00366E8E">
        <w:t xml:space="preserve"> </w:t>
      </w:r>
      <w:r w:rsidRPr="00366E8E">
        <w:rPr>
          <w:i/>
        </w:rPr>
        <w:t>See SPEEDUSNY.COM, L.P.</w:t>
      </w:r>
      <w:r w:rsidRPr="00366E8E">
        <w:t xml:space="preserve">, Memorandum Opinion and Order, 27 FCC </w:t>
      </w:r>
      <w:r w:rsidRPr="00366E8E">
        <w:t>Rcd</w:t>
      </w:r>
      <w:r w:rsidRPr="00366E8E">
        <w:t xml:space="preserve"> 15321, 15327-28 </w:t>
      </w:r>
      <w:r w:rsidR="000903BD">
        <w:t xml:space="preserve">para. </w:t>
      </w:r>
      <w:r w:rsidRPr="00366E8E">
        <w:t xml:space="preserve">15 (WTB BD 2012). </w:t>
      </w:r>
      <w:r w:rsidRPr="00366E8E">
        <w:rPr>
          <w:i/>
        </w:rPr>
        <w:t xml:space="preserve"> Cope Communications, Inc.</w:t>
      </w:r>
      <w:r w:rsidRPr="00366E8E">
        <w:t xml:space="preserve">, Memorandum Opinion and Order, 13 FCC </w:t>
      </w:r>
      <w:r w:rsidRPr="00366E8E">
        <w:t>Rcd</w:t>
      </w:r>
      <w:r w:rsidRPr="00366E8E">
        <w:t xml:space="preserve"> 14564, 14565 </w:t>
      </w:r>
      <w:r w:rsidR="000903BD">
        <w:t>para</w:t>
      </w:r>
      <w:r w:rsidR="000903BD">
        <w:t xml:space="preserve">. </w:t>
      </w:r>
      <w:r w:rsidRPr="00366E8E">
        <w:t>5 (1998).</w:t>
      </w:r>
    </w:p>
  </w:footnote>
  <w:footnote w:id="37">
    <w:p w:rsidR="007844A8" w:rsidRPr="00366E8E" w:rsidP="00375265">
      <w:pPr>
        <w:pStyle w:val="FootnoteText"/>
        <w:jc w:val="left"/>
      </w:pPr>
      <w:r w:rsidRPr="00366E8E">
        <w:rPr>
          <w:rStyle w:val="FootnoteReference"/>
        </w:rPr>
        <w:footnoteRef/>
      </w:r>
      <w:r w:rsidRPr="00366E8E">
        <w:t xml:space="preserve"> 47 </w:t>
      </w:r>
      <w:r w:rsidRPr="00366E8E" w:rsidR="008B0B0B">
        <w:t>CFR</w:t>
      </w:r>
      <w:r w:rsidRPr="00366E8E">
        <w:t xml:space="preserve"> § 1.925.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791">
    <w:pPr>
      <w:pStyle w:val="Header"/>
      <w:tabs>
        <w:tab w:val="clear" w:pos="4320"/>
        <w:tab w:val="center" w:pos="4680"/>
        <w:tab w:val="clear" w:pos="8640"/>
        <w:tab w:val="right" w:pos="9360"/>
      </w:tabs>
      <w:rPr>
        <w:b/>
      </w:rPr>
    </w:pPr>
    <w:r>
      <w:rPr>
        <w:b/>
      </w:rPr>
      <w:tab/>
      <w:t>Federal Communications Commission</w:t>
    </w:r>
    <w:r>
      <w:rPr>
        <w:b/>
      </w:rPr>
      <w:tab/>
      <w:t xml:space="preserve">DA </w:t>
    </w:r>
    <w:r w:rsidR="00EF60A0">
      <w:rPr>
        <w:b/>
      </w:rPr>
      <w:t>18</w:t>
    </w:r>
    <w:r>
      <w:rPr>
        <w:b/>
      </w:rPr>
      <w:t>-</w:t>
    </w:r>
    <w:r w:rsidR="005E6AC7">
      <w:rPr>
        <w:b/>
      </w:rPr>
      <w:t>1109</w:t>
    </w:r>
    <w:r>
      <w:rPr>
        <w:b/>
      </w:rPr>
      <w:t xml:space="preserve"> </w:t>
    </w:r>
  </w:p>
  <w:p w:rsidR="00C26791">
    <w:pPr>
      <w:pStyle w:val="Header"/>
      <w:tabs>
        <w:tab w:val="clear" w:pos="8640"/>
        <w:tab w:val="right" w:pos="9360"/>
      </w:tabs>
    </w:pPr>
    <w:r>
      <w:rPr>
        <w:noProof/>
      </w:rPr>
      <w:pict>
        <v:line id="_x0000_s2049" style="position:absolute;z-index:251659264" from="0,1.75pt" to="468pt,1.75pt" o:allowincell="f" strokeweight="1.5pt"/>
      </w:pict>
    </w:r>
  </w:p>
  <w:p w:rsidR="00C26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791">
    <w:pPr>
      <w:pStyle w:val="Header"/>
      <w:tabs>
        <w:tab w:val="clear" w:pos="4320"/>
        <w:tab w:val="center" w:pos="4680"/>
        <w:tab w:val="clear" w:pos="8640"/>
        <w:tab w:val="right" w:pos="9360"/>
      </w:tabs>
      <w:rPr>
        <w:b/>
      </w:rPr>
    </w:pPr>
    <w:r>
      <w:rPr>
        <w:b/>
      </w:rPr>
      <w:tab/>
      <w:t>Federal Communications Commission</w:t>
    </w:r>
    <w:r>
      <w:rPr>
        <w:b/>
      </w:rPr>
      <w:tab/>
    </w:r>
    <w:r w:rsidR="003F2AAD">
      <w:rPr>
        <w:b/>
      </w:rPr>
      <w:t>DA 18</w:t>
    </w:r>
    <w:r>
      <w:rPr>
        <w:b/>
      </w:rPr>
      <w:t>-</w:t>
    </w:r>
    <w:r w:rsidR="002F6282">
      <w:rPr>
        <w:b/>
      </w:rPr>
      <w:t>1109</w:t>
    </w:r>
    <w:r>
      <w:rPr>
        <w:b/>
      </w:rPr>
      <w:t xml:space="preserve"> </w:t>
    </w:r>
  </w:p>
  <w:p w:rsidR="00C26791">
    <w:pPr>
      <w:pStyle w:val="Header"/>
      <w:tabs>
        <w:tab w:val="clear" w:pos="8640"/>
        <w:tab w:val="right" w:pos="9360"/>
      </w:tabs>
    </w:pPr>
    <w:r>
      <w:rPr>
        <w:noProof/>
      </w:rPr>
      <w:pict>
        <v:line id="_x0000_s2050" style="position:absolute;z-index:251658240"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pStyle w:val="Paranum0"/>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530"/>
        </w:tabs>
        <w:ind w:left="45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5D875855"/>
    <w:multiLevelType w:val="hybridMultilevel"/>
    <w:tmpl w:val="5784C9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61182925"/>
    <w:multiLevelType w:val="singleLevel"/>
    <w:tmpl w:val="A9EE9842"/>
    <w:lvl w:ilvl="0">
      <w:start w:val="1"/>
      <w:numFmt w:val="decimal"/>
      <w:lvlText w:val="%1."/>
      <w:lvlJc w:val="left"/>
      <w:pPr>
        <w:tabs>
          <w:tab w:val="num" w:pos="1080"/>
        </w:tabs>
        <w:ind w:left="0" w:firstLine="720"/>
      </w:p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2">
    <w:nsid w:val="701814AD"/>
    <w:multiLevelType w:val="hybridMultilevel"/>
    <w:tmpl w:val="BBDC83DC"/>
    <w:lvl w:ilvl="0">
      <w:start w:val="4"/>
      <w:numFmt w:val="upperRoman"/>
      <w:lvlText w:val="%1."/>
      <w:lvlJc w:val="center"/>
      <w:pPr>
        <w:tabs>
          <w:tab w:val="num" w:pos="1140"/>
        </w:tabs>
        <w:ind w:left="780" w:hanging="720"/>
      </w:pPr>
      <w:rPr>
        <w:rFonts w:hint="default"/>
        <w:b/>
        <w:i w:val="0"/>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7B94363C"/>
    <w:multiLevelType w:val="hybridMultilevel"/>
    <w:tmpl w:val="31200DE0"/>
    <w:lvl w:ilvl="0">
      <w:start w:val="1"/>
      <w:numFmt w:val="decimal"/>
      <w:lvlText w:val="%1."/>
      <w:lvlJc w:val="left"/>
      <w:pPr>
        <w:tabs>
          <w:tab w:val="num" w:pos="1800"/>
        </w:tabs>
        <w:ind w:left="1440" w:hanging="720"/>
      </w:pPr>
      <w:rPr>
        <w:rFonts w:ascii="Times New Roman" w:hAnsi="Times New Roman"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F290A6D"/>
    <w:multiLevelType w:val="singleLevel"/>
    <w:tmpl w:val="62549EAE"/>
    <w:lvl w:ilvl="0">
      <w:start w:val="1"/>
      <w:numFmt w:val="upperLetter"/>
      <w:lvlText w:val="(%1)"/>
      <w:lvlJc w:val="left"/>
      <w:pPr>
        <w:tabs>
          <w:tab w:val="num" w:pos="375"/>
        </w:tabs>
        <w:ind w:left="375" w:hanging="375"/>
      </w:pPr>
      <w:rPr>
        <w:rFonts w:hint="default"/>
      </w:rPr>
    </w:lvl>
  </w:abstractNum>
  <w:num w:numId="1">
    <w:abstractNumId w:val="21"/>
  </w:num>
  <w:num w:numId="2">
    <w:abstractNumId w:val="23"/>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24"/>
  </w:num>
  <w:num w:numId="23">
    <w:abstractNumId w:val="22"/>
  </w:num>
  <w:num w:numId="24">
    <w:abstractNumId w:val="11"/>
  </w:num>
  <w:num w:numId="25">
    <w:abstractNumId w:val="11"/>
  </w:num>
  <w:num w:numId="26">
    <w:abstractNumId w:val="11"/>
  </w:num>
  <w:num w:numId="27">
    <w:abstractNumId w:val="25"/>
  </w:num>
  <w:num w:numId="28">
    <w:abstractNumId w:val="19"/>
  </w:num>
  <w:num w:numId="29">
    <w:abstractNumId w:val="11"/>
  </w:num>
  <w:num w:numId="30">
    <w:abstractNumId w:val="11"/>
  </w:num>
  <w:num w:numId="31">
    <w:abstractNumId w:val="11"/>
  </w:num>
  <w:num w:numId="32">
    <w:abstractNumId w:val="11"/>
  </w:num>
  <w:num w:numId="33">
    <w:abstractNumId w:val="11"/>
    <w:lvlOverride w:ilvl="0">
      <w:startOverride w:val="1"/>
    </w:lvlOverride>
  </w:num>
  <w:num w:numId="34">
    <w:abstractNumId w:val="11"/>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num>
  <w:num w:numId="41">
    <w:abstractNumId w:val="11"/>
  </w:num>
  <w:num w:numId="42">
    <w:abstractNumId w:val="11"/>
  </w:num>
  <w:num w:numId="43">
    <w:abstractNumId w:val="20"/>
  </w:num>
  <w:num w:numId="44">
    <w:abstractNumId w:val="11"/>
  </w:num>
  <w:num w:numId="45">
    <w:abstractNumId w:val="11"/>
  </w:num>
  <w:num w:numId="46">
    <w:abstractNumId w:val="11"/>
  </w:num>
  <w:num w:numId="47">
    <w:abstractNumId w:val="11"/>
  </w:num>
  <w:num w:numId="48">
    <w:abstractNumId w:val="11"/>
    <w:lvlOverride w:ilvl="0">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3"/>
      </w:numPr>
      <w:tabs>
        <w:tab w:val="left" w:pos="1440"/>
      </w:tabs>
      <w:spacing w:after="220"/>
      <w:jc w:val="both"/>
    </w:pPr>
  </w:style>
  <w:style w:type="paragraph" w:styleId="Caption">
    <w:name w:val="caption"/>
    <w:basedOn w:val="Normal"/>
    <w:next w:val="Normal"/>
    <w:qFormat/>
    <w:pPr>
      <w:spacing w:before="120" w:after="120"/>
    </w:pPr>
    <w:rPr>
      <w:b/>
    </w:rPr>
  </w:style>
  <w:style w:type="paragraph" w:styleId="FootnoteText">
    <w:name w:val="footnote text"/>
    <w:aliases w:val="ALTS FOOTNOTE,Footnote Text Char,Footnote Text Char Char Char Char,Footnote Text Char1,Footnote Text Char1 Char Char,Footnote Text Char1 Char Char Char Char Char Char,Footnote Text Char1 Char2 Char Char Char,Footnote Text Char2 Char,f,fn"/>
    <w:basedOn w:val="Normal"/>
    <w:link w:val="FootnoteTextChar2"/>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 Char Char Char Char,Footnote Text Char1 Char Char Char,Footnote Text Char1 Char Char Char Char Char Char Char,Footnote Text Char1 Char2 Char Char Char Char,Footnote Text Char2 Char Char"/>
    <w:link w:val="FootnoteText"/>
    <w:rPr>
      <w:lang w:val="en-US" w:eastAsia="en-US" w:bidi="ar-SA"/>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Appel note de bas de p,FR,Footnote Reference/,Footnote Reference1,Style 12,Style 124,Style 13,Style 17,Style 3,Style 34,Style 4,Style 6,Style 7,Style 9,fr,o"/>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1Char3Char">
    <w:name w:val="Footnote Text Char1 Char3 Char"/>
    <w:aliases w:val="Footnote Text Char Char Char Char Char Char Char,Footnote Text Char1 Char4,Footnote Text Char2 Char Char Char Char Char1"/>
    <w:rPr>
      <w:lang w:val="en-US" w:eastAsia="en-US" w:bidi="ar-SA"/>
    </w:rPr>
  </w:style>
  <w:style w:type="paragraph" w:customStyle="1" w:styleId="ParaNumChar">
    <w:name w:val="ParaNum Char"/>
    <w:basedOn w:val="Normal"/>
    <w:pPr>
      <w:widowControl w:val="0"/>
      <w:tabs>
        <w:tab w:val="num" w:pos="990"/>
        <w:tab w:val="left" w:pos="1440"/>
      </w:tabs>
      <w:spacing w:after="220"/>
      <w:ind w:left="-450" w:firstLine="1440"/>
      <w:jc w:val="both"/>
    </w:pPr>
  </w:style>
  <w:style w:type="paragraph" w:customStyle="1" w:styleId="StyleParaNumLeft">
    <w:name w:val="Style ParaNum + Left"/>
    <w:basedOn w:val="ParaNum"/>
    <w:autoRedefine/>
    <w:pPr>
      <w:tabs>
        <w:tab w:val="clear" w:pos="1440"/>
      </w:tabs>
    </w:pPr>
  </w:style>
  <w:style w:type="paragraph" w:customStyle="1" w:styleId="ParaNumChar1">
    <w:name w:val="ParaNum Char1"/>
    <w:basedOn w:val="Normal"/>
    <w:pPr>
      <w:widowControl w:val="0"/>
      <w:tabs>
        <w:tab w:val="num" w:pos="990"/>
      </w:tabs>
      <w:spacing w:after="220"/>
      <w:ind w:left="-90" w:firstLine="720"/>
      <w:jc w:val="both"/>
    </w:pPr>
    <w:rPr>
      <w:rFonts w:eastAsia="SimSun"/>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2CharCharCharChar">
    <w:name w:val="Footnote Text Char2 Char Char Char Char"/>
    <w:aliases w:val="Footnote Text Char Char Char Char Char Char Char Char,Footnote Text Char1 Char Char Char Char Char"/>
    <w:rPr>
      <w:lang w:val="en-US" w:eastAsia="en-US" w:bidi="ar-SA"/>
    </w:rPr>
  </w:style>
  <w:style w:type="character" w:customStyle="1" w:styleId="bestsection1">
    <w:name w:val="bestsection1"/>
    <w:rPr>
      <w:color w:val="FF0000"/>
    </w:rPr>
  </w:style>
  <w:style w:type="character" w:styleId="Hyperlink">
    <w:name w:val="Hyperlink"/>
    <w:rPr>
      <w:color w:val="0000FF"/>
      <w:u w:val="single"/>
    </w:rPr>
  </w:style>
  <w:style w:type="paragraph" w:customStyle="1" w:styleId="Paranum0">
    <w:name w:val="Paranum"/>
    <w:basedOn w:val="Normal"/>
    <w:pPr>
      <w:widowControl w:val="0"/>
      <w:numPr>
        <w:numId w:val="12"/>
      </w:numPr>
      <w:spacing w:after="220"/>
      <w:jc w:val="both"/>
    </w:pPr>
  </w:style>
  <w:style w:type="paragraph" w:customStyle="1" w:styleId="TableFormat0">
    <w:name w:val="Table Format"/>
    <w:basedOn w:val="Normal"/>
    <w:pPr>
      <w:widowControl w:val="0"/>
      <w:tabs>
        <w:tab w:val="left" w:pos="5040"/>
      </w:tabs>
      <w:spacing w:after="220"/>
      <w:ind w:left="5040" w:hanging="3600"/>
      <w:jc w:val="both"/>
    </w:pPr>
  </w:style>
  <w:style w:type="character" w:styleId="FollowedHyperlink">
    <w:name w:val="FollowedHyperlink"/>
    <w:rPr>
      <w:color w:val="800080"/>
      <w:u w:val="single"/>
    </w:r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documentbody1">
    <w:name w:val="documentbody1"/>
    <w:rPr>
      <w:rFonts w:ascii="Verdana" w:hAnsi="Verdana" w:hint="default"/>
      <w:sz w:val="19"/>
      <w:szCs w:val="19"/>
      <w:shd w:val="clear" w:color="auto" w:fill="FFFFFF"/>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rsid w:val="00DA38CE"/>
    <w:rPr>
      <w:lang w:val="en-US" w:eastAsia="en-US" w:bidi="ar-SA"/>
    </w:rPr>
  </w:style>
  <w:style w:type="paragraph" w:styleId="Revision">
    <w:name w:val="Revision"/>
    <w:hidden/>
    <w:uiPriority w:val="99"/>
    <w:semiHidden/>
    <w:rsid w:val="00F72F56"/>
    <w:rPr>
      <w:sz w:val="22"/>
    </w:rPr>
  </w:style>
  <w:style w:type="character" w:styleId="Emphasis">
    <w:name w:val="Emphasis"/>
    <w:uiPriority w:val="20"/>
    <w:qFormat/>
    <w:rsid w:val="008F0C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