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64004C" w:rsidP="00C82B6B">
      <w:pPr>
        <w:jc w:val="right"/>
        <w:rPr>
          <w:szCs w:val="22"/>
        </w:rPr>
      </w:pPr>
    </w:p>
    <w:p w:rsidR="0064004C" w:rsidRPr="0064004C" w:rsidP="0064004C">
      <w:pPr>
        <w:jc w:val="right"/>
        <w:rPr>
          <w:b/>
          <w:szCs w:val="22"/>
        </w:rPr>
      </w:pPr>
      <w:r w:rsidRPr="0064004C">
        <w:rPr>
          <w:b/>
          <w:szCs w:val="22"/>
        </w:rPr>
        <w:t>DA 18-</w:t>
      </w:r>
      <w:r w:rsidR="008E50E6">
        <w:rPr>
          <w:b/>
          <w:szCs w:val="22"/>
        </w:rPr>
        <w:t>1110</w:t>
      </w:r>
    </w:p>
    <w:p w:rsidR="0064004C" w:rsidRPr="0064004C" w:rsidP="0064004C">
      <w:pPr>
        <w:spacing w:before="60"/>
        <w:jc w:val="right"/>
        <w:rPr>
          <w:b/>
          <w:szCs w:val="22"/>
        </w:rPr>
      </w:pPr>
      <w:r w:rsidRPr="0064004C">
        <w:rPr>
          <w:b/>
          <w:szCs w:val="22"/>
        </w:rPr>
        <w:t>Released:  October 29, 2018</w:t>
      </w:r>
    </w:p>
    <w:p w:rsidR="0064004C" w:rsidRPr="0064004C" w:rsidP="0064004C">
      <w:pPr>
        <w:jc w:val="right"/>
        <w:rPr>
          <w:szCs w:val="22"/>
        </w:rPr>
      </w:pPr>
    </w:p>
    <w:p w:rsidR="0064004C" w:rsidRPr="0064004C" w:rsidP="0064004C">
      <w:pPr>
        <w:spacing w:after="240"/>
        <w:jc w:val="center"/>
        <w:rPr>
          <w:b/>
          <w:caps/>
          <w:szCs w:val="22"/>
        </w:rPr>
      </w:pPr>
      <w:r w:rsidRPr="0064004C">
        <w:rPr>
          <w:b/>
          <w:caps/>
          <w:szCs w:val="22"/>
        </w:rPr>
        <w:t>OFFICE OF ENGINEERING AND TECHNOLOGY AND WIRELINE COMPETITION BUREAU SEEK COMMENT ON LIST OF INTEROPERABLE DEVICES FOR DISCONTINUANCE APPLICATIONS UNDER THE ADEQUATE REPLACEMENT TEST</w:t>
      </w:r>
    </w:p>
    <w:p w:rsidR="0064004C" w:rsidRPr="0064004C" w:rsidP="0064004C">
      <w:pPr>
        <w:jc w:val="center"/>
        <w:rPr>
          <w:b/>
          <w:szCs w:val="22"/>
        </w:rPr>
      </w:pPr>
      <w:r w:rsidRPr="0064004C">
        <w:rPr>
          <w:b/>
          <w:szCs w:val="22"/>
        </w:rPr>
        <w:t>GN Docket No. 13-5</w:t>
      </w:r>
    </w:p>
    <w:p w:rsidR="0064004C" w:rsidRPr="0064004C" w:rsidP="0064004C">
      <w:pPr>
        <w:rPr>
          <w:szCs w:val="22"/>
        </w:rPr>
      </w:pPr>
      <w:bookmarkStart w:id="0" w:name="TOChere"/>
    </w:p>
    <w:p w:rsidR="0064004C" w:rsidRPr="0064004C" w:rsidP="0064004C">
      <w:pPr>
        <w:rPr>
          <w:b/>
          <w:szCs w:val="22"/>
        </w:rPr>
      </w:pPr>
      <w:bookmarkEnd w:id="0"/>
      <w:r w:rsidRPr="0064004C">
        <w:rPr>
          <w:b/>
          <w:szCs w:val="22"/>
        </w:rPr>
        <w:t>Comments Date:  November 28, 2018</w:t>
      </w:r>
    </w:p>
    <w:p w:rsidR="0064004C" w:rsidRPr="0064004C" w:rsidP="0064004C">
      <w:pPr>
        <w:rPr>
          <w:b/>
          <w:szCs w:val="22"/>
        </w:rPr>
      </w:pPr>
      <w:r w:rsidRPr="0064004C">
        <w:rPr>
          <w:b/>
          <w:szCs w:val="22"/>
        </w:rPr>
        <w:t>Reply Comment Date:  December 13, 2018</w:t>
      </w:r>
    </w:p>
    <w:p w:rsidR="0064004C" w:rsidRPr="0064004C" w:rsidP="0064004C">
      <w:pPr>
        <w:rPr>
          <w:szCs w:val="22"/>
        </w:rPr>
      </w:pPr>
    </w:p>
    <w:p w:rsidR="0064004C" w:rsidRPr="0064004C" w:rsidP="0064004C">
      <w:pPr>
        <w:autoSpaceDE w:val="0"/>
        <w:autoSpaceDN w:val="0"/>
        <w:spacing w:after="120"/>
        <w:ind w:firstLine="720"/>
        <w:rPr>
          <w:snapToGrid/>
          <w:kern w:val="0"/>
          <w:szCs w:val="22"/>
        </w:rPr>
      </w:pPr>
      <w:r w:rsidRPr="0064004C">
        <w:rPr>
          <w:szCs w:val="22"/>
        </w:rPr>
        <w:t xml:space="preserve">By this Public Notice, the Office of Engineering and Technology and the Wireline Competition Bureau (Bureaus) seek comment on expanding the list of key applications and functionalities for which a carrier must demonstrate interoperability when requesting to discontinue a legacy voice service pursuant to the adequate replacement test. </w:t>
      </w:r>
    </w:p>
    <w:p w:rsidR="0064004C" w:rsidRPr="0064004C" w:rsidP="0064004C">
      <w:pPr>
        <w:widowControl/>
        <w:spacing w:after="120"/>
        <w:ind w:firstLine="720"/>
        <w:rPr>
          <w:szCs w:val="22"/>
        </w:rPr>
      </w:pPr>
      <w:r w:rsidRPr="0064004C">
        <w:rPr>
          <w:szCs w:val="22"/>
        </w:rPr>
        <w:t>The adequate replacement test allows a telecommunications carrier to discontinue voice service as part of a technology transition if the carrier can establish, among other things, that the available replacement service satisfies a three-prong test to ensure that it constitutes an adequate replacement for the service that the carrier is seeking authority to discontinue.</w:t>
      </w:r>
      <w:r>
        <w:rPr>
          <w:rStyle w:val="FootnoteReference"/>
          <w:szCs w:val="22"/>
        </w:rPr>
        <w:footnoteReference w:id="3"/>
      </w:r>
      <w:r w:rsidRPr="0064004C">
        <w:rPr>
          <w:szCs w:val="22"/>
        </w:rPr>
        <w:t xml:space="preserve">  To qualify, the discontinuing carrier must </w:t>
      </w:r>
      <w:r w:rsidRPr="0064004C">
        <w:rPr>
          <w:szCs w:val="22"/>
        </w:rPr>
        <w:t>demonstrate, among other things, that the new service is interoperable “with key applications an</w:t>
      </w:r>
      <w:bookmarkStart w:id="1" w:name="_GoBack"/>
      <w:bookmarkEnd w:id="1"/>
      <w:r w:rsidRPr="0064004C">
        <w:rPr>
          <w:szCs w:val="22"/>
        </w:rPr>
        <w:t>d functionalities.”</w:t>
      </w:r>
      <w:r>
        <w:rPr>
          <w:rStyle w:val="FootnoteReference"/>
          <w:szCs w:val="22"/>
        </w:rPr>
        <w:footnoteReference w:id="4"/>
      </w:r>
      <w:r w:rsidR="00FD4A1D">
        <w:rPr>
          <w:szCs w:val="22"/>
        </w:rPr>
        <w:t xml:space="preserve"> </w:t>
      </w:r>
    </w:p>
    <w:p w:rsidR="0064004C" w:rsidRPr="0064004C" w:rsidP="0064004C">
      <w:pPr>
        <w:widowControl/>
        <w:spacing w:after="120"/>
        <w:ind w:firstLine="720"/>
        <w:rPr>
          <w:szCs w:val="22"/>
        </w:rPr>
      </w:pPr>
      <w:r w:rsidRPr="0064004C">
        <w:rPr>
          <w:szCs w:val="22"/>
        </w:rPr>
        <w:t>When it adopted the adequate replacement test, the Commission identified five low-speed modem devices—fax machines, home security alarms, medical monitoring devices, analog-only caption telephone sets, and point-of-sale terminals—as the initial list of key applications and functionalities (the interoperability list).</w:t>
      </w:r>
      <w:r>
        <w:rPr>
          <w:rStyle w:val="FootnoteReference"/>
          <w:szCs w:val="22"/>
        </w:rPr>
        <w:footnoteReference w:id="5"/>
      </w:r>
      <w:r w:rsidRPr="0064004C">
        <w:rPr>
          <w:szCs w:val="22"/>
        </w:rPr>
        <w:t xml:space="preserve">  The Commission also established a process for supplementing the interoperability list.</w:t>
      </w:r>
      <w:r>
        <w:rPr>
          <w:rStyle w:val="FootnoteReference"/>
          <w:szCs w:val="22"/>
        </w:rPr>
        <w:footnoteReference w:id="6"/>
      </w:r>
      <w:r w:rsidRPr="0064004C">
        <w:rPr>
          <w:szCs w:val="22"/>
        </w:rPr>
        <w:t xml:space="preserve">  To that end, the </w:t>
      </w:r>
      <w:r w:rsidRPr="0064004C">
        <w:rPr>
          <w:i/>
          <w:szCs w:val="22"/>
        </w:rPr>
        <w:t>Order</w:t>
      </w:r>
      <w:r w:rsidRPr="0064004C">
        <w:rPr>
          <w:szCs w:val="22"/>
        </w:rPr>
        <w:t xml:space="preserve"> directed the </w:t>
      </w:r>
      <w:bookmarkStart w:id="2" w:name="_Hlk525638752"/>
      <w:r w:rsidRPr="0064004C">
        <w:rPr>
          <w:szCs w:val="22"/>
        </w:rPr>
        <w:t>Bureaus</w:t>
      </w:r>
      <w:r w:rsidRPr="0064004C">
        <w:rPr>
          <w:szCs w:val="22"/>
        </w:rPr>
        <w:t xml:space="preserve"> </w:t>
      </w:r>
      <w:r w:rsidRPr="0064004C">
        <w:rPr>
          <w:szCs w:val="22"/>
        </w:rPr>
        <w:t>“</w:t>
      </w:r>
      <w:bookmarkEnd w:id="2"/>
      <w:r w:rsidRPr="0064004C">
        <w:rPr>
          <w:szCs w:val="22"/>
        </w:rPr>
        <w:t xml:space="preserve">to seek comment, and, based on the record developed, propose additions to the list of key applications and functionalities adopted [in the </w:t>
      </w:r>
      <w:r w:rsidRPr="0064004C">
        <w:rPr>
          <w:i/>
          <w:szCs w:val="22"/>
        </w:rPr>
        <w:t>Order</w:t>
      </w:r>
      <w:r w:rsidRPr="0064004C">
        <w:rPr>
          <w:szCs w:val="22"/>
        </w:rPr>
        <w:t>] for Commission review and approval.”</w:t>
      </w:r>
      <w:r>
        <w:rPr>
          <w:rStyle w:val="FootnoteReference"/>
          <w:szCs w:val="22"/>
        </w:rPr>
        <w:footnoteReference w:id="7"/>
      </w:r>
      <w:r w:rsidRPr="0064004C">
        <w:rPr>
          <w:szCs w:val="22"/>
        </w:rPr>
        <w:t xml:space="preserve">  The Commission identified four relevant considerations in determining whether an application or functionality should be interoperable with replacement services:  (</w:t>
      </w:r>
      <w:r w:rsidRPr="0064004C">
        <w:rPr>
          <w:szCs w:val="22"/>
        </w:rPr>
        <w:t>i</w:t>
      </w:r>
      <w:r w:rsidRPr="0064004C">
        <w:rPr>
          <w:szCs w:val="22"/>
        </w:rPr>
        <w:t>) do customers rely on it for health or safety reasons; (ii) do other providers rely on it as a wholesale input; (iii) does it rely on the continued availability of necessary vendor equipment or inputs that have been discontinued; and (iv) is the service provider or the end-user customer the least-cost avoider.</w:t>
      </w:r>
      <w:r>
        <w:rPr>
          <w:rStyle w:val="FootnoteReference"/>
          <w:szCs w:val="22"/>
        </w:rPr>
        <w:footnoteReference w:id="8"/>
      </w:r>
      <w:r w:rsidRPr="0064004C">
        <w:rPr>
          <w:szCs w:val="22"/>
        </w:rPr>
        <w:t xml:space="preserve">  </w:t>
      </w:r>
    </w:p>
    <w:p w:rsidR="0064004C" w:rsidRPr="0064004C" w:rsidP="0064004C">
      <w:pPr>
        <w:spacing w:after="120"/>
        <w:ind w:firstLine="720"/>
        <w:rPr>
          <w:szCs w:val="22"/>
        </w:rPr>
      </w:pPr>
      <w:r w:rsidRPr="0064004C">
        <w:rPr>
          <w:szCs w:val="22"/>
        </w:rPr>
        <w:t xml:space="preserve">Accordingly, we now invite consumers, carriers, and other stakeholders to submit comments </w:t>
      </w:r>
      <w:bookmarkStart w:id="3" w:name="_Hlk525647687"/>
      <w:r w:rsidRPr="0064004C">
        <w:rPr>
          <w:szCs w:val="22"/>
        </w:rPr>
        <w:t xml:space="preserve">on whether additional applications and functionalities should be added to the interoperability list </w:t>
      </w:r>
      <w:r w:rsidRPr="0064004C">
        <w:rPr>
          <w:szCs w:val="22"/>
        </w:rPr>
        <w:t>in light of</w:t>
      </w:r>
      <w:r w:rsidRPr="0064004C">
        <w:rPr>
          <w:szCs w:val="22"/>
        </w:rPr>
        <w:t xml:space="preserve"> the considerations identified above, as well as changes in market conditions, industry developments, or Commission rules since the interoperability component of the adequate replacement test was adopted in 2016. </w:t>
      </w:r>
      <w:bookmarkEnd w:id="3"/>
    </w:p>
    <w:p w:rsidR="0064004C" w:rsidRPr="0064004C" w:rsidP="0064004C">
      <w:pPr>
        <w:spacing w:after="120"/>
        <w:ind w:firstLine="720"/>
        <w:rPr>
          <w:szCs w:val="22"/>
        </w:rPr>
      </w:pPr>
      <w:r w:rsidRPr="0064004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4004C">
        <w:rPr>
          <w:i/>
          <w:szCs w:val="22"/>
        </w:rPr>
        <w:t>See Electronic Filing of Documents in Rulemaking Proceedings</w:t>
      </w:r>
      <w:r w:rsidRPr="0064004C">
        <w:rPr>
          <w:szCs w:val="22"/>
        </w:rPr>
        <w:t>, 63 FR 24121 (1998).  You may submit comments, identified by GN Docket No. 13-5, by any of the following methods:</w:t>
      </w:r>
    </w:p>
    <w:p w:rsidR="0064004C" w:rsidRPr="0064004C" w:rsidP="0064004C">
      <w:pPr>
        <w:widowControl/>
        <w:numPr>
          <w:ilvl w:val="0"/>
          <w:numId w:val="9"/>
        </w:numPr>
        <w:spacing w:after="120"/>
        <w:rPr>
          <w:szCs w:val="22"/>
        </w:rPr>
      </w:pPr>
      <w:r w:rsidRPr="0064004C">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64004C">
        <w:rPr>
          <w:color w:val="0000FF"/>
          <w:szCs w:val="22"/>
          <w:u w:val="single"/>
        </w:rPr>
        <w:t>http://apps.fcc.gov/ecfs/</w:t>
      </w:r>
      <w:r>
        <w:fldChar w:fldCharType="end"/>
      </w:r>
      <w:r w:rsidRPr="0064004C">
        <w:rPr>
          <w:szCs w:val="22"/>
        </w:rPr>
        <w:t xml:space="preserve">.  </w:t>
      </w:r>
    </w:p>
    <w:p w:rsidR="0064004C" w:rsidRPr="0064004C" w:rsidP="0064004C">
      <w:pPr>
        <w:widowControl/>
        <w:numPr>
          <w:ilvl w:val="0"/>
          <w:numId w:val="7"/>
        </w:numPr>
        <w:spacing w:after="120"/>
        <w:rPr>
          <w:szCs w:val="22"/>
        </w:rPr>
      </w:pPr>
      <w:r w:rsidRPr="0064004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4004C" w:rsidRPr="0064004C" w:rsidP="0064004C">
      <w:pPr>
        <w:spacing w:after="120"/>
        <w:ind w:left="720"/>
        <w:rPr>
          <w:szCs w:val="22"/>
        </w:rPr>
      </w:pPr>
      <w:r w:rsidRPr="0064004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4004C" w:rsidRPr="0064004C" w:rsidP="0064004C">
      <w:pPr>
        <w:widowControl/>
        <w:numPr>
          <w:ilvl w:val="0"/>
          <w:numId w:val="8"/>
        </w:numPr>
        <w:spacing w:after="120"/>
        <w:rPr>
          <w:szCs w:val="22"/>
        </w:rPr>
      </w:pPr>
      <w:r w:rsidRPr="0064004C">
        <w:rPr>
          <w:szCs w:val="22"/>
        </w:rPr>
        <w:t>All hand-delivered or messenger-delivered paper filings for the Commission’s Secretary must be delivered to FCC Headquarters at 445 12</w:t>
      </w:r>
      <w:r w:rsidRPr="0064004C">
        <w:rPr>
          <w:szCs w:val="22"/>
          <w:vertAlign w:val="superscript"/>
        </w:rPr>
        <w:t>th</w:t>
      </w:r>
      <w:r w:rsidRPr="0064004C">
        <w:rPr>
          <w:szCs w:val="22"/>
        </w:rPr>
        <w:t xml:space="preserve"> St., SW, Room TW-A325, Washington, DC 20554.  The filing hours are 8:00 a.m. to 7:00 p.m.   All hand deliveries </w:t>
      </w:r>
      <w:r w:rsidRPr="0064004C">
        <w:rPr>
          <w:szCs w:val="22"/>
        </w:rPr>
        <w:t xml:space="preserve">must be held together with rubber bands or fasteners.  Any envelopes and boxes must be disposed of </w:t>
      </w:r>
      <w:r w:rsidRPr="0064004C">
        <w:rPr>
          <w:szCs w:val="22"/>
          <w:u w:val="single"/>
        </w:rPr>
        <w:t>before</w:t>
      </w:r>
      <w:r w:rsidRPr="0064004C">
        <w:rPr>
          <w:szCs w:val="22"/>
        </w:rPr>
        <w:t xml:space="preserve"> entering the building.  </w:t>
      </w:r>
    </w:p>
    <w:p w:rsidR="0064004C" w:rsidRPr="0064004C" w:rsidP="0064004C">
      <w:pPr>
        <w:widowControl/>
        <w:numPr>
          <w:ilvl w:val="0"/>
          <w:numId w:val="8"/>
        </w:numPr>
        <w:spacing w:after="120"/>
        <w:rPr>
          <w:szCs w:val="22"/>
        </w:rPr>
      </w:pPr>
      <w:r w:rsidRPr="0064004C">
        <w:rPr>
          <w:szCs w:val="22"/>
        </w:rPr>
        <w:t>Commercial overnight mail (other than U.S. Postal Service Express Mail and Priority Mail) must be sent to 9050 Junction Drive, Annapolis Junction, MD 20701.</w:t>
      </w:r>
    </w:p>
    <w:p w:rsidR="0064004C" w:rsidRPr="0064004C" w:rsidP="0064004C">
      <w:pPr>
        <w:widowControl/>
        <w:numPr>
          <w:ilvl w:val="0"/>
          <w:numId w:val="8"/>
        </w:numPr>
        <w:spacing w:after="120"/>
        <w:rPr>
          <w:szCs w:val="22"/>
        </w:rPr>
      </w:pPr>
      <w:r w:rsidRPr="0064004C">
        <w:rPr>
          <w:szCs w:val="22"/>
        </w:rPr>
        <w:t>U.S. Postal Service first-class, Express, and Priority mail must be addressed to 445 12</w:t>
      </w:r>
      <w:r w:rsidRPr="0064004C">
        <w:rPr>
          <w:szCs w:val="22"/>
          <w:vertAlign w:val="superscript"/>
        </w:rPr>
        <w:t>th</w:t>
      </w:r>
      <w:r w:rsidRPr="0064004C">
        <w:rPr>
          <w:szCs w:val="22"/>
        </w:rPr>
        <w:t xml:space="preserve"> Street, SW, Washington DC  20554.</w:t>
      </w:r>
    </w:p>
    <w:p w:rsidR="0064004C" w:rsidRPr="0064004C" w:rsidP="0064004C">
      <w:pPr>
        <w:widowControl/>
        <w:numPr>
          <w:ilvl w:val="0"/>
          <w:numId w:val="8"/>
        </w:numPr>
        <w:spacing w:after="120"/>
        <w:rPr>
          <w:szCs w:val="22"/>
        </w:rPr>
      </w:pPr>
      <w:r w:rsidRPr="0064004C">
        <w:rPr>
          <w:szCs w:val="22"/>
        </w:rPr>
        <w:t xml:space="preserve">People with Disabilities:  Contact the FCC to request reasonable accommodations (accessible format documents (braille, large print, electronic files, audio format), sign language interpreters, CART, etc.) by e-mail:  </w:t>
      </w:r>
      <w:r>
        <w:fldChar w:fldCharType="begin"/>
      </w:r>
      <w:r>
        <w:instrText xml:space="preserve"> HYPERLINK "mailto:FCC504@fcc.gov" </w:instrText>
      </w:r>
      <w:r>
        <w:fldChar w:fldCharType="separate"/>
      </w:r>
      <w:r w:rsidRPr="0064004C">
        <w:rPr>
          <w:color w:val="0000FF"/>
          <w:szCs w:val="22"/>
          <w:u w:val="single"/>
        </w:rPr>
        <w:t>FCC504@fcc.gov</w:t>
      </w:r>
      <w:r>
        <w:fldChar w:fldCharType="end"/>
      </w:r>
      <w:r w:rsidRPr="0064004C">
        <w:rPr>
          <w:szCs w:val="22"/>
        </w:rPr>
        <w:t xml:space="preserve"> or phone: 202-418-0530 (voice) or 202-418-0432 (</w:t>
      </w:r>
      <w:r w:rsidRPr="0064004C">
        <w:rPr>
          <w:szCs w:val="22"/>
        </w:rPr>
        <w:t>tty</w:t>
      </w:r>
      <w:r w:rsidRPr="0064004C">
        <w:rPr>
          <w:szCs w:val="22"/>
        </w:rPr>
        <w:t>).</w:t>
      </w:r>
    </w:p>
    <w:p w:rsidR="0064004C" w:rsidRPr="0064004C" w:rsidP="0064004C">
      <w:pPr>
        <w:autoSpaceDE w:val="0"/>
        <w:autoSpaceDN w:val="0"/>
        <w:adjustRightInd w:val="0"/>
        <w:spacing w:after="120"/>
        <w:ind w:firstLine="720"/>
        <w:rPr>
          <w:color w:val="000000"/>
          <w:szCs w:val="22"/>
        </w:rPr>
      </w:pPr>
      <w:r w:rsidRPr="0064004C">
        <w:rPr>
          <w:color w:val="000000"/>
          <w:szCs w:val="22"/>
        </w:rPr>
        <w:t xml:space="preserve">For further information regarding this proceeding, contact Michele Levy Berlove, Wireline Competition Bureau, Competition Policy Division, </w:t>
      </w:r>
      <w:r>
        <w:fldChar w:fldCharType="begin"/>
      </w:r>
      <w:r>
        <w:instrText xml:space="preserve"> HYPERLINK "D:\\Users\\Terri.Natoli\\AppData\\Local\\Microsoft\\Windows\\INetCache\\Content.Outlook\\4O6DQE8H\\Michele.Berlove@fcc.gov" </w:instrText>
      </w:r>
      <w:r>
        <w:fldChar w:fldCharType="separate"/>
      </w:r>
      <w:r w:rsidRPr="0064004C">
        <w:rPr>
          <w:rStyle w:val="Hyperlink"/>
          <w:szCs w:val="22"/>
        </w:rPr>
        <w:t>Michele.Berlove@fcc.gov</w:t>
      </w:r>
      <w:r>
        <w:fldChar w:fldCharType="end"/>
      </w:r>
      <w:r w:rsidRPr="0064004C">
        <w:rPr>
          <w:color w:val="000000"/>
          <w:szCs w:val="22"/>
        </w:rPr>
        <w:t xml:space="preserve">, 202-418-1477, or Walter Johnston, Office of Engineering and Technology, Electromagnetic Compatibility Division, </w:t>
      </w:r>
      <w:r>
        <w:fldChar w:fldCharType="begin"/>
      </w:r>
      <w:r>
        <w:instrText xml:space="preserve"> HYPERLINK "mailto:Walter.Johnston@fcc.gov" </w:instrText>
      </w:r>
      <w:r>
        <w:fldChar w:fldCharType="separate"/>
      </w:r>
      <w:r w:rsidRPr="0064004C">
        <w:rPr>
          <w:rStyle w:val="Hyperlink"/>
          <w:szCs w:val="22"/>
        </w:rPr>
        <w:t>Walter.Johnston@fcc.gov</w:t>
      </w:r>
      <w:r>
        <w:fldChar w:fldCharType="end"/>
      </w:r>
      <w:r w:rsidRPr="0064004C">
        <w:rPr>
          <w:color w:val="000000"/>
          <w:szCs w:val="22"/>
        </w:rPr>
        <w:t>, 202-418-0807.</w:t>
      </w:r>
    </w:p>
    <w:p w:rsidR="0064004C" w:rsidRPr="0064004C" w:rsidP="0064004C">
      <w:pPr>
        <w:spacing w:before="120" w:after="120"/>
        <w:jc w:val="center"/>
        <w:rPr>
          <w:szCs w:val="22"/>
        </w:rPr>
      </w:pPr>
      <w:r w:rsidRPr="0064004C">
        <w:rPr>
          <w:b/>
          <w:bCs/>
          <w:color w:val="000000"/>
          <w:szCs w:val="22"/>
        </w:rPr>
        <w:t>-FCC-</w:t>
      </w:r>
    </w:p>
    <w:p w:rsidR="0064004C" w:rsidRPr="0064004C" w:rsidP="0064004C">
      <w:pPr>
        <w:spacing w:after="120"/>
        <w:rPr>
          <w:szCs w:val="22"/>
        </w:rPr>
      </w:pPr>
    </w:p>
    <w:p w:rsidR="00930ECF" w:rsidRPr="0064004C" w:rsidP="0064004C">
      <w:pPr>
        <w:spacing w:after="120"/>
        <w:jc w:val="right"/>
        <w:rPr>
          <w:szCs w:val="22"/>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9C2">
      <w:r>
        <w:separator/>
      </w:r>
    </w:p>
  </w:footnote>
  <w:footnote w:type="continuationSeparator" w:id="1">
    <w:p w:rsidR="000409C2">
      <w:pPr>
        <w:rPr>
          <w:sz w:val="20"/>
        </w:rPr>
      </w:pPr>
      <w:r>
        <w:rPr>
          <w:sz w:val="20"/>
        </w:rPr>
        <w:t xml:space="preserve">(Continued from previous page)  </w:t>
      </w:r>
      <w:r>
        <w:rPr>
          <w:sz w:val="20"/>
        </w:rPr>
        <w:separator/>
      </w:r>
    </w:p>
  </w:footnote>
  <w:footnote w:type="continuationNotice" w:id="2">
    <w:p w:rsidR="000409C2" w:rsidP="00910F12">
      <w:pPr>
        <w:jc w:val="right"/>
        <w:rPr>
          <w:sz w:val="20"/>
        </w:rPr>
      </w:pPr>
      <w:r>
        <w:rPr>
          <w:sz w:val="20"/>
        </w:rPr>
        <w:t>(continued….)</w:t>
      </w:r>
    </w:p>
  </w:footnote>
  <w:footnote w:id="3">
    <w:p w:rsidR="0064004C" w:rsidP="0064004C">
      <w:pPr>
        <w:pStyle w:val="FootnoteText"/>
      </w:pPr>
      <w:r>
        <w:rPr>
          <w:rStyle w:val="FootnoteReference"/>
        </w:rPr>
        <w:footnoteRef/>
      </w:r>
      <w:r>
        <w:t xml:space="preserve"> </w:t>
      </w:r>
      <w:r w:rsidRPr="007B17CD">
        <w:t xml:space="preserve">47 CFR §§ 63.71(f), 63.602; </w:t>
      </w:r>
      <w:r w:rsidRPr="007B17CD">
        <w:rPr>
          <w:i/>
        </w:rPr>
        <w:t>Technology Transitions et al.</w:t>
      </w:r>
      <w:r w:rsidRPr="007B17CD">
        <w:t xml:space="preserve">, Declaratory Ruling, Second Report and Order, and Order on Reconsideration, 31 FCC </w:t>
      </w:r>
      <w:r w:rsidRPr="007B17CD">
        <w:t>Rcd</w:t>
      </w:r>
      <w:r w:rsidRPr="007B17CD">
        <w:t xml:space="preserve"> 8283, 8305, paras. 64-65 (2016) (</w:t>
      </w:r>
      <w:r w:rsidRPr="007B17CD">
        <w:rPr>
          <w:i/>
        </w:rPr>
        <w:t>2016 Technology Transitions Order or Order</w:t>
      </w:r>
      <w:r w:rsidRPr="007B17CD">
        <w:t xml:space="preserve">). </w:t>
      </w:r>
      <w:r>
        <w:t xml:space="preserve"> A </w:t>
      </w:r>
      <w:r w:rsidRPr="007B0DF0">
        <w:t>technology transition</w:t>
      </w:r>
      <w:r>
        <w:t xml:space="preserve"> in this context </w:t>
      </w:r>
      <w:r w:rsidRPr="007B0DF0">
        <w:t xml:space="preserve">means </w:t>
      </w:r>
      <w:r>
        <w:t>“</w:t>
      </w:r>
      <w:r w:rsidRPr="007B0DF0">
        <w:t>any change in service that would result in the replacement of a wireline TDM-based voice service with a service using a different technology or medium for transmission to the end user, whether Internet Protocol (IP), wireless, or another type</w:t>
      </w:r>
      <w:r>
        <w:t>.”  S</w:t>
      </w:r>
      <w:r w:rsidRPr="007B0DF0">
        <w:rPr>
          <w:i/>
        </w:rPr>
        <w:t>ee</w:t>
      </w:r>
      <w:r>
        <w:t xml:space="preserve"> </w:t>
      </w:r>
      <w:r w:rsidRPr="007B0DF0">
        <w:t>47 CFR § 63.</w:t>
      </w:r>
      <w:r>
        <w:t>60(</w:t>
      </w:r>
      <w:r>
        <w:t>i</w:t>
      </w:r>
      <w:r>
        <w:t xml:space="preserve">); </w:t>
      </w:r>
      <w:r w:rsidRPr="00E4287A">
        <w:rPr>
          <w:i/>
        </w:rPr>
        <w:t>see also</w:t>
      </w:r>
      <w:r>
        <w:t xml:space="preserve"> </w:t>
      </w:r>
      <w:r w:rsidRPr="00CF2E92">
        <w:rPr>
          <w:i/>
        </w:rPr>
        <w:t xml:space="preserve">2016 </w:t>
      </w:r>
      <w:r w:rsidRPr="00860387">
        <w:rPr>
          <w:i/>
        </w:rPr>
        <w:t>Technology Transitions</w:t>
      </w:r>
      <w:r>
        <w:rPr>
          <w:i/>
        </w:rPr>
        <w:t xml:space="preserve"> Order</w:t>
      </w:r>
      <w:r>
        <w:t xml:space="preserve">, </w:t>
      </w:r>
      <w:r w:rsidRPr="00FD0CC7">
        <w:t xml:space="preserve">31 FCC </w:t>
      </w:r>
      <w:r w:rsidRPr="00FD0CC7">
        <w:t>Rcd</w:t>
      </w:r>
      <w:r w:rsidRPr="00FD0CC7">
        <w:t xml:space="preserve"> </w:t>
      </w:r>
      <w:r>
        <w:t>at</w:t>
      </w:r>
      <w:r w:rsidRPr="00FD0CC7">
        <w:t xml:space="preserve"> 830</w:t>
      </w:r>
      <w:r>
        <w:t>5</w:t>
      </w:r>
      <w:r w:rsidRPr="00FD0CC7">
        <w:t xml:space="preserve">, paras. </w:t>
      </w:r>
      <w:r>
        <w:t>64-</w:t>
      </w:r>
      <w:r w:rsidRPr="00FD0CC7">
        <w:t>6</w:t>
      </w:r>
      <w:r>
        <w:t xml:space="preserve">5.  A carrier seeking to discontinue a legacy voice service as part of a technology transition need not proceed under the adequate replacement test.  It can instead rely on </w:t>
      </w:r>
      <w:r w:rsidRPr="009C60E9">
        <w:t>the alternative options test</w:t>
      </w:r>
      <w:r>
        <w:t xml:space="preserve">, </w:t>
      </w:r>
      <w:r w:rsidRPr="002A1864">
        <w:t>or it can proceed under the Commission’s traditional section 214(a) discontinuance analysis.</w:t>
      </w:r>
      <w:r>
        <w:t xml:space="preserve">  </w:t>
      </w:r>
      <w:r w:rsidRPr="00C247EB">
        <w:rPr>
          <w:i/>
        </w:rPr>
        <w:t>See</w:t>
      </w:r>
      <w:r w:rsidRPr="001B6B5D">
        <w:rPr>
          <w:i/>
        </w:rPr>
        <w:t xml:space="preserve"> </w:t>
      </w:r>
      <w:r w:rsidRPr="00793498">
        <w:rPr>
          <w:i/>
        </w:rPr>
        <w:t>Accelerating Wireline Broadband Deployment by Removing Barriers to Infrastructure Investment</w:t>
      </w:r>
      <w:r w:rsidRPr="00793498">
        <w:t>, WC Docket No. 17-84, Second Report and Order, FCC 18-74, paras. 29-38 (adopted June 7, 2018)</w:t>
      </w:r>
      <w:r>
        <w:t xml:space="preserve">.  The alternative options test requires a carrier to show that it offers stand-alone interconnected VoIP service throughout the affected area and another unaffiliated provider offers a stand-alone facilities-based voice service throughout the affected area.  </w:t>
      </w:r>
      <w:r w:rsidRPr="002A1864">
        <w:rPr>
          <w:i/>
        </w:rPr>
        <w:t>Id.</w:t>
      </w:r>
      <w:r>
        <w:t xml:space="preserve"> at para. 30.  The Commission’s traditional analysis, which applies to all discontinuance applications, </w:t>
      </w:r>
      <w:r w:rsidRPr="00C60F51">
        <w:t>utilize</w:t>
      </w:r>
      <w:r>
        <w:t>s</w:t>
      </w:r>
      <w:r w:rsidRPr="00C60F51">
        <w:t xml:space="preserve"> a five-factor balancing test to analyze a section 214(a) discontinuance application:  (1) the financial impact on the common carrier of continuing to provide the service; (2) the need for the service in general; (3) the need for the particular facilities in question; (4) increased charges for alternative services; and (5) the existence, availability, and adequacy of alternatives.  </w:t>
      </w:r>
      <w:r w:rsidRPr="00C60F51">
        <w:rPr>
          <w:i/>
        </w:rPr>
        <w:t xml:space="preserve">See </w:t>
      </w:r>
      <w:r w:rsidRPr="00291B33">
        <w:rPr>
          <w:i/>
        </w:rPr>
        <w:t>Verizon Telephone Companies Section 63.71 Application to Discontinue Expanded Interconnection Service Through Physical Collocation</w:t>
      </w:r>
      <w:r>
        <w:t xml:space="preserve">, </w:t>
      </w:r>
      <w:r w:rsidRPr="00D822BC">
        <w:t>WC Docket No. 02-237</w:t>
      </w:r>
      <w:r>
        <w:t xml:space="preserve">, Order, 18 FCC </w:t>
      </w:r>
      <w:r>
        <w:t>Rcd</w:t>
      </w:r>
      <w:r w:rsidRPr="00D822BC">
        <w:t xml:space="preserve"> 22737</w:t>
      </w:r>
      <w:r>
        <w:t>, 22742, para. 8 (2003)</w:t>
      </w:r>
      <w:r w:rsidRPr="00C60F51">
        <w:t xml:space="preserve">; </w:t>
      </w:r>
      <w:r w:rsidRPr="00C60F51">
        <w:rPr>
          <w:i/>
        </w:rPr>
        <w:t>Technology Transitions et al.</w:t>
      </w:r>
      <w:r w:rsidRPr="00C60F51">
        <w:t xml:space="preserve">, Declaratory Ruling, Second Report and Order, and Order on Reconsideration, 31 FCC </w:t>
      </w:r>
      <w:r w:rsidRPr="00C60F51">
        <w:t>Rcd</w:t>
      </w:r>
      <w:r w:rsidRPr="00C60F51">
        <w:t xml:space="preserve"> 8283, 8303-04, paras. 61-62 (2016) (</w:t>
      </w:r>
      <w:r w:rsidRPr="00C60F51">
        <w:rPr>
          <w:i/>
        </w:rPr>
        <w:t>2016 Technology Transitions Order</w:t>
      </w:r>
      <w:r w:rsidRPr="00C60F51">
        <w:t>).</w:t>
      </w:r>
    </w:p>
  </w:footnote>
  <w:footnote w:id="4">
    <w:p w:rsidR="0064004C" w:rsidP="0064004C">
      <w:pPr>
        <w:pStyle w:val="FootnoteText"/>
      </w:pPr>
      <w:r>
        <w:rPr>
          <w:rStyle w:val="FootnoteReference"/>
        </w:rPr>
        <w:footnoteRef/>
      </w:r>
      <w:r>
        <w:t xml:space="preserve"> </w:t>
      </w:r>
      <w:r w:rsidRPr="00CF2E92">
        <w:rPr>
          <w:i/>
        </w:rPr>
        <w:t xml:space="preserve">2016 </w:t>
      </w:r>
      <w:r w:rsidRPr="00860387">
        <w:rPr>
          <w:i/>
        </w:rPr>
        <w:t>Technology Transitions</w:t>
      </w:r>
      <w:r>
        <w:rPr>
          <w:i/>
        </w:rPr>
        <w:t xml:space="preserve"> Order</w:t>
      </w:r>
      <w:r>
        <w:t xml:space="preserve">, </w:t>
      </w:r>
      <w:r w:rsidRPr="00FD0CC7">
        <w:t xml:space="preserve">31 FCC </w:t>
      </w:r>
      <w:r w:rsidRPr="00FD0CC7">
        <w:t>Rcd</w:t>
      </w:r>
      <w:r>
        <w:t xml:space="preserve"> at 8305, para. 65.  The other two criteria require</w:t>
      </w:r>
      <w:r w:rsidRPr="00880721">
        <w:t>:  (</w:t>
      </w:r>
      <w:r w:rsidRPr="00880721">
        <w:t>i</w:t>
      </w:r>
      <w:r w:rsidRPr="00880721">
        <w:t>)</w:t>
      </w:r>
      <w:r>
        <w:t> </w:t>
      </w:r>
      <w:r w:rsidRPr="00880721">
        <w:t xml:space="preserve">substantially similar levels of network infrastructure and service quality as the applicant service; </w:t>
      </w:r>
      <w:r>
        <w:t xml:space="preserve">and </w:t>
      </w:r>
      <w:r w:rsidRPr="00880721">
        <w:t>(ii)</w:t>
      </w:r>
      <w:r>
        <w:t> </w:t>
      </w:r>
      <w:r w:rsidRPr="00880721">
        <w:t>compliance with existing federal and/or industry standards required to ensure that critical applications such as 911, network security, and applications for individuals with disabilities remain available</w:t>
      </w:r>
      <w:r>
        <w:t xml:space="preserve">.  </w:t>
      </w:r>
      <w:r w:rsidRPr="002930D6">
        <w:rPr>
          <w:i/>
        </w:rPr>
        <w:t>See</w:t>
      </w:r>
      <w:r>
        <w:t xml:space="preserve"> 47 CFR § 63.602(b).</w:t>
      </w:r>
    </w:p>
  </w:footnote>
  <w:footnote w:id="5">
    <w:p w:rsidR="0064004C" w:rsidP="0064004C">
      <w:pPr>
        <w:pStyle w:val="FootnoteText"/>
      </w:pPr>
      <w:r>
        <w:rPr>
          <w:rStyle w:val="FootnoteReference"/>
        </w:rPr>
        <w:footnoteRef/>
      </w:r>
      <w:r>
        <w:t xml:space="preserve"> </w:t>
      </w:r>
      <w:r w:rsidRPr="00CF2E92">
        <w:rPr>
          <w:i/>
        </w:rPr>
        <w:t xml:space="preserve">2016 </w:t>
      </w:r>
      <w:r w:rsidRPr="00860387">
        <w:rPr>
          <w:i/>
        </w:rPr>
        <w:t>Technology Transitions</w:t>
      </w:r>
      <w:r>
        <w:rPr>
          <w:i/>
        </w:rPr>
        <w:t xml:space="preserve"> Order</w:t>
      </w:r>
      <w:r>
        <w:t xml:space="preserve">, </w:t>
      </w:r>
      <w:r w:rsidRPr="00FD0CC7">
        <w:t xml:space="preserve">31 FCC </w:t>
      </w:r>
      <w:r w:rsidRPr="00FD0CC7">
        <w:t>Rcd</w:t>
      </w:r>
      <w:r>
        <w:t xml:space="preserve"> at 8342, para. 159.</w:t>
      </w:r>
    </w:p>
  </w:footnote>
  <w:footnote w:id="6">
    <w:p w:rsidR="0064004C" w:rsidP="0064004C">
      <w:pPr>
        <w:pStyle w:val="FootnoteText"/>
      </w:pPr>
      <w:r>
        <w:rPr>
          <w:rStyle w:val="FootnoteReference"/>
        </w:rPr>
        <w:footnoteRef/>
      </w:r>
      <w:r>
        <w:t xml:space="preserve"> </w:t>
      </w:r>
      <w:r w:rsidRPr="00806A24">
        <w:rPr>
          <w:i/>
        </w:rPr>
        <w:t>Id.</w:t>
      </w:r>
      <w:r>
        <w:t xml:space="preserve"> at 8342, paras 160-61.</w:t>
      </w:r>
      <w:r w:rsidRPr="001179A4">
        <w:rPr>
          <w:snapToGrid w:val="0"/>
          <w:kern w:val="28"/>
          <w:sz w:val="22"/>
        </w:rPr>
        <w:t xml:space="preserve"> </w:t>
      </w:r>
      <w:r>
        <w:rPr>
          <w:snapToGrid w:val="0"/>
          <w:kern w:val="28"/>
          <w:sz w:val="22"/>
        </w:rPr>
        <w:t xml:space="preserve"> </w:t>
      </w:r>
      <w:r w:rsidRPr="001179A4">
        <w:t>The Commission further recognized that certain applications and functionalities on the interoperability list might no longer be considered key at some point in the future</w:t>
      </w:r>
      <w:r>
        <w:t xml:space="preserve"> and directed staff </w:t>
      </w:r>
      <w:r w:rsidRPr="001179A4">
        <w:t>to regularly examine th</w:t>
      </w:r>
      <w:r>
        <w:t>e</w:t>
      </w:r>
      <w:r w:rsidRPr="001179A4">
        <w:t xml:space="preserve"> list </w:t>
      </w:r>
      <w:r>
        <w:t xml:space="preserve">through the biennial review process </w:t>
      </w:r>
      <w:r w:rsidRPr="001179A4">
        <w:t xml:space="preserve">to propose changes or updates, including to remove elements of the list that are no longer key.  </w:t>
      </w:r>
      <w:r w:rsidRPr="001179A4">
        <w:rPr>
          <w:i/>
        </w:rPr>
        <w:t>Id</w:t>
      </w:r>
      <w:r w:rsidRPr="001179A4">
        <w:t xml:space="preserve">. at 8343, para 166.  </w:t>
      </w:r>
    </w:p>
  </w:footnote>
  <w:footnote w:id="7">
    <w:p w:rsidR="0064004C" w:rsidP="0064004C">
      <w:pPr>
        <w:pStyle w:val="FootnoteText"/>
      </w:pPr>
      <w:r>
        <w:rPr>
          <w:rStyle w:val="FootnoteReference"/>
        </w:rPr>
        <w:footnoteRef/>
      </w:r>
      <w:r>
        <w:t xml:space="preserve"> </w:t>
      </w:r>
      <w:r w:rsidRPr="009505B4">
        <w:rPr>
          <w:i/>
        </w:rPr>
        <w:t>Id</w:t>
      </w:r>
      <w:r>
        <w:t xml:space="preserve">. at 8342, paras. 160-61. </w:t>
      </w:r>
      <w:r w:rsidRPr="00975785">
        <w:t xml:space="preserve"> </w:t>
      </w:r>
      <w:r>
        <w:t xml:space="preserve">The </w:t>
      </w:r>
      <w:r w:rsidRPr="00975785">
        <w:t xml:space="preserve">rules related to the adequate replacement test </w:t>
      </w:r>
      <w:r>
        <w:t xml:space="preserve">became </w:t>
      </w:r>
      <w:r w:rsidRPr="00975785">
        <w:t xml:space="preserve">effective </w:t>
      </w:r>
      <w:r>
        <w:t xml:space="preserve">on </w:t>
      </w:r>
      <w:r w:rsidRPr="00544890">
        <w:t>July 30, 2018</w:t>
      </w:r>
      <w:r>
        <w:t>.</w:t>
      </w:r>
      <w:r w:rsidRPr="00975785">
        <w:t xml:space="preserve"> </w:t>
      </w:r>
      <w:r>
        <w:t xml:space="preserve"> </w:t>
      </w:r>
      <w:r w:rsidRPr="00FB53B0">
        <w:rPr>
          <w:i/>
        </w:rPr>
        <w:t>See Technology Transitions et al</w:t>
      </w:r>
      <w:r>
        <w:t>., 83 Fed. Reg. 36467 (July 30, 2018).</w:t>
      </w:r>
    </w:p>
  </w:footnote>
  <w:footnote w:id="8">
    <w:p w:rsidR="0064004C" w:rsidP="0064004C">
      <w:pPr>
        <w:pStyle w:val="FootnoteText"/>
      </w:pPr>
      <w:r>
        <w:rPr>
          <w:rStyle w:val="FootnoteReference"/>
        </w:rPr>
        <w:footnoteRef/>
      </w:r>
      <w:r>
        <w:t xml:space="preserve"> </w:t>
      </w:r>
      <w:r w:rsidRPr="009B77A8">
        <w:rPr>
          <w:i/>
        </w:rPr>
        <w:t>2016 Technology Transitions Order</w:t>
      </w:r>
      <w:r>
        <w:t xml:space="preserve">, 31 FCC </w:t>
      </w:r>
      <w:r>
        <w:t>Rcd</w:t>
      </w:r>
      <w:r>
        <w:t xml:space="preserve"> at 8343, para. 162.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E50E6">
      <w:rPr>
        <w:b/>
      </w:rPr>
      <w:t>DA 18-1110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400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