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61AF2" w:rsidRPr="00061AF2" w:rsidP="00061AF2">
      <w:pPr>
        <w:jc w:val="right"/>
        <w:rPr>
          <w:b/>
          <w:szCs w:val="22"/>
        </w:rPr>
      </w:pPr>
      <w:r w:rsidRPr="00061AF2">
        <w:rPr>
          <w:b/>
          <w:szCs w:val="22"/>
        </w:rPr>
        <w:t>DA 18-</w:t>
      </w:r>
      <w:r w:rsidR="00BA0251">
        <w:rPr>
          <w:b/>
          <w:szCs w:val="22"/>
        </w:rPr>
        <w:t>1113</w:t>
      </w:r>
    </w:p>
    <w:p w:rsidR="00061AF2" w:rsidRPr="00854B58" w:rsidP="00061AF2">
      <w:pPr>
        <w:spacing w:before="60"/>
        <w:jc w:val="right"/>
        <w:rPr>
          <w:b/>
          <w:sz w:val="24"/>
        </w:rPr>
      </w:pPr>
      <w:r>
        <w:rPr>
          <w:b/>
          <w:sz w:val="24"/>
        </w:rPr>
        <w:t>October 30</w:t>
      </w:r>
      <w:r>
        <w:rPr>
          <w:b/>
          <w:sz w:val="24"/>
        </w:rPr>
        <w:t>, 2018</w:t>
      </w:r>
    </w:p>
    <w:p w:rsidR="00061AF2" w:rsidRPr="00854B58" w:rsidP="00061AF2">
      <w:pPr>
        <w:jc w:val="right"/>
        <w:rPr>
          <w:b/>
          <w:sz w:val="24"/>
        </w:rPr>
      </w:pPr>
    </w:p>
    <w:p w:rsidR="00061AF2" w:rsidP="00061AF2">
      <w:pPr>
        <w:jc w:val="center"/>
        <w:rPr>
          <w:b/>
          <w:sz w:val="24"/>
        </w:rPr>
      </w:pPr>
      <w:r>
        <w:rPr>
          <w:b/>
          <w:sz w:val="24"/>
        </w:rPr>
        <w:t xml:space="preserve"> 134 LONG-FORM APPLICANTS </w:t>
      </w:r>
    </w:p>
    <w:p w:rsidR="00061AF2" w:rsidP="00061AF2">
      <w:pPr>
        <w:jc w:val="center"/>
        <w:rPr>
          <w:b/>
          <w:sz w:val="24"/>
        </w:rPr>
      </w:pPr>
      <w:r>
        <w:rPr>
          <w:b/>
          <w:sz w:val="24"/>
        </w:rPr>
        <w:t>IN THE CONNECT AMERICA FUND PHASE II AUCTION (AUCTION 903)</w:t>
      </w:r>
    </w:p>
    <w:p w:rsidR="00061AF2" w:rsidP="00061AF2">
      <w:pPr>
        <w:jc w:val="center"/>
        <w:rPr>
          <w:b/>
          <w:sz w:val="24"/>
        </w:rPr>
      </w:pPr>
    </w:p>
    <w:p w:rsidR="00061AF2" w:rsidP="00061AF2">
      <w:pPr>
        <w:jc w:val="center"/>
        <w:rPr>
          <w:b/>
          <w:sz w:val="24"/>
        </w:rPr>
      </w:pPr>
      <w:r>
        <w:rPr>
          <w:b/>
          <w:sz w:val="24"/>
        </w:rPr>
        <w:t>AU Docket No. 17-182</w:t>
      </w:r>
    </w:p>
    <w:p w:rsidR="00061AF2" w:rsidP="00061AF2">
      <w:pPr>
        <w:jc w:val="center"/>
        <w:rPr>
          <w:b/>
          <w:sz w:val="24"/>
        </w:rPr>
      </w:pPr>
      <w:r>
        <w:rPr>
          <w:b/>
          <w:sz w:val="24"/>
        </w:rPr>
        <w:t>WC Docket No. 10-90</w:t>
      </w:r>
    </w:p>
    <w:p w:rsidR="00061AF2" w:rsidP="00061AF2">
      <w:pPr>
        <w:jc w:val="center"/>
        <w:rPr>
          <w:sz w:val="24"/>
        </w:rPr>
      </w:pPr>
    </w:p>
    <w:p w:rsidR="00061AF2" w:rsidP="00061AF2">
      <w:pPr>
        <w:widowControl/>
        <w:autoSpaceDE w:val="0"/>
        <w:autoSpaceDN w:val="0"/>
        <w:adjustRightInd w:val="0"/>
        <w:ind w:firstLine="720"/>
        <w:rPr>
          <w:szCs w:val="22"/>
        </w:rPr>
      </w:pPr>
      <w:r w:rsidRPr="008F2585">
        <w:rPr>
          <w:szCs w:val="22"/>
        </w:rPr>
        <w:t>By this Public Notice, the Rural</w:t>
      </w:r>
      <w:r>
        <w:rPr>
          <w:szCs w:val="22"/>
        </w:rPr>
        <w:t xml:space="preserve"> Broadband Auctions Task Force, Wireline Competition Bureau and Wireless Telecommunications Bureau </w:t>
      </w:r>
      <w:r w:rsidRPr="008F2585">
        <w:rPr>
          <w:szCs w:val="22"/>
        </w:rPr>
        <w:t xml:space="preserve">identify </w:t>
      </w:r>
      <w:r>
        <w:rPr>
          <w:szCs w:val="22"/>
        </w:rPr>
        <w:t>134</w:t>
      </w:r>
      <w:r w:rsidRPr="008F2585">
        <w:rPr>
          <w:szCs w:val="22"/>
        </w:rPr>
        <w:t xml:space="preserve"> applicants </w:t>
      </w:r>
      <w:r>
        <w:t xml:space="preserve">in the Connect America Fund Phase II auction (Auction 903) </w:t>
      </w:r>
      <w:r w:rsidRPr="008F2585">
        <w:rPr>
          <w:szCs w:val="22"/>
        </w:rPr>
        <w:t xml:space="preserve">that </w:t>
      </w:r>
      <w:r>
        <w:rPr>
          <w:szCs w:val="22"/>
        </w:rPr>
        <w:t xml:space="preserve">submitted the long-form application portion of the FCC Form 683 by the October 15, 2018 deadline.  </w:t>
      </w:r>
      <w:r>
        <w:t>W</w:t>
      </w:r>
      <w:r>
        <w:rPr>
          <w:szCs w:val="22"/>
        </w:rPr>
        <w:t>inning bidders had the opportunity to assign some or all their winning bids to one or more related entities.</w:t>
      </w:r>
      <w:r>
        <w:rPr>
          <w:rStyle w:val="FootnoteReference"/>
          <w:szCs w:val="22"/>
        </w:rPr>
        <w:footnoteReference w:id="3"/>
      </w:r>
      <w:r>
        <w:rPr>
          <w:szCs w:val="22"/>
        </w:rPr>
        <w:t xml:space="preserve">  A </w:t>
      </w:r>
      <w:r w:rsidR="00BA0251">
        <w:rPr>
          <w:szCs w:val="22"/>
        </w:rPr>
        <w:t xml:space="preserve">spreadsheet, available on the </w:t>
      </w:r>
      <w:bookmarkStart w:id="0" w:name="_GoBack"/>
      <w:bookmarkEnd w:id="0"/>
      <w:r w:rsidRPr="00BA0251">
        <w:rPr>
          <w:szCs w:val="22"/>
        </w:rPr>
        <w:t>Data</w:t>
      </w:r>
      <w:r>
        <w:rPr>
          <w:szCs w:val="22"/>
        </w:rPr>
        <w:t xml:space="preserve"> tab of the Auction 903 web page, at </w:t>
      </w:r>
      <w:r>
        <w:fldChar w:fldCharType="begin"/>
      </w:r>
      <w:r>
        <w:instrText xml:space="preserve"> HYPERLINK "http://www.fcc.gov/auction/903" </w:instrText>
      </w:r>
      <w:r>
        <w:fldChar w:fldCharType="separate"/>
      </w:r>
      <w:r w:rsidRPr="00944F05">
        <w:rPr>
          <w:rStyle w:val="Hyperlink"/>
          <w:szCs w:val="22"/>
        </w:rPr>
        <w:t>www.fcc.gov/auction/903</w:t>
      </w:r>
      <w:r>
        <w:fldChar w:fldCharType="end"/>
      </w:r>
      <w:r>
        <w:rPr>
          <w:szCs w:val="22"/>
        </w:rPr>
        <w:t>, identifies the long-form applicants and lists the number of census blocks and locations, as well as the support amounts, by state, associated with each applicant.</w:t>
      </w:r>
      <w:r>
        <w:rPr>
          <w:rStyle w:val="FootnoteReference"/>
          <w:szCs w:val="22"/>
        </w:rPr>
        <w:footnoteReference w:id="4"/>
      </w:r>
      <w:r>
        <w:rPr>
          <w:szCs w:val="22"/>
        </w:rPr>
        <w:t xml:space="preserve">  Where applicable, the winning bidder that assigned bids to the applicant is also identified.  In addition, we list the eligible census blocks associated with each long-form applicant.</w:t>
      </w:r>
      <w:r>
        <w:rPr>
          <w:rStyle w:val="FootnoteReference"/>
          <w:szCs w:val="22"/>
        </w:rPr>
        <w:footnoteReference w:id="5"/>
      </w:r>
    </w:p>
    <w:p w:rsidR="00061AF2" w:rsidP="00061AF2">
      <w:pPr>
        <w:widowControl/>
        <w:autoSpaceDE w:val="0"/>
        <w:autoSpaceDN w:val="0"/>
        <w:adjustRightInd w:val="0"/>
        <w:ind w:firstLine="720"/>
        <w:rPr>
          <w:szCs w:val="22"/>
        </w:rPr>
      </w:pPr>
    </w:p>
    <w:p w:rsidR="00061AF2" w:rsidP="00061AF2">
      <w:pPr>
        <w:pStyle w:val="ParaNum"/>
        <w:widowControl/>
        <w:numPr>
          <w:ilvl w:val="0"/>
          <w:numId w:val="0"/>
        </w:numPr>
        <w:ind w:left="720"/>
        <w:rPr>
          <w:szCs w:val="22"/>
        </w:rPr>
      </w:pPr>
      <w:r>
        <w:rPr>
          <w:szCs w:val="22"/>
        </w:rPr>
        <w:t xml:space="preserve">For further information contact </w:t>
      </w:r>
      <w:r>
        <w:fldChar w:fldCharType="begin"/>
      </w:r>
      <w:r>
        <w:instrText xml:space="preserve"> HYPERLINK "mailto:Auction903@fcc.gov" </w:instrText>
      </w:r>
      <w:r>
        <w:fldChar w:fldCharType="separate"/>
      </w:r>
      <w:r w:rsidRPr="00944F05">
        <w:rPr>
          <w:rStyle w:val="Hyperlink"/>
          <w:szCs w:val="22"/>
        </w:rPr>
        <w:t>Auction903@fcc.gov</w:t>
      </w:r>
      <w:r>
        <w:fldChar w:fldCharType="end"/>
      </w:r>
      <w:r>
        <w:rPr>
          <w:szCs w:val="22"/>
        </w:rPr>
        <w:t xml:space="preserve"> or (717) 338-2868.</w:t>
      </w:r>
    </w:p>
    <w:p w:rsidR="00061AF2" w:rsidRPr="008F2585" w:rsidP="00061AF2">
      <w:pPr>
        <w:widowControl/>
        <w:rPr>
          <w:rStyle w:val="a"/>
          <w:szCs w:val="22"/>
        </w:rPr>
      </w:pPr>
    </w:p>
    <w:p w:rsidR="00061AF2" w:rsidRPr="008F2585" w:rsidP="00061AF2">
      <w:pPr>
        <w:widowControl/>
        <w:jc w:val="center"/>
        <w:rPr>
          <w:szCs w:val="22"/>
        </w:rPr>
      </w:pPr>
      <w:r w:rsidRPr="008F2585">
        <w:rPr>
          <w:b/>
          <w:smallCaps/>
          <w:szCs w:val="22"/>
        </w:rPr>
        <w:t>- FCC -</w:t>
      </w:r>
      <w:r>
        <w:rPr>
          <w:noProof/>
          <w:snapToGrid/>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0.75pt;height:0.75pt;mso-wrap-style:square;visibility:visible">
            <v:imagedata r:id="rId5" o:title=""/>
          </v:shape>
        </w:pict>
      </w:r>
    </w:p>
    <w:p w:rsidR="00930ECF" w:rsidRPr="00930ECF" w:rsidP="00061AF2">
      <w:pPr>
        <w:jc w:val="right"/>
        <w:rPr>
          <w:sz w:val="24"/>
        </w:rPr>
      </w:pPr>
    </w:p>
    <w:sectPr w:rsidSect="000E5884">
      <w:headerReference w:type="default" r:id="rId6"/>
      <w:footerReference w:type="even" r:id="rId7"/>
      <w:footerReference w:type="default" r:id="rId8"/>
      <w:headerReference w:type="first" r:id="rId9"/>
      <w:footerReference w:type="first" r:id="rId10"/>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C58CF">
      <w:r>
        <w:separator/>
      </w:r>
    </w:p>
  </w:footnote>
  <w:footnote w:type="continuationSeparator" w:id="1">
    <w:p w:rsidR="00AC58CF">
      <w:pPr>
        <w:rPr>
          <w:sz w:val="20"/>
        </w:rPr>
      </w:pPr>
      <w:r>
        <w:rPr>
          <w:sz w:val="20"/>
        </w:rPr>
        <w:t xml:space="preserve">(Continued from previous page)  </w:t>
      </w:r>
      <w:r>
        <w:rPr>
          <w:sz w:val="20"/>
        </w:rPr>
        <w:separator/>
      </w:r>
    </w:p>
  </w:footnote>
  <w:footnote w:type="continuationNotice" w:id="2">
    <w:p w:rsidR="00AC58CF" w:rsidP="00910F12">
      <w:pPr>
        <w:jc w:val="right"/>
        <w:rPr>
          <w:sz w:val="20"/>
        </w:rPr>
      </w:pPr>
      <w:r>
        <w:rPr>
          <w:sz w:val="20"/>
        </w:rPr>
        <w:t>(continued….)</w:t>
      </w:r>
    </w:p>
  </w:footnote>
  <w:footnote w:id="3">
    <w:p w:rsidR="00061AF2" w:rsidRPr="004E031F" w:rsidP="00061AF2">
      <w:pPr>
        <w:pStyle w:val="FootnoteText"/>
      </w:pPr>
      <w:r>
        <w:rPr>
          <w:rStyle w:val="FootnoteReference"/>
        </w:rPr>
        <w:footnoteRef/>
      </w:r>
      <w:r>
        <w:t xml:space="preserve"> </w:t>
      </w:r>
      <w:r>
        <w:rPr>
          <w:i/>
        </w:rPr>
        <w:t xml:space="preserve">See </w:t>
      </w:r>
      <w:r w:rsidRPr="00E5287B">
        <w:rPr>
          <w:i/>
        </w:rPr>
        <w:t>Connect America Fund Phase II Auction</w:t>
      </w:r>
      <w:r>
        <w:rPr>
          <w:i/>
        </w:rPr>
        <w:t xml:space="preserve"> Closes, Winning Bidders Announced, FCC Form 683 Due October 15, 2018</w:t>
      </w:r>
      <w:r>
        <w:t>, Public Notice, DA 18-887 (Aug. 28, 2018).</w:t>
      </w:r>
    </w:p>
  </w:footnote>
  <w:footnote w:id="4">
    <w:p w:rsidR="00061AF2" w:rsidP="00061AF2">
      <w:pPr>
        <w:pStyle w:val="FootnoteText"/>
      </w:pPr>
      <w:r>
        <w:rPr>
          <w:rStyle w:val="FootnoteReference"/>
        </w:rPr>
        <w:footnoteRef/>
      </w:r>
      <w:r>
        <w:t xml:space="preserve"> </w:t>
      </w:r>
      <w:r>
        <w:rPr>
          <w:i/>
        </w:rPr>
        <w:t xml:space="preserve">See </w:t>
      </w:r>
      <w:r>
        <w:t xml:space="preserve">Winning Bids Summary tab, available at </w:t>
      </w:r>
      <w:r>
        <w:fldChar w:fldCharType="begin"/>
      </w:r>
      <w:r>
        <w:instrText xml:space="preserve"> HYPERLINK "https://docs.fcc.gov/public/attachments/DOC-354843A1.xlsx" \t "_blank" </w:instrText>
      </w:r>
      <w:r>
        <w:fldChar w:fldCharType="separate"/>
      </w:r>
      <w:r w:rsidR="00B95275">
        <w:rPr>
          <w:rStyle w:val="Hyperlink"/>
        </w:rPr>
        <w:t>https://docs.fcc.gov/public/attachments/DOC-354843A1.xlsx</w:t>
      </w:r>
      <w:r>
        <w:fldChar w:fldCharType="end"/>
      </w:r>
      <w:r>
        <w:t>.</w:t>
      </w:r>
    </w:p>
  </w:footnote>
  <w:footnote w:id="5">
    <w:p w:rsidR="00061AF2" w:rsidRPr="00751F16" w:rsidP="00061AF2">
      <w:pPr>
        <w:pStyle w:val="FootnoteText"/>
      </w:pPr>
      <w:r>
        <w:rPr>
          <w:rStyle w:val="FootnoteReference"/>
        </w:rPr>
        <w:footnoteRef/>
      </w:r>
      <w:r>
        <w:t xml:space="preserve"> </w:t>
      </w:r>
      <w:r>
        <w:rPr>
          <w:i/>
        </w:rPr>
        <w:t>See id</w:t>
      </w:r>
      <w:r>
        <w:t>.</w:t>
      </w:r>
      <w:r>
        <w:rPr>
          <w:i/>
        </w:rPr>
        <w:t xml:space="preserve"> </w:t>
      </w:r>
      <w:r>
        <w:t>Winning Bids Detail tab.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1678.4pt,56.7pt" to="2146.4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521"/>
    <w:pPr>
      <w:widowControl w:val="0"/>
    </w:pPr>
    <w:rPr>
      <w:snapToGrid w:val="0"/>
      <w:kern w:val="28"/>
      <w:sz w:val="22"/>
    </w:rPr>
  </w:style>
  <w:style w:type="paragraph" w:styleId="Heading1">
    <w:name w:val="heading 1"/>
    <w:basedOn w:val="Normal"/>
    <w:next w:val="ParaNum"/>
    <w:qFormat/>
    <w:rsid w:val="00FD152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D1521"/>
    <w:pPr>
      <w:keepNext/>
      <w:numPr>
        <w:ilvl w:val="1"/>
        <w:numId w:val="3"/>
      </w:numPr>
      <w:spacing w:after="120"/>
      <w:outlineLvl w:val="1"/>
    </w:pPr>
    <w:rPr>
      <w:b/>
    </w:rPr>
  </w:style>
  <w:style w:type="paragraph" w:styleId="Heading3">
    <w:name w:val="heading 3"/>
    <w:basedOn w:val="Normal"/>
    <w:next w:val="ParaNum"/>
    <w:qFormat/>
    <w:rsid w:val="00FD1521"/>
    <w:pPr>
      <w:keepNext/>
      <w:numPr>
        <w:ilvl w:val="2"/>
        <w:numId w:val="3"/>
      </w:numPr>
      <w:tabs>
        <w:tab w:val="left" w:pos="2160"/>
      </w:tabs>
      <w:spacing w:after="120"/>
      <w:outlineLvl w:val="2"/>
    </w:pPr>
    <w:rPr>
      <w:b/>
    </w:rPr>
  </w:style>
  <w:style w:type="paragraph" w:styleId="Heading4">
    <w:name w:val="heading 4"/>
    <w:basedOn w:val="Normal"/>
    <w:next w:val="ParaNum"/>
    <w:qFormat/>
    <w:rsid w:val="00FD1521"/>
    <w:pPr>
      <w:keepNext/>
      <w:numPr>
        <w:ilvl w:val="3"/>
        <w:numId w:val="3"/>
      </w:numPr>
      <w:tabs>
        <w:tab w:val="left" w:pos="2880"/>
      </w:tabs>
      <w:spacing w:after="120"/>
      <w:outlineLvl w:val="3"/>
    </w:pPr>
    <w:rPr>
      <w:b/>
    </w:rPr>
  </w:style>
  <w:style w:type="paragraph" w:styleId="Heading5">
    <w:name w:val="heading 5"/>
    <w:basedOn w:val="Normal"/>
    <w:next w:val="ParaNum"/>
    <w:qFormat/>
    <w:rsid w:val="00FD152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D1521"/>
    <w:pPr>
      <w:numPr>
        <w:ilvl w:val="5"/>
        <w:numId w:val="3"/>
      </w:numPr>
      <w:tabs>
        <w:tab w:val="left" w:pos="4320"/>
      </w:tabs>
      <w:spacing w:after="120"/>
      <w:outlineLvl w:val="5"/>
    </w:pPr>
    <w:rPr>
      <w:b/>
    </w:rPr>
  </w:style>
  <w:style w:type="paragraph" w:styleId="Heading7">
    <w:name w:val="heading 7"/>
    <w:basedOn w:val="Normal"/>
    <w:next w:val="ParaNum"/>
    <w:qFormat/>
    <w:rsid w:val="00FD152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D152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D152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FD152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FD1521"/>
  </w:style>
  <w:style w:type="paragraph" w:customStyle="1" w:styleId="ParaNum">
    <w:name w:val="ParaNum"/>
    <w:basedOn w:val="Normal"/>
    <w:link w:val="ParaNumChar"/>
    <w:rsid w:val="00FD1521"/>
    <w:pPr>
      <w:numPr>
        <w:numId w:val="2"/>
      </w:numPr>
      <w:tabs>
        <w:tab w:val="clear" w:pos="1080"/>
        <w:tab w:val="num" w:pos="1440"/>
      </w:tabs>
      <w:spacing w:after="120"/>
    </w:pPr>
  </w:style>
  <w:style w:type="paragraph" w:styleId="EndnoteText">
    <w:name w:val="endnote text"/>
    <w:basedOn w:val="Normal"/>
    <w:semiHidden/>
    <w:rsid w:val="00FD1521"/>
    <w:rPr>
      <w:sz w:val="20"/>
    </w:rPr>
  </w:style>
  <w:style w:type="character" w:styleId="EndnoteReference">
    <w:name w:val="endnote reference"/>
    <w:semiHidden/>
    <w:rsid w:val="00FD1521"/>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rsid w:val="00FD1521"/>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FD1521"/>
    <w:rPr>
      <w:rFonts w:ascii="Times New Roman" w:hAnsi="Times New Roman"/>
      <w:dstrike w:val="0"/>
      <w:color w:val="auto"/>
      <w:sz w:val="22"/>
      <w:vertAlign w:val="superscript"/>
    </w:rPr>
  </w:style>
  <w:style w:type="paragraph" w:styleId="TOC1">
    <w:name w:val="toc 1"/>
    <w:basedOn w:val="Normal"/>
    <w:next w:val="Normal"/>
    <w:uiPriority w:val="39"/>
    <w:rsid w:val="00FD152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D1521"/>
    <w:pPr>
      <w:tabs>
        <w:tab w:val="left" w:pos="720"/>
        <w:tab w:val="right" w:leader="dot" w:pos="9360"/>
      </w:tabs>
      <w:suppressAutoHyphens/>
      <w:ind w:left="720" w:right="720" w:hanging="360"/>
    </w:pPr>
    <w:rPr>
      <w:noProof/>
    </w:rPr>
  </w:style>
  <w:style w:type="paragraph" w:styleId="TOC3">
    <w:name w:val="toc 3"/>
    <w:basedOn w:val="Normal"/>
    <w:next w:val="Normal"/>
    <w:semiHidden/>
    <w:rsid w:val="00FD152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D152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D152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D152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D152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D152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D152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D1521"/>
    <w:pPr>
      <w:tabs>
        <w:tab w:val="right" w:pos="9360"/>
      </w:tabs>
      <w:suppressAutoHyphens/>
    </w:pPr>
  </w:style>
  <w:style w:type="character" w:customStyle="1" w:styleId="EquationCaption">
    <w:name w:val="_Equation Caption"/>
    <w:rsid w:val="00FD1521"/>
  </w:style>
  <w:style w:type="paragraph" w:styleId="Header">
    <w:name w:val="header"/>
    <w:basedOn w:val="Normal"/>
    <w:autoRedefine/>
    <w:rsid w:val="00FD1521"/>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FD1521"/>
    <w:pPr>
      <w:tabs>
        <w:tab w:val="center" w:pos="4320"/>
        <w:tab w:val="right" w:pos="8640"/>
      </w:tabs>
    </w:pPr>
  </w:style>
  <w:style w:type="character" w:styleId="PageNumber">
    <w:name w:val="page number"/>
    <w:rsid w:val="00FD1521"/>
  </w:style>
  <w:style w:type="paragraph" w:styleId="BlockText">
    <w:name w:val="Block Text"/>
    <w:basedOn w:val="Normal"/>
    <w:rsid w:val="00FD1521"/>
    <w:pPr>
      <w:spacing w:after="240"/>
      <w:ind w:left="1440" w:right="1440"/>
    </w:pPr>
  </w:style>
  <w:style w:type="paragraph" w:customStyle="1" w:styleId="Paratitle">
    <w:name w:val="Para title"/>
    <w:basedOn w:val="Normal"/>
    <w:rsid w:val="00FD1521"/>
    <w:pPr>
      <w:tabs>
        <w:tab w:val="center" w:pos="9270"/>
      </w:tabs>
      <w:spacing w:after="240"/>
    </w:pPr>
    <w:rPr>
      <w:spacing w:val="-2"/>
    </w:rPr>
  </w:style>
  <w:style w:type="paragraph" w:customStyle="1" w:styleId="Bullet">
    <w:name w:val="Bullet"/>
    <w:basedOn w:val="Normal"/>
    <w:rsid w:val="00FD1521"/>
    <w:pPr>
      <w:numPr>
        <w:numId w:val="1"/>
      </w:numPr>
      <w:tabs>
        <w:tab w:val="clear" w:pos="360"/>
        <w:tab w:val="left" w:pos="2160"/>
      </w:tabs>
      <w:spacing w:after="220"/>
      <w:ind w:left="2160" w:hanging="720"/>
    </w:pPr>
  </w:style>
  <w:style w:type="paragraph" w:customStyle="1" w:styleId="TableFormat">
    <w:name w:val="TableFormat"/>
    <w:basedOn w:val="Bullet"/>
    <w:rsid w:val="00FD1521"/>
    <w:pPr>
      <w:numPr>
        <w:numId w:val="0"/>
      </w:numPr>
      <w:tabs>
        <w:tab w:val="clear" w:pos="2160"/>
        <w:tab w:val="left" w:pos="5040"/>
      </w:tabs>
      <w:ind w:left="5040" w:hanging="3600"/>
    </w:pPr>
  </w:style>
  <w:style w:type="paragraph" w:customStyle="1" w:styleId="TOCTitle">
    <w:name w:val="TOC Title"/>
    <w:basedOn w:val="Normal"/>
    <w:rsid w:val="00FD152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D1521"/>
    <w:pPr>
      <w:jc w:val="center"/>
    </w:pPr>
    <w:rPr>
      <w:rFonts w:ascii="Times New Roman Bold" w:hAnsi="Times New Roman Bold"/>
      <w:b/>
      <w:bCs/>
      <w:caps/>
      <w:szCs w:val="22"/>
    </w:rPr>
  </w:style>
  <w:style w:type="character" w:styleId="Hyperlink">
    <w:name w:val="Hyperlink"/>
    <w:rsid w:val="00FD1521"/>
    <w:rPr>
      <w:color w:val="0000FF"/>
      <w:u w:val="single"/>
    </w:rPr>
  </w:style>
  <w:style w:type="character" w:customStyle="1" w:styleId="FooterChar">
    <w:name w:val="Footer Char"/>
    <w:link w:val="Footer"/>
    <w:uiPriority w:val="99"/>
    <w:rsid w:val="00FD1521"/>
    <w:rPr>
      <w:snapToGrid w:val="0"/>
      <w:kern w:val="28"/>
      <w:sz w:val="22"/>
    </w:rPr>
  </w:style>
  <w:style w:type="character" w:customStyle="1" w:styleId="a">
    <w:name w:val="_"/>
    <w:rsid w:val="00061AF2"/>
    <w:rPr>
      <w:rFonts w:ascii="Times New Roman" w:hAnsi="Times New Roman"/>
      <w:sz w:val="24"/>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061AF2"/>
  </w:style>
  <w:style w:type="character" w:customStyle="1" w:styleId="ParaNumChar">
    <w:name w:val="ParaNum Char"/>
    <w:link w:val="ParaNum"/>
    <w:locked/>
    <w:rsid w:val="00061AF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wmf"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