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035A79">
      <w:pPr>
        <w:pStyle w:val="Heading1"/>
        <w:rPr>
          <w:rFonts w:eastAsia="Times New Roman"/>
          <w:szCs w:val="22"/>
        </w:rPr>
      </w:pPr>
      <w:bookmarkStart w:id="0" w:name="OLE_LINK2"/>
      <w:bookmarkStart w:id="1" w:name="OLE_LINK1"/>
      <w:r>
        <w:rPr>
          <w:rFonts w:eastAsia="Times New Roman"/>
          <w:szCs w:val="22"/>
        </w:rPr>
        <w:t>Before the</w:t>
      </w:r>
    </w:p>
    <w:p w:rsidR="00035A79">
      <w:pPr>
        <w:pStyle w:val="Heading1"/>
        <w:rPr>
          <w:rFonts w:eastAsia="Times New Roman"/>
          <w:szCs w:val="22"/>
        </w:rPr>
      </w:pPr>
      <w:r>
        <w:rPr>
          <w:rFonts w:eastAsia="Times New Roman"/>
          <w:szCs w:val="22"/>
        </w:rPr>
        <w:t>Federal Communications Commission</w:t>
      </w:r>
    </w:p>
    <w:p w:rsidR="00035A79">
      <w:pPr>
        <w:pStyle w:val="Heading1"/>
        <w:rPr>
          <w:rFonts w:eastAsia="Times New Roman"/>
          <w:szCs w:val="22"/>
        </w:rPr>
      </w:pPr>
      <w:r>
        <w:rPr>
          <w:rFonts w:eastAsia="Times New Roman"/>
          <w:szCs w:val="22"/>
        </w:rPr>
        <w:t>Washington, D.C. 20554</w:t>
      </w:r>
    </w:p>
    <w:p w:rsidR="00035A79">
      <w:pPr>
        <w:tabs>
          <w:tab w:val="left" w:pos="-720"/>
        </w:tabs>
        <w:suppressAutoHyphens/>
        <w:spacing w:line="225" w:lineRule="auto"/>
        <w:jc w:val="both"/>
        <w:rPr>
          <w:spacing w:val="-2"/>
          <w:sz w:val="22"/>
          <w:szCs w:val="22"/>
        </w:rPr>
      </w:pPr>
    </w:p>
    <w:tbl>
      <w:tblPr>
        <w:tblW w:w="0" w:type="auto"/>
        <w:tblLook w:val="04A0"/>
      </w:tblPr>
      <w:tblGrid>
        <w:gridCol w:w="4323"/>
        <w:gridCol w:w="1055"/>
        <w:gridCol w:w="3982"/>
      </w:tblGrid>
      <w:tr>
        <w:tblPrEx>
          <w:tblW w:w="0" w:type="auto"/>
          <w:tblLook w:val="04A0"/>
        </w:tblPrEx>
        <w:tc>
          <w:tcPr>
            <w:tcW w:w="4428" w:type="dxa"/>
          </w:tcPr>
          <w:p w:rsidR="00035A79">
            <w:pPr>
              <w:keepNext/>
              <w:rPr>
                <w:sz w:val="22"/>
                <w:szCs w:val="22"/>
              </w:rPr>
            </w:pPr>
          </w:p>
          <w:p w:rsidR="00035A79">
            <w:pPr>
              <w:keepNext/>
              <w:rPr>
                <w:sz w:val="22"/>
                <w:szCs w:val="22"/>
              </w:rPr>
            </w:pPr>
            <w:r>
              <w:rPr>
                <w:sz w:val="22"/>
                <w:szCs w:val="22"/>
              </w:rPr>
              <w:t>In the Matter of</w:t>
            </w:r>
          </w:p>
          <w:p w:rsidR="00035A79">
            <w:pPr>
              <w:keepNext/>
              <w:rPr>
                <w:sz w:val="22"/>
                <w:szCs w:val="22"/>
              </w:rPr>
            </w:pPr>
          </w:p>
          <w:p w:rsidR="00035A79">
            <w:pPr>
              <w:keepNext/>
              <w:rPr>
                <w:b/>
                <w:sz w:val="22"/>
                <w:szCs w:val="22"/>
              </w:rPr>
            </w:pPr>
            <w:r>
              <w:rPr>
                <w:b/>
                <w:sz w:val="22"/>
                <w:szCs w:val="22"/>
              </w:rPr>
              <w:t>Carolina Rays LLC</w:t>
            </w:r>
          </w:p>
          <w:p w:rsidR="00035A79">
            <w:pPr>
              <w:keepNext/>
              <w:rPr>
                <w:b/>
                <w:sz w:val="22"/>
                <w:szCs w:val="22"/>
              </w:rPr>
            </w:pPr>
          </w:p>
          <w:p w:rsidR="00035A79">
            <w:pPr>
              <w:keepNext/>
              <w:rPr>
                <w:b/>
                <w:sz w:val="22"/>
                <w:szCs w:val="22"/>
              </w:rPr>
            </w:pPr>
            <w:r>
              <w:rPr>
                <w:sz w:val="22"/>
                <w:szCs w:val="22"/>
              </w:rPr>
              <w:t>Licensee of Station WLNN-CD, Boone, North Carolina</w:t>
            </w:r>
          </w:p>
          <w:p w:rsidR="00035A79">
            <w:pPr>
              <w:keepNext/>
              <w:rPr>
                <w:sz w:val="22"/>
                <w:szCs w:val="22"/>
              </w:rPr>
            </w:pPr>
          </w:p>
        </w:tc>
        <w:tc>
          <w:tcPr>
            <w:tcW w:w="1080" w:type="dxa"/>
            <w:hideMark/>
          </w:tcPr>
          <w:p w:rsidR="00035A79">
            <w:pPr>
              <w:keepNext/>
              <w:rPr>
                <w:sz w:val="22"/>
                <w:szCs w:val="22"/>
              </w:rPr>
            </w:pPr>
            <w:r>
              <w:rPr>
                <w:sz w:val="22"/>
                <w:szCs w:val="22"/>
              </w:rPr>
              <w:t>)</w:t>
            </w:r>
          </w:p>
          <w:p w:rsidR="00035A79">
            <w:pPr>
              <w:keepNext/>
              <w:rPr>
                <w:sz w:val="22"/>
                <w:szCs w:val="22"/>
              </w:rPr>
            </w:pPr>
            <w:r>
              <w:rPr>
                <w:sz w:val="22"/>
                <w:szCs w:val="22"/>
              </w:rPr>
              <w:t>)</w:t>
            </w:r>
          </w:p>
          <w:p w:rsidR="00035A79">
            <w:pPr>
              <w:keepNext/>
              <w:rPr>
                <w:sz w:val="22"/>
                <w:szCs w:val="22"/>
              </w:rPr>
            </w:pPr>
            <w:r>
              <w:rPr>
                <w:sz w:val="22"/>
                <w:szCs w:val="22"/>
              </w:rPr>
              <w:t>)</w:t>
            </w:r>
          </w:p>
          <w:p w:rsidR="00035A79">
            <w:pPr>
              <w:keepNext/>
              <w:rPr>
                <w:sz w:val="22"/>
                <w:szCs w:val="22"/>
              </w:rPr>
            </w:pPr>
            <w:r>
              <w:rPr>
                <w:sz w:val="22"/>
                <w:szCs w:val="22"/>
              </w:rPr>
              <w:t>)</w:t>
            </w:r>
          </w:p>
          <w:p w:rsidR="00035A79">
            <w:pPr>
              <w:keepNext/>
              <w:rPr>
                <w:sz w:val="22"/>
                <w:szCs w:val="22"/>
              </w:rPr>
            </w:pPr>
            <w:r>
              <w:rPr>
                <w:sz w:val="22"/>
                <w:szCs w:val="22"/>
              </w:rPr>
              <w:t>)</w:t>
            </w:r>
          </w:p>
          <w:p w:rsidR="00035A79">
            <w:pPr>
              <w:keepNext/>
              <w:rPr>
                <w:sz w:val="22"/>
                <w:szCs w:val="22"/>
              </w:rPr>
            </w:pPr>
            <w:r>
              <w:rPr>
                <w:sz w:val="22"/>
                <w:szCs w:val="22"/>
              </w:rPr>
              <w:t>)</w:t>
            </w:r>
          </w:p>
          <w:p w:rsidR="00035A79">
            <w:pPr>
              <w:keepNext/>
              <w:rPr>
                <w:sz w:val="22"/>
                <w:szCs w:val="22"/>
              </w:rPr>
            </w:pPr>
            <w:r>
              <w:rPr>
                <w:sz w:val="22"/>
                <w:szCs w:val="22"/>
              </w:rPr>
              <w:t>)</w:t>
            </w:r>
          </w:p>
        </w:tc>
        <w:tc>
          <w:tcPr>
            <w:tcW w:w="4068" w:type="dxa"/>
          </w:tcPr>
          <w:p w:rsidR="00035A79" w:rsidP="00453E32">
            <w:pPr>
              <w:ind w:firstLine="108"/>
              <w:rPr>
                <w:spacing w:val="-2"/>
                <w:sz w:val="22"/>
                <w:szCs w:val="22"/>
                <w:lang w:val="es-ES"/>
              </w:rPr>
            </w:pPr>
          </w:p>
          <w:p w:rsidR="00035A79" w:rsidP="00453E32">
            <w:pPr>
              <w:ind w:firstLine="108"/>
              <w:rPr>
                <w:spacing w:val="-2"/>
                <w:sz w:val="22"/>
                <w:szCs w:val="22"/>
                <w:lang w:val="es-ES"/>
              </w:rPr>
            </w:pPr>
          </w:p>
          <w:p w:rsidR="00035A79">
            <w:pPr>
              <w:rPr>
                <w:sz w:val="22"/>
                <w:szCs w:val="22"/>
              </w:rPr>
            </w:pPr>
            <w:r>
              <w:rPr>
                <w:sz w:val="22"/>
                <w:szCs w:val="22"/>
              </w:rPr>
              <w:t>FRN No. 0018324095</w:t>
            </w:r>
          </w:p>
          <w:p w:rsidR="00035A79" w:rsidP="008E400E">
            <w:pPr>
              <w:rPr>
                <w:sz w:val="22"/>
                <w:szCs w:val="22"/>
                <w:lang w:val="es-ES"/>
              </w:rPr>
            </w:pPr>
            <w:r>
              <w:rPr>
                <w:sz w:val="22"/>
                <w:szCs w:val="22"/>
                <w:lang w:val="es-ES"/>
              </w:rPr>
              <w:t>Facility</w:t>
            </w:r>
            <w:r>
              <w:rPr>
                <w:sz w:val="22"/>
                <w:szCs w:val="22"/>
                <w:lang w:val="es-ES"/>
              </w:rPr>
              <w:t xml:space="preserve"> ID No. 60888</w:t>
            </w:r>
          </w:p>
          <w:p w:rsidR="00035A79">
            <w:pPr>
              <w:keepNext/>
              <w:rPr>
                <w:sz w:val="22"/>
                <w:szCs w:val="22"/>
              </w:rPr>
            </w:pPr>
          </w:p>
        </w:tc>
      </w:tr>
    </w:tbl>
    <w:p w:rsidR="00035A79">
      <w:pPr>
        <w:tabs>
          <w:tab w:val="left" w:pos="-720"/>
        </w:tabs>
        <w:suppressAutoHyphens/>
        <w:spacing w:line="225" w:lineRule="auto"/>
        <w:jc w:val="both"/>
        <w:rPr>
          <w:spacing w:val="-2"/>
          <w:sz w:val="22"/>
          <w:szCs w:val="22"/>
        </w:rPr>
      </w:pPr>
    </w:p>
    <w:p w:rsidR="00035A79">
      <w:pPr>
        <w:pStyle w:val="Heading1"/>
        <w:rPr>
          <w:rFonts w:eastAsia="Times New Roman"/>
          <w:szCs w:val="22"/>
        </w:rPr>
      </w:pPr>
      <w:r>
        <w:rPr>
          <w:rFonts w:eastAsia="Times New Roman"/>
        </w:rPr>
        <w:fldChar w:fldCharType="begin"/>
      </w:r>
      <w:r>
        <w:rPr>
          <w:rFonts w:eastAsia="Times New Roman"/>
          <w:szCs w:val="22"/>
        </w:rPr>
        <w:instrText xml:space="preserve"> AUTOTEXTLIST  \* MERGEFORMAT </w:instrText>
      </w:r>
      <w:r>
        <w:rPr>
          <w:rFonts w:eastAsia="Times New Roman"/>
        </w:rPr>
        <w:fldChar w:fldCharType="separate"/>
      </w:r>
      <w:r>
        <w:rPr>
          <w:rFonts w:eastAsia="Times New Roman"/>
          <w:szCs w:val="22"/>
        </w:rPr>
        <w:t>ORDER</w:t>
      </w:r>
      <w:r>
        <w:rPr>
          <w:rFonts w:eastAsia="Times New Roman"/>
        </w:rPr>
        <w:fldChar w:fldCharType="end"/>
      </w:r>
    </w:p>
    <w:p w:rsidR="00035A79">
      <w:pPr>
        <w:tabs>
          <w:tab w:val="left" w:pos="720"/>
          <w:tab w:val="right" w:pos="9360"/>
        </w:tabs>
        <w:suppressAutoHyphens/>
        <w:spacing w:line="225" w:lineRule="auto"/>
        <w:rPr>
          <w:b/>
          <w:spacing w:val="-2"/>
          <w:sz w:val="22"/>
          <w:szCs w:val="22"/>
        </w:rPr>
      </w:pPr>
    </w:p>
    <w:p w:rsidR="00035A79">
      <w:pPr>
        <w:tabs>
          <w:tab w:val="left" w:pos="720"/>
          <w:tab w:val="right" w:pos="9360"/>
        </w:tabs>
        <w:suppressAutoHyphens/>
        <w:spacing w:line="225" w:lineRule="auto"/>
        <w:rPr>
          <w:spacing w:val="-2"/>
          <w:sz w:val="22"/>
          <w:szCs w:val="22"/>
        </w:rPr>
      </w:pPr>
      <w:r>
        <w:rPr>
          <w:b/>
          <w:spacing w:val="-2"/>
          <w:sz w:val="22"/>
          <w:szCs w:val="22"/>
        </w:rPr>
        <w:t>Adopted:  November 9</w:t>
      </w:r>
      <w:r w:rsidR="001003BE">
        <w:rPr>
          <w:b/>
          <w:spacing w:val="-2"/>
          <w:sz w:val="22"/>
          <w:szCs w:val="22"/>
        </w:rPr>
        <w:t>, 2018</w:t>
      </w:r>
      <w:r w:rsidR="001003BE">
        <w:rPr>
          <w:b/>
          <w:spacing w:val="-2"/>
          <w:sz w:val="22"/>
          <w:szCs w:val="22"/>
        </w:rPr>
        <w:tab/>
        <w:t xml:space="preserve">Released:  November </w:t>
      </w:r>
      <w:r>
        <w:rPr>
          <w:b/>
          <w:spacing w:val="-2"/>
          <w:sz w:val="22"/>
          <w:szCs w:val="22"/>
        </w:rPr>
        <w:t>9</w:t>
      </w:r>
      <w:bookmarkStart w:id="2" w:name="_GoBack"/>
      <w:bookmarkEnd w:id="2"/>
      <w:r w:rsidR="001003BE">
        <w:rPr>
          <w:b/>
          <w:spacing w:val="-2"/>
          <w:sz w:val="22"/>
          <w:szCs w:val="22"/>
        </w:rPr>
        <w:t>, 2018</w:t>
      </w:r>
    </w:p>
    <w:p w:rsidR="00035A79">
      <w:pPr>
        <w:tabs>
          <w:tab w:val="left" w:pos="-720"/>
        </w:tabs>
        <w:suppressAutoHyphens/>
        <w:spacing w:line="225" w:lineRule="auto"/>
        <w:jc w:val="both"/>
        <w:rPr>
          <w:spacing w:val="-2"/>
          <w:sz w:val="22"/>
          <w:szCs w:val="22"/>
        </w:rPr>
      </w:pPr>
    </w:p>
    <w:p w:rsidR="00035A79">
      <w:pPr>
        <w:jc w:val="both"/>
        <w:rPr>
          <w:sz w:val="22"/>
          <w:szCs w:val="22"/>
        </w:rPr>
      </w:pPr>
      <w:bookmarkEnd w:id="0"/>
      <w:bookmarkEnd w:id="1"/>
      <w:r>
        <w:rPr>
          <w:sz w:val="22"/>
          <w:szCs w:val="22"/>
        </w:rPr>
        <w:t xml:space="preserve">By the Media Bureau and Wireless Telecommunications Bureau: </w:t>
      </w:r>
    </w:p>
    <w:p w:rsidR="00035A79">
      <w:pPr>
        <w:jc w:val="both"/>
        <w:rPr>
          <w:sz w:val="22"/>
          <w:szCs w:val="22"/>
        </w:rPr>
      </w:pPr>
    </w:p>
    <w:p w:rsidR="00035A79">
      <w:pPr>
        <w:pStyle w:val="Paranum"/>
        <w:tabs>
          <w:tab w:val="clear" w:pos="1080"/>
          <w:tab w:val="num" w:pos="1440"/>
        </w:tabs>
        <w:jc w:val="left"/>
      </w:pPr>
      <w:r>
        <w:t xml:space="preserve">In this Order, we adopt the attached Consent Decree </w:t>
      </w:r>
      <w:r>
        <w:t>entered into</w:t>
      </w:r>
      <w:r>
        <w:t xml:space="preserve"> between the Media Bureau and Wireless Telecommunications Bureau (“Bureaus”) and </w:t>
      </w:r>
      <w:r>
        <w:rPr>
          <w:szCs w:val="22"/>
        </w:rPr>
        <w:t xml:space="preserve">Carolina Rays LLC </w:t>
      </w:r>
      <w:r>
        <w:t xml:space="preserve">(“Carolina Rays” or “Licensee”), licensee of Station WLNN-CD, Boone, North Carolina, (“Station”).  The Consent Decree terminates an investigation by the Bureaus against Carolina Rays for possible violations of section </w:t>
      </w:r>
      <w:r w:rsidR="00F47A35">
        <w:rPr>
          <w:sz w:val="20"/>
        </w:rPr>
        <w:t xml:space="preserve">309(j)(5) and/or </w:t>
      </w:r>
      <w:r>
        <w:t>310(d) of the Communications Act of 1934, as amended,</w:t>
      </w:r>
      <w:r>
        <w:rPr>
          <w:rStyle w:val="FootnoteReference"/>
          <w:sz w:val="22"/>
          <w:szCs w:val="22"/>
        </w:rPr>
        <w:footnoteReference w:id="2"/>
      </w:r>
      <w:r>
        <w:t xml:space="preserve"> and sections 1.2204(c), and 73.3540 of the Commission’s Rules,</w:t>
      </w:r>
      <w:r>
        <w:rPr>
          <w:rStyle w:val="FootnoteReference"/>
          <w:sz w:val="22"/>
          <w:szCs w:val="22"/>
        </w:rPr>
        <w:footnoteReference w:id="3"/>
      </w:r>
      <w:r>
        <w:t xml:space="preserve"> regarding allegations that it </w:t>
      </w:r>
      <w:r w:rsidR="00F664CA">
        <w:t>submitted</w:t>
      </w:r>
      <w:r w:rsidR="00987158">
        <w:t xml:space="preserve"> inaccurate information in its application to participate in Auction 1001 and/or </w:t>
      </w:r>
      <w:r>
        <w:t xml:space="preserve">transferred control of the Station without Commission authorization.  </w:t>
      </w:r>
    </w:p>
    <w:p w:rsidR="00035A79">
      <w:pPr>
        <w:pStyle w:val="Paranum"/>
        <w:tabs>
          <w:tab w:val="clear" w:pos="1080"/>
          <w:tab w:val="num" w:pos="1440"/>
        </w:tabs>
        <w:jc w:val="left"/>
        <w:rPr>
          <w:szCs w:val="22"/>
        </w:rPr>
      </w:pPr>
      <w:r>
        <w:rPr>
          <w:szCs w:val="22"/>
        </w:rPr>
        <w:t xml:space="preserve">The </w:t>
      </w:r>
      <w:r>
        <w:rPr>
          <w:bCs/>
          <w:szCs w:val="22"/>
        </w:rPr>
        <w:t>Bureaus</w:t>
      </w:r>
      <w:r>
        <w:rPr>
          <w:szCs w:val="22"/>
        </w:rPr>
        <w:t xml:space="preserve"> and Carolina Rays have negotiated the terms of the Consent Decree that resolve this matter.  A copy of the Consent Decree is attached hereto and incorporated by reference.  </w:t>
      </w:r>
    </w:p>
    <w:p w:rsidR="00035A79">
      <w:pPr>
        <w:pStyle w:val="Paranum"/>
        <w:tabs>
          <w:tab w:val="clear" w:pos="1080"/>
        </w:tabs>
        <w:jc w:val="left"/>
        <w:rPr>
          <w:szCs w:val="22"/>
        </w:rPr>
      </w:pPr>
      <w:r>
        <w:rPr>
          <w:szCs w:val="22"/>
        </w:rPr>
        <w:t>After reviewing the terms of the Consent Decree and evaluating the facts before us, we find that the public interest would be served by adopting the Consent Decree and terminating the investigation.</w:t>
      </w:r>
    </w:p>
    <w:p w:rsidR="00035A79">
      <w:pPr>
        <w:pStyle w:val="Paranum"/>
        <w:tabs>
          <w:tab w:val="clear" w:pos="1080"/>
        </w:tabs>
        <w:jc w:val="left"/>
        <w:rPr>
          <w:szCs w:val="22"/>
        </w:rPr>
      </w:pPr>
      <w:r>
        <w:rPr>
          <w:szCs w:val="22"/>
        </w:rPr>
        <w:t xml:space="preserve">In the absence of material new evidence relating to this matter, and </w:t>
      </w:r>
      <w:r>
        <w:rPr>
          <w:szCs w:val="22"/>
        </w:rPr>
        <w:t>in light of</w:t>
      </w:r>
      <w:r>
        <w:rPr>
          <w:szCs w:val="22"/>
        </w:rPr>
        <w:t xml:space="preserve"> the voluntary relinquishment and voluntary </w:t>
      </w:r>
      <w:r w:rsidR="00446D03">
        <w:rPr>
          <w:szCs w:val="22"/>
        </w:rPr>
        <w:t>exclusion</w:t>
      </w:r>
      <w:r>
        <w:rPr>
          <w:szCs w:val="22"/>
        </w:rPr>
        <w:t xml:space="preserve"> provisions of the Consent Decree, we do not set for hearing the question of Carolina Ray’s basic qualifications to hold or obtain any Commission license or authorization.</w:t>
      </w:r>
      <w:r>
        <w:rPr>
          <w:rStyle w:val="FootnoteReference"/>
          <w:szCs w:val="22"/>
        </w:rPr>
        <w:footnoteReference w:id="4"/>
      </w:r>
      <w:r>
        <w:rPr>
          <w:szCs w:val="22"/>
        </w:rPr>
        <w:t xml:space="preserve"> </w:t>
      </w:r>
    </w:p>
    <w:p w:rsidR="00035A79">
      <w:pPr>
        <w:pStyle w:val="Paranum"/>
        <w:tabs>
          <w:tab w:val="clear" w:pos="1080"/>
          <w:tab w:val="num" w:pos="1440"/>
        </w:tabs>
        <w:jc w:val="left"/>
        <w:rPr>
          <w:szCs w:val="22"/>
        </w:rPr>
      </w:pPr>
      <w:r>
        <w:rPr>
          <w:szCs w:val="22"/>
        </w:rPr>
        <w:t xml:space="preserve">Accordingly, </w:t>
      </w:r>
      <w:r>
        <w:rPr>
          <w:b/>
          <w:szCs w:val="22"/>
        </w:rPr>
        <w:t>IT IS ORDERED</w:t>
      </w:r>
      <w:r>
        <w:rPr>
          <w:szCs w:val="22"/>
        </w:rPr>
        <w:t xml:space="preserve"> that, pursuant to section 4(</w:t>
      </w:r>
      <w:r>
        <w:rPr>
          <w:szCs w:val="22"/>
        </w:rPr>
        <w:t>i</w:t>
      </w:r>
      <w:r>
        <w:rPr>
          <w:szCs w:val="22"/>
        </w:rPr>
        <w:t>) of the Communications Act of 1934, as amended,</w:t>
      </w:r>
      <w:r>
        <w:rPr>
          <w:rStyle w:val="FootnoteReference"/>
          <w:sz w:val="22"/>
          <w:szCs w:val="22"/>
        </w:rPr>
        <w:footnoteReference w:id="5"/>
      </w:r>
      <w:r>
        <w:rPr>
          <w:szCs w:val="22"/>
        </w:rPr>
        <w:t xml:space="preserve"> and sections 0.61,0.131, 0.283, and 0.331 of the Commission’s Rules,</w:t>
      </w:r>
      <w:r>
        <w:rPr>
          <w:rStyle w:val="FootnoteReference"/>
          <w:sz w:val="22"/>
          <w:szCs w:val="22"/>
        </w:rPr>
        <w:footnoteReference w:id="6"/>
      </w:r>
      <w:r>
        <w:rPr>
          <w:szCs w:val="22"/>
        </w:rPr>
        <w:t xml:space="preserve"> the Consent Decree attached to this Order </w:t>
      </w:r>
      <w:r>
        <w:rPr>
          <w:b/>
          <w:szCs w:val="22"/>
        </w:rPr>
        <w:t>IS ADOPTED</w:t>
      </w:r>
      <w:r>
        <w:rPr>
          <w:szCs w:val="22"/>
        </w:rPr>
        <w:t>.</w:t>
      </w:r>
    </w:p>
    <w:p w:rsidR="00035A79">
      <w:pPr>
        <w:pStyle w:val="Paranum"/>
        <w:tabs>
          <w:tab w:val="clear" w:pos="1080"/>
          <w:tab w:val="num" w:pos="1440"/>
        </w:tabs>
        <w:jc w:val="left"/>
        <w:rPr>
          <w:szCs w:val="22"/>
        </w:rPr>
      </w:pPr>
      <w:r>
        <w:rPr>
          <w:b/>
          <w:szCs w:val="22"/>
        </w:rPr>
        <w:t xml:space="preserve">IT IS FURTHER ORDERED </w:t>
      </w:r>
      <w:r>
        <w:rPr>
          <w:szCs w:val="22"/>
        </w:rPr>
        <w:t>that the above-captioned investigation</w:t>
      </w:r>
      <w:r>
        <w:rPr>
          <w:b/>
          <w:szCs w:val="22"/>
        </w:rPr>
        <w:t xml:space="preserve"> IS TERMINATED</w:t>
      </w:r>
      <w:r>
        <w:rPr>
          <w:szCs w:val="22"/>
        </w:rPr>
        <w:t>.</w:t>
      </w:r>
    </w:p>
    <w:p w:rsidR="00035A79" w:rsidRPr="001003BE" w:rsidP="001003BE">
      <w:pPr>
        <w:pStyle w:val="Paranum"/>
        <w:numPr>
          <w:ilvl w:val="0"/>
          <w:numId w:val="0"/>
        </w:numPr>
        <w:tabs>
          <w:tab w:val="num" w:pos="1440"/>
        </w:tabs>
        <w:jc w:val="left"/>
        <w:rPr>
          <w:szCs w:val="22"/>
        </w:rPr>
      </w:pPr>
      <w:r w:rsidRPr="001003BE">
        <w:rPr>
          <w:b/>
          <w:szCs w:val="22"/>
        </w:rPr>
        <w:t xml:space="preserve">IT IS FURTHER ORDERED </w:t>
      </w:r>
      <w:r w:rsidRPr="001003BE">
        <w:rPr>
          <w:szCs w:val="22"/>
        </w:rPr>
        <w:t xml:space="preserve">that a copy of this Order and Consent Decree shall be sent by first-class, certified mail, return receipt requested, to (1) Kathleen A Kirby1776 K Street NW, Washington, DC 20006, and (2) </w:t>
      </w:r>
      <w:r w:rsidRPr="001003BE" w:rsidR="00106C1E">
        <w:rPr>
          <w:szCs w:val="22"/>
        </w:rPr>
        <w:t xml:space="preserve">Carolina Rays, LLC c/o </w:t>
      </w:r>
      <w:r w:rsidR="001003BE">
        <w:rPr>
          <w:szCs w:val="22"/>
        </w:rPr>
        <w:t>Terry Smith, P</w:t>
      </w:r>
      <w:r w:rsidR="003861AC">
        <w:rPr>
          <w:szCs w:val="22"/>
        </w:rPr>
        <w:t>resident, 12977 S. Hwy 475, Ocal</w:t>
      </w:r>
      <w:r w:rsidR="001003BE">
        <w:rPr>
          <w:szCs w:val="22"/>
        </w:rPr>
        <w:t>a, FL 34480.</w:t>
      </w:r>
    </w:p>
    <w:p w:rsidR="00035A79">
      <w:pPr>
        <w:tabs>
          <w:tab w:val="left" w:pos="0"/>
        </w:tabs>
        <w:suppressAutoHyphens/>
        <w:spacing w:line="240" w:lineRule="atLeast"/>
        <w:jc w:val="both"/>
        <w:rPr>
          <w:spacing w:val="-2"/>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pacing w:val="-2"/>
          <w:sz w:val="22"/>
          <w:szCs w:val="22"/>
        </w:rPr>
        <w:t>FEDERAL COMMUNICATIONS COMMISSION</w:t>
      </w:r>
    </w:p>
    <w:p w:rsidR="00035A79">
      <w:pPr>
        <w:tabs>
          <w:tab w:val="left" w:pos="0"/>
        </w:tabs>
        <w:suppressAutoHyphens/>
        <w:spacing w:line="240" w:lineRule="atLeast"/>
        <w:jc w:val="both"/>
        <w:rPr>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p>
    <w:p w:rsidR="00035A79">
      <w:pPr>
        <w:tabs>
          <w:tab w:val="left" w:pos="0"/>
        </w:tabs>
        <w:suppressAutoHyphens/>
        <w:spacing w:line="240" w:lineRule="atLeast"/>
        <w:jc w:val="both"/>
        <w:rPr>
          <w:spacing w:val="-2"/>
          <w:sz w:val="22"/>
          <w:szCs w:val="22"/>
        </w:rPr>
      </w:pPr>
    </w:p>
    <w:p w:rsidR="00035A79">
      <w:pPr>
        <w:tabs>
          <w:tab w:val="left" w:pos="0"/>
        </w:tabs>
        <w:suppressAutoHyphens/>
        <w:spacing w:line="240" w:lineRule="atLeast"/>
        <w:jc w:val="both"/>
        <w:rPr>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p>
    <w:p w:rsidR="00035A79">
      <w:pPr>
        <w:tabs>
          <w:tab w:val="left" w:pos="0"/>
        </w:tabs>
        <w:suppressAutoHyphens/>
        <w:spacing w:line="240" w:lineRule="atLeast"/>
        <w:jc w:val="both"/>
        <w:rPr>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t>Michelle M. Carey</w:t>
      </w:r>
    </w:p>
    <w:p w:rsidR="00035A79">
      <w:pPr>
        <w:keepNext/>
        <w:rPr>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t>Chief, Media Bureau</w:t>
      </w:r>
    </w:p>
    <w:p w:rsidR="00035A79">
      <w:pPr>
        <w:keepNext/>
        <w:rPr>
          <w:spacing w:val="-2"/>
          <w:sz w:val="22"/>
          <w:szCs w:val="22"/>
        </w:rPr>
      </w:pPr>
    </w:p>
    <w:p w:rsidR="00035A79">
      <w:pPr>
        <w:keepNext/>
        <w:rPr>
          <w:spacing w:val="-2"/>
          <w:sz w:val="22"/>
          <w:szCs w:val="22"/>
        </w:rPr>
      </w:pPr>
    </w:p>
    <w:p w:rsidR="00035A79">
      <w:pPr>
        <w:keepNext/>
        <w:rPr>
          <w:spacing w:val="-2"/>
          <w:sz w:val="22"/>
          <w:szCs w:val="22"/>
        </w:rPr>
      </w:pPr>
    </w:p>
    <w:p w:rsidR="00035A79">
      <w:pPr>
        <w:keepNext/>
        <w:rPr>
          <w:spacing w:val="-2"/>
          <w:sz w:val="22"/>
          <w:szCs w:val="22"/>
        </w:rPr>
      </w:pPr>
    </w:p>
    <w:p w:rsidR="00035A79">
      <w:pPr>
        <w:keepNext/>
        <w:rPr>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t>Donald Stockdale</w:t>
      </w:r>
    </w:p>
    <w:p w:rsidR="00035A79">
      <w:pPr>
        <w:keepNext/>
        <w:rPr>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t>Chief, Wireless Telecommunications Bureau</w:t>
      </w:r>
    </w:p>
    <w:p w:rsidR="00035A79">
      <w:pPr>
        <w:keepNext/>
        <w:rPr>
          <w:spacing w:val="-2"/>
          <w:sz w:val="22"/>
          <w:szCs w:val="22"/>
        </w:rPr>
      </w:pPr>
    </w:p>
    <w:sectPr>
      <w:headerReference w:type="default" r:id="rId5"/>
      <w:footerReference w:type="even" r:id="rId6"/>
      <w:footerReference w:type="default" r:id="rId7"/>
      <w:headerReference w:type="first" r:id="rId8"/>
      <w:footnotePr>
        <w:numRestart w:val="eachSect"/>
      </w:footnotePr>
      <w:pgSz w:w="12240" w:h="15840"/>
      <w:pgMar w:top="1440" w:right="1440" w:bottom="72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0F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80F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0F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6D03">
      <w:rPr>
        <w:rStyle w:val="PageNumber"/>
        <w:noProof/>
      </w:rPr>
      <w:t>2</w:t>
    </w:r>
    <w:r>
      <w:rPr>
        <w:rStyle w:val="PageNumber"/>
      </w:rPr>
      <w:fldChar w:fldCharType="end"/>
    </w:r>
  </w:p>
  <w:p w:rsidR="00280F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80F4F">
      <w:r>
        <w:separator/>
      </w:r>
    </w:p>
  </w:footnote>
  <w:footnote w:type="continuationSeparator" w:id="1">
    <w:p w:rsidR="00280F4F">
      <w:r>
        <w:continuationSeparator/>
      </w:r>
    </w:p>
  </w:footnote>
  <w:footnote w:id="2">
    <w:p w:rsidR="00280F4F">
      <w:pPr>
        <w:pStyle w:val="FootnoteText"/>
        <w:spacing w:after="120"/>
        <w:ind w:firstLine="0"/>
        <w:rPr>
          <w:sz w:val="20"/>
          <w:szCs w:val="20"/>
        </w:rPr>
      </w:pPr>
      <w:r>
        <w:rPr>
          <w:rStyle w:val="FootnoteReference"/>
          <w:szCs w:val="20"/>
        </w:rPr>
        <w:footnoteRef/>
      </w:r>
      <w:r>
        <w:rPr>
          <w:sz w:val="20"/>
          <w:szCs w:val="20"/>
        </w:rPr>
        <w:t xml:space="preserve"> </w:t>
      </w:r>
      <w:r>
        <w:rPr>
          <w:i/>
          <w:sz w:val="20"/>
          <w:szCs w:val="20"/>
        </w:rPr>
        <w:t xml:space="preserve">See </w:t>
      </w:r>
      <w:r>
        <w:rPr>
          <w:sz w:val="20"/>
          <w:szCs w:val="20"/>
        </w:rPr>
        <w:t>47 U.S.C. §</w:t>
      </w:r>
      <w:r w:rsidR="00987158">
        <w:rPr>
          <w:sz w:val="20"/>
          <w:szCs w:val="20"/>
        </w:rPr>
        <w:t>§ 309(j)(5),</w:t>
      </w:r>
      <w:r>
        <w:rPr>
          <w:sz w:val="20"/>
          <w:szCs w:val="20"/>
        </w:rPr>
        <w:t xml:space="preserve"> 310(d).</w:t>
      </w:r>
    </w:p>
  </w:footnote>
  <w:footnote w:id="3">
    <w:p w:rsidR="00280F4F">
      <w:pPr>
        <w:pStyle w:val="FootnoteText"/>
        <w:spacing w:after="120"/>
        <w:ind w:firstLine="0"/>
        <w:jc w:val="left"/>
        <w:rPr>
          <w:sz w:val="20"/>
          <w:szCs w:val="20"/>
        </w:rPr>
      </w:pPr>
      <w:r>
        <w:rPr>
          <w:rStyle w:val="FootnoteReference"/>
          <w:szCs w:val="20"/>
        </w:rPr>
        <w:footnoteRef/>
      </w:r>
      <w:r>
        <w:rPr>
          <w:sz w:val="20"/>
          <w:szCs w:val="20"/>
        </w:rPr>
        <w:t xml:space="preserve"> </w:t>
      </w:r>
      <w:r>
        <w:rPr>
          <w:i/>
          <w:sz w:val="20"/>
          <w:szCs w:val="20"/>
        </w:rPr>
        <w:t>See</w:t>
      </w:r>
      <w:r>
        <w:rPr>
          <w:sz w:val="20"/>
          <w:szCs w:val="20"/>
        </w:rPr>
        <w:t xml:space="preserve"> 47 C.F.R. §§ 1.2204(c) (</w:t>
      </w:r>
      <w:r w:rsidR="006177F4">
        <w:rPr>
          <w:sz w:val="20"/>
          <w:szCs w:val="20"/>
        </w:rPr>
        <w:t>information required on</w:t>
      </w:r>
      <w:r>
        <w:rPr>
          <w:sz w:val="20"/>
          <w:szCs w:val="20"/>
        </w:rPr>
        <w:t xml:space="preserve"> an application to participate in Auction 1001), 73.3540 (application for voluntary assignment or transfer of control).</w:t>
      </w:r>
    </w:p>
  </w:footnote>
  <w:footnote w:id="4">
    <w:p w:rsidR="00280F4F">
      <w:pPr>
        <w:pStyle w:val="FootnoteText"/>
        <w:spacing w:after="120"/>
        <w:ind w:firstLine="0"/>
        <w:jc w:val="left"/>
      </w:pPr>
      <w:r>
        <w:rPr>
          <w:rStyle w:val="FootnoteReference"/>
        </w:rPr>
        <w:footnoteRef/>
      </w:r>
      <w:r>
        <w:t xml:space="preserve"> </w:t>
      </w:r>
      <w:r>
        <w:rPr>
          <w:i/>
          <w:sz w:val="20"/>
          <w:szCs w:val="20"/>
        </w:rPr>
        <w:t xml:space="preserve">See </w:t>
      </w:r>
      <w:r>
        <w:rPr>
          <w:sz w:val="20"/>
          <w:szCs w:val="20"/>
        </w:rPr>
        <w:t>47 CFR § 1.93(b).</w:t>
      </w:r>
    </w:p>
  </w:footnote>
  <w:footnote w:id="5">
    <w:p w:rsidR="00280F4F">
      <w:pPr>
        <w:pStyle w:val="FootnoteText"/>
        <w:spacing w:after="120"/>
        <w:ind w:firstLine="0"/>
        <w:rPr>
          <w:sz w:val="20"/>
          <w:szCs w:val="20"/>
        </w:rPr>
      </w:pPr>
      <w:r>
        <w:rPr>
          <w:rStyle w:val="FootnoteReference"/>
          <w:szCs w:val="20"/>
        </w:rPr>
        <w:footnoteRef/>
      </w:r>
      <w:r>
        <w:rPr>
          <w:sz w:val="20"/>
          <w:szCs w:val="20"/>
        </w:rPr>
        <w:t xml:space="preserve"> </w:t>
      </w:r>
      <w:r>
        <w:rPr>
          <w:i/>
          <w:sz w:val="20"/>
          <w:szCs w:val="20"/>
        </w:rPr>
        <w:t>See</w:t>
      </w:r>
      <w:r>
        <w:rPr>
          <w:sz w:val="20"/>
          <w:szCs w:val="20"/>
        </w:rPr>
        <w:t xml:space="preserve"> 47 U.S.C. § 154(</w:t>
      </w:r>
      <w:r>
        <w:rPr>
          <w:sz w:val="20"/>
          <w:szCs w:val="20"/>
        </w:rPr>
        <w:t>i</w:t>
      </w:r>
      <w:r>
        <w:rPr>
          <w:sz w:val="20"/>
          <w:szCs w:val="20"/>
        </w:rPr>
        <w:t>), 503(b).</w:t>
      </w:r>
    </w:p>
  </w:footnote>
  <w:footnote w:id="6">
    <w:p w:rsidR="00280F4F">
      <w:pPr>
        <w:pStyle w:val="FootnoteText"/>
        <w:spacing w:after="120"/>
        <w:ind w:firstLine="0"/>
        <w:rPr>
          <w:bCs/>
          <w:sz w:val="20"/>
          <w:szCs w:val="20"/>
        </w:rPr>
      </w:pPr>
      <w:r>
        <w:rPr>
          <w:rStyle w:val="FootnoteReference"/>
          <w:bCs/>
          <w:szCs w:val="20"/>
        </w:rPr>
        <w:footnoteRef/>
      </w:r>
      <w:r>
        <w:rPr>
          <w:bCs/>
          <w:sz w:val="20"/>
          <w:szCs w:val="20"/>
        </w:rPr>
        <w:t xml:space="preserve"> </w:t>
      </w:r>
      <w:r>
        <w:rPr>
          <w:bCs/>
          <w:i/>
          <w:sz w:val="20"/>
          <w:szCs w:val="20"/>
        </w:rPr>
        <w:t xml:space="preserve">See </w:t>
      </w:r>
      <w:r>
        <w:rPr>
          <w:bCs/>
          <w:sz w:val="20"/>
          <w:szCs w:val="20"/>
        </w:rPr>
        <w:t>47 C.F.R. §§ 0.61, 0.131, 0.283, 0.331.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0F4F">
    <w:pPr>
      <w:pStyle w:val="Heading2"/>
      <w:tabs>
        <w:tab w:val="left" w:pos="-720"/>
        <w:tab w:val="center" w:pos="5040"/>
        <w:tab w:val="right" w:pos="9360"/>
      </w:tabs>
      <w:suppressAutoHyphens/>
      <w:rPr>
        <w:rFonts w:ascii="Times New Roman" w:hAnsi="Times New Roman"/>
        <w:i w:val="0"/>
        <w:sz w:val="22"/>
        <w:u w:val="single"/>
      </w:rPr>
    </w:pPr>
    <w:r>
      <w:rPr>
        <w:rFonts w:ascii="Times New Roman" w:hAnsi="Times New Roman"/>
        <w:i w:val="0"/>
        <w:sz w:val="22"/>
        <w:u w:val="single"/>
      </w:rPr>
      <w:tab/>
      <w:t>Federal Communications Commission</w:t>
    </w:r>
    <w:r>
      <w:rPr>
        <w:rFonts w:ascii="Times New Roman" w:hAnsi="Times New Roman"/>
        <w:i w:val="0"/>
        <w:sz w:val="22"/>
        <w:u w:val="single"/>
      </w:rPr>
      <w:tab/>
      <w:t>DA 11-</w:t>
    </w:r>
    <w:r w:rsidR="001003BE">
      <w:rPr>
        <w:rFonts w:ascii="Times New Roman" w:hAnsi="Times New Roman"/>
        <w:i w:val="0"/>
        <w:sz w:val="22"/>
        <w:u w:val="single"/>
      </w:rPr>
      <w:t>1125</w:t>
    </w:r>
  </w:p>
  <w:p w:rsidR="00280F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0F4F">
    <w:pPr>
      <w:pStyle w:val="Heading2"/>
      <w:tabs>
        <w:tab w:val="left" w:pos="-720"/>
        <w:tab w:val="center" w:pos="5040"/>
        <w:tab w:val="right" w:pos="9360"/>
      </w:tabs>
      <w:suppressAutoHyphens/>
      <w:rPr>
        <w:rFonts w:ascii="Times New Roman" w:hAnsi="Times New Roman"/>
        <w:i w:val="0"/>
        <w:sz w:val="22"/>
        <w:u w:val="single"/>
      </w:rPr>
    </w:pPr>
    <w:r>
      <w:rPr>
        <w:rFonts w:ascii="Times New Roman" w:hAnsi="Times New Roman"/>
        <w:i w:val="0"/>
        <w:sz w:val="22"/>
        <w:u w:val="single"/>
      </w:rPr>
      <w:tab/>
      <w:t>Federal Communications Commission</w:t>
    </w:r>
    <w:r>
      <w:rPr>
        <w:rFonts w:ascii="Times New Roman" w:hAnsi="Times New Roman"/>
        <w:i w:val="0"/>
        <w:sz w:val="22"/>
        <w:u w:val="single"/>
      </w:rPr>
      <w:tab/>
      <w:t>DA 18-</w:t>
    </w:r>
    <w:r w:rsidR="001003BE">
      <w:rPr>
        <w:rFonts w:ascii="Times New Roman" w:hAnsi="Times New Roman"/>
        <w:i w:val="0"/>
        <w:sz w:val="22"/>
        <w:u w:val="single"/>
      </w:rPr>
      <w:t>1125</w:t>
    </w:r>
  </w:p>
  <w:p w:rsidR="00280F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4907F2C"/>
    <w:multiLevelType w:val="hybridMultilevel"/>
    <w:tmpl w:val="02469CB2"/>
    <w:lvl w:ilvl="0">
      <w:start w:val="1"/>
      <w:numFmt w:val="lowerLetter"/>
      <w:lvlText w:val="(%1)"/>
      <w:lvlJc w:val="left"/>
      <w:pPr>
        <w:tabs>
          <w:tab w:val="num" w:pos="1224"/>
        </w:tabs>
        <w:ind w:left="1224" w:hanging="432"/>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8221552"/>
    <w:multiLevelType w:val="multilevel"/>
    <w:tmpl w:val="ABC8950C"/>
    <w:name w:val="zzmpOutline||Outline|2|3|1|1|4|9||1|4|0||1|4|0||1|4|1||1|4|0||1|4|0||1|4|0||1|4|0||1|4|0||"/>
    <w:lvl w:ilvl="0">
      <w:start w:val="1"/>
      <w:numFmt w:val="upperRoman"/>
      <w:pStyle w:val="OutlineL1"/>
      <w:lvlText w:val="%1."/>
      <w:lvlJc w:val="left"/>
      <w:pPr>
        <w:tabs>
          <w:tab w:val="num" w:pos="720"/>
        </w:tabs>
        <w:ind w:left="0" w:firstLine="0"/>
      </w:pPr>
      <w:rPr>
        <w:rFonts w:cs="Times New Roman"/>
        <w:b/>
        <w:i w:val="0"/>
        <w:caps/>
        <w:smallCaps w:val="0"/>
        <w:strike w:val="0"/>
        <w:dstrike w:val="0"/>
        <w:u w:val="none"/>
        <w:effect w:val="none"/>
      </w:rPr>
    </w:lvl>
    <w:lvl w:ilvl="1">
      <w:start w:val="1"/>
      <w:numFmt w:val="decimal"/>
      <w:lvlRestart w:val="0"/>
      <w:pStyle w:val="OutlineL2"/>
      <w:lvlText w:val="%2."/>
      <w:lvlJc w:val="left"/>
      <w:pPr>
        <w:tabs>
          <w:tab w:val="num" w:pos="1440"/>
        </w:tabs>
        <w:ind w:left="0" w:firstLine="720"/>
      </w:pPr>
      <w:rPr>
        <w:rFonts w:cs="Times New Roman"/>
        <w:b w:val="0"/>
        <w:i w:val="0"/>
        <w:caps w:val="0"/>
        <w:strike w:val="0"/>
        <w:dstrike w:val="0"/>
        <w:u w:val="none"/>
        <w:effect w:val="none"/>
      </w:rPr>
    </w:lvl>
    <w:lvl w:ilvl="2">
      <w:start w:val="1"/>
      <w:numFmt w:val="lowerLetter"/>
      <w:pStyle w:val="OutlineL3"/>
      <w:lvlText w:val="(%3)"/>
      <w:lvlJc w:val="left"/>
      <w:pPr>
        <w:tabs>
          <w:tab w:val="num" w:pos="2160"/>
        </w:tabs>
        <w:ind w:left="2160" w:hanging="720"/>
      </w:pPr>
      <w:rPr>
        <w:rFonts w:cs="Times New Roman"/>
        <w:b w:val="0"/>
        <w:i w:val="0"/>
        <w:caps w:val="0"/>
        <w:strike w:val="0"/>
        <w:dstrike w:val="0"/>
        <w:u w:val="none"/>
        <w:effect w:val="none"/>
      </w:rPr>
    </w:lvl>
    <w:lvl w:ilvl="3">
      <w:start w:val="1"/>
      <w:numFmt w:val="lowerLetter"/>
      <w:pStyle w:val="OutlineL4"/>
      <w:lvlText w:val="%4."/>
      <w:lvlJc w:val="left"/>
      <w:pPr>
        <w:tabs>
          <w:tab w:val="num" w:pos="2880"/>
        </w:tabs>
        <w:ind w:left="0" w:firstLine="2160"/>
      </w:pPr>
      <w:rPr>
        <w:rFonts w:cs="Times New Roman"/>
        <w:b w:val="0"/>
        <w:i w:val="0"/>
        <w:caps w:val="0"/>
        <w:strike w:val="0"/>
        <w:dstrike w:val="0"/>
        <w:u w:val="none"/>
        <w:effect w:val="none"/>
      </w:rPr>
    </w:lvl>
    <w:lvl w:ilvl="4">
      <w:start w:val="1"/>
      <w:numFmt w:val="lowerRoman"/>
      <w:pStyle w:val="OutlineL5"/>
      <w:lvlText w:val="(%5)"/>
      <w:lvlJc w:val="left"/>
      <w:pPr>
        <w:tabs>
          <w:tab w:val="num" w:pos="3600"/>
        </w:tabs>
        <w:ind w:left="0" w:firstLine="2880"/>
      </w:pPr>
      <w:rPr>
        <w:rFonts w:cs="Times New Roman"/>
        <w:b w:val="0"/>
        <w:i w:val="0"/>
        <w:caps w:val="0"/>
        <w:strike w:val="0"/>
        <w:dstrike w:val="0"/>
        <w:u w:val="none"/>
        <w:effect w:val="none"/>
      </w:rPr>
    </w:lvl>
    <w:lvl w:ilvl="5">
      <w:start w:val="1"/>
      <w:numFmt w:val="lowerLetter"/>
      <w:pStyle w:val="OutlineL6"/>
      <w:lvlText w:val="(%6)"/>
      <w:lvlJc w:val="left"/>
      <w:pPr>
        <w:tabs>
          <w:tab w:val="num" w:pos="4320"/>
        </w:tabs>
        <w:ind w:left="0" w:firstLine="3600"/>
      </w:pPr>
      <w:rPr>
        <w:rFonts w:cs="Times New Roman"/>
        <w:b w:val="0"/>
        <w:i w:val="0"/>
        <w:caps w:val="0"/>
        <w:strike w:val="0"/>
        <w:dstrike w:val="0"/>
        <w:u w:val="none"/>
        <w:effect w:val="none"/>
      </w:rPr>
    </w:lvl>
    <w:lvl w:ilvl="6">
      <w:start w:val="1"/>
      <w:numFmt w:val="decimal"/>
      <w:pStyle w:val="OutlineL7"/>
      <w:lvlText w:val="(%7)"/>
      <w:lvlJc w:val="left"/>
      <w:pPr>
        <w:tabs>
          <w:tab w:val="num" w:pos="5040"/>
        </w:tabs>
        <w:ind w:left="0" w:firstLine="4320"/>
      </w:pPr>
      <w:rPr>
        <w:rFonts w:cs="Times New Roman"/>
        <w:b w:val="0"/>
        <w:i w:val="0"/>
        <w:caps w:val="0"/>
        <w:strike w:val="0"/>
        <w:dstrike w:val="0"/>
        <w:u w:val="none"/>
        <w:effect w:val="none"/>
      </w:rPr>
    </w:lvl>
    <w:lvl w:ilvl="7">
      <w:start w:val="1"/>
      <w:numFmt w:val="lowerRoman"/>
      <w:pStyle w:val="OutlineL8"/>
      <w:lvlText w:val="%8)"/>
      <w:lvlJc w:val="left"/>
      <w:pPr>
        <w:tabs>
          <w:tab w:val="num" w:pos="5760"/>
        </w:tabs>
        <w:ind w:left="0" w:firstLine="5040"/>
      </w:pPr>
      <w:rPr>
        <w:rFonts w:cs="Times New Roman"/>
        <w:b w:val="0"/>
        <w:i w:val="0"/>
        <w:caps w:val="0"/>
        <w:strike w:val="0"/>
        <w:dstrike w:val="0"/>
        <w:u w:val="none"/>
        <w:effect w:val="none"/>
      </w:rPr>
    </w:lvl>
    <w:lvl w:ilvl="8">
      <w:start w:val="1"/>
      <w:numFmt w:val="lowerLetter"/>
      <w:pStyle w:val="OutlineL9"/>
      <w:lvlText w:val="%9)"/>
      <w:lvlJc w:val="left"/>
      <w:pPr>
        <w:tabs>
          <w:tab w:val="num" w:pos="6480"/>
        </w:tabs>
        <w:ind w:left="0" w:firstLine="5760"/>
      </w:pPr>
      <w:rPr>
        <w:rFonts w:cs="Times New Roman"/>
        <w:b w:val="0"/>
        <w:i w:val="0"/>
        <w:caps w:val="0"/>
        <w:strike w:val="0"/>
        <w:dstrike w:val="0"/>
        <w:u w:val="none"/>
        <w:effect w:val="none"/>
      </w:rPr>
    </w:lvl>
  </w:abstractNum>
  <w:abstractNum w:abstractNumId="2">
    <w:nsid w:val="61182925"/>
    <w:multiLevelType w:val="singleLevel"/>
    <w:tmpl w:val="1C36937A"/>
    <w:lvl w:ilvl="0">
      <w:start w:val="1"/>
      <w:numFmt w:val="decimal"/>
      <w:pStyle w:val="ParaNum0"/>
      <w:lvlText w:val="%1."/>
      <w:lvlJc w:val="left"/>
      <w:pPr>
        <w:tabs>
          <w:tab w:val="num" w:pos="1080"/>
        </w:tabs>
        <w:ind w:left="0" w:firstLine="720"/>
      </w:pPr>
      <w:rPr>
        <w:rFonts w:ascii="Times New Roman" w:hAnsi="Times New Roman" w:cs="Times New Roman" w:hint="default"/>
      </w:rPr>
    </w:lvl>
  </w:abstractNum>
  <w:abstractNum w:abstractNumId="3">
    <w:nsid w:val="628E1E95"/>
    <w:multiLevelType w:val="singleLevel"/>
    <w:tmpl w:val="513032C8"/>
    <w:lvl w:ilvl="0">
      <w:start w:val="2"/>
      <w:numFmt w:val="decimal"/>
      <w:pStyle w:val="par1"/>
      <w:lvlText w:val="%1."/>
      <w:lvlJc w:val="left"/>
      <w:pPr>
        <w:tabs>
          <w:tab w:val="num" w:pos="1080"/>
        </w:tabs>
        <w:ind w:left="0" w:firstLine="720"/>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specVanish w:val="0"/>
        <w14:shadow w14:blurRad="0" w14:dist="0" w14:dir="0" w14:sx="0" w14:sy="0" w14:kx="0" w14:ky="0" w14:algn="none">
          <w14:srgbClr w14:val="000000"/>
        </w14:shadow>
        <w14:textOutline w14:cap="rnd">
          <w14:noFill/>
          <w14:bevel/>
        </w14:textOutline>
      </w:rPr>
    </w:lvl>
  </w:abstractNum>
  <w:abstractNum w:abstractNumId="4">
    <w:nsid w:val="6D2B48D2"/>
    <w:multiLevelType w:val="singleLevel"/>
    <w:tmpl w:val="462A4EC8"/>
    <w:lvl w:ilvl="0">
      <w:start w:val="1"/>
      <w:numFmt w:val="decimal"/>
      <w:pStyle w:val="Paranum"/>
      <w:lvlText w:val="%1."/>
      <w:lvlJc w:val="left"/>
      <w:pPr>
        <w:tabs>
          <w:tab w:val="num" w:pos="1080"/>
        </w:tabs>
        <w:ind w:left="0" w:firstLine="720"/>
      </w:pPr>
      <w:rPr>
        <w:b w:val="0"/>
        <w:color w:val="auto"/>
      </w:rPr>
    </w:lvl>
  </w:abstractNum>
  <w:num w:numId="1">
    <w:abstractNumId w:val="4"/>
  </w:num>
  <w:num w:numId="2">
    <w:abstractNumId w:val="4"/>
    <w:lvlOverride w:ilvl="0">
      <w:startOverride w:val="1"/>
    </w:lvlOverride>
  </w:num>
  <w:num w:numId="3">
    <w:abstractNumId w:val="3"/>
  </w:num>
  <w:num w:numId="4">
    <w:abstractNumId w:val="3"/>
    <w:lvlOverride w:ilvl="0">
      <w:startOverride w:val="2"/>
    </w:lvlOverride>
  </w:num>
  <w:num w:numId="5">
    <w:abstractNumId w:val="2"/>
  </w:num>
  <w:num w:numId="6">
    <w:abstractNumId w:val="2"/>
    <w:lvlOverride w:ilvl="0">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isplayHorizontalDrawingGridEvery w:val="0"/>
  <w:displayVerticalDrawingGridEvery w:val="0"/>
  <w:doNotUseMarginsForDrawingGridOrigin/>
  <w:noPunctuationKerning/>
  <w:characterSpacingControl w:val="doNotCompress"/>
  <w:footnotePr>
    <w:numRestart w:val="eachSect"/>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tabs>
        <w:tab w:val="left" w:pos="-720"/>
      </w:tabs>
      <w:suppressAutoHyphens/>
      <w:spacing w:line="225" w:lineRule="auto"/>
      <w:jc w:val="center"/>
      <w:outlineLvl w:val="0"/>
    </w:pPr>
    <w:rPr>
      <w:rFonts w:eastAsiaTheme="minorEastAsia"/>
      <w:b/>
      <w:sz w:val="22"/>
    </w:rPr>
  </w:style>
  <w:style w:type="paragraph" w:styleId="Heading2">
    <w:name w:val="heading 2"/>
    <w:basedOn w:val="Normal"/>
    <w:next w:val="Normal"/>
    <w:link w:val="Heading2Char"/>
    <w:qFormat/>
    <w:pPr>
      <w:keepNext/>
      <w:spacing w:before="240" w:after="60"/>
      <w:outlineLvl w:val="1"/>
    </w:pPr>
    <w:rPr>
      <w:rFonts w:ascii="Arial" w:hAnsi="Arial" w:eastAsiaTheme="minorEastAsia"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basedOn w:val="DefaultParagraphFont"/>
    <w:rPr>
      <w:color w:val="954F72" w:themeColor="followedHyperlink"/>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Pr>
      <w:rFonts w:asciiTheme="majorHAnsi" w:eastAsiaTheme="majorEastAsia" w:hAnsiTheme="majorHAnsi" w:cstheme="majorBidi"/>
      <w:color w:val="2F5496" w:themeColor="accent1" w:themeShade="BF"/>
      <w:sz w:val="26"/>
      <w:szCs w:val="26"/>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nsolas" w:hAnsi="Consolas"/>
    </w:rPr>
  </w:style>
  <w:style w:type="paragraph" w:customStyle="1" w:styleId="msonormal">
    <w:name w:val="msonormal"/>
    <w:basedOn w:val="Normal"/>
    <w:pPr>
      <w:spacing w:before="100" w:beforeAutospacing="1" w:after="100" w:afterAutospacing="1"/>
    </w:pPr>
    <w:rPr>
      <w:rFonts w:eastAsiaTheme="minorEastAsia"/>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Style 5 Char Char,fn,rrfootnote Char Char"/>
    <w:basedOn w:val="Normal"/>
    <w:pPr>
      <w:tabs>
        <w:tab w:val="left" w:pos="720"/>
      </w:tabs>
      <w:suppressAutoHyphens/>
      <w:spacing w:after="200"/>
      <w:ind w:firstLine="360"/>
      <w:jc w:val="both"/>
    </w:p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Style 5 Char Char Char,fn Char,rrfootnote Char Char Char"/>
    <w:rPr>
      <w:noProof w:val="0"/>
      <w:sz w:val="24"/>
      <w:szCs w:val="24"/>
      <w:lang w:val="en-US" w:eastAsia="en-US" w:bidi="ar-SA"/>
    </w:rPr>
  </w:style>
  <w:style w:type="paragraph" w:styleId="CommentText">
    <w:name w:val="annotation text"/>
    <w:basedOn w:val="Normal"/>
    <w:link w:val="CommentTextChar"/>
    <w:semiHidden/>
    <w:rPr>
      <w:sz w:val="20"/>
      <w:szCs w:val="20"/>
    </w:rPr>
  </w:style>
  <w:style w:type="character" w:customStyle="1" w:styleId="CommentTextChar">
    <w:name w:val="Comment Text Char"/>
    <w:basedOn w:val="DefaultParagraphFont"/>
    <w:link w:val="CommentText"/>
  </w:style>
  <w:style w:type="paragraph" w:styleId="Header">
    <w:name w:val="header"/>
    <w:basedOn w:val="Normal"/>
    <w:link w:val="HeaderChar"/>
    <w:pPr>
      <w:tabs>
        <w:tab w:val="center" w:pos="4320"/>
        <w:tab w:val="right" w:pos="8640"/>
      </w:tabs>
    </w:pPr>
    <w:rPr>
      <w:sz w:val="22"/>
    </w:rPr>
  </w:style>
  <w:style w:type="character" w:customStyle="1" w:styleId="HeaderChar">
    <w:name w:val="Header Char"/>
    <w:basedOn w:val="DefaultParagraphFont"/>
    <w:link w:val="Header"/>
    <w:rPr>
      <w:sz w:val="24"/>
      <w:szCs w:val="24"/>
    </w:rPr>
  </w:style>
  <w:style w:type="paragraph" w:styleId="Footer">
    <w:name w:val="footer"/>
    <w:basedOn w:val="Normal"/>
    <w:link w:val="FooterChar"/>
    <w:uiPriority w:val="99"/>
    <w:pPr>
      <w:tabs>
        <w:tab w:val="center" w:pos="4320"/>
        <w:tab w:val="right" w:pos="8640"/>
      </w:tabs>
    </w:pPr>
    <w:rPr>
      <w:sz w:val="22"/>
    </w:rPr>
  </w:style>
  <w:style w:type="character" w:customStyle="1" w:styleId="FooterChar">
    <w:name w:val="Footer Char"/>
    <w:basedOn w:val="DefaultParagraphFont"/>
    <w:link w:val="Footer"/>
    <w:uiPriority w:val="99"/>
    <w:rPr>
      <w:sz w:val="24"/>
      <w:szCs w:val="24"/>
    </w:rPr>
  </w:style>
  <w:style w:type="paragraph" w:styleId="BodyText">
    <w:name w:val="Body Text"/>
    <w:basedOn w:val="Normal"/>
    <w:link w:val="BodyTextChar"/>
    <w:rPr>
      <w:b/>
      <w:szCs w:val="20"/>
      <w:u w:val="single"/>
    </w:rPr>
  </w:style>
  <w:style w:type="character" w:customStyle="1" w:styleId="BodyTextChar">
    <w:name w:val="Body Text Char"/>
    <w:basedOn w:val="DefaultParagraphFont"/>
    <w:link w:val="BodyText"/>
    <w:rPr>
      <w:sz w:val="24"/>
      <w:szCs w:val="24"/>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rPr>
      <w:b/>
      <w:bCs/>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rPr>
      <w:rFonts w:ascii="Segoe UI" w:hAnsi="Segoe UI" w:cs="Segoe UI"/>
      <w:sz w:val="18"/>
      <w:szCs w:val="18"/>
    </w:rPr>
  </w:style>
  <w:style w:type="paragraph" w:styleId="ListParagraph">
    <w:name w:val="List Paragraph"/>
    <w:basedOn w:val="Normal"/>
    <w:uiPriority w:val="34"/>
    <w:qFormat/>
    <w:pPr>
      <w:ind w:left="720"/>
    </w:pPr>
  </w:style>
  <w:style w:type="paragraph" w:customStyle="1" w:styleId="Paranum">
    <w:name w:val="Paranum"/>
    <w:pPr>
      <w:numPr>
        <w:numId w:val="2"/>
      </w:numPr>
      <w:tabs>
        <w:tab w:val="left" w:pos="1440"/>
      </w:tabs>
      <w:spacing w:after="240"/>
      <w:jc w:val="both"/>
    </w:pPr>
    <w:rPr>
      <w:sz w:val="22"/>
    </w:rPr>
  </w:style>
  <w:style w:type="paragraph" w:customStyle="1" w:styleId="par1">
    <w:name w:val="par1"/>
    <w:basedOn w:val="Normal"/>
    <w:pPr>
      <w:numPr>
        <w:numId w:val="4"/>
      </w:numPr>
    </w:pPr>
    <w:rPr>
      <w:sz w:val="22"/>
      <w:szCs w:val="20"/>
    </w:rPr>
  </w:style>
  <w:style w:type="paragraph" w:customStyle="1" w:styleId="ParaNum0">
    <w:name w:val="ParaNum"/>
    <w:basedOn w:val="Normal"/>
    <w:pPr>
      <w:widowControl w:val="0"/>
      <w:numPr>
        <w:numId w:val="6"/>
      </w:numPr>
      <w:tabs>
        <w:tab w:val="clear" w:pos="1080"/>
        <w:tab w:val="num" w:pos="1440"/>
      </w:tabs>
      <w:snapToGrid w:val="0"/>
      <w:spacing w:after="120"/>
    </w:pPr>
    <w:rPr>
      <w:kern w:val="28"/>
      <w:sz w:val="22"/>
      <w:szCs w:val="20"/>
    </w:rPr>
  </w:style>
  <w:style w:type="paragraph" w:customStyle="1" w:styleId="OutlineL1">
    <w:name w:val="Outline_L1"/>
    <w:basedOn w:val="Normal"/>
    <w:next w:val="BodyText"/>
    <w:pPr>
      <w:numPr>
        <w:numId w:val="8"/>
      </w:numPr>
      <w:spacing w:after="240"/>
      <w:outlineLvl w:val="0"/>
    </w:pPr>
    <w:rPr>
      <w:szCs w:val="20"/>
    </w:rPr>
  </w:style>
  <w:style w:type="paragraph" w:customStyle="1" w:styleId="OutlineL2">
    <w:name w:val="Outline_L2"/>
    <w:basedOn w:val="OutlineL1"/>
    <w:next w:val="BodyText"/>
    <w:pPr>
      <w:numPr>
        <w:ilvl w:val="1"/>
      </w:numPr>
      <w:outlineLvl w:val="1"/>
    </w:pPr>
  </w:style>
  <w:style w:type="paragraph" w:customStyle="1" w:styleId="OutlineL3">
    <w:name w:val="Outline_L3"/>
    <w:basedOn w:val="OutlineL2"/>
    <w:next w:val="BodyText"/>
    <w:pPr>
      <w:numPr>
        <w:ilvl w:val="2"/>
      </w:numPr>
      <w:outlineLvl w:val="2"/>
    </w:pPr>
  </w:style>
  <w:style w:type="paragraph" w:customStyle="1" w:styleId="OutlineL4">
    <w:name w:val="Outline_L4"/>
    <w:basedOn w:val="OutlineL3"/>
    <w:next w:val="BodyText"/>
    <w:pPr>
      <w:numPr>
        <w:ilvl w:val="3"/>
      </w:numPr>
      <w:outlineLvl w:val="3"/>
    </w:pPr>
  </w:style>
  <w:style w:type="paragraph" w:customStyle="1" w:styleId="OutlineL5">
    <w:name w:val="Outline_L5"/>
    <w:basedOn w:val="OutlineL4"/>
    <w:next w:val="BodyText"/>
    <w:pPr>
      <w:numPr>
        <w:ilvl w:val="4"/>
      </w:numPr>
      <w:outlineLvl w:val="4"/>
    </w:pPr>
  </w:style>
  <w:style w:type="paragraph" w:customStyle="1" w:styleId="OutlineL6">
    <w:name w:val="Outline_L6"/>
    <w:basedOn w:val="OutlineL5"/>
    <w:next w:val="BodyText"/>
    <w:pPr>
      <w:numPr>
        <w:ilvl w:val="5"/>
      </w:numPr>
      <w:outlineLvl w:val="5"/>
    </w:pPr>
  </w:style>
  <w:style w:type="paragraph" w:customStyle="1" w:styleId="OutlineL7">
    <w:name w:val="Outline_L7"/>
    <w:basedOn w:val="OutlineL6"/>
    <w:next w:val="BodyText"/>
    <w:pPr>
      <w:numPr>
        <w:ilvl w:val="6"/>
      </w:numPr>
      <w:outlineLvl w:val="6"/>
    </w:pPr>
  </w:style>
  <w:style w:type="paragraph" w:customStyle="1" w:styleId="OutlineL8">
    <w:name w:val="Outline_L8"/>
    <w:basedOn w:val="OutlineL7"/>
    <w:next w:val="BodyText"/>
    <w:pPr>
      <w:numPr>
        <w:ilvl w:val="7"/>
      </w:numPr>
      <w:outlineLvl w:val="7"/>
    </w:pPr>
  </w:style>
  <w:style w:type="paragraph" w:customStyle="1" w:styleId="OutlineL9">
    <w:name w:val="Outline_L9"/>
    <w:basedOn w:val="OutlineL8"/>
    <w:next w:val="BodyText"/>
    <w:pPr>
      <w:numPr>
        <w:ilvl w:val="8"/>
      </w:numPr>
      <w:outlineLvl w:val="8"/>
    </w:pPr>
  </w:style>
  <w:style w:type="character" w:styleId="FootnoteReference">
    <w:name w:val="footnote reference"/>
    <w:aliases w:val="(NECG) Footnote Reference,Appel note de bas de p,FR,Footnote Reference/,Style 12,Style 124,Style 13,Style 17,Style 3,Style 4,Style 6,fr,o"/>
    <w:rPr>
      <w:sz w:val="20"/>
      <w:vertAlign w:val="superscript"/>
    </w:rPr>
  </w:style>
  <w:style w:type="character" w:styleId="CommentReference">
    <w:name w:val="annotation reference"/>
    <w:semiHidden/>
    <w:rPr>
      <w:sz w:val="16"/>
      <w:szCs w:val="16"/>
    </w:rPr>
  </w:style>
  <w:style w:type="character" w:customStyle="1" w:styleId="FootnoteTextChar2CharCharChar">
    <w:name w:val="Footnote Text Char2 Char Char Char"/>
    <w:aliases w:val="Footnote Text Char Char Char Char Char Char2,Footnote Text Char1 Char Char Char Char Char Char1,Footnote Text Char1 Char2 Char Char Char"/>
    <w:rPr>
      <w:noProof w:val="0"/>
      <w:lang w:val="en-US" w:eastAsia="en-US" w:bidi="ar-SA"/>
    </w:rPr>
  </w:style>
  <w:style w:type="character" w:customStyle="1" w:styleId="ParanumChar">
    <w:name w:val="Paranum Char"/>
    <w:rPr>
      <w:noProof w:val="0"/>
      <w:sz w:val="22"/>
      <w:lang w:val="en-US" w:eastAsia="en-US" w:bidi="ar-SA"/>
    </w:rPr>
  </w:style>
  <w:style w:type="character" w:customStyle="1" w:styleId="JaniceWise">
    <w:name w:val="Janice.Wise"/>
    <w:semiHidden/>
    <w:rPr>
      <w:rFonts w:ascii="Arial" w:hAnsi="Arial" w:cs="Arial" w:hint="default"/>
      <w:color w:val="auto"/>
      <w:sz w:val="20"/>
      <w:szCs w:val="20"/>
    </w:rPr>
  </w:style>
  <w:style w:type="character" w:styleId="PageNumber">
    <w:name w:val="page number"/>
    <w:basedOn w:val="DefaultParagraphFont"/>
    <w:uiPriority w:val="99"/>
    <w:unhideWhenUsed/>
  </w:style>
  <w:style w:type="character" w:styleId="Strong">
    <w:name w:val="Strong"/>
    <w:basedOn w:val="DefaultParagraphFont"/>
    <w:uiPriority w:val="22"/>
    <w:qFormat/>
    <w:rsid w:val="00F664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