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bookmarkStart w:id="0" w:name="_GoBack"/>
      <w:bookmarkEnd w:id="0"/>
    </w:p>
    <w:p w:rsidR="00E33786" w:rsidRPr="006E2CC1" w:rsidP="00E33786">
      <w:pPr>
        <w:widowControl/>
        <w:spacing w:after="160" w:line="259" w:lineRule="auto"/>
        <w:jc w:val="right"/>
        <w:rPr>
          <w:rFonts w:eastAsia="Calibri"/>
          <w:b/>
          <w:snapToGrid/>
          <w:kern w:val="0"/>
          <w:szCs w:val="22"/>
        </w:rPr>
      </w:pPr>
      <w:r>
        <w:rPr>
          <w:rFonts w:eastAsia="Calibri"/>
          <w:b/>
          <w:snapToGrid/>
          <w:kern w:val="0"/>
          <w:szCs w:val="22"/>
        </w:rPr>
        <w:t xml:space="preserve">DA </w:t>
      </w:r>
      <w:r w:rsidRPr="00925577">
        <w:rPr>
          <w:rFonts w:eastAsia="Calibri"/>
          <w:b/>
          <w:snapToGrid/>
          <w:kern w:val="0"/>
          <w:szCs w:val="22"/>
        </w:rPr>
        <w:t>18-</w:t>
      </w:r>
      <w:r>
        <w:rPr>
          <w:rFonts w:eastAsia="Calibri"/>
          <w:b/>
          <w:snapToGrid/>
          <w:kern w:val="0"/>
          <w:szCs w:val="22"/>
        </w:rPr>
        <w:t>1129</w:t>
      </w:r>
    </w:p>
    <w:p w:rsidR="00E33786" w:rsidRPr="00E33786" w:rsidP="00E33786">
      <w:pPr>
        <w:widowControl/>
        <w:spacing w:before="60" w:after="160" w:line="259" w:lineRule="auto"/>
        <w:jc w:val="right"/>
        <w:rPr>
          <w:rFonts w:eastAsia="Calibri"/>
          <w:b/>
          <w:snapToGrid/>
          <w:kern w:val="0"/>
          <w:szCs w:val="22"/>
        </w:rPr>
      </w:pPr>
      <w:r w:rsidRPr="006E2CC1">
        <w:rPr>
          <w:rFonts w:eastAsia="Calibri"/>
          <w:b/>
          <w:snapToGrid/>
          <w:kern w:val="0"/>
          <w:szCs w:val="22"/>
        </w:rPr>
        <w:t xml:space="preserve">Released: </w:t>
      </w:r>
      <w:r>
        <w:rPr>
          <w:rFonts w:eastAsia="Calibri"/>
          <w:b/>
          <w:snapToGrid/>
          <w:kern w:val="0"/>
          <w:szCs w:val="22"/>
        </w:rPr>
        <w:t>Nov. 2</w:t>
      </w:r>
      <w:r w:rsidRPr="006E2CC1">
        <w:rPr>
          <w:rFonts w:eastAsia="Calibri"/>
          <w:b/>
          <w:snapToGrid/>
          <w:kern w:val="0"/>
          <w:szCs w:val="22"/>
        </w:rPr>
        <w:t>, 2018</w:t>
      </w:r>
    </w:p>
    <w:p w:rsidR="00E33786" w:rsidRPr="00E33786" w:rsidP="00E33786">
      <w:pPr>
        <w:widowControl/>
        <w:spacing w:after="160" w:line="259" w:lineRule="auto"/>
        <w:jc w:val="right"/>
        <w:rPr>
          <w:rFonts w:eastAsia="Calibri"/>
          <w:snapToGrid/>
          <w:kern w:val="0"/>
          <w:szCs w:val="22"/>
        </w:rPr>
      </w:pPr>
    </w:p>
    <w:p w:rsidR="00C27810" w:rsidP="00B45840">
      <w:pPr>
        <w:widowControl/>
        <w:spacing w:line="259" w:lineRule="auto"/>
        <w:jc w:val="center"/>
        <w:rPr>
          <w:rFonts w:eastAsia="Calibri"/>
          <w:b/>
          <w:snapToGrid/>
          <w:kern w:val="0"/>
          <w:szCs w:val="22"/>
        </w:rPr>
      </w:pPr>
      <w:r>
        <w:rPr>
          <w:rFonts w:eastAsia="Calibri"/>
          <w:b/>
          <w:snapToGrid/>
          <w:kern w:val="0"/>
          <w:szCs w:val="22"/>
        </w:rPr>
        <w:t>NATIVE NATIONS COMMUNICATIONS TASK FORCE</w:t>
      </w:r>
    </w:p>
    <w:p w:rsidR="00E33786" w:rsidRPr="00E33786" w:rsidP="00B45840">
      <w:pPr>
        <w:widowControl/>
        <w:spacing w:line="259" w:lineRule="auto"/>
        <w:jc w:val="center"/>
        <w:rPr>
          <w:rFonts w:eastAsia="Calibri"/>
          <w:b/>
          <w:snapToGrid/>
          <w:kern w:val="0"/>
          <w:szCs w:val="22"/>
        </w:rPr>
      </w:pPr>
      <w:r w:rsidRPr="00E33786">
        <w:rPr>
          <w:rFonts w:eastAsia="Calibri"/>
          <w:b/>
          <w:snapToGrid/>
          <w:kern w:val="0"/>
          <w:szCs w:val="22"/>
        </w:rPr>
        <w:t xml:space="preserve">NOTICE </w:t>
      </w:r>
      <w:r>
        <w:rPr>
          <w:rFonts w:eastAsia="Calibri"/>
          <w:b/>
          <w:snapToGrid/>
          <w:kern w:val="0"/>
          <w:szCs w:val="22"/>
        </w:rPr>
        <w:t>REGARDING</w:t>
      </w:r>
      <w:r w:rsidRPr="00E33786">
        <w:rPr>
          <w:rFonts w:eastAsia="Calibri"/>
          <w:b/>
          <w:snapToGrid/>
          <w:kern w:val="0"/>
          <w:szCs w:val="22"/>
        </w:rPr>
        <w:t xml:space="preserve"> </w:t>
      </w:r>
      <w:r>
        <w:rPr>
          <w:rFonts w:eastAsia="Calibri"/>
          <w:b/>
          <w:snapToGrid/>
          <w:kern w:val="0"/>
          <w:szCs w:val="22"/>
        </w:rPr>
        <w:t xml:space="preserve">FIRST MEETING AND </w:t>
      </w:r>
      <w:r w:rsidRPr="00E33786">
        <w:rPr>
          <w:rFonts w:eastAsia="Calibri"/>
          <w:b/>
          <w:i/>
          <w:snapToGrid/>
          <w:kern w:val="0"/>
          <w:szCs w:val="22"/>
        </w:rPr>
        <w:t>EX PARTE</w:t>
      </w:r>
      <w:r w:rsidRPr="00E33786">
        <w:rPr>
          <w:rFonts w:eastAsia="Calibri"/>
          <w:b/>
          <w:snapToGrid/>
          <w:kern w:val="0"/>
          <w:szCs w:val="22"/>
        </w:rPr>
        <w:t xml:space="preserve"> STATUS OF </w:t>
      </w:r>
      <w:r>
        <w:rPr>
          <w:rFonts w:eastAsia="Calibri"/>
          <w:b/>
          <w:snapToGrid/>
          <w:kern w:val="0"/>
          <w:szCs w:val="22"/>
        </w:rPr>
        <w:t>PRESENTATIONS</w:t>
      </w:r>
    </w:p>
    <w:p w:rsidR="00166B81" w:rsidP="00B45840">
      <w:pPr>
        <w:widowControl/>
        <w:spacing w:before="240" w:after="240" w:line="259" w:lineRule="auto"/>
        <w:ind w:firstLine="720"/>
        <w:rPr>
          <w:rFonts w:eastAsia="Calibri"/>
          <w:snapToGrid/>
          <w:kern w:val="0"/>
          <w:szCs w:val="22"/>
        </w:rPr>
      </w:pPr>
      <w:r w:rsidRPr="00E33786">
        <w:rPr>
          <w:rFonts w:eastAsia="Calibri"/>
          <w:snapToGrid/>
          <w:kern w:val="0"/>
          <w:szCs w:val="22"/>
        </w:rPr>
        <w:t xml:space="preserve">The Federal Communications Commission (FCC or Commission) </w:t>
      </w:r>
      <w:r>
        <w:rPr>
          <w:rFonts w:eastAsia="Calibri"/>
          <w:snapToGrid/>
          <w:kern w:val="0"/>
          <w:szCs w:val="22"/>
        </w:rPr>
        <w:t>recently</w:t>
      </w:r>
      <w:r w:rsidRPr="00E33786">
        <w:rPr>
          <w:rFonts w:eastAsia="Calibri"/>
          <w:snapToGrid/>
          <w:kern w:val="0"/>
          <w:szCs w:val="22"/>
        </w:rPr>
        <w:t xml:space="preserve"> announced the membership of the </w:t>
      </w:r>
      <w:r>
        <w:rPr>
          <w:rFonts w:eastAsia="Calibri"/>
          <w:snapToGrid/>
          <w:kern w:val="0"/>
          <w:szCs w:val="22"/>
        </w:rPr>
        <w:t xml:space="preserve">Native </w:t>
      </w:r>
      <w:r>
        <w:rPr>
          <w:rFonts w:eastAsia="Calibri"/>
          <w:snapToGrid/>
          <w:kern w:val="0"/>
          <w:szCs w:val="22"/>
        </w:rPr>
        <w:t>Nations Communications Task Force</w:t>
      </w:r>
      <w:r w:rsidRPr="00E33786">
        <w:rPr>
          <w:rFonts w:eastAsia="Calibri"/>
          <w:snapToGrid/>
          <w:kern w:val="0"/>
          <w:szCs w:val="22"/>
        </w:rPr>
        <w:t xml:space="preserve"> (</w:t>
      </w:r>
      <w:r>
        <w:rPr>
          <w:rFonts w:eastAsia="Calibri"/>
          <w:snapToGrid/>
          <w:kern w:val="0"/>
          <w:szCs w:val="22"/>
        </w:rPr>
        <w:t>Task Force</w:t>
      </w:r>
      <w:r w:rsidRPr="00E33786">
        <w:rPr>
          <w:rFonts w:eastAsia="Calibri"/>
          <w:snapToGrid/>
          <w:kern w:val="0"/>
          <w:szCs w:val="22"/>
        </w:rPr>
        <w:t>).</w:t>
      </w:r>
      <w:r>
        <w:rPr>
          <w:rFonts w:eastAsia="Calibri"/>
          <w:snapToGrid/>
          <w:kern w:val="0"/>
          <w:szCs w:val="22"/>
          <w:vertAlign w:val="superscript"/>
        </w:rPr>
        <w:footnoteReference w:id="3"/>
      </w:r>
      <w:r w:rsidRPr="00E33786">
        <w:rPr>
          <w:rFonts w:eastAsia="Calibri"/>
          <w:snapToGrid/>
          <w:kern w:val="0"/>
          <w:szCs w:val="22"/>
        </w:rPr>
        <w:t xml:space="preserve">  </w:t>
      </w:r>
      <w:r>
        <w:rPr>
          <w:rFonts w:eastAsia="Calibri"/>
          <w:snapToGrid/>
          <w:kern w:val="0"/>
          <w:szCs w:val="22"/>
        </w:rPr>
        <w:t xml:space="preserve">The Task Force will conduct its first meeting at FCC Headquarters on </w:t>
      </w:r>
      <w:r w:rsidRPr="00FC57BC">
        <w:rPr>
          <w:rFonts w:eastAsia="Calibri"/>
          <w:snapToGrid/>
          <w:kern w:val="0"/>
          <w:szCs w:val="22"/>
        </w:rPr>
        <w:t>December 4-5, 2018</w:t>
      </w:r>
      <w:r>
        <w:rPr>
          <w:rFonts w:eastAsia="Calibri"/>
          <w:snapToGrid/>
          <w:kern w:val="0"/>
          <w:szCs w:val="22"/>
        </w:rPr>
        <w:t>.</w:t>
      </w:r>
    </w:p>
    <w:p w:rsidR="00166B81" w:rsidP="00B45840">
      <w:pPr>
        <w:widowControl/>
        <w:spacing w:before="240" w:after="240" w:line="259" w:lineRule="auto"/>
        <w:ind w:firstLine="720"/>
        <w:rPr>
          <w:rFonts w:eastAsia="Calibri"/>
          <w:snapToGrid/>
          <w:kern w:val="0"/>
          <w:szCs w:val="22"/>
        </w:rPr>
      </w:pPr>
      <w:r w:rsidRPr="00A64A9E">
        <w:rPr>
          <w:szCs w:val="22"/>
        </w:rPr>
        <w:t xml:space="preserve">The </w:t>
      </w:r>
      <w:r>
        <w:rPr>
          <w:szCs w:val="22"/>
        </w:rPr>
        <w:t xml:space="preserve">Task Force, </w:t>
      </w:r>
      <w:r w:rsidRPr="00A64A9E">
        <w:rPr>
          <w:szCs w:val="22"/>
        </w:rPr>
        <w:t>composed exclusively of Tribal officials</w:t>
      </w:r>
      <w:r>
        <w:rPr>
          <w:szCs w:val="22"/>
        </w:rPr>
        <w:t xml:space="preserve">, </w:t>
      </w:r>
      <w:r w:rsidRPr="00A64A9E">
        <w:rPr>
          <w:szCs w:val="22"/>
        </w:rPr>
        <w:t>is not subject to the procedures set forth in the Federal A</w:t>
      </w:r>
      <w:r w:rsidRPr="00A64A9E">
        <w:rPr>
          <w:szCs w:val="22"/>
        </w:rPr>
        <w:t xml:space="preserve">dvisory Committee Act </w:t>
      </w:r>
      <w:r>
        <w:rPr>
          <w:szCs w:val="22"/>
        </w:rPr>
        <w:t>(FACA)</w:t>
      </w:r>
      <w:r w:rsidRPr="00166B81">
        <w:rPr>
          <w:rFonts w:eastAsia="Calibri"/>
          <w:snapToGrid/>
          <w:kern w:val="0"/>
          <w:szCs w:val="22"/>
          <w:vertAlign w:val="superscript"/>
        </w:rPr>
        <w:t xml:space="preserve"> </w:t>
      </w:r>
      <w:r>
        <w:rPr>
          <w:rFonts w:eastAsia="Calibri"/>
          <w:snapToGrid/>
          <w:kern w:val="0"/>
          <w:szCs w:val="22"/>
          <w:vertAlign w:val="superscript"/>
        </w:rPr>
        <w:footnoteReference w:id="4"/>
      </w:r>
      <w:r>
        <w:rPr>
          <w:szCs w:val="22"/>
        </w:rPr>
        <w:t xml:space="preserve"> </w:t>
      </w:r>
      <w:r w:rsidRPr="00E33786">
        <w:rPr>
          <w:rFonts w:eastAsia="Calibri"/>
          <w:snapToGrid/>
          <w:kern w:val="0"/>
          <w:szCs w:val="22"/>
        </w:rPr>
        <w:t>because of an exemption provided under the Unfunded Mandates Reform Act (UMRA)</w:t>
      </w:r>
      <w:r>
        <w:rPr>
          <w:rFonts w:eastAsia="Calibri"/>
          <w:snapToGrid/>
          <w:kern w:val="0"/>
          <w:szCs w:val="22"/>
        </w:rPr>
        <w:t>.</w:t>
      </w:r>
      <w:r>
        <w:rPr>
          <w:rFonts w:eastAsia="Calibri"/>
          <w:snapToGrid/>
          <w:kern w:val="0"/>
          <w:szCs w:val="22"/>
          <w:vertAlign w:val="superscript"/>
        </w:rPr>
        <w:footnoteReference w:id="5"/>
      </w:r>
      <w:r w:rsidRPr="00E33786">
        <w:rPr>
          <w:rFonts w:eastAsia="Calibri"/>
          <w:snapToGrid/>
          <w:kern w:val="0"/>
          <w:szCs w:val="22"/>
        </w:rPr>
        <w:t xml:space="preserve"> </w:t>
      </w:r>
      <w:r>
        <w:rPr>
          <w:rFonts w:eastAsia="Calibri"/>
          <w:snapToGrid/>
          <w:kern w:val="0"/>
          <w:szCs w:val="22"/>
        </w:rPr>
        <w:t xml:space="preserve"> </w:t>
      </w:r>
      <w:r w:rsidRPr="00E33786">
        <w:rPr>
          <w:rFonts w:eastAsia="Calibri"/>
          <w:snapToGrid/>
          <w:kern w:val="0"/>
          <w:szCs w:val="22"/>
        </w:rPr>
        <w:t>The UMRA exemption is intended to promote the free exchange of ideas between officials of the federal government and state, local and tribal go</w:t>
      </w:r>
      <w:r w:rsidRPr="00E33786">
        <w:rPr>
          <w:rFonts w:eastAsia="Calibri"/>
          <w:snapToGrid/>
          <w:kern w:val="0"/>
          <w:szCs w:val="22"/>
        </w:rPr>
        <w:t>vernments (or their designated employees) on matters of common interest while meeting in closed sessions.</w:t>
      </w:r>
      <w:r>
        <w:rPr>
          <w:rFonts w:eastAsia="Calibri"/>
          <w:snapToGrid/>
          <w:kern w:val="0"/>
          <w:szCs w:val="22"/>
          <w:vertAlign w:val="superscript"/>
        </w:rPr>
        <w:footnoteReference w:id="6"/>
      </w:r>
      <w:r w:rsidRPr="00E33786">
        <w:rPr>
          <w:rFonts w:eastAsia="Calibri"/>
          <w:snapToGrid/>
          <w:kern w:val="0"/>
          <w:szCs w:val="22"/>
        </w:rPr>
        <w:t xml:space="preserve">  </w:t>
      </w:r>
      <w:r>
        <w:rPr>
          <w:rFonts w:eastAsia="Calibri"/>
          <w:snapToGrid/>
          <w:kern w:val="0"/>
          <w:szCs w:val="22"/>
        </w:rPr>
        <w:t xml:space="preserve">Accordingly, </w:t>
      </w:r>
      <w:r w:rsidRPr="00A64A9E">
        <w:rPr>
          <w:szCs w:val="22"/>
        </w:rPr>
        <w:t xml:space="preserve">meetings </w:t>
      </w:r>
      <w:r>
        <w:rPr>
          <w:szCs w:val="22"/>
        </w:rPr>
        <w:t xml:space="preserve">of the Task Force </w:t>
      </w:r>
      <w:r w:rsidRPr="00A64A9E">
        <w:rPr>
          <w:szCs w:val="22"/>
        </w:rPr>
        <w:t>are not open to the public</w:t>
      </w:r>
      <w:r>
        <w:rPr>
          <w:szCs w:val="22"/>
        </w:rPr>
        <w:t>.</w:t>
      </w:r>
    </w:p>
    <w:p w:rsidR="00E33786" w:rsidRPr="00E33786" w:rsidP="00805548">
      <w:pPr>
        <w:widowControl/>
        <w:spacing w:before="240" w:after="240" w:line="259" w:lineRule="auto"/>
        <w:ind w:firstLine="720"/>
        <w:rPr>
          <w:rFonts w:eastAsia="Calibri"/>
          <w:snapToGrid/>
          <w:kern w:val="0"/>
          <w:szCs w:val="22"/>
        </w:rPr>
      </w:pPr>
      <w:r w:rsidRPr="00E33786">
        <w:rPr>
          <w:rFonts w:eastAsia="Calibri"/>
          <w:snapToGrid/>
          <w:kern w:val="0"/>
          <w:szCs w:val="22"/>
        </w:rPr>
        <w:t xml:space="preserve">Because the UMRA exemption provides for conversations among the </w:t>
      </w:r>
      <w:r>
        <w:rPr>
          <w:rFonts w:eastAsia="Calibri"/>
          <w:snapToGrid/>
          <w:kern w:val="0"/>
          <w:szCs w:val="22"/>
        </w:rPr>
        <w:t>Task Force</w:t>
      </w:r>
      <w:r w:rsidRPr="00E33786">
        <w:rPr>
          <w:rFonts w:eastAsia="Calibri"/>
          <w:snapToGrid/>
          <w:kern w:val="0"/>
          <w:szCs w:val="22"/>
        </w:rPr>
        <w:t xml:space="preserve"> membe</w:t>
      </w:r>
      <w:r w:rsidRPr="00E33786">
        <w:rPr>
          <w:rFonts w:eastAsia="Calibri"/>
          <w:snapToGrid/>
          <w:kern w:val="0"/>
          <w:szCs w:val="22"/>
        </w:rPr>
        <w:t xml:space="preserve">rs and Commission staff or Commissioners, pursuant to section 1.1200(a) of the Commission’s rules, 47 CFR § 1.1200(a), presentations to the </w:t>
      </w:r>
      <w:r>
        <w:rPr>
          <w:rFonts w:eastAsia="Calibri"/>
          <w:snapToGrid/>
          <w:kern w:val="0"/>
          <w:szCs w:val="22"/>
        </w:rPr>
        <w:t>Task Force</w:t>
      </w:r>
      <w:r w:rsidRPr="00E33786">
        <w:rPr>
          <w:rFonts w:eastAsia="Calibri"/>
          <w:snapToGrid/>
          <w:kern w:val="0"/>
          <w:szCs w:val="22"/>
        </w:rPr>
        <w:t>, in</w:t>
      </w:r>
      <w:r>
        <w:rPr>
          <w:rFonts w:eastAsia="Calibri"/>
          <w:snapToGrid/>
          <w:kern w:val="0"/>
          <w:szCs w:val="22"/>
        </w:rPr>
        <w:t xml:space="preserve">cluding to any </w:t>
      </w:r>
      <w:r w:rsidRPr="00E33786">
        <w:rPr>
          <w:rFonts w:eastAsia="Calibri"/>
          <w:snapToGrid/>
          <w:kern w:val="0"/>
          <w:szCs w:val="22"/>
        </w:rPr>
        <w:t xml:space="preserve">subcommittees and working groups </w:t>
      </w:r>
      <w:r w:rsidRPr="00E33786">
        <w:rPr>
          <w:rFonts w:eastAsia="Calibri"/>
          <w:bCs/>
          <w:snapToGrid/>
          <w:kern w:val="0"/>
          <w:szCs w:val="22"/>
        </w:rPr>
        <w:t xml:space="preserve">and at any roundtable discussions sponsored by the </w:t>
      </w:r>
      <w:r>
        <w:rPr>
          <w:rFonts w:eastAsia="Calibri"/>
          <w:bCs/>
          <w:snapToGrid/>
          <w:kern w:val="0"/>
          <w:szCs w:val="22"/>
        </w:rPr>
        <w:t>Task Force,</w:t>
      </w:r>
      <w:r w:rsidRPr="00E33786">
        <w:rPr>
          <w:rFonts w:eastAsia="Calibri"/>
          <w:bCs/>
          <w:snapToGrid/>
          <w:kern w:val="0"/>
          <w:szCs w:val="22"/>
        </w:rPr>
        <w:t xml:space="preserve"> </w:t>
      </w:r>
      <w:r>
        <w:rPr>
          <w:rFonts w:eastAsia="Calibri"/>
          <w:snapToGrid/>
          <w:kern w:val="0"/>
          <w:szCs w:val="22"/>
        </w:rPr>
        <w:t>and presentations between Task Force</w:t>
      </w:r>
      <w:r w:rsidRPr="00E33786">
        <w:rPr>
          <w:rFonts w:eastAsia="Calibri"/>
          <w:snapToGrid/>
          <w:kern w:val="0"/>
          <w:szCs w:val="22"/>
        </w:rPr>
        <w:t xml:space="preserve"> members and FCC staff or Commissioners, will be treated as exempt presentations for </w:t>
      </w:r>
      <w:r w:rsidRPr="00E33786">
        <w:rPr>
          <w:rFonts w:eastAsia="Calibri"/>
          <w:i/>
          <w:snapToGrid/>
          <w:kern w:val="0"/>
          <w:szCs w:val="22"/>
        </w:rPr>
        <w:t>ex parte</w:t>
      </w:r>
      <w:r w:rsidRPr="00E33786">
        <w:rPr>
          <w:rFonts w:eastAsia="Calibri"/>
          <w:snapToGrid/>
          <w:kern w:val="0"/>
          <w:szCs w:val="22"/>
        </w:rPr>
        <w:t xml:space="preserve"> purposes.  This treatment is appropriate since such presentations, like comments on a Notice of Inquiry, will not </w:t>
      </w:r>
      <w:r w:rsidRPr="00E33786">
        <w:rPr>
          <w:rFonts w:eastAsia="Calibri"/>
          <w:snapToGrid/>
          <w:kern w:val="0"/>
          <w:szCs w:val="22"/>
        </w:rPr>
        <w:t>directly result in the promulgation of new rules.</w:t>
      </w:r>
      <w:r>
        <w:rPr>
          <w:rFonts w:eastAsia="Calibri"/>
          <w:snapToGrid/>
          <w:kern w:val="0"/>
          <w:szCs w:val="22"/>
          <w:vertAlign w:val="superscript"/>
        </w:rPr>
        <w:footnoteReference w:id="7"/>
      </w:r>
    </w:p>
    <w:p w:rsidR="00E33786" w:rsidRPr="00E33786" w:rsidP="00E33786">
      <w:pPr>
        <w:widowControl/>
        <w:spacing w:after="160" w:line="259" w:lineRule="auto"/>
        <w:ind w:firstLine="720"/>
        <w:rPr>
          <w:rFonts w:eastAsia="Calibri"/>
          <w:snapToGrid/>
          <w:kern w:val="0"/>
          <w:szCs w:val="22"/>
        </w:rPr>
      </w:pPr>
      <w:r w:rsidRPr="00E33786">
        <w:rPr>
          <w:rFonts w:eastAsia="Calibri"/>
          <w:snapToGrid/>
          <w:kern w:val="0"/>
          <w:szCs w:val="22"/>
        </w:rPr>
        <w:t xml:space="preserve">We recognize, however, that in the course of its work the </w:t>
      </w:r>
      <w:r>
        <w:rPr>
          <w:rFonts w:eastAsia="Calibri"/>
          <w:snapToGrid/>
          <w:kern w:val="0"/>
          <w:szCs w:val="22"/>
        </w:rPr>
        <w:t>Task Force</w:t>
      </w:r>
      <w:r w:rsidRPr="00E33786">
        <w:rPr>
          <w:rFonts w:eastAsia="Calibri"/>
          <w:snapToGrid/>
          <w:kern w:val="0"/>
          <w:szCs w:val="22"/>
        </w:rPr>
        <w:t xml:space="preserve"> may address issues that are subject to pending rulemaking proceedings. </w:t>
      </w:r>
      <w:r>
        <w:rPr>
          <w:rFonts w:eastAsia="Calibri"/>
          <w:snapToGrid/>
          <w:kern w:val="0"/>
          <w:szCs w:val="22"/>
        </w:rPr>
        <w:t xml:space="preserve"> </w:t>
      </w:r>
      <w:r w:rsidRPr="00E33786">
        <w:rPr>
          <w:rFonts w:eastAsia="Calibri"/>
          <w:snapToGrid/>
          <w:kern w:val="0"/>
          <w:szCs w:val="22"/>
        </w:rPr>
        <w:t>The Commission will not rely in these proceedings on any informa</w:t>
      </w:r>
      <w:r w:rsidRPr="00E33786">
        <w:rPr>
          <w:rFonts w:eastAsia="Calibri"/>
          <w:snapToGrid/>
          <w:kern w:val="0"/>
          <w:szCs w:val="22"/>
        </w:rPr>
        <w:t xml:space="preserve">tion submitted to the </w:t>
      </w:r>
      <w:r>
        <w:rPr>
          <w:rFonts w:eastAsia="Calibri"/>
          <w:snapToGrid/>
          <w:kern w:val="0"/>
          <w:szCs w:val="22"/>
        </w:rPr>
        <w:t>Task Force</w:t>
      </w:r>
      <w:r w:rsidRPr="00E33786">
        <w:rPr>
          <w:rFonts w:eastAsia="Calibri"/>
          <w:snapToGrid/>
          <w:kern w:val="0"/>
          <w:szCs w:val="22"/>
        </w:rPr>
        <w:t xml:space="preserve">, or to any of its subcommittees, working groups, or sponsored </w:t>
      </w:r>
      <w:r w:rsidRPr="00E33786">
        <w:rPr>
          <w:rFonts w:eastAsia="Calibri"/>
          <w:snapToGrid/>
          <w:kern w:val="0"/>
          <w:szCs w:val="22"/>
        </w:rPr>
        <w:t xml:space="preserve">roundtables, or information conveyed by </w:t>
      </w:r>
      <w:r>
        <w:rPr>
          <w:rFonts w:eastAsia="Calibri"/>
          <w:snapToGrid/>
          <w:kern w:val="0"/>
          <w:szCs w:val="22"/>
        </w:rPr>
        <w:t>Task Force</w:t>
      </w:r>
      <w:r w:rsidRPr="00E33786">
        <w:rPr>
          <w:rFonts w:eastAsia="Calibri"/>
          <w:snapToGrid/>
          <w:kern w:val="0"/>
          <w:szCs w:val="22"/>
        </w:rPr>
        <w:t xml:space="preserve"> members to FCC staff or Commissioners</w:t>
      </w:r>
      <w:r>
        <w:rPr>
          <w:rFonts w:eastAsia="Calibri"/>
          <w:snapToGrid/>
          <w:kern w:val="0"/>
          <w:szCs w:val="22"/>
        </w:rPr>
        <w:t>,</w:t>
      </w:r>
      <w:r w:rsidRPr="00E33786">
        <w:rPr>
          <w:rFonts w:eastAsia="Calibri"/>
          <w:snapToGrid/>
          <w:kern w:val="0"/>
          <w:szCs w:val="22"/>
        </w:rPr>
        <w:t xml:space="preserve"> unless that information is first placed in the record of the relevant p</w:t>
      </w:r>
      <w:r w:rsidRPr="00E33786">
        <w:rPr>
          <w:rFonts w:eastAsia="Calibri"/>
          <w:snapToGrid/>
          <w:kern w:val="0"/>
          <w:szCs w:val="22"/>
        </w:rPr>
        <w:t>roceeding.</w:t>
      </w:r>
    </w:p>
    <w:p w:rsidR="00E33786" w:rsidRPr="00E33786" w:rsidP="005B7906">
      <w:pPr>
        <w:widowControl/>
        <w:spacing w:after="160" w:line="259" w:lineRule="auto"/>
        <w:ind w:firstLine="720"/>
        <w:rPr>
          <w:rFonts w:eastAsia="Calibri"/>
          <w:snapToGrid/>
          <w:kern w:val="0"/>
          <w:szCs w:val="22"/>
        </w:rPr>
      </w:pPr>
      <w:r>
        <w:rPr>
          <w:rFonts w:eastAsia="Calibri"/>
          <w:snapToGrid/>
          <w:kern w:val="0"/>
          <w:szCs w:val="22"/>
        </w:rPr>
        <w:t>For a</w:t>
      </w:r>
      <w:r w:rsidRPr="00E33786">
        <w:rPr>
          <w:rFonts w:eastAsia="Calibri"/>
          <w:snapToGrid/>
          <w:kern w:val="0"/>
          <w:szCs w:val="22"/>
        </w:rPr>
        <w:t xml:space="preserve">dditional information regarding the </w:t>
      </w:r>
      <w:r>
        <w:rPr>
          <w:rFonts w:eastAsia="Calibri"/>
          <w:snapToGrid/>
          <w:kern w:val="0"/>
          <w:szCs w:val="22"/>
        </w:rPr>
        <w:t>Task Force</w:t>
      </w:r>
      <w:r>
        <w:rPr>
          <w:rFonts w:eastAsia="Calibri"/>
          <w:snapToGrid/>
          <w:kern w:val="0"/>
          <w:szCs w:val="22"/>
        </w:rPr>
        <w:t xml:space="preserve">, you </w:t>
      </w:r>
      <w:r w:rsidRPr="00E33786">
        <w:rPr>
          <w:rFonts w:eastAsia="Calibri"/>
          <w:snapToGrid/>
          <w:kern w:val="0"/>
          <w:szCs w:val="22"/>
        </w:rPr>
        <w:t xml:space="preserve">may contact </w:t>
      </w:r>
      <w:r>
        <w:rPr>
          <w:rFonts w:eastAsia="Calibri"/>
          <w:snapToGrid/>
          <w:kern w:val="0"/>
          <w:szCs w:val="22"/>
        </w:rPr>
        <w:t>Janet Sievert</w:t>
      </w:r>
      <w:r w:rsidRPr="00E33786">
        <w:rPr>
          <w:rFonts w:eastAsia="Calibri"/>
          <w:snapToGrid/>
          <w:kern w:val="0"/>
          <w:szCs w:val="22"/>
        </w:rPr>
        <w:t xml:space="preserve"> at (202) 418-</w:t>
      </w:r>
      <w:r>
        <w:rPr>
          <w:rFonts w:eastAsia="Calibri"/>
          <w:snapToGrid/>
          <w:kern w:val="0"/>
          <w:szCs w:val="22"/>
        </w:rPr>
        <w:t>1362</w:t>
      </w:r>
      <w:r w:rsidRPr="00E33786">
        <w:rPr>
          <w:rFonts w:eastAsia="Calibri"/>
          <w:snapToGrid/>
          <w:kern w:val="0"/>
          <w:szCs w:val="22"/>
        </w:rPr>
        <w:t xml:space="preserve"> or </w:t>
      </w:r>
      <w:r>
        <w:fldChar w:fldCharType="begin"/>
      </w:r>
      <w:r>
        <w:instrText xml:space="preserve"> HYPERLINK "mailto:janet.sievert@fcc.gov" </w:instrText>
      </w:r>
      <w:r>
        <w:fldChar w:fldCharType="separate"/>
      </w:r>
      <w:r w:rsidRPr="00AA409D">
        <w:rPr>
          <w:rStyle w:val="Hyperlink"/>
          <w:rFonts w:eastAsia="Calibri"/>
          <w:snapToGrid/>
          <w:kern w:val="0"/>
          <w:szCs w:val="22"/>
        </w:rPr>
        <w:t>janet.sievert@fcc.gov</w:t>
      </w:r>
      <w:r>
        <w:fldChar w:fldCharType="end"/>
      </w:r>
      <w:r>
        <w:rPr>
          <w:rFonts w:eastAsia="Calibri"/>
          <w:snapToGrid/>
          <w:kern w:val="0"/>
          <w:szCs w:val="22"/>
        </w:rPr>
        <w:t>.</w:t>
      </w:r>
    </w:p>
    <w:p w:rsidR="00E33786" w:rsidRPr="00E33786" w:rsidP="00E33786">
      <w:pPr>
        <w:widowControl/>
        <w:spacing w:before="120" w:after="240" w:line="259" w:lineRule="auto"/>
        <w:jc w:val="center"/>
        <w:rPr>
          <w:rFonts w:eastAsia="Calibri"/>
          <w:b/>
          <w:snapToGrid/>
          <w:kern w:val="0"/>
          <w:szCs w:val="22"/>
        </w:rPr>
      </w:pPr>
      <w:r w:rsidRPr="00E33786">
        <w:rPr>
          <w:rFonts w:eastAsia="Calibri"/>
          <w:b/>
          <w:snapToGrid/>
          <w:kern w:val="0"/>
          <w:szCs w:val="22"/>
        </w:rPr>
        <w:t>- FCC -</w:t>
      </w:r>
    </w:p>
    <w:p w:rsidR="00E33786" w:rsidRPr="00E33786" w:rsidP="00E33786">
      <w:pPr>
        <w:widowControl/>
        <w:spacing w:before="60" w:after="160" w:line="259" w:lineRule="auto"/>
        <w:jc w:val="right"/>
        <w:rPr>
          <w:rFonts w:ascii="Calibri" w:eastAsia="Calibri" w:hAnsi="Calibri"/>
          <w:snapToGrid/>
          <w:kern w:val="0"/>
          <w:sz w:val="24"/>
          <w:szCs w:val="22"/>
        </w:rPr>
      </w:pPr>
    </w:p>
    <w:p w:rsidR="00930ECF" w:rsidRPr="00930ECF" w:rsidP="00E33786"/>
    <w:sectPr w:rsidSect="000E5884">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0521">
      <w:r>
        <w:separator/>
      </w:r>
    </w:p>
  </w:footnote>
  <w:footnote w:type="continuationSeparator" w:id="1">
    <w:p w:rsidR="00100521">
      <w:pPr>
        <w:rPr>
          <w:sz w:val="20"/>
        </w:rPr>
      </w:pPr>
      <w:r>
        <w:rPr>
          <w:sz w:val="20"/>
        </w:rPr>
        <w:t xml:space="preserve">(Continued from previous page)  </w:t>
      </w:r>
      <w:r>
        <w:rPr>
          <w:sz w:val="20"/>
        </w:rPr>
        <w:separator/>
      </w:r>
    </w:p>
  </w:footnote>
  <w:footnote w:type="continuationNotice" w:id="2">
    <w:p w:rsidR="00100521" w:rsidP="00910F12">
      <w:pPr>
        <w:jc w:val="right"/>
        <w:rPr>
          <w:sz w:val="20"/>
        </w:rPr>
      </w:pPr>
      <w:r>
        <w:rPr>
          <w:sz w:val="20"/>
        </w:rPr>
        <w:t>(continued….)</w:t>
      </w:r>
    </w:p>
  </w:footnote>
  <w:footnote w:id="3">
    <w:p w:rsidR="00E33786" w:rsidRPr="001F3AF1" w:rsidP="00E33786">
      <w:pPr>
        <w:autoSpaceDE w:val="0"/>
        <w:autoSpaceDN w:val="0"/>
        <w:adjustRightInd w:val="0"/>
        <w:rPr>
          <w:bCs/>
          <w:i/>
          <w:caps/>
          <w:sz w:val="20"/>
        </w:rPr>
      </w:pPr>
      <w:r w:rsidRPr="002F6A0E">
        <w:rPr>
          <w:rStyle w:val="FootnoteReference"/>
          <w:sz w:val="20"/>
        </w:rPr>
        <w:footnoteRef/>
      </w:r>
      <w:r w:rsidRPr="002F6A0E">
        <w:rPr>
          <w:sz w:val="20"/>
        </w:rPr>
        <w:t xml:space="preserve">  </w:t>
      </w:r>
      <w:r w:rsidRPr="001F3AF1">
        <w:rPr>
          <w:i/>
          <w:sz w:val="20"/>
        </w:rPr>
        <w:t xml:space="preserve">Chairman Pai Announces New Appointments to the </w:t>
      </w:r>
      <w:r>
        <w:rPr>
          <w:i/>
          <w:sz w:val="20"/>
        </w:rPr>
        <w:t>Native Nations Communications Task Force</w:t>
      </w:r>
      <w:r w:rsidRPr="001F3AF1">
        <w:rPr>
          <w:sz w:val="20"/>
        </w:rPr>
        <w:t>, Public Not</w:t>
      </w:r>
      <w:r>
        <w:rPr>
          <w:sz w:val="20"/>
        </w:rPr>
        <w:t>ice, DA 18-</w:t>
      </w:r>
      <w:r>
        <w:rPr>
          <w:sz w:val="20"/>
        </w:rPr>
        <w:t>1083</w:t>
      </w:r>
      <w:r>
        <w:rPr>
          <w:sz w:val="20"/>
        </w:rPr>
        <w:t xml:space="preserve"> (</w:t>
      </w:r>
      <w:r>
        <w:rPr>
          <w:sz w:val="20"/>
        </w:rPr>
        <w:t>October</w:t>
      </w:r>
      <w:r>
        <w:rPr>
          <w:sz w:val="20"/>
        </w:rPr>
        <w:t xml:space="preserve"> </w:t>
      </w:r>
      <w:r>
        <w:rPr>
          <w:sz w:val="20"/>
        </w:rPr>
        <w:t>24</w:t>
      </w:r>
      <w:r>
        <w:rPr>
          <w:sz w:val="20"/>
        </w:rPr>
        <w:t>, 2018).</w:t>
      </w:r>
    </w:p>
  </w:footnote>
  <w:footnote w:id="4">
    <w:p w:rsidR="00166B81" w:rsidRPr="001F3AF1" w:rsidP="00166B81">
      <w:pPr>
        <w:pStyle w:val="FootnoteText"/>
        <w:spacing w:after="0"/>
      </w:pPr>
      <w:r w:rsidRPr="001F3AF1">
        <w:rPr>
          <w:rStyle w:val="FootnoteReference"/>
        </w:rPr>
        <w:footnoteRef/>
      </w:r>
      <w:r w:rsidRPr="001F3AF1">
        <w:t xml:space="preserve"> </w:t>
      </w:r>
      <w:r w:rsidRPr="00E1459A">
        <w:rPr>
          <w:i/>
        </w:rPr>
        <w:t>See</w:t>
      </w:r>
      <w:r w:rsidRPr="001F3AF1">
        <w:t xml:space="preserve"> 5 U.S.C. App.2.</w:t>
      </w:r>
    </w:p>
  </w:footnote>
  <w:footnote w:id="5">
    <w:p w:rsidR="00166B81" w:rsidRPr="001F3AF1" w:rsidP="00166B81">
      <w:pPr>
        <w:pStyle w:val="FootnoteText"/>
        <w:spacing w:after="0"/>
      </w:pPr>
      <w:r w:rsidRPr="001F3AF1">
        <w:rPr>
          <w:rStyle w:val="FootnoteReference"/>
        </w:rPr>
        <w:footnoteRef/>
      </w:r>
      <w:r w:rsidRPr="001F3AF1">
        <w:t xml:space="preserve"> </w:t>
      </w:r>
      <w:r w:rsidRPr="00E1459A">
        <w:rPr>
          <w:i/>
        </w:rPr>
        <w:t>See</w:t>
      </w:r>
      <w:r w:rsidRPr="001F3AF1">
        <w:t xml:space="preserve"> 2 U.S.C. </w:t>
      </w:r>
      <w:r w:rsidRPr="001F3AF1">
        <w:rPr>
          <w:rFonts w:cs="Calibri"/>
        </w:rPr>
        <w:t>§</w:t>
      </w:r>
      <w:r w:rsidRPr="001F3AF1">
        <w:t>1534(b).</w:t>
      </w:r>
    </w:p>
  </w:footnote>
  <w:footnote w:id="6">
    <w:p w:rsidR="00166B81" w:rsidP="00166B81">
      <w:pPr>
        <w:autoSpaceDE w:val="0"/>
        <w:autoSpaceDN w:val="0"/>
        <w:adjustRightInd w:val="0"/>
        <w:rPr>
          <w:rFonts w:cs="Calibri"/>
          <w:sz w:val="20"/>
        </w:rPr>
      </w:pPr>
      <w:r w:rsidRPr="001F3AF1">
        <w:rPr>
          <w:rStyle w:val="FootnoteReference"/>
          <w:sz w:val="20"/>
        </w:rPr>
        <w:footnoteRef/>
      </w:r>
      <w:r w:rsidRPr="001F3AF1">
        <w:rPr>
          <w:sz w:val="20"/>
        </w:rPr>
        <w:t xml:space="preserve"> </w:t>
      </w:r>
      <w:r w:rsidRPr="001F3AF1">
        <w:rPr>
          <w:rFonts w:cs="Calibri"/>
          <w:sz w:val="20"/>
        </w:rPr>
        <w:t>UMRA permits federal officials or their designated employees to speak with their state, local, and tribal counterparts without implicating the FACA as long as a two-part test set forth in 2 U.S.C</w:t>
      </w:r>
      <w:r w:rsidRPr="001F3AF1">
        <w:rPr>
          <w:rFonts w:cs="Calibri"/>
          <w:sz w:val="20"/>
        </w:rPr>
        <w:t>. §1534(b)</w:t>
      </w:r>
      <w:r>
        <w:rPr>
          <w:rFonts w:cs="Calibri"/>
          <w:sz w:val="20"/>
        </w:rPr>
        <w:t xml:space="preserve"> is satisfied</w:t>
      </w:r>
      <w:r w:rsidRPr="001F3AF1">
        <w:rPr>
          <w:rFonts w:cs="Calibri"/>
          <w:sz w:val="20"/>
        </w:rPr>
        <w:t xml:space="preserve">: </w:t>
      </w:r>
    </w:p>
    <w:p w:rsidR="00166B81" w:rsidRPr="001F3AF1" w:rsidP="00166B81">
      <w:pPr>
        <w:autoSpaceDE w:val="0"/>
        <w:autoSpaceDN w:val="0"/>
        <w:adjustRightInd w:val="0"/>
        <w:rPr>
          <w:sz w:val="20"/>
        </w:rPr>
      </w:pPr>
      <w:r w:rsidRPr="001F3AF1">
        <w:rPr>
          <w:rFonts w:cs="Calibri"/>
          <w:sz w:val="20"/>
        </w:rPr>
        <w:t xml:space="preserve"> “ (1) meetings are held exclusively between federal officials and elected officers of state, local, and tribal governments (or their designated employees with authority to act on their behalf) acting in their official capacities”</w:t>
      </w:r>
      <w:r w:rsidRPr="001F3AF1">
        <w:rPr>
          <w:rFonts w:cs="Calibri"/>
          <w:sz w:val="20"/>
        </w:rPr>
        <w:t>; and (2) “such meetings are solely for the purpose of exchanging views, information, or advice relating to the management or implementation of federal programs established pursuant to statute, that explicitly or inherently share intergovernmental responsi</w:t>
      </w:r>
      <w:r w:rsidRPr="001F3AF1">
        <w:rPr>
          <w:rFonts w:cs="Calibri"/>
          <w:sz w:val="20"/>
        </w:rPr>
        <w:t xml:space="preserve">bilities or administration.” </w:t>
      </w:r>
    </w:p>
  </w:footnote>
  <w:footnote w:id="7">
    <w:p w:rsidR="00E33786" w:rsidRPr="001F3AF1" w:rsidP="00E33786">
      <w:pPr>
        <w:autoSpaceDE w:val="0"/>
        <w:autoSpaceDN w:val="0"/>
        <w:adjustRightInd w:val="0"/>
        <w:rPr>
          <w:sz w:val="20"/>
        </w:rPr>
      </w:pPr>
      <w:r w:rsidRPr="001F3AF1">
        <w:rPr>
          <w:rStyle w:val="FootnoteReference"/>
          <w:sz w:val="20"/>
        </w:rPr>
        <w:footnoteRef/>
      </w:r>
      <w:r w:rsidRPr="001F3AF1">
        <w:rPr>
          <w:sz w:val="20"/>
        </w:rPr>
        <w:t xml:space="preserve"> </w:t>
      </w:r>
      <w:r w:rsidRPr="001F3AF1">
        <w:rPr>
          <w:i/>
          <w:sz w:val="20"/>
        </w:rPr>
        <w:t>See</w:t>
      </w:r>
      <w:r w:rsidRPr="001F3AF1">
        <w:rPr>
          <w:sz w:val="20"/>
        </w:rPr>
        <w:t xml:space="preserve"> 47 CFR § 1.1204(b)(1)</w:t>
      </w:r>
      <w:r>
        <w:rPr>
          <w:sz w:val="20"/>
        </w:rPr>
        <w:t xml:space="preserve"> </w:t>
      </w:r>
      <w:r w:rsidRPr="001F3AF1">
        <w:rPr>
          <w:sz w:val="20"/>
        </w:rPr>
        <w:t>(</w:t>
      </w:r>
      <w:r w:rsidRPr="001F3AF1">
        <w:rPr>
          <w:rFonts w:cs="Calibri"/>
          <w:sz w:val="20"/>
        </w:rPr>
        <w:t>exempt</w:t>
      </w:r>
      <w:r w:rsidRPr="001F3AF1">
        <w:rPr>
          <w:sz w:val="20"/>
        </w:rPr>
        <w:t xml:space="preserve"> </w:t>
      </w:r>
      <w:r w:rsidRPr="001F3AF1">
        <w:rPr>
          <w:rFonts w:cs="Calibri"/>
          <w:sz w:val="20"/>
        </w:rPr>
        <w:t>treatment</w:t>
      </w:r>
      <w:r w:rsidRPr="001F3AF1">
        <w:rPr>
          <w:sz w:val="20"/>
        </w:rPr>
        <w:t xml:space="preserve"> of presentations regarding a Notice of Inquiry).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Pr>
        <w:b/>
      </w:rPr>
      <w:t xml:space="preserve">DA </w:t>
    </w:r>
    <w:r w:rsidRPr="00925577">
      <w:rPr>
        <w:b/>
      </w:rPr>
      <w:t>18-</w:t>
    </w:r>
    <w:r>
      <w:rPr>
        <w:b/>
      </w:rPr>
      <w:t>1129</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5B7906"/>
    <w:rPr>
      <w:sz w:val="16"/>
      <w:szCs w:val="16"/>
    </w:rPr>
  </w:style>
  <w:style w:type="paragraph" w:styleId="CommentText">
    <w:name w:val="annotation text"/>
    <w:basedOn w:val="Normal"/>
    <w:link w:val="CommentTextChar"/>
    <w:uiPriority w:val="99"/>
    <w:semiHidden/>
    <w:unhideWhenUsed/>
    <w:rsid w:val="005B7906"/>
    <w:rPr>
      <w:sz w:val="20"/>
    </w:rPr>
  </w:style>
  <w:style w:type="character" w:customStyle="1" w:styleId="CommentTextChar">
    <w:name w:val="Comment Text Char"/>
    <w:basedOn w:val="DefaultParagraphFont"/>
    <w:link w:val="CommentText"/>
    <w:uiPriority w:val="99"/>
    <w:semiHidden/>
    <w:rsid w:val="005B7906"/>
    <w:rPr>
      <w:snapToGrid w:val="0"/>
      <w:kern w:val="28"/>
    </w:rPr>
  </w:style>
  <w:style w:type="paragraph" w:styleId="CommentSubject">
    <w:name w:val="annotation subject"/>
    <w:basedOn w:val="CommentText"/>
    <w:next w:val="CommentText"/>
    <w:link w:val="CommentSubjectChar"/>
    <w:uiPriority w:val="99"/>
    <w:semiHidden/>
    <w:unhideWhenUsed/>
    <w:rsid w:val="005B7906"/>
    <w:rPr>
      <w:b/>
      <w:bCs/>
    </w:rPr>
  </w:style>
  <w:style w:type="character" w:customStyle="1" w:styleId="CommentSubjectChar">
    <w:name w:val="Comment Subject Char"/>
    <w:basedOn w:val="CommentTextChar"/>
    <w:link w:val="CommentSubject"/>
    <w:uiPriority w:val="99"/>
    <w:semiHidden/>
    <w:rsid w:val="005B7906"/>
    <w:rPr>
      <w:b/>
      <w:bCs/>
      <w:snapToGrid w:val="0"/>
      <w:kern w:val="28"/>
    </w:rPr>
  </w:style>
  <w:style w:type="paragraph" w:styleId="BalloonText">
    <w:name w:val="Balloon Text"/>
    <w:basedOn w:val="Normal"/>
    <w:link w:val="BalloonTextChar"/>
    <w:uiPriority w:val="99"/>
    <w:semiHidden/>
    <w:unhideWhenUsed/>
    <w:rsid w:val="005B7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06"/>
    <w:rPr>
      <w:rFonts w:ascii="Segoe UI" w:hAnsi="Segoe UI" w:cs="Segoe UI"/>
      <w:snapToGrid w:val="0"/>
      <w:kern w:val="28"/>
      <w:sz w:val="18"/>
      <w:szCs w:val="18"/>
    </w:rPr>
  </w:style>
  <w:style w:type="character" w:customStyle="1" w:styleId="UnresolvedMention1">
    <w:name w:val="Unresolved Mention1"/>
    <w:basedOn w:val="DefaultParagraphFont"/>
    <w:uiPriority w:val="99"/>
    <w:rsid w:val="005B79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