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E5884" w:rsidRPr="001D616C" w:rsidP="00C82B6B">
      <w:pPr>
        <w:jc w:val="right"/>
        <w:rPr>
          <w:szCs w:val="22"/>
        </w:rPr>
      </w:pPr>
    </w:p>
    <w:p w:rsidR="00013A8B" w:rsidRPr="001D616C" w:rsidP="00013A8B">
      <w:pPr>
        <w:jc w:val="right"/>
        <w:rPr>
          <w:b/>
          <w:szCs w:val="22"/>
        </w:rPr>
      </w:pPr>
      <w:r>
        <w:rPr>
          <w:b/>
          <w:szCs w:val="22"/>
        </w:rPr>
        <w:t>DA 18-1133</w:t>
      </w:r>
      <w:bookmarkStart w:id="0" w:name="_GoBack"/>
      <w:bookmarkEnd w:id="0"/>
    </w:p>
    <w:p w:rsidR="00013A8B" w:rsidRPr="001D616C" w:rsidP="00013A8B">
      <w:pPr>
        <w:spacing w:before="60"/>
        <w:jc w:val="right"/>
        <w:rPr>
          <w:b/>
          <w:szCs w:val="22"/>
        </w:rPr>
      </w:pPr>
      <w:r w:rsidRPr="001D616C">
        <w:rPr>
          <w:b/>
          <w:szCs w:val="22"/>
        </w:rPr>
        <w:t xml:space="preserve">Released:  </w:t>
      </w:r>
      <w:r w:rsidR="0010463A">
        <w:rPr>
          <w:b/>
          <w:szCs w:val="22"/>
        </w:rPr>
        <w:t>November 5, 2018</w:t>
      </w:r>
    </w:p>
    <w:p w:rsidR="00013A8B" w:rsidRPr="001D616C" w:rsidP="00013A8B">
      <w:pPr>
        <w:jc w:val="right"/>
        <w:rPr>
          <w:szCs w:val="22"/>
        </w:rPr>
      </w:pPr>
    </w:p>
    <w:p w:rsidR="00013A8B" w:rsidRPr="001D616C" w:rsidP="00013A8B">
      <w:pPr>
        <w:spacing w:after="240"/>
        <w:jc w:val="center"/>
        <w:rPr>
          <w:rFonts w:ascii="Times New Roman Bold" w:hAnsi="Times New Roman Bold"/>
          <w:b/>
          <w:caps/>
          <w:szCs w:val="22"/>
        </w:rPr>
      </w:pPr>
      <w:r w:rsidRPr="001D616C">
        <w:rPr>
          <w:rFonts w:ascii="Times New Roman Bold" w:hAnsi="Times New Roman Bold"/>
          <w:b/>
          <w:caps/>
          <w:szCs w:val="22"/>
        </w:rPr>
        <w:t>secure</w:t>
      </w:r>
      <w:r w:rsidRPr="001D616C" w:rsidR="00A2143A">
        <w:rPr>
          <w:rFonts w:ascii="Times New Roman Bold" w:hAnsi="Times New Roman Bold"/>
          <w:b/>
          <w:caps/>
          <w:szCs w:val="22"/>
        </w:rPr>
        <w:t xml:space="preserve"> data enclave for accessing </w:t>
      </w:r>
      <w:r w:rsidRPr="001D616C">
        <w:rPr>
          <w:rFonts w:ascii="Times New Roman Bold" w:hAnsi="Times New Roman Bold"/>
          <w:b/>
          <w:caps/>
          <w:szCs w:val="22"/>
        </w:rPr>
        <w:t xml:space="preserve">highly </w:t>
      </w:r>
      <w:r w:rsidRPr="001D616C" w:rsidR="00A2143A">
        <w:rPr>
          <w:rFonts w:ascii="Times New Roman Bold" w:hAnsi="Times New Roman Bold"/>
          <w:b/>
          <w:caps/>
          <w:szCs w:val="22"/>
        </w:rPr>
        <w:t>confidential business data services data</w:t>
      </w:r>
      <w:r w:rsidRPr="001D616C">
        <w:rPr>
          <w:rFonts w:ascii="Times New Roman Bold" w:hAnsi="Times New Roman Bold"/>
          <w:b/>
          <w:caps/>
          <w:szCs w:val="22"/>
        </w:rPr>
        <w:t xml:space="preserve"> </w:t>
      </w:r>
      <w:r w:rsidRPr="001D616C" w:rsidR="00D36820">
        <w:rPr>
          <w:rFonts w:ascii="Times New Roman Bold" w:hAnsi="Times New Roman Bold"/>
          <w:b/>
          <w:caps/>
          <w:szCs w:val="22"/>
        </w:rPr>
        <w:t>TO</w:t>
      </w:r>
      <w:r w:rsidRPr="001D616C" w:rsidR="005E7BB4">
        <w:rPr>
          <w:rFonts w:ascii="Times New Roman Bold" w:hAnsi="Times New Roman Bold"/>
          <w:b/>
          <w:caps/>
          <w:szCs w:val="22"/>
        </w:rPr>
        <w:t xml:space="preserve"> </w:t>
      </w:r>
      <w:r w:rsidRPr="001D616C">
        <w:rPr>
          <w:rFonts w:ascii="Times New Roman Bold" w:hAnsi="Times New Roman Bold"/>
          <w:b/>
          <w:caps/>
          <w:szCs w:val="22"/>
        </w:rPr>
        <w:t>reopen</w:t>
      </w:r>
    </w:p>
    <w:p w:rsidR="00013A8B" w:rsidRPr="001D616C" w:rsidP="00013A8B">
      <w:pPr>
        <w:jc w:val="center"/>
        <w:rPr>
          <w:b/>
          <w:szCs w:val="22"/>
        </w:rPr>
      </w:pPr>
      <w:r w:rsidRPr="001D616C">
        <w:rPr>
          <w:b/>
          <w:szCs w:val="22"/>
        </w:rPr>
        <w:t xml:space="preserve">WC Docket Nos. </w:t>
      </w:r>
      <w:r w:rsidRPr="001D616C" w:rsidR="009E40D1">
        <w:rPr>
          <w:b/>
          <w:szCs w:val="22"/>
        </w:rPr>
        <w:t>16-143, 05-25</w:t>
      </w:r>
      <w:r w:rsidRPr="001D616C">
        <w:rPr>
          <w:b/>
          <w:szCs w:val="22"/>
        </w:rPr>
        <w:t>; RM-10593</w:t>
      </w:r>
    </w:p>
    <w:p w:rsidR="00F96F63" w:rsidRPr="001D616C" w:rsidP="00F96F63">
      <w:pPr>
        <w:rPr>
          <w:szCs w:val="22"/>
        </w:rPr>
      </w:pPr>
    </w:p>
    <w:p w:rsidR="00A26315" w:rsidRPr="001D616C" w:rsidP="00165FDB">
      <w:pPr>
        <w:widowControl/>
        <w:tabs>
          <w:tab w:val="num" w:pos="1440"/>
        </w:tabs>
        <w:spacing w:after="120"/>
        <w:ind w:firstLine="720"/>
        <w:rPr>
          <w:szCs w:val="22"/>
        </w:rPr>
      </w:pPr>
      <w:r w:rsidRPr="00A55B36">
        <w:rPr>
          <w:szCs w:val="22"/>
        </w:rPr>
        <w:t>In this Public Notice, the Wireline Competition Bureau</w:t>
      </w:r>
      <w:r w:rsidRPr="00A55B36" w:rsidR="00D66440">
        <w:rPr>
          <w:szCs w:val="22"/>
        </w:rPr>
        <w:t xml:space="preserve"> (Bureau)</w:t>
      </w:r>
      <w:r w:rsidRPr="00A55B36" w:rsidR="009E07AD">
        <w:rPr>
          <w:szCs w:val="22"/>
        </w:rPr>
        <w:t xml:space="preserve"> </w:t>
      </w:r>
      <w:r w:rsidRPr="00A55B36">
        <w:rPr>
          <w:szCs w:val="22"/>
        </w:rPr>
        <w:t>announces th</w:t>
      </w:r>
      <w:r w:rsidR="00F51486">
        <w:rPr>
          <w:szCs w:val="22"/>
        </w:rPr>
        <w:t xml:space="preserve">at </w:t>
      </w:r>
      <w:r w:rsidRPr="00A55B36" w:rsidR="00580354">
        <w:rPr>
          <w:szCs w:val="22"/>
        </w:rPr>
        <w:t>the secure data</w:t>
      </w:r>
      <w:r w:rsidR="00F51486">
        <w:rPr>
          <w:szCs w:val="22"/>
        </w:rPr>
        <w:t xml:space="preserve"> enclave</w:t>
      </w:r>
      <w:r w:rsidRPr="0008222A">
        <w:rPr>
          <w:szCs w:val="22"/>
        </w:rPr>
        <w:t xml:space="preserve"> </w:t>
      </w:r>
      <w:r w:rsidR="00F51486">
        <w:rPr>
          <w:szCs w:val="22"/>
        </w:rPr>
        <w:t>hosted by NORC at the University of Chicago (NORC Data Enclave)</w:t>
      </w:r>
      <w:r w:rsidRPr="00FA551D" w:rsidR="00F51486">
        <w:rPr>
          <w:szCs w:val="22"/>
        </w:rPr>
        <w:t xml:space="preserve"> </w:t>
      </w:r>
      <w:r w:rsidRPr="0008222A">
        <w:rPr>
          <w:szCs w:val="22"/>
        </w:rPr>
        <w:t xml:space="preserve">used by authorized parties for accessing and analyzing highly confidential data filed in the </w:t>
      </w:r>
      <w:r w:rsidRPr="00A35521" w:rsidR="0020532E">
        <w:rPr>
          <w:szCs w:val="22"/>
        </w:rPr>
        <w:t xml:space="preserve">price cap </w:t>
      </w:r>
      <w:r w:rsidRPr="00A35521">
        <w:rPr>
          <w:szCs w:val="22"/>
        </w:rPr>
        <w:t xml:space="preserve">business data services </w:t>
      </w:r>
      <w:r w:rsidR="00EF21B2">
        <w:rPr>
          <w:szCs w:val="22"/>
        </w:rPr>
        <w:t xml:space="preserve">(BDS) </w:t>
      </w:r>
      <w:r w:rsidRPr="00A35521">
        <w:rPr>
          <w:szCs w:val="22"/>
        </w:rPr>
        <w:t xml:space="preserve">proceeding will reopen </w:t>
      </w:r>
      <w:r w:rsidRPr="00A35521" w:rsidR="00FA0C2C">
        <w:rPr>
          <w:szCs w:val="22"/>
        </w:rPr>
        <w:t xml:space="preserve">for purposes of commenting on the </w:t>
      </w:r>
      <w:r w:rsidRPr="00A35521" w:rsidR="00165FDB">
        <w:rPr>
          <w:i/>
          <w:szCs w:val="22"/>
        </w:rPr>
        <w:t>Second Furth</w:t>
      </w:r>
      <w:r w:rsidRPr="00A35521" w:rsidR="00E543E6">
        <w:rPr>
          <w:i/>
          <w:szCs w:val="22"/>
        </w:rPr>
        <w:t>er</w:t>
      </w:r>
      <w:r w:rsidRPr="00A35521" w:rsidR="00165FDB">
        <w:rPr>
          <w:i/>
          <w:szCs w:val="22"/>
        </w:rPr>
        <w:t xml:space="preserve"> Notice</w:t>
      </w:r>
      <w:r w:rsidRPr="00A35521" w:rsidR="00F71489">
        <w:rPr>
          <w:i/>
          <w:szCs w:val="22"/>
        </w:rPr>
        <w:t xml:space="preserve"> of Proposed Rulemaking </w:t>
      </w:r>
      <w:r w:rsidRPr="00A35521" w:rsidR="00F71489">
        <w:rPr>
          <w:szCs w:val="22"/>
        </w:rPr>
        <w:t>(</w:t>
      </w:r>
      <w:r w:rsidRPr="00A35521" w:rsidR="00F71489">
        <w:rPr>
          <w:i/>
          <w:szCs w:val="22"/>
        </w:rPr>
        <w:t>Second Further Notice</w:t>
      </w:r>
      <w:r w:rsidRPr="00A35521" w:rsidR="00F71489">
        <w:rPr>
          <w:szCs w:val="22"/>
        </w:rPr>
        <w:t>)</w:t>
      </w:r>
      <w:r w:rsidRPr="00A35521" w:rsidR="00FA0C2C">
        <w:rPr>
          <w:i/>
          <w:szCs w:val="22"/>
        </w:rPr>
        <w:t>.</w:t>
      </w:r>
      <w:r>
        <w:rPr>
          <w:rStyle w:val="FootnoteReference"/>
          <w:szCs w:val="22"/>
        </w:rPr>
        <w:footnoteReference w:id="3"/>
      </w:r>
      <w:r w:rsidRPr="00A35521" w:rsidR="00FA0C2C">
        <w:rPr>
          <w:szCs w:val="22"/>
        </w:rPr>
        <w:t xml:space="preserve">  </w:t>
      </w:r>
      <w:r w:rsidRPr="00A35521" w:rsidR="008E39D8">
        <w:rPr>
          <w:szCs w:val="22"/>
        </w:rPr>
        <w:t xml:space="preserve">The </w:t>
      </w:r>
      <w:r w:rsidR="00F51486">
        <w:rPr>
          <w:szCs w:val="22"/>
        </w:rPr>
        <w:t>NORC D</w:t>
      </w:r>
      <w:r w:rsidRPr="00A35521" w:rsidR="008E39D8">
        <w:rPr>
          <w:szCs w:val="22"/>
        </w:rPr>
        <w:t xml:space="preserve">ata </w:t>
      </w:r>
      <w:r w:rsidR="00F51486">
        <w:rPr>
          <w:szCs w:val="22"/>
        </w:rPr>
        <w:t>E</w:t>
      </w:r>
      <w:r w:rsidRPr="00A35521" w:rsidR="008E39D8">
        <w:rPr>
          <w:szCs w:val="22"/>
        </w:rPr>
        <w:t xml:space="preserve">nclave will reopen </w:t>
      </w:r>
      <w:r w:rsidRPr="00A35521" w:rsidR="00225E96">
        <w:rPr>
          <w:szCs w:val="22"/>
        </w:rPr>
        <w:t>after</w:t>
      </w:r>
      <w:r w:rsidRPr="00A35521" w:rsidR="008E39D8">
        <w:rPr>
          <w:szCs w:val="22"/>
        </w:rPr>
        <w:t xml:space="preserve"> the </w:t>
      </w:r>
      <w:r w:rsidR="00F51486">
        <w:rPr>
          <w:szCs w:val="22"/>
        </w:rPr>
        <w:t xml:space="preserve">summary of the </w:t>
      </w:r>
      <w:r w:rsidRPr="00A35521" w:rsidR="008E39D8">
        <w:rPr>
          <w:i/>
          <w:szCs w:val="22"/>
        </w:rPr>
        <w:t>Second Further Notice</w:t>
      </w:r>
      <w:r w:rsidRPr="00A35521" w:rsidR="008E39D8">
        <w:rPr>
          <w:szCs w:val="22"/>
        </w:rPr>
        <w:t xml:space="preserve"> </w:t>
      </w:r>
      <w:r w:rsidRPr="00A35521" w:rsidR="00225E96">
        <w:rPr>
          <w:szCs w:val="22"/>
        </w:rPr>
        <w:t xml:space="preserve">is published </w:t>
      </w:r>
      <w:r w:rsidRPr="00A35521" w:rsidR="008E39D8">
        <w:rPr>
          <w:szCs w:val="22"/>
        </w:rPr>
        <w:t xml:space="preserve">in the Federal Register and will </w:t>
      </w:r>
      <w:r w:rsidRPr="00A35521" w:rsidR="00FA0C2C">
        <w:rPr>
          <w:szCs w:val="22"/>
        </w:rPr>
        <w:t xml:space="preserve">close </w:t>
      </w:r>
      <w:r w:rsidRPr="00A35521" w:rsidR="0038555D">
        <w:rPr>
          <w:szCs w:val="22"/>
        </w:rPr>
        <w:t xml:space="preserve">14 </w:t>
      </w:r>
      <w:r w:rsidRPr="00A35521" w:rsidR="005278DB">
        <w:rPr>
          <w:szCs w:val="22"/>
        </w:rPr>
        <w:t xml:space="preserve">days after reply comments </w:t>
      </w:r>
      <w:r w:rsidRPr="00A35521" w:rsidR="001A2AB1">
        <w:rPr>
          <w:szCs w:val="22"/>
        </w:rPr>
        <w:t xml:space="preserve">on the </w:t>
      </w:r>
      <w:r w:rsidRPr="00A35521" w:rsidR="001A2AB1">
        <w:rPr>
          <w:i/>
          <w:szCs w:val="22"/>
        </w:rPr>
        <w:t>Second Further Notice</w:t>
      </w:r>
      <w:r w:rsidR="00F51486">
        <w:rPr>
          <w:i/>
          <w:szCs w:val="22"/>
        </w:rPr>
        <w:t xml:space="preserve"> </w:t>
      </w:r>
      <w:r w:rsidR="00F51486">
        <w:rPr>
          <w:szCs w:val="22"/>
        </w:rPr>
        <w:t>are due,</w:t>
      </w:r>
      <w:r w:rsidRPr="00A35521" w:rsidR="001A2AB1">
        <w:rPr>
          <w:szCs w:val="22"/>
        </w:rPr>
        <w:t xml:space="preserve"> </w:t>
      </w:r>
      <w:r w:rsidRPr="00A35521" w:rsidR="008E39D8">
        <w:rPr>
          <w:szCs w:val="22"/>
        </w:rPr>
        <w:t xml:space="preserve">unless </w:t>
      </w:r>
      <w:r w:rsidRPr="00A35521" w:rsidR="008F384C">
        <w:rPr>
          <w:szCs w:val="22"/>
        </w:rPr>
        <w:t>at least one interested party</w:t>
      </w:r>
      <w:r w:rsidRPr="00A35521" w:rsidR="00126BC4">
        <w:rPr>
          <w:szCs w:val="22"/>
        </w:rPr>
        <w:t xml:space="preserve"> </w:t>
      </w:r>
      <w:r w:rsidRPr="000F5E6E" w:rsidR="00126BC4">
        <w:rPr>
          <w:szCs w:val="22"/>
        </w:rPr>
        <w:t xml:space="preserve">provides a </w:t>
      </w:r>
      <w:r w:rsidRPr="005271B7" w:rsidR="00A8230A">
        <w:rPr>
          <w:szCs w:val="22"/>
        </w:rPr>
        <w:t xml:space="preserve">timely and </w:t>
      </w:r>
      <w:r w:rsidRPr="001D616C" w:rsidR="00126BC4">
        <w:rPr>
          <w:szCs w:val="22"/>
        </w:rPr>
        <w:t>compelling argument demonstrating</w:t>
      </w:r>
      <w:r w:rsidRPr="001D616C" w:rsidR="00EE7516">
        <w:rPr>
          <w:szCs w:val="22"/>
        </w:rPr>
        <w:t xml:space="preserve"> that continued access to the data is necessary to their meaningful participation in the proceeding. </w:t>
      </w:r>
    </w:p>
    <w:p w:rsidR="0011259C" w:rsidRPr="00A35521" w:rsidP="00A35521">
      <w:pPr>
        <w:widowControl/>
        <w:tabs>
          <w:tab w:val="num" w:pos="1440"/>
        </w:tabs>
        <w:spacing w:after="120"/>
        <w:ind w:firstLine="720"/>
        <w:rPr>
          <w:szCs w:val="22"/>
        </w:rPr>
      </w:pPr>
      <w:r>
        <w:rPr>
          <w:szCs w:val="22"/>
        </w:rPr>
        <w:t xml:space="preserve">The </w:t>
      </w:r>
      <w:r w:rsidR="0009738A">
        <w:rPr>
          <w:szCs w:val="22"/>
        </w:rPr>
        <w:t>NORC Data E</w:t>
      </w:r>
      <w:r w:rsidR="00F51486">
        <w:rPr>
          <w:szCs w:val="22"/>
        </w:rPr>
        <w:t xml:space="preserve">nclave contains </w:t>
      </w:r>
      <w:r w:rsidR="00B90AB3">
        <w:rPr>
          <w:szCs w:val="22"/>
        </w:rPr>
        <w:t xml:space="preserve">market data </w:t>
      </w:r>
      <w:r w:rsidR="00F51486">
        <w:rPr>
          <w:szCs w:val="22"/>
        </w:rPr>
        <w:t xml:space="preserve">that the </w:t>
      </w:r>
      <w:r>
        <w:rPr>
          <w:szCs w:val="22"/>
        </w:rPr>
        <w:t xml:space="preserve">Commission </w:t>
      </w:r>
      <w:r w:rsidR="00F51486">
        <w:rPr>
          <w:szCs w:val="22"/>
        </w:rPr>
        <w:t xml:space="preserve">collected from </w:t>
      </w:r>
      <w:r w:rsidR="00A35521">
        <w:rPr>
          <w:szCs w:val="22"/>
        </w:rPr>
        <w:t xml:space="preserve">BDS </w:t>
      </w:r>
      <w:r>
        <w:rPr>
          <w:szCs w:val="22"/>
        </w:rPr>
        <w:t xml:space="preserve">providers and purchasers </w:t>
      </w:r>
      <w:r w:rsidR="00A35521">
        <w:rPr>
          <w:szCs w:val="22"/>
        </w:rPr>
        <w:t xml:space="preserve">and certain “best efforts” </w:t>
      </w:r>
      <w:r w:rsidR="00236F5B">
        <w:rPr>
          <w:szCs w:val="22"/>
        </w:rPr>
        <w:t xml:space="preserve">providers in price cap areas </w:t>
      </w:r>
      <w:r w:rsidR="00B90AB3">
        <w:rPr>
          <w:szCs w:val="22"/>
        </w:rPr>
        <w:t>for the</w:t>
      </w:r>
      <w:r w:rsidR="00F455F3">
        <w:rPr>
          <w:szCs w:val="22"/>
        </w:rPr>
        <w:t xml:space="preserve"> </w:t>
      </w:r>
      <w:r w:rsidR="00236F5B">
        <w:rPr>
          <w:szCs w:val="22"/>
        </w:rPr>
        <w:t>BDS proceeding</w:t>
      </w:r>
      <w:r w:rsidR="00D65CD3">
        <w:rPr>
          <w:szCs w:val="22"/>
        </w:rPr>
        <w:t xml:space="preserve"> </w:t>
      </w:r>
      <w:r w:rsidRPr="007807DA">
        <w:rPr>
          <w:szCs w:val="22"/>
        </w:rPr>
        <w:t>(</w:t>
      </w:r>
      <w:r w:rsidRPr="007807DA">
        <w:rPr>
          <w:i/>
          <w:szCs w:val="22"/>
        </w:rPr>
        <w:t>2015 Collection</w:t>
      </w:r>
      <w:r w:rsidRPr="007807DA">
        <w:rPr>
          <w:szCs w:val="22"/>
        </w:rPr>
        <w:t>)</w:t>
      </w:r>
      <w:r>
        <w:rPr>
          <w:szCs w:val="22"/>
        </w:rPr>
        <w:t>.</w:t>
      </w:r>
      <w:r>
        <w:rPr>
          <w:snapToGrid/>
          <w:kern w:val="0"/>
          <w:szCs w:val="22"/>
          <w:vertAlign w:val="superscript"/>
        </w:rPr>
        <w:footnoteReference w:id="4"/>
      </w:r>
      <w:r>
        <w:rPr>
          <w:szCs w:val="22"/>
        </w:rPr>
        <w:t xml:space="preserve">  Pursuant to protective orders</w:t>
      </w:r>
      <w:r w:rsidR="000A19E5">
        <w:rPr>
          <w:szCs w:val="22"/>
        </w:rPr>
        <w:t xml:space="preserve"> in the BDS proceeding,</w:t>
      </w:r>
      <w:r>
        <w:rPr>
          <w:szCs w:val="22"/>
        </w:rPr>
        <w:t xml:space="preserve"> t</w:t>
      </w:r>
      <w:r w:rsidRPr="00FA551D">
        <w:rPr>
          <w:szCs w:val="22"/>
        </w:rPr>
        <w:t xml:space="preserve">he </w:t>
      </w:r>
      <w:r w:rsidR="00F51486">
        <w:rPr>
          <w:szCs w:val="22"/>
        </w:rPr>
        <w:t xml:space="preserve">NORC Data Enclave </w:t>
      </w:r>
      <w:r w:rsidRPr="00FA551D">
        <w:rPr>
          <w:szCs w:val="22"/>
        </w:rPr>
        <w:t xml:space="preserve">is the exclusive method for authorized parties to access and analyze </w:t>
      </w:r>
      <w:r w:rsidR="000A19E5">
        <w:rPr>
          <w:szCs w:val="22"/>
        </w:rPr>
        <w:t xml:space="preserve">highly confidential </w:t>
      </w:r>
      <w:r w:rsidRPr="00FA551D">
        <w:rPr>
          <w:szCs w:val="22"/>
        </w:rPr>
        <w:t>data</w:t>
      </w:r>
      <w:r w:rsidR="000A19E5">
        <w:rPr>
          <w:szCs w:val="22"/>
        </w:rPr>
        <w:t xml:space="preserve"> submitted in the </w:t>
      </w:r>
      <w:r w:rsidRPr="001D616C" w:rsidR="000A19E5">
        <w:rPr>
          <w:i/>
          <w:szCs w:val="22"/>
        </w:rPr>
        <w:t>2015 Collection</w:t>
      </w:r>
      <w:r>
        <w:rPr>
          <w:szCs w:val="22"/>
        </w:rPr>
        <w:t>.</w:t>
      </w:r>
      <w:r>
        <w:rPr>
          <w:rStyle w:val="FootnoteReference"/>
          <w:szCs w:val="22"/>
        </w:rPr>
        <w:footnoteReference w:id="5"/>
      </w:r>
      <w:r>
        <w:rPr>
          <w:szCs w:val="22"/>
        </w:rPr>
        <w:t xml:space="preserve">  </w:t>
      </w:r>
      <w:r w:rsidRPr="001D616C" w:rsidR="000C6FEA">
        <w:rPr>
          <w:szCs w:val="22"/>
        </w:rPr>
        <w:t xml:space="preserve">After </w:t>
      </w:r>
      <w:r w:rsidRPr="00A35521" w:rsidR="000D6BD1">
        <w:rPr>
          <w:szCs w:val="22"/>
        </w:rPr>
        <w:t xml:space="preserve">the Commission released the </w:t>
      </w:r>
      <w:r w:rsidRPr="008368BC" w:rsidR="000D6BD1">
        <w:rPr>
          <w:i/>
          <w:szCs w:val="22"/>
        </w:rPr>
        <w:t>BDS Order</w:t>
      </w:r>
      <w:r w:rsidRPr="008368BC" w:rsidR="000D6BD1">
        <w:rPr>
          <w:szCs w:val="22"/>
        </w:rPr>
        <w:t xml:space="preserve"> evaluating the record before it, including</w:t>
      </w:r>
      <w:r w:rsidR="00AC61CB">
        <w:rPr>
          <w:szCs w:val="22"/>
        </w:rPr>
        <w:t xml:space="preserve"> the</w:t>
      </w:r>
      <w:r w:rsidRPr="008368BC" w:rsidR="000D6BD1">
        <w:rPr>
          <w:szCs w:val="22"/>
        </w:rPr>
        <w:t xml:space="preserve"> </w:t>
      </w:r>
      <w:r w:rsidRPr="008368BC" w:rsidR="000D6BD1">
        <w:rPr>
          <w:i/>
          <w:szCs w:val="22"/>
        </w:rPr>
        <w:t>2015 Collection</w:t>
      </w:r>
      <w:r w:rsidRPr="008368BC" w:rsidR="000D6BD1">
        <w:rPr>
          <w:szCs w:val="22"/>
        </w:rPr>
        <w:t xml:space="preserve">, and </w:t>
      </w:r>
      <w:r w:rsidRPr="001D616C" w:rsidR="000D6BD1">
        <w:rPr>
          <w:szCs w:val="22"/>
        </w:rPr>
        <w:t xml:space="preserve">comprehensively reforming </w:t>
      </w:r>
      <w:r w:rsidR="00886EF6">
        <w:rPr>
          <w:szCs w:val="22"/>
        </w:rPr>
        <w:t>BDS</w:t>
      </w:r>
      <w:r w:rsidRPr="000E5644" w:rsidR="00886EF6">
        <w:rPr>
          <w:szCs w:val="22"/>
        </w:rPr>
        <w:t xml:space="preserve"> </w:t>
      </w:r>
      <w:r w:rsidRPr="000E5644" w:rsidR="000D6BD1">
        <w:rPr>
          <w:szCs w:val="22"/>
        </w:rPr>
        <w:t xml:space="preserve">regulation </w:t>
      </w:r>
      <w:r w:rsidR="00886EF6">
        <w:rPr>
          <w:szCs w:val="22"/>
        </w:rPr>
        <w:t>in price cap areas</w:t>
      </w:r>
      <w:r w:rsidRPr="008368BC" w:rsidR="000C6FEA">
        <w:rPr>
          <w:szCs w:val="22"/>
        </w:rPr>
        <w:t>,</w:t>
      </w:r>
      <w:r>
        <w:rPr>
          <w:szCs w:val="22"/>
          <w:vertAlign w:val="superscript"/>
        </w:rPr>
        <w:footnoteReference w:id="6"/>
      </w:r>
      <w:r w:rsidRPr="00A35521" w:rsidR="00B966D7">
        <w:rPr>
          <w:szCs w:val="22"/>
        </w:rPr>
        <w:t xml:space="preserve"> </w:t>
      </w:r>
      <w:r w:rsidRPr="00A35521" w:rsidR="000C6FEA">
        <w:rPr>
          <w:szCs w:val="22"/>
        </w:rPr>
        <w:t xml:space="preserve">the </w:t>
      </w:r>
      <w:r w:rsidRPr="00A35521" w:rsidR="000C6FEA">
        <w:rPr>
          <w:rFonts w:eastAsia="Calibri"/>
          <w:szCs w:val="22"/>
        </w:rPr>
        <w:t xml:space="preserve">Bureau closed the </w:t>
      </w:r>
      <w:r w:rsidR="00886EF6">
        <w:rPr>
          <w:rFonts w:eastAsia="Calibri"/>
          <w:szCs w:val="22"/>
        </w:rPr>
        <w:t xml:space="preserve">NORC Data Enclave </w:t>
      </w:r>
      <w:r w:rsidRPr="00A35521" w:rsidR="000C6FEA">
        <w:rPr>
          <w:rFonts w:eastAsia="Calibri"/>
          <w:szCs w:val="22"/>
        </w:rPr>
        <w:t>and archived parties’ analysis and other work product.</w:t>
      </w:r>
      <w:r>
        <w:rPr>
          <w:rFonts w:eastAsia="Calibri"/>
          <w:szCs w:val="22"/>
          <w:vertAlign w:val="superscript"/>
        </w:rPr>
        <w:footnoteReference w:id="7"/>
      </w:r>
      <w:r w:rsidRPr="00A35521" w:rsidR="00B966D7">
        <w:rPr>
          <w:szCs w:val="22"/>
        </w:rPr>
        <w:t xml:space="preserve"> </w:t>
      </w:r>
      <w:r w:rsidRPr="00A35521" w:rsidR="007917B2">
        <w:rPr>
          <w:szCs w:val="22"/>
        </w:rPr>
        <w:t xml:space="preserve"> </w:t>
      </w:r>
    </w:p>
    <w:p w:rsidR="002A4D29" w:rsidRPr="00A55B36" w:rsidP="00B739E5">
      <w:pPr>
        <w:pStyle w:val="ParaNum"/>
        <w:widowControl/>
        <w:numPr>
          <w:ilvl w:val="0"/>
          <w:numId w:val="0"/>
        </w:numPr>
        <w:ind w:firstLine="720"/>
        <w:rPr>
          <w:szCs w:val="22"/>
        </w:rPr>
      </w:pPr>
      <w:r w:rsidRPr="0086207F">
        <w:rPr>
          <w:szCs w:val="22"/>
        </w:rPr>
        <w:t xml:space="preserve">On appeal, the U.S. Court of Appeals for the Eighth Circuit largely affirmed the </w:t>
      </w:r>
      <w:r w:rsidRPr="00E10AB8">
        <w:rPr>
          <w:i/>
          <w:szCs w:val="22"/>
        </w:rPr>
        <w:t>BDS Order</w:t>
      </w:r>
      <w:r w:rsidRPr="0086207F">
        <w:rPr>
          <w:szCs w:val="22"/>
        </w:rPr>
        <w:t xml:space="preserve"> but found the Commission did not provide adequate notice on the narrow issue of whether to relieve price cap carriers’ TDM transport services from ex ante pricing regulation.</w:t>
      </w:r>
      <w:r>
        <w:rPr>
          <w:rStyle w:val="FootnoteReference"/>
          <w:szCs w:val="22"/>
        </w:rPr>
        <w:footnoteReference w:id="8"/>
      </w:r>
      <w:r w:rsidRPr="0086207F">
        <w:rPr>
          <w:szCs w:val="22"/>
        </w:rPr>
        <w:t xml:space="preserve">  In response to this decision, in the </w:t>
      </w:r>
      <w:r w:rsidRPr="00582445">
        <w:rPr>
          <w:i/>
          <w:szCs w:val="22"/>
        </w:rPr>
        <w:t>Second Further Notice</w:t>
      </w:r>
      <w:r w:rsidR="00F32B87">
        <w:rPr>
          <w:szCs w:val="22"/>
        </w:rPr>
        <w:t>,</w:t>
      </w:r>
      <w:r w:rsidRPr="0086207F">
        <w:rPr>
          <w:szCs w:val="22"/>
        </w:rPr>
        <w:t xml:space="preserve"> the Commission proposed eliminating ex ante pricing regulation of transport </w:t>
      </w:r>
      <w:r w:rsidR="00DD05D7">
        <w:rPr>
          <w:szCs w:val="22"/>
        </w:rPr>
        <w:t xml:space="preserve">services offered by price cap carriers </w:t>
      </w:r>
      <w:r w:rsidRPr="0086207F">
        <w:rPr>
          <w:szCs w:val="22"/>
        </w:rPr>
        <w:t>and sought comment on this proposal.</w:t>
      </w:r>
      <w:r>
        <w:rPr>
          <w:rStyle w:val="FootnoteReference"/>
          <w:szCs w:val="22"/>
        </w:rPr>
        <w:footnoteReference w:id="9"/>
      </w:r>
      <w:r w:rsidRPr="0086207F">
        <w:rPr>
          <w:szCs w:val="22"/>
        </w:rPr>
        <w:t xml:space="preserve">  </w:t>
      </w:r>
      <w:r w:rsidRPr="00A55B36" w:rsidR="00B739E5">
        <w:rPr>
          <w:szCs w:val="22"/>
        </w:rPr>
        <w:t>T</w:t>
      </w:r>
      <w:r w:rsidRPr="00A55B36" w:rsidR="009C6AF1">
        <w:rPr>
          <w:szCs w:val="22"/>
        </w:rPr>
        <w:t xml:space="preserve">he Commission </w:t>
      </w:r>
      <w:r w:rsidRPr="00A35521" w:rsidR="00EE7516">
        <w:rPr>
          <w:szCs w:val="22"/>
        </w:rPr>
        <w:t xml:space="preserve">directed the Bureau to make the </w:t>
      </w:r>
      <w:r w:rsidRPr="00A35521" w:rsidR="009C6AF1">
        <w:rPr>
          <w:i/>
          <w:szCs w:val="22"/>
        </w:rPr>
        <w:t>2015 Collection</w:t>
      </w:r>
      <w:r w:rsidRPr="00A35521" w:rsidR="009C6AF1">
        <w:rPr>
          <w:szCs w:val="22"/>
        </w:rPr>
        <w:t xml:space="preserve"> data available </w:t>
      </w:r>
      <w:r w:rsidRPr="00A35521" w:rsidR="000842B7">
        <w:rPr>
          <w:szCs w:val="22"/>
        </w:rPr>
        <w:t xml:space="preserve">again </w:t>
      </w:r>
      <w:r w:rsidRPr="00A35521" w:rsidR="009C6AF1">
        <w:rPr>
          <w:szCs w:val="22"/>
        </w:rPr>
        <w:t xml:space="preserve">to interested parties using the same procedures </w:t>
      </w:r>
      <w:r w:rsidRPr="000E5644" w:rsidR="009C6AF1">
        <w:rPr>
          <w:szCs w:val="22"/>
        </w:rPr>
        <w:t>previously used</w:t>
      </w:r>
      <w:r w:rsidRPr="000E5644" w:rsidR="00FB6DDF">
        <w:rPr>
          <w:szCs w:val="22"/>
        </w:rPr>
        <w:t xml:space="preserve"> because this data was part of th</w:t>
      </w:r>
      <w:r w:rsidRPr="000E5644" w:rsidR="00A81C55">
        <w:rPr>
          <w:szCs w:val="22"/>
        </w:rPr>
        <w:t xml:space="preserve">e </w:t>
      </w:r>
      <w:r w:rsidRPr="008368BC" w:rsidR="00FB6DDF">
        <w:rPr>
          <w:szCs w:val="22"/>
        </w:rPr>
        <w:t xml:space="preserve">original record and the </w:t>
      </w:r>
      <w:r w:rsidRPr="008368BC" w:rsidR="00326385">
        <w:rPr>
          <w:szCs w:val="22"/>
        </w:rPr>
        <w:t>most comprehensive</w:t>
      </w:r>
      <w:r w:rsidRPr="008368BC" w:rsidR="00FB6DDF">
        <w:rPr>
          <w:szCs w:val="22"/>
        </w:rPr>
        <w:t xml:space="preserve"> data source</w:t>
      </w:r>
      <w:r w:rsidRPr="008368BC" w:rsidR="00371489">
        <w:rPr>
          <w:szCs w:val="22"/>
        </w:rPr>
        <w:t xml:space="preserve"> for purposes of addressing the issues raised in the </w:t>
      </w:r>
      <w:r w:rsidRPr="001D616C" w:rsidR="00371489">
        <w:rPr>
          <w:i/>
          <w:szCs w:val="22"/>
        </w:rPr>
        <w:t>Second Further Notice</w:t>
      </w:r>
      <w:r w:rsidRPr="001D616C" w:rsidR="009C6AF1">
        <w:rPr>
          <w:szCs w:val="22"/>
        </w:rPr>
        <w:t>.</w:t>
      </w:r>
      <w:r>
        <w:rPr>
          <w:rStyle w:val="FootnoteReference"/>
          <w:szCs w:val="22"/>
        </w:rPr>
        <w:footnoteReference w:id="10"/>
      </w:r>
      <w:r w:rsidRPr="00A55B36" w:rsidR="00326385">
        <w:rPr>
          <w:szCs w:val="22"/>
        </w:rPr>
        <w:t xml:space="preserve">  </w:t>
      </w:r>
    </w:p>
    <w:p w:rsidR="004E169D" w:rsidRPr="00A35521" w:rsidP="00DC58D6">
      <w:pPr>
        <w:widowControl/>
        <w:tabs>
          <w:tab w:val="num" w:pos="1440"/>
        </w:tabs>
        <w:spacing w:after="120"/>
        <w:ind w:firstLine="720"/>
        <w:rPr>
          <w:szCs w:val="22"/>
        </w:rPr>
      </w:pPr>
      <w:r w:rsidRPr="00A35521">
        <w:rPr>
          <w:szCs w:val="22"/>
        </w:rPr>
        <w:t xml:space="preserve">Accordingly, </w:t>
      </w:r>
      <w:r w:rsidR="007A52EE">
        <w:rPr>
          <w:szCs w:val="22"/>
        </w:rPr>
        <w:t xml:space="preserve">as noted, </w:t>
      </w:r>
      <w:r w:rsidR="00F51486">
        <w:rPr>
          <w:szCs w:val="22"/>
        </w:rPr>
        <w:t xml:space="preserve">we </w:t>
      </w:r>
      <w:r w:rsidRPr="000E5644" w:rsidR="002A4D29">
        <w:rPr>
          <w:szCs w:val="22"/>
        </w:rPr>
        <w:t xml:space="preserve">will reopen the NORC </w:t>
      </w:r>
      <w:r w:rsidRPr="008368BC" w:rsidR="005A4022">
        <w:rPr>
          <w:szCs w:val="22"/>
        </w:rPr>
        <w:t>Data Enclave</w:t>
      </w:r>
      <w:r w:rsidRPr="008368BC" w:rsidR="002A4D29">
        <w:rPr>
          <w:szCs w:val="22"/>
        </w:rPr>
        <w:t xml:space="preserve"> </w:t>
      </w:r>
      <w:r w:rsidR="007A52EE">
        <w:rPr>
          <w:szCs w:val="22"/>
        </w:rPr>
        <w:t xml:space="preserve">after </w:t>
      </w:r>
      <w:r w:rsidRPr="00A35521" w:rsidR="007A52EE">
        <w:rPr>
          <w:szCs w:val="22"/>
        </w:rPr>
        <w:t xml:space="preserve">the </w:t>
      </w:r>
      <w:r w:rsidR="007A52EE">
        <w:rPr>
          <w:szCs w:val="22"/>
        </w:rPr>
        <w:t xml:space="preserve">summary of the </w:t>
      </w:r>
      <w:r w:rsidRPr="00A35521" w:rsidR="007A52EE">
        <w:rPr>
          <w:i/>
          <w:szCs w:val="22"/>
        </w:rPr>
        <w:t>Second Further Notice</w:t>
      </w:r>
      <w:r w:rsidRPr="000E5644" w:rsidR="007A52EE">
        <w:rPr>
          <w:szCs w:val="22"/>
        </w:rPr>
        <w:t xml:space="preserve"> is published in the Federal Register, </w:t>
      </w:r>
      <w:r w:rsidRPr="008368BC" w:rsidR="00D05B2B">
        <w:rPr>
          <w:szCs w:val="22"/>
        </w:rPr>
        <w:t>to enable authorized parties to analyze</w:t>
      </w:r>
      <w:r w:rsidRPr="000F5E6E" w:rsidR="005A4022">
        <w:rPr>
          <w:szCs w:val="22"/>
        </w:rPr>
        <w:t xml:space="preserve"> </w:t>
      </w:r>
      <w:r w:rsidRPr="005271B7" w:rsidR="00FD3935">
        <w:rPr>
          <w:szCs w:val="22"/>
        </w:rPr>
        <w:t>h</w:t>
      </w:r>
      <w:r w:rsidRPr="005271B7" w:rsidR="005A4022">
        <w:rPr>
          <w:szCs w:val="22"/>
        </w:rPr>
        <w:t xml:space="preserve">ighly </w:t>
      </w:r>
      <w:r w:rsidRPr="005271B7" w:rsidR="00FD3935">
        <w:rPr>
          <w:szCs w:val="22"/>
        </w:rPr>
        <w:t>c</w:t>
      </w:r>
      <w:r w:rsidRPr="005271B7" w:rsidR="00DC58D6">
        <w:rPr>
          <w:szCs w:val="22"/>
        </w:rPr>
        <w:t xml:space="preserve">onfidential </w:t>
      </w:r>
      <w:r w:rsidRPr="000F5E6E" w:rsidR="00FD3935">
        <w:rPr>
          <w:szCs w:val="22"/>
        </w:rPr>
        <w:t>d</w:t>
      </w:r>
      <w:r w:rsidRPr="005271B7" w:rsidR="00DC58D6">
        <w:rPr>
          <w:szCs w:val="22"/>
        </w:rPr>
        <w:t xml:space="preserve">ata </w:t>
      </w:r>
      <w:r w:rsidR="00C419F5">
        <w:rPr>
          <w:szCs w:val="22"/>
        </w:rPr>
        <w:t xml:space="preserve">submitted in the </w:t>
      </w:r>
      <w:r w:rsidRPr="005271B7" w:rsidR="00C419F5">
        <w:rPr>
          <w:i/>
          <w:szCs w:val="22"/>
        </w:rPr>
        <w:t>2015 Collection</w:t>
      </w:r>
      <w:r w:rsidR="00C419F5">
        <w:rPr>
          <w:szCs w:val="22"/>
        </w:rPr>
        <w:t xml:space="preserve"> </w:t>
      </w:r>
      <w:r w:rsidRPr="005271B7" w:rsidR="00D05B2B">
        <w:rPr>
          <w:szCs w:val="22"/>
        </w:rPr>
        <w:t xml:space="preserve">for purposes of commenting on the </w:t>
      </w:r>
      <w:r w:rsidRPr="005271B7" w:rsidR="00D05B2B">
        <w:rPr>
          <w:i/>
          <w:szCs w:val="22"/>
        </w:rPr>
        <w:t>Second Further Notice</w:t>
      </w:r>
      <w:r w:rsidR="000E5644">
        <w:rPr>
          <w:szCs w:val="22"/>
        </w:rPr>
        <w:t xml:space="preserve"> c</w:t>
      </w:r>
      <w:r w:rsidRPr="00A35521" w:rsidR="00D05B2B">
        <w:rPr>
          <w:szCs w:val="22"/>
        </w:rPr>
        <w:t>onsistent with the protective orders</w:t>
      </w:r>
      <w:r w:rsidRPr="001D616C" w:rsidR="00DC58D6">
        <w:rPr>
          <w:szCs w:val="22"/>
        </w:rPr>
        <w:t>.</w:t>
      </w:r>
      <w:r>
        <w:rPr>
          <w:rStyle w:val="FootnoteReference"/>
          <w:szCs w:val="22"/>
        </w:rPr>
        <w:footnoteReference w:id="11"/>
      </w:r>
      <w:r w:rsidRPr="00A35521" w:rsidR="00DC58D6">
        <w:rPr>
          <w:szCs w:val="22"/>
        </w:rPr>
        <w:t xml:space="preserve">  </w:t>
      </w:r>
      <w:r w:rsidRPr="00A35521" w:rsidR="008A7AB5">
        <w:rPr>
          <w:szCs w:val="22"/>
        </w:rPr>
        <w:t xml:space="preserve">Parties </w:t>
      </w:r>
      <w:r w:rsidRPr="00A35521" w:rsidR="00D05B2B">
        <w:rPr>
          <w:szCs w:val="22"/>
        </w:rPr>
        <w:t>who</w:t>
      </w:r>
      <w:r w:rsidRPr="00A35521" w:rsidR="008A7AB5">
        <w:rPr>
          <w:szCs w:val="22"/>
        </w:rPr>
        <w:t xml:space="preserve"> </w:t>
      </w:r>
      <w:r w:rsidRPr="00A35521" w:rsidR="00A14DAE">
        <w:rPr>
          <w:szCs w:val="22"/>
        </w:rPr>
        <w:t xml:space="preserve">were </w:t>
      </w:r>
      <w:r w:rsidRPr="000E5644" w:rsidR="008A7AB5">
        <w:rPr>
          <w:szCs w:val="22"/>
        </w:rPr>
        <w:t>previously authorized</w:t>
      </w:r>
      <w:r w:rsidRPr="000E5644" w:rsidR="00D05B2B">
        <w:rPr>
          <w:szCs w:val="22"/>
        </w:rPr>
        <w:t xml:space="preserve"> by the Commission</w:t>
      </w:r>
      <w:r w:rsidRPr="000E5644" w:rsidR="008A7AB5">
        <w:rPr>
          <w:szCs w:val="22"/>
        </w:rPr>
        <w:t xml:space="preserve"> to access </w:t>
      </w:r>
      <w:r w:rsidR="007B6E8B">
        <w:rPr>
          <w:szCs w:val="22"/>
        </w:rPr>
        <w:t xml:space="preserve">highly confidential data </w:t>
      </w:r>
      <w:r w:rsidR="00786B2F">
        <w:rPr>
          <w:szCs w:val="22"/>
        </w:rPr>
        <w:t xml:space="preserve">in </w:t>
      </w:r>
      <w:r w:rsidRPr="000E5644" w:rsidR="00786B2F">
        <w:rPr>
          <w:szCs w:val="22"/>
        </w:rPr>
        <w:t xml:space="preserve">the NORC </w:t>
      </w:r>
      <w:r w:rsidRPr="008368BC" w:rsidR="00786B2F">
        <w:rPr>
          <w:szCs w:val="22"/>
        </w:rPr>
        <w:t xml:space="preserve">Data Enclave </w:t>
      </w:r>
      <w:r w:rsidRPr="008368BC" w:rsidR="008A7AB5">
        <w:rPr>
          <w:szCs w:val="22"/>
        </w:rPr>
        <w:t xml:space="preserve">do not need to resubmit </w:t>
      </w:r>
      <w:r w:rsidR="007B6E8B">
        <w:rPr>
          <w:szCs w:val="22"/>
        </w:rPr>
        <w:t xml:space="preserve">their </w:t>
      </w:r>
      <w:r w:rsidRPr="000F5E6E" w:rsidR="009E407F">
        <w:rPr>
          <w:szCs w:val="22"/>
        </w:rPr>
        <w:t xml:space="preserve">signed </w:t>
      </w:r>
      <w:r w:rsidRPr="005271B7" w:rsidR="008A7AB5">
        <w:rPr>
          <w:szCs w:val="22"/>
        </w:rPr>
        <w:t>Acknowledgments</w:t>
      </w:r>
      <w:r w:rsidRPr="005271B7" w:rsidR="00D05B2B">
        <w:rPr>
          <w:szCs w:val="22"/>
        </w:rPr>
        <w:t xml:space="preserve"> of Confidentiality (Acknowledgments)</w:t>
      </w:r>
      <w:r w:rsidRPr="005271B7" w:rsidR="008A7AB5">
        <w:rPr>
          <w:szCs w:val="22"/>
        </w:rPr>
        <w:t>.</w:t>
      </w:r>
      <w:r>
        <w:rPr>
          <w:rStyle w:val="FootnoteReference"/>
          <w:szCs w:val="22"/>
        </w:rPr>
        <w:footnoteReference w:id="12"/>
      </w:r>
      <w:r w:rsidRPr="00A35521" w:rsidR="009E407F">
        <w:rPr>
          <w:szCs w:val="22"/>
        </w:rPr>
        <w:t xml:space="preserve">  </w:t>
      </w:r>
      <w:r w:rsidR="00F455F3">
        <w:rPr>
          <w:szCs w:val="22"/>
        </w:rPr>
        <w:t>A</w:t>
      </w:r>
      <w:r w:rsidRPr="00A35521" w:rsidR="00A14DAE">
        <w:rPr>
          <w:szCs w:val="22"/>
        </w:rPr>
        <w:t xml:space="preserve">uthorized parties </w:t>
      </w:r>
      <w:r w:rsidRPr="00A35521" w:rsidR="00683A41">
        <w:rPr>
          <w:szCs w:val="22"/>
        </w:rPr>
        <w:t>may</w:t>
      </w:r>
      <w:r w:rsidRPr="00A35521" w:rsidR="00A14DAE">
        <w:rPr>
          <w:szCs w:val="22"/>
        </w:rPr>
        <w:t xml:space="preserve"> </w:t>
      </w:r>
      <w:r w:rsidRPr="000E5644">
        <w:rPr>
          <w:szCs w:val="22"/>
        </w:rPr>
        <w:t xml:space="preserve">request renewed access to the NORC Data Enclave by </w:t>
      </w:r>
      <w:r w:rsidRPr="000E5644" w:rsidR="00A14DAE">
        <w:rPr>
          <w:szCs w:val="22"/>
        </w:rPr>
        <w:t>email</w:t>
      </w:r>
      <w:r w:rsidRPr="008368BC">
        <w:rPr>
          <w:szCs w:val="22"/>
        </w:rPr>
        <w:t>ing</w:t>
      </w:r>
      <w:r w:rsidRPr="008368BC" w:rsidR="00A14DAE">
        <w:rPr>
          <w:szCs w:val="22"/>
        </w:rPr>
        <w:t xml:space="preserve"> </w:t>
      </w:r>
      <w:r>
        <w:fldChar w:fldCharType="begin"/>
      </w:r>
      <w:r>
        <w:instrText xml:space="preserve"> HYPERLINK "mailto:SpecialAccess@fcc.gov" </w:instrText>
      </w:r>
      <w:r>
        <w:fldChar w:fldCharType="separate"/>
      </w:r>
      <w:r w:rsidRPr="00A35521" w:rsidR="00A14DAE">
        <w:rPr>
          <w:rStyle w:val="Hyperlink"/>
          <w:szCs w:val="22"/>
        </w:rPr>
        <w:t>SpecialAccess@fcc.gov</w:t>
      </w:r>
      <w:r>
        <w:fldChar w:fldCharType="end"/>
      </w:r>
      <w:r w:rsidRPr="00A35521">
        <w:rPr>
          <w:szCs w:val="22"/>
        </w:rPr>
        <w:t xml:space="preserve">. </w:t>
      </w:r>
      <w:r w:rsidRPr="00A55B36" w:rsidR="00B7257D">
        <w:rPr>
          <w:szCs w:val="22"/>
        </w:rPr>
        <w:t xml:space="preserve"> </w:t>
      </w:r>
      <w:r w:rsidRPr="00A55B36">
        <w:rPr>
          <w:szCs w:val="22"/>
        </w:rPr>
        <w:t xml:space="preserve">Authorized </w:t>
      </w:r>
      <w:r w:rsidRPr="00A55B36" w:rsidR="00D05B2B">
        <w:rPr>
          <w:szCs w:val="22"/>
        </w:rPr>
        <w:t xml:space="preserve">parties will </w:t>
      </w:r>
      <w:r w:rsidR="00542DD8">
        <w:rPr>
          <w:szCs w:val="22"/>
        </w:rPr>
        <w:t xml:space="preserve">once again </w:t>
      </w:r>
      <w:r w:rsidRPr="00A55B36" w:rsidR="00D05B2B">
        <w:rPr>
          <w:szCs w:val="22"/>
        </w:rPr>
        <w:t xml:space="preserve">be able to access </w:t>
      </w:r>
      <w:r w:rsidRPr="00A55B36" w:rsidR="00FD3935">
        <w:rPr>
          <w:szCs w:val="22"/>
        </w:rPr>
        <w:t>h</w:t>
      </w:r>
      <w:r w:rsidRPr="00A55B36" w:rsidR="00D05B2B">
        <w:rPr>
          <w:szCs w:val="22"/>
        </w:rPr>
        <w:t xml:space="preserve">ighly </w:t>
      </w:r>
      <w:r w:rsidRPr="00A55B36" w:rsidR="00FD3935">
        <w:rPr>
          <w:szCs w:val="22"/>
        </w:rPr>
        <w:t>c</w:t>
      </w:r>
      <w:r w:rsidRPr="00A55B36" w:rsidR="00D05B2B">
        <w:rPr>
          <w:szCs w:val="22"/>
        </w:rPr>
        <w:t xml:space="preserve">onfidential </w:t>
      </w:r>
      <w:r w:rsidRPr="00A55B36" w:rsidR="00FD3935">
        <w:rPr>
          <w:szCs w:val="22"/>
        </w:rPr>
        <w:t>d</w:t>
      </w:r>
      <w:r w:rsidRPr="00A55B36">
        <w:rPr>
          <w:szCs w:val="22"/>
        </w:rPr>
        <w:t>ata</w:t>
      </w:r>
      <w:r w:rsidRPr="00A55B36" w:rsidR="00D05B2B">
        <w:rPr>
          <w:szCs w:val="22"/>
        </w:rPr>
        <w:t>, analytical software,</w:t>
      </w:r>
      <w:r w:rsidRPr="00A35521">
        <w:rPr>
          <w:szCs w:val="22"/>
        </w:rPr>
        <w:t xml:space="preserve"> </w:t>
      </w:r>
      <w:r w:rsidR="00542DD8">
        <w:rPr>
          <w:szCs w:val="22"/>
        </w:rPr>
        <w:t>and</w:t>
      </w:r>
      <w:r w:rsidRPr="00A35521">
        <w:rPr>
          <w:szCs w:val="22"/>
        </w:rPr>
        <w:t xml:space="preserve"> their</w:t>
      </w:r>
      <w:r w:rsidRPr="00A35521" w:rsidR="00D05B2B">
        <w:rPr>
          <w:szCs w:val="22"/>
        </w:rPr>
        <w:t xml:space="preserve"> archived</w:t>
      </w:r>
      <w:r w:rsidRPr="00A35521">
        <w:rPr>
          <w:szCs w:val="22"/>
        </w:rPr>
        <w:t xml:space="preserve"> work product contained in </w:t>
      </w:r>
      <w:r w:rsidR="0071489D">
        <w:rPr>
          <w:szCs w:val="22"/>
        </w:rPr>
        <w:t>“</w:t>
      </w:r>
      <w:r w:rsidRPr="00A35521">
        <w:rPr>
          <w:szCs w:val="22"/>
        </w:rPr>
        <w:t>virtual lockers.</w:t>
      </w:r>
      <w:r w:rsidR="0071489D">
        <w:rPr>
          <w:szCs w:val="22"/>
        </w:rPr>
        <w:t>”</w:t>
      </w:r>
      <w:r>
        <w:rPr>
          <w:rStyle w:val="FootnoteReference"/>
          <w:szCs w:val="22"/>
        </w:rPr>
        <w:footnoteReference w:id="13"/>
      </w:r>
      <w:r w:rsidRPr="00A35521">
        <w:rPr>
          <w:szCs w:val="22"/>
        </w:rPr>
        <w:t xml:space="preserve">  </w:t>
      </w:r>
    </w:p>
    <w:p w:rsidR="008D70FF" w:rsidRPr="00A55B36" w:rsidP="00DC58D6">
      <w:pPr>
        <w:widowControl/>
        <w:tabs>
          <w:tab w:val="num" w:pos="1440"/>
        </w:tabs>
        <w:spacing w:after="120"/>
        <w:ind w:firstLine="720"/>
        <w:rPr>
          <w:szCs w:val="22"/>
        </w:rPr>
      </w:pPr>
      <w:r w:rsidRPr="000E5644">
        <w:rPr>
          <w:szCs w:val="22"/>
        </w:rPr>
        <w:t>Parties</w:t>
      </w:r>
      <w:r w:rsidRPr="000E5644" w:rsidR="00002B2F">
        <w:rPr>
          <w:szCs w:val="22"/>
        </w:rPr>
        <w:t xml:space="preserve"> that w</w:t>
      </w:r>
      <w:r w:rsidRPr="000E5644">
        <w:rPr>
          <w:szCs w:val="22"/>
        </w:rPr>
        <w:t>ere</w:t>
      </w:r>
      <w:r w:rsidRPr="008368BC" w:rsidR="00002B2F">
        <w:rPr>
          <w:szCs w:val="22"/>
        </w:rPr>
        <w:t xml:space="preserve"> </w:t>
      </w:r>
      <w:r w:rsidRPr="008368BC">
        <w:rPr>
          <w:szCs w:val="22"/>
        </w:rPr>
        <w:t xml:space="preserve">not </w:t>
      </w:r>
      <w:r w:rsidRPr="008368BC" w:rsidR="00002B2F">
        <w:rPr>
          <w:szCs w:val="22"/>
        </w:rPr>
        <w:t xml:space="preserve">previously authorized to access </w:t>
      </w:r>
      <w:r w:rsidR="00C419F5">
        <w:rPr>
          <w:szCs w:val="22"/>
        </w:rPr>
        <w:t>highly confidential data in the</w:t>
      </w:r>
      <w:r w:rsidRPr="008368BC" w:rsidR="00C419F5">
        <w:rPr>
          <w:szCs w:val="22"/>
        </w:rPr>
        <w:t xml:space="preserve"> </w:t>
      </w:r>
      <w:r w:rsidRPr="000F5E6E" w:rsidR="00FD17DC">
        <w:rPr>
          <w:szCs w:val="22"/>
        </w:rPr>
        <w:t>NORC Data Enclave</w:t>
      </w:r>
      <w:r w:rsidRPr="00A55B36" w:rsidR="00002B2F">
        <w:rPr>
          <w:szCs w:val="22"/>
        </w:rPr>
        <w:t xml:space="preserve"> </w:t>
      </w:r>
      <w:r w:rsidR="00F51486">
        <w:rPr>
          <w:szCs w:val="22"/>
        </w:rPr>
        <w:t xml:space="preserve">and </w:t>
      </w:r>
      <w:r w:rsidRPr="00A55B36" w:rsidR="009E407F">
        <w:rPr>
          <w:szCs w:val="22"/>
        </w:rPr>
        <w:t xml:space="preserve">now seek access </w:t>
      </w:r>
      <w:r w:rsidRPr="00A55B36" w:rsidR="004E169D">
        <w:rPr>
          <w:szCs w:val="22"/>
        </w:rPr>
        <w:t>must</w:t>
      </w:r>
      <w:r w:rsidRPr="00A55B36" w:rsidR="00002B2F">
        <w:rPr>
          <w:szCs w:val="22"/>
        </w:rPr>
        <w:t xml:space="preserve"> </w:t>
      </w:r>
      <w:r w:rsidR="00E432D9">
        <w:rPr>
          <w:szCs w:val="22"/>
        </w:rPr>
        <w:t>file</w:t>
      </w:r>
      <w:r w:rsidRPr="00A55B36" w:rsidR="00002B2F">
        <w:rPr>
          <w:szCs w:val="22"/>
        </w:rPr>
        <w:t xml:space="preserve"> </w:t>
      </w:r>
      <w:r w:rsidRPr="00A55B36" w:rsidR="009E407F">
        <w:rPr>
          <w:szCs w:val="22"/>
        </w:rPr>
        <w:t>signed</w:t>
      </w:r>
      <w:r w:rsidRPr="00A55B36" w:rsidR="00002B2F">
        <w:rPr>
          <w:szCs w:val="22"/>
        </w:rPr>
        <w:t xml:space="preserve"> Acknowledgments</w:t>
      </w:r>
      <w:r w:rsidR="00E432D9">
        <w:rPr>
          <w:szCs w:val="22"/>
        </w:rPr>
        <w:t xml:space="preserve"> </w:t>
      </w:r>
      <w:r w:rsidRPr="00D26199" w:rsidR="00D26199">
        <w:rPr>
          <w:szCs w:val="22"/>
        </w:rPr>
        <w:t xml:space="preserve">electronically through the Commission’s Electronic Comment Filing System (ECFS), or by hand delivery to the Commission, in WC Docket Nos. 16-143 and 05-25, and send a copy to </w:t>
      </w:r>
      <w:r>
        <w:fldChar w:fldCharType="begin"/>
      </w:r>
      <w:r>
        <w:instrText xml:space="preserve"> HYPERLINK "mailto:SpecialAccess@fcc.gov" </w:instrText>
      </w:r>
      <w:r>
        <w:fldChar w:fldCharType="separate"/>
      </w:r>
      <w:r w:rsidRPr="00623812" w:rsidR="00D26199">
        <w:rPr>
          <w:rStyle w:val="Hyperlink"/>
          <w:szCs w:val="22"/>
        </w:rPr>
        <w:t>SpecialAccess@fcc.gov</w:t>
      </w:r>
      <w:r>
        <w:fldChar w:fldCharType="end"/>
      </w:r>
      <w:r w:rsidR="000F5E6E">
        <w:rPr>
          <w:szCs w:val="22"/>
        </w:rPr>
        <w:t>.</w:t>
      </w:r>
      <w:r>
        <w:rPr>
          <w:rStyle w:val="FootnoteReference"/>
          <w:szCs w:val="22"/>
        </w:rPr>
        <w:footnoteReference w:id="14"/>
      </w:r>
      <w:r w:rsidRPr="00A35521" w:rsidR="00002B2F">
        <w:rPr>
          <w:szCs w:val="22"/>
        </w:rPr>
        <w:t xml:space="preserve">  </w:t>
      </w:r>
      <w:r w:rsidR="00FA5BED">
        <w:rPr>
          <w:szCs w:val="22"/>
        </w:rPr>
        <w:t>W</w:t>
      </w:r>
      <w:r w:rsidR="0053243D">
        <w:rPr>
          <w:szCs w:val="22"/>
        </w:rPr>
        <w:t>e</w:t>
      </w:r>
      <w:r w:rsidR="00F51486">
        <w:rPr>
          <w:szCs w:val="22"/>
        </w:rPr>
        <w:t xml:space="preserve"> </w:t>
      </w:r>
      <w:r w:rsidRPr="00A35521" w:rsidR="009E407F">
        <w:rPr>
          <w:szCs w:val="22"/>
        </w:rPr>
        <w:t xml:space="preserve">will release public notices identifying </w:t>
      </w:r>
      <w:r w:rsidRPr="000E5644" w:rsidR="008F384C">
        <w:rPr>
          <w:szCs w:val="22"/>
        </w:rPr>
        <w:t xml:space="preserve">new </w:t>
      </w:r>
      <w:r w:rsidRPr="000E5644" w:rsidR="009E407F">
        <w:rPr>
          <w:szCs w:val="22"/>
        </w:rPr>
        <w:t>parties that have filed Acknowledgements seeking access</w:t>
      </w:r>
      <w:r w:rsidRPr="00A55B36" w:rsidR="004E169D">
        <w:rPr>
          <w:szCs w:val="22"/>
        </w:rPr>
        <w:t xml:space="preserve"> after which parties that submitted data </w:t>
      </w:r>
      <w:r w:rsidR="00C419F5">
        <w:rPr>
          <w:szCs w:val="22"/>
        </w:rPr>
        <w:t xml:space="preserve">in the </w:t>
      </w:r>
      <w:r w:rsidRPr="00A55B36" w:rsidR="00C419F5">
        <w:rPr>
          <w:i/>
          <w:szCs w:val="22"/>
        </w:rPr>
        <w:t>2015 Collection</w:t>
      </w:r>
      <w:r w:rsidRPr="00A55B36" w:rsidR="00C419F5">
        <w:rPr>
          <w:szCs w:val="22"/>
        </w:rPr>
        <w:t xml:space="preserve"> </w:t>
      </w:r>
      <w:r w:rsidRPr="00A55B36" w:rsidR="004E169D">
        <w:rPr>
          <w:szCs w:val="22"/>
        </w:rPr>
        <w:t xml:space="preserve">will have five business days to object to </w:t>
      </w:r>
      <w:r w:rsidRPr="00A55B36" w:rsidR="00F720F8">
        <w:rPr>
          <w:szCs w:val="22"/>
        </w:rPr>
        <w:t xml:space="preserve">the </w:t>
      </w:r>
      <w:r w:rsidRPr="00A55B36" w:rsidR="004E169D">
        <w:rPr>
          <w:szCs w:val="22"/>
        </w:rPr>
        <w:t>access</w:t>
      </w:r>
      <w:r w:rsidRPr="00A55B36" w:rsidR="00F720F8">
        <w:rPr>
          <w:szCs w:val="22"/>
        </w:rPr>
        <w:t xml:space="preserve"> sought by the requesting party</w:t>
      </w:r>
      <w:r w:rsidRPr="00A55B36" w:rsidR="009E407F">
        <w:rPr>
          <w:szCs w:val="22"/>
        </w:rPr>
        <w:t>.</w:t>
      </w:r>
      <w:r>
        <w:rPr>
          <w:rStyle w:val="FootnoteReference"/>
          <w:szCs w:val="22"/>
        </w:rPr>
        <w:footnoteReference w:id="15"/>
      </w:r>
      <w:r w:rsidRPr="00A35521" w:rsidR="009E407F">
        <w:rPr>
          <w:szCs w:val="22"/>
        </w:rPr>
        <w:t xml:space="preserve"> </w:t>
      </w:r>
      <w:r w:rsidRPr="00A35521" w:rsidR="00BD7E8F">
        <w:rPr>
          <w:szCs w:val="22"/>
        </w:rPr>
        <w:t xml:space="preserve"> </w:t>
      </w:r>
      <w:r w:rsidRPr="00A35521" w:rsidR="00CC34B2">
        <w:rPr>
          <w:szCs w:val="22"/>
        </w:rPr>
        <w:t xml:space="preserve">In order to timely access the NORC Data Enclave </w:t>
      </w:r>
      <w:r w:rsidRPr="00A35521" w:rsidR="00E942C9">
        <w:rPr>
          <w:szCs w:val="22"/>
        </w:rPr>
        <w:t>for purposes of</w:t>
      </w:r>
      <w:r w:rsidRPr="00A35521" w:rsidR="00CC34B2">
        <w:rPr>
          <w:szCs w:val="22"/>
        </w:rPr>
        <w:t xml:space="preserve"> this proceeding, we encourage </w:t>
      </w:r>
      <w:r w:rsidR="000600A8">
        <w:rPr>
          <w:szCs w:val="22"/>
        </w:rPr>
        <w:t>new</w:t>
      </w:r>
      <w:r w:rsidRPr="00A35521" w:rsidR="000600A8">
        <w:rPr>
          <w:szCs w:val="22"/>
        </w:rPr>
        <w:t xml:space="preserve"> </w:t>
      </w:r>
      <w:r w:rsidRPr="00A35521" w:rsidR="00CC34B2">
        <w:rPr>
          <w:szCs w:val="22"/>
        </w:rPr>
        <w:t xml:space="preserve">parties to submit their Acknowledgments as </w:t>
      </w:r>
      <w:r w:rsidRPr="000E5644" w:rsidR="00D5582E">
        <w:rPr>
          <w:szCs w:val="22"/>
        </w:rPr>
        <w:t>soon</w:t>
      </w:r>
      <w:r w:rsidRPr="000E5644" w:rsidR="00CC34B2">
        <w:rPr>
          <w:szCs w:val="22"/>
        </w:rPr>
        <w:t xml:space="preserve"> as possible. </w:t>
      </w:r>
      <w:r w:rsidRPr="000E5644" w:rsidR="009E407F">
        <w:rPr>
          <w:szCs w:val="22"/>
        </w:rPr>
        <w:t xml:space="preserve"> </w:t>
      </w:r>
    </w:p>
    <w:p w:rsidR="00CC34B2" w:rsidP="00CC34B2">
      <w:pPr>
        <w:widowControl/>
        <w:tabs>
          <w:tab w:val="num" w:pos="1440"/>
        </w:tabs>
        <w:spacing w:after="120"/>
        <w:ind w:firstLine="720"/>
        <w:rPr>
          <w:szCs w:val="22"/>
        </w:rPr>
      </w:pPr>
      <w:r w:rsidRPr="008368BC">
        <w:rPr>
          <w:szCs w:val="22"/>
        </w:rPr>
        <w:t xml:space="preserve">For further information, please contact Christopher Koves, Pricing Policy Division, Wireline Competition Bureau, at (202) 418-8209 or via email at </w:t>
      </w:r>
      <w:r>
        <w:fldChar w:fldCharType="begin"/>
      </w:r>
      <w:r>
        <w:instrText xml:space="preserve"> HYPERLINK "mailto:Christopher.Koves@fcc.gov" </w:instrText>
      </w:r>
      <w:r>
        <w:fldChar w:fldCharType="separate"/>
      </w:r>
      <w:r w:rsidRPr="00A35521">
        <w:rPr>
          <w:rStyle w:val="Hyperlink"/>
          <w:szCs w:val="22"/>
        </w:rPr>
        <w:t>Christopher.Koves@fcc.gov</w:t>
      </w:r>
      <w:r>
        <w:fldChar w:fldCharType="end"/>
      </w:r>
      <w:r w:rsidRPr="00A35521">
        <w:rPr>
          <w:szCs w:val="22"/>
        </w:rPr>
        <w:t>.</w:t>
      </w:r>
    </w:p>
    <w:p w:rsidR="004C5621" w:rsidRPr="004C5621" w:rsidP="004C5621">
      <w:pPr>
        <w:widowControl/>
        <w:suppressAutoHyphens/>
        <w:jc w:val="center"/>
      </w:pPr>
      <w:r w:rsidRPr="004C5621">
        <w:rPr>
          <w:b/>
        </w:rPr>
        <w:t>–FCC–</w:t>
      </w:r>
    </w:p>
    <w:p w:rsidR="004C5621" w:rsidRPr="00A35521" w:rsidP="00CC34B2">
      <w:pPr>
        <w:widowControl/>
        <w:tabs>
          <w:tab w:val="num" w:pos="1440"/>
        </w:tabs>
        <w:spacing w:after="120"/>
        <w:ind w:firstLine="720"/>
        <w:rPr>
          <w:szCs w:val="22"/>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Segoe UI">
    <w:altName w:val="Tahoma Bold"/>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sidR="008047E4">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230F0">
      <w:r>
        <w:separator/>
      </w:r>
    </w:p>
  </w:footnote>
  <w:footnote w:type="continuationSeparator" w:id="1">
    <w:p w:rsidR="002230F0">
      <w:pPr>
        <w:rPr>
          <w:sz w:val="20"/>
        </w:rPr>
      </w:pPr>
      <w:r>
        <w:rPr>
          <w:sz w:val="20"/>
        </w:rPr>
        <w:t xml:space="preserve">(Continued from previous page)  </w:t>
      </w:r>
      <w:r>
        <w:rPr>
          <w:sz w:val="20"/>
        </w:rPr>
        <w:separator/>
      </w:r>
    </w:p>
  </w:footnote>
  <w:footnote w:type="continuationNotice" w:id="2">
    <w:p w:rsidR="002230F0" w:rsidP="00910F12">
      <w:pPr>
        <w:jc w:val="right"/>
        <w:rPr>
          <w:sz w:val="20"/>
        </w:rPr>
      </w:pPr>
      <w:r>
        <w:rPr>
          <w:sz w:val="20"/>
        </w:rPr>
        <w:t>(continued….)</w:t>
      </w:r>
    </w:p>
  </w:footnote>
  <w:footnote w:id="3">
    <w:p w:rsidR="00FA0C2C" w:rsidRPr="00A54D03">
      <w:pPr>
        <w:pStyle w:val="FootnoteText"/>
      </w:pPr>
      <w:r w:rsidRPr="00A54D03">
        <w:rPr>
          <w:rStyle w:val="FootnoteReference"/>
          <w:sz w:val="20"/>
        </w:rPr>
        <w:footnoteRef/>
      </w:r>
      <w:r w:rsidRPr="00A54D03">
        <w:t xml:space="preserve"> </w:t>
      </w:r>
      <w:r w:rsidRPr="00A54D03" w:rsidR="00683A41">
        <w:rPr>
          <w:i/>
        </w:rPr>
        <w:t xml:space="preserve">See </w:t>
      </w:r>
      <w:r w:rsidRPr="00A54D03">
        <w:rPr>
          <w:i/>
        </w:rPr>
        <w:t>Regulation of Business Data Services for Rate-of-Return Local Exchange Carriers</w:t>
      </w:r>
      <w:r w:rsidRPr="00A54D03" w:rsidR="00FA551D">
        <w:rPr>
          <w:i/>
        </w:rPr>
        <w:t xml:space="preserve"> et al.</w:t>
      </w:r>
      <w:r w:rsidRPr="00A54D03" w:rsidR="00FA551D">
        <w:t xml:space="preserve">, </w:t>
      </w:r>
      <w:r w:rsidRPr="00A54D03">
        <w:t>WC Docket Nos. 17-144, 16-143, 05-25, GN Docket No. 13-5, RM-10593, Report and Order, Second Further Notice of Proposed Rulemaking, and Further Notice of Proposed Rulemaking, FCC 18-146</w:t>
      </w:r>
      <w:r w:rsidRPr="00A54D03" w:rsidR="00D62D21">
        <w:t xml:space="preserve">, at </w:t>
      </w:r>
      <w:r w:rsidRPr="00A54D03" w:rsidR="00F50B37">
        <w:t>51</w:t>
      </w:r>
      <w:r w:rsidRPr="00A54D03" w:rsidR="00D62D21">
        <w:t>-55, paras. 147-156</w:t>
      </w:r>
      <w:r w:rsidRPr="00A54D03">
        <w:t xml:space="preserve"> (</w:t>
      </w:r>
      <w:r w:rsidRPr="00A54D03" w:rsidR="00F80462">
        <w:t xml:space="preserve">rel. </w:t>
      </w:r>
      <w:r w:rsidRPr="00A54D03">
        <w:t>Oct. 2</w:t>
      </w:r>
      <w:r w:rsidRPr="00A54D03" w:rsidR="00F80462">
        <w:t>4</w:t>
      </w:r>
      <w:r w:rsidRPr="00A54D03">
        <w:t>, 2018) (</w:t>
      </w:r>
      <w:r w:rsidRPr="00A54D03">
        <w:rPr>
          <w:i/>
        </w:rPr>
        <w:t>Second Further Notice</w:t>
      </w:r>
      <w:r w:rsidRPr="00A54D03">
        <w:t xml:space="preserve">).  </w:t>
      </w:r>
    </w:p>
  </w:footnote>
  <w:footnote w:id="4">
    <w:p w:rsidR="00FA551D" w:rsidRPr="00A54D03" w:rsidP="00FA551D">
      <w:pPr>
        <w:autoSpaceDE w:val="0"/>
        <w:autoSpaceDN w:val="0"/>
        <w:adjustRightInd w:val="0"/>
        <w:spacing w:after="120"/>
        <w:rPr>
          <w:sz w:val="20"/>
        </w:rPr>
      </w:pPr>
      <w:r w:rsidRPr="00A54D03">
        <w:rPr>
          <w:rStyle w:val="FootnoteReference"/>
          <w:sz w:val="20"/>
        </w:rPr>
        <w:footnoteRef/>
      </w:r>
      <w:r w:rsidRPr="00A54D03">
        <w:rPr>
          <w:sz w:val="20"/>
        </w:rPr>
        <w:t xml:space="preserve"> </w:t>
      </w:r>
      <w:r w:rsidR="00243843">
        <w:rPr>
          <w:i/>
          <w:sz w:val="20"/>
        </w:rPr>
        <w:t>See</w:t>
      </w:r>
      <w:r w:rsidRPr="00A54D03">
        <w:rPr>
          <w:sz w:val="20"/>
        </w:rPr>
        <w:t xml:space="preserve"> </w:t>
      </w:r>
      <w:r w:rsidRPr="00A54D03">
        <w:rPr>
          <w:i/>
          <w:sz w:val="20"/>
        </w:rPr>
        <w:t>Business Data Services in an Internet Protocol Environment et al</w:t>
      </w:r>
      <w:r w:rsidRPr="00A54D03">
        <w:rPr>
          <w:sz w:val="20"/>
        </w:rPr>
        <w:t>., WC Docket No</w:t>
      </w:r>
      <w:r w:rsidR="00865ACD">
        <w:rPr>
          <w:sz w:val="20"/>
        </w:rPr>
        <w:t>s</w:t>
      </w:r>
      <w:r w:rsidRPr="00A54D03">
        <w:rPr>
          <w:sz w:val="20"/>
        </w:rPr>
        <w:t>. 16-143</w:t>
      </w:r>
      <w:r w:rsidR="00865ACD">
        <w:rPr>
          <w:sz w:val="20"/>
        </w:rPr>
        <w:t>, 15-247, 05-25, RM-10593</w:t>
      </w:r>
      <w:r w:rsidRPr="00A54D03">
        <w:rPr>
          <w:sz w:val="20"/>
        </w:rPr>
        <w:t>, Tariff Investigation Order and Further Notice of Proposed Rulemaking, 31 FCC Rcd 4723, 4737-43, paras. 29-37, 39-43 (2016) (in-depth discussion on the</w:t>
      </w:r>
      <w:r w:rsidRPr="00A54D03">
        <w:rPr>
          <w:i/>
          <w:sz w:val="20"/>
        </w:rPr>
        <w:t xml:space="preserve"> 2015 Collection</w:t>
      </w:r>
      <w:r w:rsidRPr="00A54D03">
        <w:rPr>
          <w:sz w:val="20"/>
        </w:rPr>
        <w:t>).</w:t>
      </w:r>
    </w:p>
  </w:footnote>
  <w:footnote w:id="5">
    <w:p w:rsidR="00A35521" w:rsidRPr="00B90E0A">
      <w:pPr>
        <w:pStyle w:val="FootnoteText"/>
      </w:pPr>
      <w:r w:rsidRPr="00B90E0A">
        <w:rPr>
          <w:rStyle w:val="FootnoteReference"/>
          <w:sz w:val="20"/>
        </w:rPr>
        <w:footnoteRef/>
      </w:r>
      <w:r w:rsidRPr="00B90E0A">
        <w:t xml:space="preserve"> </w:t>
      </w:r>
      <w:r w:rsidRPr="00B90E0A" w:rsidR="006D662D">
        <w:rPr>
          <w:i/>
          <w:iCs/>
        </w:rPr>
        <w:t>Special Access for Price Cap Local Exchange Carriers</w:t>
      </w:r>
      <w:r w:rsidRPr="00B90E0A" w:rsidR="006D662D">
        <w:t xml:space="preserve"> </w:t>
      </w:r>
      <w:r w:rsidRPr="00B90E0A" w:rsidR="006D662D">
        <w:rPr>
          <w:i/>
        </w:rPr>
        <w:t>et al</w:t>
      </w:r>
      <w:r w:rsidRPr="00B90E0A" w:rsidR="006D662D">
        <w:t>., WC Docket No. 05-25, RM-10593, Order and Data Collection Protective Order, 29 FCC Rcd 11657, 11657, para. 1 (WCB 2014) (</w:t>
      </w:r>
      <w:r w:rsidRPr="00B90E0A" w:rsidR="006D662D">
        <w:rPr>
          <w:i/>
          <w:iCs/>
        </w:rPr>
        <w:t>Protective Order</w:t>
      </w:r>
      <w:r w:rsidRPr="00B90E0A" w:rsidR="006D662D">
        <w:t xml:space="preserve">); Order and Modified Data Collection Protective Order, 30 FCC Rcd 10027 (WCB 2015); </w:t>
      </w:r>
      <w:r w:rsidRPr="00B90E0A" w:rsidR="006D662D">
        <w:rPr>
          <w:i/>
        </w:rPr>
        <w:t>Business Data Services in an Internet Protocol Environment et al.</w:t>
      </w:r>
      <w:r w:rsidRPr="00B90E0A" w:rsidR="006D662D">
        <w:t xml:space="preserve">, WC Docket Nos. 16-143, 15-247, 05-25, RM-10593, Order, 31 FCC Rcd 7104 (WCB 2016). </w:t>
      </w:r>
    </w:p>
  </w:footnote>
  <w:footnote w:id="6">
    <w:p w:rsidR="00B966D7" w:rsidRPr="00B90E0A" w:rsidP="00B966D7">
      <w:pPr>
        <w:pStyle w:val="FootnoteText"/>
      </w:pPr>
      <w:r w:rsidRPr="00B90E0A">
        <w:rPr>
          <w:rStyle w:val="FootnoteReference"/>
          <w:sz w:val="20"/>
        </w:rPr>
        <w:footnoteRef/>
      </w:r>
      <w:r w:rsidRPr="00B90E0A">
        <w:t xml:space="preserve"> </w:t>
      </w:r>
      <w:r w:rsidRPr="00B90E0A">
        <w:rPr>
          <w:i/>
          <w:iCs/>
          <w:snapToGrid w:val="0"/>
          <w:kern w:val="28"/>
        </w:rPr>
        <w:t>Business Data Services in an Internet Protocol Environment et al.</w:t>
      </w:r>
      <w:r w:rsidRPr="00B90E0A">
        <w:rPr>
          <w:snapToGrid w:val="0"/>
          <w:kern w:val="28"/>
        </w:rPr>
        <w:t>, WC Docket Nos. 16-143, 05-25, GN Docket No. 13-5, RM-10593, Report and Order, 32 FCC Rcd 3459, 3501, para. 91 (2017) (</w:t>
      </w:r>
      <w:r w:rsidRPr="00B90E0A">
        <w:rPr>
          <w:i/>
          <w:snapToGrid w:val="0"/>
          <w:kern w:val="28"/>
        </w:rPr>
        <w:t>BDS Order</w:t>
      </w:r>
      <w:r w:rsidRPr="00B90E0A">
        <w:rPr>
          <w:snapToGrid w:val="0"/>
          <w:kern w:val="28"/>
        </w:rPr>
        <w:t xml:space="preserve">), </w:t>
      </w:r>
      <w:r w:rsidRPr="00B90E0A">
        <w:rPr>
          <w:i/>
          <w:snapToGrid w:val="0"/>
          <w:kern w:val="28"/>
        </w:rPr>
        <w:t xml:space="preserve">remanded in part sub nom., Citizens </w:t>
      </w:r>
      <w:r w:rsidRPr="00B90E0A">
        <w:rPr>
          <w:i/>
          <w:snapToGrid w:val="0"/>
          <w:kern w:val="28"/>
        </w:rPr>
        <w:t>Telecomms</w:t>
      </w:r>
      <w:r w:rsidRPr="00B90E0A">
        <w:rPr>
          <w:i/>
          <w:snapToGrid w:val="0"/>
          <w:kern w:val="28"/>
        </w:rPr>
        <w:t>. Co. of Minn., LLC v. FCC</w:t>
      </w:r>
      <w:r w:rsidRPr="00B90E0A">
        <w:rPr>
          <w:snapToGrid w:val="0"/>
          <w:kern w:val="28"/>
        </w:rPr>
        <w:t>, 901 F.3d 991 (8th Cir. 2018)</w:t>
      </w:r>
      <w:r w:rsidRPr="00B90E0A" w:rsidR="004933A2">
        <w:rPr>
          <w:snapToGrid w:val="0"/>
          <w:kern w:val="28"/>
        </w:rPr>
        <w:t xml:space="preserve"> (</w:t>
      </w:r>
      <w:r w:rsidRPr="00B90E0A" w:rsidR="004933A2">
        <w:rPr>
          <w:i/>
          <w:snapToGrid w:val="0"/>
          <w:kern w:val="28"/>
        </w:rPr>
        <w:t xml:space="preserve">Citizens </w:t>
      </w:r>
      <w:r w:rsidRPr="00B90E0A" w:rsidR="004933A2">
        <w:rPr>
          <w:i/>
          <w:snapToGrid w:val="0"/>
          <w:kern w:val="28"/>
        </w:rPr>
        <w:t>Telecomms</w:t>
      </w:r>
      <w:r w:rsidRPr="00B90E0A" w:rsidR="004933A2">
        <w:rPr>
          <w:snapToGrid w:val="0"/>
          <w:kern w:val="28"/>
        </w:rPr>
        <w:t>.)</w:t>
      </w:r>
      <w:r w:rsidRPr="00B90E0A">
        <w:rPr>
          <w:snapToGrid w:val="0"/>
          <w:kern w:val="28"/>
        </w:rPr>
        <w:t>.</w:t>
      </w:r>
      <w:r w:rsidRPr="00B90E0A">
        <w:t xml:space="preserve"> </w:t>
      </w:r>
    </w:p>
  </w:footnote>
  <w:footnote w:id="7">
    <w:p w:rsidR="00B966D7" w:rsidRPr="00B90E0A" w:rsidP="00B966D7">
      <w:pPr>
        <w:pStyle w:val="FootnoteText"/>
      </w:pPr>
      <w:r w:rsidRPr="00B90E0A">
        <w:rPr>
          <w:rStyle w:val="FootnoteReference"/>
          <w:sz w:val="20"/>
        </w:rPr>
        <w:footnoteRef/>
      </w:r>
      <w:r w:rsidRPr="00B90E0A">
        <w:t xml:space="preserve"> </w:t>
      </w:r>
      <w:r w:rsidRPr="00B90E0A">
        <w:rPr>
          <w:i/>
        </w:rPr>
        <w:t>Secure Data Enclave for Accessing Highly Confidential Business Data Services (Special Access) Data Will Close on December 31, 2017</w:t>
      </w:r>
      <w:r w:rsidRPr="00B90E0A">
        <w:t xml:space="preserve">, WC Docket Nos. 16-143, 15-247, 05-25; RM-10593, Public Notice, 32 FCC Rcd 7357 (WCB 2017); </w:t>
      </w:r>
      <w:r w:rsidRPr="00B90E0A">
        <w:rPr>
          <w:i/>
        </w:rPr>
        <w:t>Wireline Competition Bureau to Archive Secure Data Enclave for Accessing Highly Confidential Business Data Services (Special Access) Data</w:t>
      </w:r>
      <w:r w:rsidRPr="00B90E0A">
        <w:t xml:space="preserve">, WC Dockets Nos. 16-143, 15-247, 05-25, RM-10593, Public Notice, 32 FCC Rcd 10362 (WCB 2017). </w:t>
      </w:r>
    </w:p>
  </w:footnote>
  <w:footnote w:id="8">
    <w:p w:rsidR="0086207F" w:rsidRPr="00B90E0A">
      <w:pPr>
        <w:pStyle w:val="FootnoteText"/>
      </w:pPr>
      <w:r w:rsidRPr="00B90E0A">
        <w:rPr>
          <w:rStyle w:val="FootnoteReference"/>
          <w:sz w:val="20"/>
        </w:rPr>
        <w:footnoteRef/>
      </w:r>
      <w:r w:rsidRPr="00B90E0A">
        <w:t xml:space="preserve"> </w:t>
      </w:r>
      <w:r w:rsidRPr="00B90E0A" w:rsidR="004933A2">
        <w:rPr>
          <w:i/>
        </w:rPr>
        <w:t xml:space="preserve">Citizens </w:t>
      </w:r>
      <w:r w:rsidRPr="00B90E0A" w:rsidR="004933A2">
        <w:rPr>
          <w:i/>
        </w:rPr>
        <w:t>Telecomms</w:t>
      </w:r>
      <w:r w:rsidRPr="00B90E0A" w:rsidR="004933A2">
        <w:t xml:space="preserve">., 901 F.3d at 1004. </w:t>
      </w:r>
    </w:p>
  </w:footnote>
  <w:footnote w:id="9">
    <w:p w:rsidR="0086207F" w:rsidRPr="00B90E0A">
      <w:pPr>
        <w:pStyle w:val="FootnoteText"/>
      </w:pPr>
      <w:r w:rsidRPr="00B90E0A">
        <w:rPr>
          <w:rStyle w:val="FootnoteReference"/>
          <w:sz w:val="20"/>
        </w:rPr>
        <w:footnoteRef/>
      </w:r>
      <w:r w:rsidRPr="00B90E0A">
        <w:t xml:space="preserve"> </w:t>
      </w:r>
      <w:r w:rsidRPr="00B90E0A">
        <w:rPr>
          <w:i/>
        </w:rPr>
        <w:t>Second Further Notice</w:t>
      </w:r>
      <w:r w:rsidRPr="00B90E0A">
        <w:t xml:space="preserve"> at 51, para. 147; </w:t>
      </w:r>
      <w:r w:rsidRPr="00B90E0A">
        <w:rPr>
          <w:i/>
        </w:rPr>
        <w:t>id</w:t>
      </w:r>
      <w:r w:rsidRPr="00B90E0A">
        <w:t xml:space="preserve">. at 51-55, paras. 148-56. </w:t>
      </w:r>
    </w:p>
  </w:footnote>
  <w:footnote w:id="10">
    <w:p w:rsidR="009C6AF1" w:rsidRPr="00B90E0A">
      <w:pPr>
        <w:pStyle w:val="FootnoteText"/>
      </w:pPr>
      <w:r w:rsidRPr="00B90E0A">
        <w:rPr>
          <w:rStyle w:val="FootnoteReference"/>
          <w:sz w:val="20"/>
        </w:rPr>
        <w:footnoteRef/>
      </w:r>
      <w:r w:rsidRPr="00B90E0A">
        <w:t xml:space="preserve"> </w:t>
      </w:r>
      <w:r w:rsidRPr="00B90E0A">
        <w:rPr>
          <w:i/>
        </w:rPr>
        <w:t>Id</w:t>
      </w:r>
      <w:r w:rsidRPr="00B90E0A">
        <w:t>.</w:t>
      </w:r>
      <w:r w:rsidRPr="00B90E0A" w:rsidR="00E10AB8">
        <w:t xml:space="preserve"> at 55, para. 156. </w:t>
      </w:r>
    </w:p>
  </w:footnote>
  <w:footnote w:id="11">
    <w:p w:rsidR="00596912" w:rsidRPr="00B90E0A">
      <w:pPr>
        <w:pStyle w:val="FootnoteText"/>
      </w:pPr>
      <w:r w:rsidRPr="00B90E0A">
        <w:rPr>
          <w:rStyle w:val="FootnoteReference"/>
          <w:sz w:val="20"/>
        </w:rPr>
        <w:footnoteRef/>
      </w:r>
      <w:r w:rsidRPr="00B90E0A">
        <w:t xml:space="preserve"> </w:t>
      </w:r>
      <w:r w:rsidRPr="00B90E0A">
        <w:rPr>
          <w:i/>
        </w:rPr>
        <w:t>Protective Order</w:t>
      </w:r>
      <w:r w:rsidRPr="00B90E0A">
        <w:t xml:space="preserve">, </w:t>
      </w:r>
      <w:r w:rsidR="00F32B87">
        <w:t>29</w:t>
      </w:r>
      <w:r w:rsidRPr="00B90E0A" w:rsidR="00F32B87">
        <w:t xml:space="preserve"> </w:t>
      </w:r>
      <w:r w:rsidRPr="00B90E0A">
        <w:t xml:space="preserve">FCC Rcd </w:t>
      </w:r>
      <w:r w:rsidRPr="00B90E0A" w:rsidR="00E3075D">
        <w:t xml:space="preserve">at 11657, para. 1; </w:t>
      </w:r>
      <w:r w:rsidRPr="00B90E0A" w:rsidR="00E3075D">
        <w:rPr>
          <w:i/>
        </w:rPr>
        <w:t>id</w:t>
      </w:r>
      <w:r w:rsidRPr="00B90E0A" w:rsidR="00E3075D">
        <w:t xml:space="preserve">. at </w:t>
      </w:r>
      <w:r w:rsidRPr="00B90E0A">
        <w:t>11670-71, Appx. A at para. 1.</w:t>
      </w:r>
    </w:p>
  </w:footnote>
  <w:footnote w:id="12">
    <w:p w:rsidR="008A7AB5" w:rsidRPr="00B90E0A">
      <w:pPr>
        <w:pStyle w:val="FootnoteText"/>
      </w:pPr>
      <w:r w:rsidRPr="00B90E0A">
        <w:rPr>
          <w:rStyle w:val="FootnoteReference"/>
          <w:sz w:val="20"/>
        </w:rPr>
        <w:footnoteRef/>
      </w:r>
      <w:r w:rsidRPr="00B90E0A">
        <w:t xml:space="preserve"> </w:t>
      </w:r>
      <w:r w:rsidRPr="00B90E0A" w:rsidR="009E407F">
        <w:rPr>
          <w:i/>
        </w:rPr>
        <w:t xml:space="preserve">See </w:t>
      </w:r>
      <w:r w:rsidRPr="00B90E0A" w:rsidR="00596912">
        <w:rPr>
          <w:i/>
        </w:rPr>
        <w:t>id.</w:t>
      </w:r>
      <w:r w:rsidRPr="00B90E0A" w:rsidR="009E407F">
        <w:t xml:space="preserve"> at 11680, Appx. C.</w:t>
      </w:r>
    </w:p>
  </w:footnote>
  <w:footnote w:id="13">
    <w:p w:rsidR="004E169D" w:rsidRPr="00B90E0A" w:rsidP="004E169D">
      <w:pPr>
        <w:pStyle w:val="FootnoteText"/>
      </w:pPr>
      <w:r w:rsidRPr="00B90E0A">
        <w:rPr>
          <w:rStyle w:val="FootnoteReference"/>
          <w:sz w:val="20"/>
        </w:rPr>
        <w:footnoteRef/>
      </w:r>
      <w:r w:rsidRPr="00B90E0A">
        <w:t xml:space="preserve"> </w:t>
      </w:r>
      <w:r w:rsidRPr="00B90E0A" w:rsidR="00B7257D">
        <w:rPr>
          <w:i/>
        </w:rPr>
        <w:t>See</w:t>
      </w:r>
      <w:r w:rsidRPr="00B90E0A" w:rsidR="00B7257D">
        <w:t xml:space="preserve"> </w:t>
      </w:r>
      <w:r w:rsidRPr="00B90E0A" w:rsidR="00C83EA0">
        <w:rPr>
          <w:i/>
        </w:rPr>
        <w:t>NORC Archiving Public Notice</w:t>
      </w:r>
      <w:r w:rsidRPr="00B90E0A">
        <w:t xml:space="preserve">. </w:t>
      </w:r>
    </w:p>
  </w:footnote>
  <w:footnote w:id="14">
    <w:p w:rsidR="00002B2F" w:rsidRPr="00B90E0A">
      <w:pPr>
        <w:pStyle w:val="FootnoteText"/>
      </w:pPr>
      <w:r w:rsidRPr="00B90E0A">
        <w:rPr>
          <w:rStyle w:val="FootnoteReference"/>
          <w:sz w:val="20"/>
        </w:rPr>
        <w:footnoteRef/>
      </w:r>
      <w:r w:rsidRPr="00B90E0A">
        <w:t xml:space="preserve"> </w:t>
      </w:r>
      <w:r w:rsidRPr="00B90E0A" w:rsidR="00E432D9">
        <w:rPr>
          <w:i/>
        </w:rPr>
        <w:t>See</w:t>
      </w:r>
      <w:r w:rsidRPr="00B90E0A" w:rsidR="00E432D9">
        <w:t xml:space="preserve"> </w:t>
      </w:r>
      <w:r w:rsidRPr="00B90E0A" w:rsidR="00E432D9">
        <w:rPr>
          <w:i/>
        </w:rPr>
        <w:t>Protective Order</w:t>
      </w:r>
      <w:r w:rsidRPr="00B90E0A" w:rsidR="00E432D9">
        <w:t xml:space="preserve">, 29 FCC Rcd at 11665, para. 23; </w:t>
      </w:r>
      <w:r w:rsidRPr="00B90E0A" w:rsidR="00E432D9">
        <w:rPr>
          <w:i/>
        </w:rPr>
        <w:t>id</w:t>
      </w:r>
      <w:r w:rsidRPr="00B90E0A" w:rsidR="00E432D9">
        <w:t xml:space="preserve">. at 11673, Appx. A at para. 5; </w:t>
      </w:r>
      <w:r w:rsidRPr="00B90E0A" w:rsidR="00E432D9">
        <w:rPr>
          <w:i/>
        </w:rPr>
        <w:t>id</w:t>
      </w:r>
      <w:r w:rsidRPr="00B90E0A" w:rsidR="00E432D9">
        <w:t xml:space="preserve">. at 11680, Appx. C.   </w:t>
      </w:r>
    </w:p>
  </w:footnote>
  <w:footnote w:id="15">
    <w:p w:rsidR="009E407F" w:rsidRPr="00B90E0A">
      <w:pPr>
        <w:pStyle w:val="FootnoteText"/>
      </w:pPr>
      <w:r w:rsidRPr="00B90E0A">
        <w:rPr>
          <w:rStyle w:val="FootnoteReference"/>
          <w:sz w:val="20"/>
        </w:rPr>
        <w:footnoteRef/>
      </w:r>
      <w:r w:rsidRPr="00B90E0A">
        <w:t xml:space="preserve"> </w:t>
      </w:r>
      <w:r w:rsidRPr="00B90E0A" w:rsidR="00E432D9">
        <w:rPr>
          <w:i/>
        </w:rPr>
        <w:t xml:space="preserve">See </w:t>
      </w:r>
      <w:r w:rsidRPr="00520B0E" w:rsidR="00520B0E">
        <w:rPr>
          <w:i/>
        </w:rPr>
        <w:t>id</w:t>
      </w:r>
      <w:r w:rsidRPr="00520B0E" w:rsidR="00520B0E">
        <w:t xml:space="preserve">. at 11665, para. 23; </w:t>
      </w:r>
      <w:r w:rsidRPr="00520B0E" w:rsidR="00520B0E">
        <w:rPr>
          <w:i/>
        </w:rPr>
        <w:t>id</w:t>
      </w:r>
      <w:r w:rsidRPr="00520B0E" w:rsidR="00520B0E">
        <w:t>. at 11673, Appx. A at para. 5;</w:t>
      </w:r>
      <w:r w:rsidR="00520B0E">
        <w:rPr>
          <w:i/>
        </w:rPr>
        <w:t xml:space="preserve"> see </w:t>
      </w:r>
      <w:r w:rsidRPr="00B90E0A" w:rsidR="00E432D9">
        <w:rPr>
          <w:i/>
        </w:rPr>
        <w:t>Wireline Competition Bureau Now Receiving Acknowledgements of Confidentiality Pursuant to Special Access Data Collection Protective Order</w:t>
      </w:r>
      <w:r w:rsidRPr="00B90E0A" w:rsidR="00E432D9">
        <w:t xml:space="preserve">, WC Docket No. 05-25, RM-10593, Public Notice, 30 FCC Rcd 6421, 6422 (WCB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BA2D3E">
      <w:rPr>
        <w:b/>
      </w:rPr>
      <w:t>DA 18-1133</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762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3175" b="3175"/>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19050" b="1905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6985" b="9525"/>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7A5E349A"/>
    <w:multiLevelType w:val="hybridMultilevel"/>
    <w:tmpl w:val="0900B9F4"/>
    <w:lvl w:ilvl="0">
      <w:start w:val="7357"/>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2D3E"/>
    <w:pPr>
      <w:widowControl w:val="0"/>
    </w:pPr>
    <w:rPr>
      <w:snapToGrid w:val="0"/>
      <w:kern w:val="28"/>
      <w:sz w:val="22"/>
    </w:rPr>
  </w:style>
  <w:style w:type="paragraph" w:styleId="Heading1">
    <w:name w:val="heading 1"/>
    <w:basedOn w:val="Normal"/>
    <w:next w:val="ParaNum"/>
    <w:qFormat/>
    <w:rsid w:val="00BA2D3E"/>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A2D3E"/>
    <w:pPr>
      <w:keepNext/>
      <w:numPr>
        <w:ilvl w:val="1"/>
        <w:numId w:val="3"/>
      </w:numPr>
      <w:spacing w:after="120"/>
      <w:outlineLvl w:val="1"/>
    </w:pPr>
    <w:rPr>
      <w:b/>
    </w:rPr>
  </w:style>
  <w:style w:type="paragraph" w:styleId="Heading3">
    <w:name w:val="heading 3"/>
    <w:basedOn w:val="Normal"/>
    <w:next w:val="ParaNum"/>
    <w:qFormat/>
    <w:rsid w:val="00BA2D3E"/>
    <w:pPr>
      <w:keepNext/>
      <w:numPr>
        <w:ilvl w:val="2"/>
        <w:numId w:val="3"/>
      </w:numPr>
      <w:tabs>
        <w:tab w:val="left" w:pos="2160"/>
      </w:tabs>
      <w:spacing w:after="120"/>
      <w:outlineLvl w:val="2"/>
    </w:pPr>
    <w:rPr>
      <w:b/>
    </w:rPr>
  </w:style>
  <w:style w:type="paragraph" w:styleId="Heading4">
    <w:name w:val="heading 4"/>
    <w:basedOn w:val="Normal"/>
    <w:next w:val="ParaNum"/>
    <w:qFormat/>
    <w:rsid w:val="00BA2D3E"/>
    <w:pPr>
      <w:keepNext/>
      <w:numPr>
        <w:ilvl w:val="3"/>
        <w:numId w:val="3"/>
      </w:numPr>
      <w:tabs>
        <w:tab w:val="left" w:pos="2880"/>
      </w:tabs>
      <w:spacing w:after="120"/>
      <w:outlineLvl w:val="3"/>
    </w:pPr>
    <w:rPr>
      <w:b/>
    </w:rPr>
  </w:style>
  <w:style w:type="paragraph" w:styleId="Heading5">
    <w:name w:val="heading 5"/>
    <w:basedOn w:val="Normal"/>
    <w:next w:val="ParaNum"/>
    <w:qFormat/>
    <w:rsid w:val="00BA2D3E"/>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A2D3E"/>
    <w:pPr>
      <w:numPr>
        <w:ilvl w:val="5"/>
        <w:numId w:val="3"/>
      </w:numPr>
      <w:tabs>
        <w:tab w:val="left" w:pos="4320"/>
      </w:tabs>
      <w:spacing w:after="120"/>
      <w:outlineLvl w:val="5"/>
    </w:pPr>
    <w:rPr>
      <w:b/>
    </w:rPr>
  </w:style>
  <w:style w:type="paragraph" w:styleId="Heading7">
    <w:name w:val="heading 7"/>
    <w:basedOn w:val="Normal"/>
    <w:next w:val="ParaNum"/>
    <w:qFormat/>
    <w:rsid w:val="00BA2D3E"/>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A2D3E"/>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A2D3E"/>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BA2D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BA2D3E"/>
  </w:style>
  <w:style w:type="paragraph" w:customStyle="1" w:styleId="ParaNum">
    <w:name w:val="ParaNum"/>
    <w:basedOn w:val="Normal"/>
    <w:link w:val="ParaNumCharChar1"/>
    <w:rsid w:val="00BA2D3E"/>
    <w:pPr>
      <w:numPr>
        <w:numId w:val="2"/>
      </w:numPr>
      <w:tabs>
        <w:tab w:val="clear" w:pos="1080"/>
        <w:tab w:val="num" w:pos="1440"/>
      </w:tabs>
      <w:spacing w:after="120"/>
    </w:pPr>
  </w:style>
  <w:style w:type="paragraph" w:styleId="EndnoteText">
    <w:name w:val="endnote text"/>
    <w:basedOn w:val="Normal"/>
    <w:semiHidden/>
    <w:rsid w:val="00BA2D3E"/>
    <w:rPr>
      <w:sz w:val="20"/>
    </w:rPr>
  </w:style>
  <w:style w:type="character" w:styleId="EndnoteReference">
    <w:name w:val="endnote reference"/>
    <w:semiHidden/>
    <w:rsid w:val="00BA2D3E"/>
    <w:rPr>
      <w:vertAlign w:val="superscript"/>
    </w:rPr>
  </w:style>
  <w:style w:type="paragraph" w:styleId="FootnoteText">
    <w:name w:val="footnote text"/>
    <w:aliases w:val="ALTS FOOTNOTE,Footnote Text Char Char1 Char,Footnote Text Char Char1 Char Char Char,Footnote Text Char1 Char1 Char Char Char Char,Footnote Text Char2 Char Char,Footnote Text Char2 Char2,Footnote Text Char2 Char2 Char Char,f,fn,fn ,fn Char1"/>
    <w:link w:val="FootnoteTextChar"/>
    <w:rsid w:val="00BA2D3E"/>
    <w:pPr>
      <w:spacing w:after="120"/>
    </w:pPr>
  </w:style>
  <w:style w:type="character" w:styleId="FootnoteReference">
    <w:name w:val="footnote reference"/>
    <w:rsid w:val="00BA2D3E"/>
    <w:rPr>
      <w:rFonts w:ascii="Times New Roman" w:hAnsi="Times New Roman"/>
      <w:dstrike w:val="0"/>
      <w:color w:val="auto"/>
      <w:sz w:val="22"/>
      <w:vertAlign w:val="superscript"/>
    </w:rPr>
  </w:style>
  <w:style w:type="paragraph" w:styleId="TOC1">
    <w:name w:val="toc 1"/>
    <w:basedOn w:val="Normal"/>
    <w:next w:val="Normal"/>
    <w:uiPriority w:val="39"/>
    <w:rsid w:val="00BA2D3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A2D3E"/>
    <w:pPr>
      <w:tabs>
        <w:tab w:val="left" w:pos="720"/>
        <w:tab w:val="right" w:leader="dot" w:pos="9360"/>
      </w:tabs>
      <w:suppressAutoHyphens/>
      <w:ind w:left="720" w:right="720" w:hanging="360"/>
    </w:pPr>
    <w:rPr>
      <w:noProof/>
    </w:rPr>
  </w:style>
  <w:style w:type="paragraph" w:styleId="TOC3">
    <w:name w:val="toc 3"/>
    <w:basedOn w:val="Normal"/>
    <w:next w:val="Normal"/>
    <w:semiHidden/>
    <w:rsid w:val="00BA2D3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A2D3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A2D3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A2D3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A2D3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A2D3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A2D3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A2D3E"/>
    <w:pPr>
      <w:tabs>
        <w:tab w:val="right" w:pos="9360"/>
      </w:tabs>
      <w:suppressAutoHyphens/>
    </w:pPr>
  </w:style>
  <w:style w:type="character" w:customStyle="1" w:styleId="EquationCaption">
    <w:name w:val="_Equation Caption"/>
    <w:rsid w:val="00BA2D3E"/>
  </w:style>
  <w:style w:type="paragraph" w:styleId="Header">
    <w:name w:val="header"/>
    <w:basedOn w:val="Normal"/>
    <w:autoRedefine/>
    <w:rsid w:val="00BA2D3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BA2D3E"/>
    <w:pPr>
      <w:tabs>
        <w:tab w:val="center" w:pos="4320"/>
        <w:tab w:val="right" w:pos="8640"/>
      </w:tabs>
    </w:pPr>
  </w:style>
  <w:style w:type="character" w:styleId="PageNumber">
    <w:name w:val="page number"/>
    <w:basedOn w:val="DefaultParagraphFont"/>
    <w:rsid w:val="00BA2D3E"/>
  </w:style>
  <w:style w:type="paragraph" w:styleId="BlockText">
    <w:name w:val="Block Text"/>
    <w:basedOn w:val="Normal"/>
    <w:rsid w:val="00BA2D3E"/>
    <w:pPr>
      <w:spacing w:after="240"/>
      <w:ind w:left="1440" w:right="1440"/>
    </w:pPr>
  </w:style>
  <w:style w:type="paragraph" w:customStyle="1" w:styleId="Paratitle">
    <w:name w:val="Para title"/>
    <w:basedOn w:val="Normal"/>
    <w:rsid w:val="00BA2D3E"/>
    <w:pPr>
      <w:tabs>
        <w:tab w:val="center" w:pos="9270"/>
      </w:tabs>
      <w:spacing w:after="240"/>
    </w:pPr>
    <w:rPr>
      <w:spacing w:val="-2"/>
    </w:rPr>
  </w:style>
  <w:style w:type="paragraph" w:customStyle="1" w:styleId="Bullet">
    <w:name w:val="Bullet"/>
    <w:basedOn w:val="Normal"/>
    <w:rsid w:val="00BA2D3E"/>
    <w:pPr>
      <w:numPr>
        <w:numId w:val="1"/>
      </w:numPr>
      <w:tabs>
        <w:tab w:val="clear" w:pos="360"/>
        <w:tab w:val="left" w:pos="2160"/>
      </w:tabs>
      <w:spacing w:after="220"/>
      <w:ind w:left="2160" w:hanging="720"/>
    </w:pPr>
  </w:style>
  <w:style w:type="paragraph" w:customStyle="1" w:styleId="TableFormat">
    <w:name w:val="TableFormat"/>
    <w:basedOn w:val="Bullet"/>
    <w:rsid w:val="00BA2D3E"/>
    <w:pPr>
      <w:numPr>
        <w:numId w:val="0"/>
      </w:numPr>
      <w:tabs>
        <w:tab w:val="clear" w:pos="2160"/>
        <w:tab w:val="left" w:pos="5040"/>
      </w:tabs>
      <w:ind w:left="5040" w:hanging="3600"/>
    </w:pPr>
  </w:style>
  <w:style w:type="paragraph" w:customStyle="1" w:styleId="TOCTitle">
    <w:name w:val="TOC Title"/>
    <w:basedOn w:val="Normal"/>
    <w:rsid w:val="00BA2D3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A2D3E"/>
    <w:pPr>
      <w:jc w:val="center"/>
    </w:pPr>
    <w:rPr>
      <w:rFonts w:ascii="Times New Roman Bold" w:hAnsi="Times New Roman Bold"/>
      <w:b/>
      <w:bCs/>
      <w:caps/>
      <w:szCs w:val="22"/>
    </w:rPr>
  </w:style>
  <w:style w:type="character" w:styleId="Hyperlink">
    <w:name w:val="Hyperlink"/>
    <w:rsid w:val="00BA2D3E"/>
    <w:rPr>
      <w:color w:val="0000FF"/>
      <w:u w:val="single"/>
    </w:rPr>
  </w:style>
  <w:style w:type="character" w:customStyle="1" w:styleId="FooterChar">
    <w:name w:val="Footer Char"/>
    <w:link w:val="Footer"/>
    <w:uiPriority w:val="99"/>
    <w:rsid w:val="00BA2D3E"/>
    <w:rPr>
      <w:snapToGrid w:val="0"/>
      <w:kern w:val="28"/>
      <w:sz w:val="22"/>
    </w:rPr>
  </w:style>
  <w:style w:type="character" w:customStyle="1" w:styleId="FootnoteTextChar">
    <w:name w:val="Footnote Text Char"/>
    <w:aliases w:val="Footnote Text Char Char1 Char Char,Footnote Text Char Char1 Char Char Char Char,Footnote Text Char1 Char1 Char Char Char Char Char,Footnote Text Char2 Char2 Char,Footnote Text Char2 Char2 Char Char Char,f Char,fn Char,fn Char1 Char"/>
    <w:link w:val="FootnoteText"/>
    <w:rsid w:val="009E07AD"/>
  </w:style>
  <w:style w:type="character" w:customStyle="1" w:styleId="ParaNumCharChar1">
    <w:name w:val="ParaNum Char Char1"/>
    <w:link w:val="ParaNum"/>
    <w:locked/>
    <w:rsid w:val="0002796B"/>
    <w:rPr>
      <w:snapToGrid w:val="0"/>
      <w:kern w:val="28"/>
      <w:sz w:val="22"/>
    </w:rPr>
  </w:style>
  <w:style w:type="character" w:styleId="CommentReference">
    <w:name w:val="annotation reference"/>
    <w:basedOn w:val="DefaultParagraphFont"/>
    <w:uiPriority w:val="99"/>
    <w:semiHidden/>
    <w:unhideWhenUsed/>
    <w:rsid w:val="009E40D1"/>
    <w:rPr>
      <w:sz w:val="16"/>
      <w:szCs w:val="16"/>
    </w:rPr>
  </w:style>
  <w:style w:type="paragraph" w:styleId="CommentText">
    <w:name w:val="annotation text"/>
    <w:basedOn w:val="Normal"/>
    <w:link w:val="CommentTextChar"/>
    <w:uiPriority w:val="99"/>
    <w:semiHidden/>
    <w:unhideWhenUsed/>
    <w:rsid w:val="009E40D1"/>
    <w:rPr>
      <w:sz w:val="20"/>
    </w:rPr>
  </w:style>
  <w:style w:type="character" w:customStyle="1" w:styleId="CommentTextChar">
    <w:name w:val="Comment Text Char"/>
    <w:basedOn w:val="DefaultParagraphFont"/>
    <w:link w:val="CommentText"/>
    <w:uiPriority w:val="99"/>
    <w:semiHidden/>
    <w:rsid w:val="009E40D1"/>
    <w:rPr>
      <w:snapToGrid w:val="0"/>
      <w:kern w:val="28"/>
    </w:rPr>
  </w:style>
  <w:style w:type="paragraph" w:styleId="CommentSubject">
    <w:name w:val="annotation subject"/>
    <w:basedOn w:val="CommentText"/>
    <w:next w:val="CommentText"/>
    <w:link w:val="CommentSubjectChar"/>
    <w:uiPriority w:val="99"/>
    <w:semiHidden/>
    <w:unhideWhenUsed/>
    <w:rsid w:val="009E40D1"/>
    <w:rPr>
      <w:b/>
      <w:bCs/>
    </w:rPr>
  </w:style>
  <w:style w:type="character" w:customStyle="1" w:styleId="CommentSubjectChar">
    <w:name w:val="Comment Subject Char"/>
    <w:basedOn w:val="CommentTextChar"/>
    <w:link w:val="CommentSubject"/>
    <w:uiPriority w:val="99"/>
    <w:semiHidden/>
    <w:rsid w:val="009E40D1"/>
    <w:rPr>
      <w:b/>
      <w:bCs/>
      <w:snapToGrid w:val="0"/>
      <w:kern w:val="28"/>
    </w:rPr>
  </w:style>
  <w:style w:type="paragraph" w:styleId="BalloonText">
    <w:name w:val="Balloon Text"/>
    <w:basedOn w:val="Normal"/>
    <w:link w:val="BalloonTextChar"/>
    <w:uiPriority w:val="99"/>
    <w:semiHidden/>
    <w:unhideWhenUsed/>
    <w:rsid w:val="009E4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40D1"/>
    <w:rPr>
      <w:rFonts w:ascii="Segoe UI" w:hAnsi="Segoe UI" w:cs="Segoe UI"/>
      <w:snapToGrid w:val="0"/>
      <w:kern w:val="28"/>
      <w:sz w:val="18"/>
      <w:szCs w:val="18"/>
    </w:rPr>
  </w:style>
  <w:style w:type="paragraph" w:styleId="Revision">
    <w:name w:val="Revision"/>
    <w:hidden/>
    <w:uiPriority w:val="99"/>
    <w:semiHidden/>
    <w:rsid w:val="00C31285"/>
    <w:rPr>
      <w:snapToGrid w:val="0"/>
      <w:kern w:val="28"/>
      <w:sz w:val="22"/>
    </w:rPr>
  </w:style>
  <w:style w:type="paragraph" w:styleId="ListParagraph">
    <w:name w:val="List Paragraph"/>
    <w:basedOn w:val="Normal"/>
    <w:uiPriority w:val="34"/>
    <w:qFormat/>
    <w:rsid w:val="00CC34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