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A4711" w:rsidRPr="009F1423" w:rsidP="000A4711">
      <w:pPr>
        <w:widowControl/>
        <w:suppressAutoHyphens/>
        <w:jc w:val="right"/>
        <w:rPr>
          <w:b/>
          <w:color w:val="000000"/>
          <w:szCs w:val="22"/>
        </w:rPr>
      </w:pPr>
      <w:bookmarkStart w:id="0" w:name="_GoBack"/>
      <w:bookmarkEnd w:id="0"/>
      <w:r w:rsidRPr="009F1423">
        <w:rPr>
          <w:b/>
          <w:color w:val="000000"/>
          <w:szCs w:val="22"/>
        </w:rPr>
        <w:t>DA 18-</w:t>
      </w:r>
      <w:r w:rsidR="002618F0">
        <w:rPr>
          <w:b/>
          <w:color w:val="000000"/>
          <w:szCs w:val="22"/>
        </w:rPr>
        <w:t>1136</w:t>
      </w:r>
    </w:p>
    <w:p w:rsidR="000A4711" w:rsidP="000A4711">
      <w:pPr>
        <w:widowControl/>
        <w:suppressAutoHyphens/>
        <w:spacing w:after="240"/>
        <w:jc w:val="right"/>
        <w:rPr>
          <w:b/>
          <w:color w:val="000000"/>
        </w:rPr>
      </w:pPr>
      <w:r>
        <w:rPr>
          <w:b/>
          <w:color w:val="000000"/>
        </w:rPr>
        <w:t>Released:  November 6, 2018</w:t>
      </w:r>
    </w:p>
    <w:p w:rsidR="000A4711" w:rsidP="000A4711">
      <w:pPr>
        <w:jc w:val="center"/>
        <w:rPr>
          <w:b/>
          <w:szCs w:val="22"/>
        </w:rPr>
      </w:pPr>
      <w:r>
        <w:rPr>
          <w:b/>
          <w:szCs w:val="22"/>
        </w:rPr>
        <w:t xml:space="preserve">DOMESTIC AND INTERNATIONAL SECTION 214 </w:t>
      </w:r>
      <w:r w:rsidRPr="00B62EAC">
        <w:rPr>
          <w:b/>
          <w:szCs w:val="22"/>
        </w:rPr>
        <w:t>APPLICATION</w:t>
      </w:r>
      <w:r>
        <w:rPr>
          <w:b/>
          <w:szCs w:val="22"/>
        </w:rPr>
        <w:t>S</w:t>
      </w:r>
      <w:r w:rsidRPr="00B62EAC">
        <w:rPr>
          <w:b/>
          <w:szCs w:val="22"/>
        </w:rPr>
        <w:t xml:space="preserve"> GRANTED </w:t>
      </w:r>
    </w:p>
    <w:p w:rsidR="000A4711" w:rsidP="000A4711">
      <w:pPr>
        <w:jc w:val="center"/>
        <w:rPr>
          <w:b/>
          <w:bCs/>
          <w:snapToGrid/>
          <w:kern w:val="0"/>
          <w:szCs w:val="22"/>
        </w:rPr>
      </w:pPr>
      <w:r w:rsidRPr="00B62EAC">
        <w:rPr>
          <w:b/>
          <w:bCs/>
          <w:snapToGrid/>
          <w:kern w:val="0"/>
          <w:szCs w:val="22"/>
        </w:rPr>
        <w:t xml:space="preserve">FOR THE TRANSFER OF CONTROL OF </w:t>
      </w:r>
      <w:r>
        <w:rPr>
          <w:b/>
          <w:bCs/>
          <w:snapToGrid/>
          <w:kern w:val="0"/>
          <w:szCs w:val="22"/>
        </w:rPr>
        <w:t xml:space="preserve">YMAX COMMUNICATIONS CORP. </w:t>
      </w:r>
    </w:p>
    <w:p w:rsidR="000A4711" w:rsidRPr="00B62EAC" w:rsidP="000A4711">
      <w:pPr>
        <w:spacing w:after="120"/>
        <w:jc w:val="center"/>
        <w:rPr>
          <w:b/>
          <w:bCs/>
          <w:snapToGrid/>
          <w:kern w:val="0"/>
          <w:szCs w:val="22"/>
        </w:rPr>
      </w:pPr>
      <w:r>
        <w:rPr>
          <w:b/>
          <w:bCs/>
          <w:snapToGrid/>
          <w:kern w:val="0"/>
          <w:szCs w:val="22"/>
        </w:rPr>
        <w:t>TO B. RILEY FINANCIAL, INC.</w:t>
      </w:r>
      <w:r w:rsidRPr="00B62EAC">
        <w:rPr>
          <w:b/>
          <w:bCs/>
          <w:snapToGrid/>
          <w:kern w:val="0"/>
          <w:szCs w:val="22"/>
        </w:rPr>
        <w:t xml:space="preserve"> </w:t>
      </w:r>
    </w:p>
    <w:p w:rsidR="000A4711" w:rsidRPr="00B62EAC" w:rsidP="000A4711">
      <w:pPr>
        <w:widowControl/>
        <w:suppressAutoHyphens/>
        <w:spacing w:after="240"/>
        <w:jc w:val="center"/>
        <w:rPr>
          <w:b/>
          <w:color w:val="000000"/>
          <w:szCs w:val="22"/>
        </w:rPr>
      </w:pPr>
      <w:r w:rsidRPr="00B62EAC">
        <w:rPr>
          <w:b/>
          <w:color w:val="000000"/>
          <w:szCs w:val="22"/>
        </w:rPr>
        <w:t xml:space="preserve">WC </w:t>
      </w:r>
      <w:r>
        <w:rPr>
          <w:b/>
          <w:color w:val="000000"/>
          <w:szCs w:val="22"/>
        </w:rPr>
        <w:t>D</w:t>
      </w:r>
      <w:r w:rsidRPr="00B62EAC">
        <w:rPr>
          <w:b/>
          <w:color w:val="000000"/>
          <w:szCs w:val="22"/>
        </w:rPr>
        <w:t xml:space="preserve">ocket No. </w:t>
      </w:r>
      <w:r>
        <w:rPr>
          <w:b/>
          <w:color w:val="000000"/>
          <w:szCs w:val="22"/>
        </w:rPr>
        <w:t>17-356</w:t>
      </w:r>
    </w:p>
    <w:p w:rsidR="000A4711" w:rsidRPr="00667275" w:rsidP="000A4711">
      <w:pPr>
        <w:widowControl/>
        <w:autoSpaceDE w:val="0"/>
        <w:autoSpaceDN w:val="0"/>
        <w:adjustRightInd w:val="0"/>
        <w:spacing w:after="120"/>
        <w:ind w:firstLine="720"/>
        <w:rPr>
          <w:snapToGrid/>
          <w:color w:val="0D0D0D"/>
          <w:kern w:val="0"/>
          <w:szCs w:val="22"/>
        </w:rPr>
      </w:pPr>
      <w:r w:rsidRPr="00667275">
        <w:rPr>
          <w:snapToGrid/>
          <w:color w:val="0D0D0D"/>
          <w:kern w:val="0"/>
          <w:szCs w:val="22"/>
        </w:rPr>
        <w:t xml:space="preserve">By this Public Notice, the Wireline Competition Bureau (WCB) and the International Bureau (IB, together, Bureaus) grant </w:t>
      </w:r>
      <w:r w:rsidRPr="00667275">
        <w:rPr>
          <w:color w:val="0D0D0D"/>
          <w:szCs w:val="22"/>
        </w:rPr>
        <w:t xml:space="preserve">the </w:t>
      </w:r>
      <w:r>
        <w:rPr>
          <w:color w:val="0D0D0D"/>
          <w:szCs w:val="22"/>
        </w:rPr>
        <w:t>A</w:t>
      </w:r>
      <w:r w:rsidRPr="00667275">
        <w:rPr>
          <w:color w:val="0D0D0D"/>
          <w:szCs w:val="22"/>
        </w:rPr>
        <w:t>pplications listed in</w:t>
      </w:r>
      <w:r w:rsidRPr="00741964">
        <w:rPr>
          <w:color w:val="0D0D0D"/>
          <w:szCs w:val="22"/>
        </w:rPr>
        <w:t xml:space="preserve"> the</w:t>
      </w:r>
      <w:r w:rsidRPr="00667275">
        <w:rPr>
          <w:color w:val="0D0D0D"/>
          <w:szCs w:val="22"/>
        </w:rPr>
        <w:t xml:space="preserve"> Appendix to this Public Notice filed by magicJack </w:t>
      </w:r>
      <w:r w:rsidRPr="00667275">
        <w:rPr>
          <w:color w:val="0D0D0D"/>
          <w:szCs w:val="22"/>
        </w:rPr>
        <w:t>VocalTec</w:t>
      </w:r>
      <w:r w:rsidRPr="00667275">
        <w:rPr>
          <w:color w:val="0D0D0D"/>
          <w:szCs w:val="22"/>
        </w:rPr>
        <w:t xml:space="preserve"> Ltd. (Transferor) and B. Riley Financial, Inc. (Transferee) (together, Applicants), </w:t>
      </w:r>
      <w:r w:rsidRPr="00667275">
        <w:rPr>
          <w:snapToGrid/>
          <w:color w:val="0D0D0D"/>
          <w:kern w:val="0"/>
          <w:szCs w:val="22"/>
        </w:rPr>
        <w:t xml:space="preserve">pursuant to </w:t>
      </w:r>
      <w:r>
        <w:rPr>
          <w:snapToGrid/>
          <w:color w:val="0D0D0D"/>
          <w:kern w:val="0"/>
          <w:szCs w:val="22"/>
        </w:rPr>
        <w:t>s</w:t>
      </w:r>
      <w:r w:rsidRPr="00667275">
        <w:rPr>
          <w:snapToGrid/>
          <w:color w:val="0D0D0D"/>
          <w:kern w:val="0"/>
          <w:szCs w:val="22"/>
        </w:rPr>
        <w:t xml:space="preserve">ection 214 of the Act, and </w:t>
      </w:r>
      <w:r>
        <w:rPr>
          <w:snapToGrid/>
          <w:color w:val="0D0D0D"/>
          <w:kern w:val="0"/>
          <w:szCs w:val="22"/>
        </w:rPr>
        <w:t>s</w:t>
      </w:r>
      <w:r w:rsidRPr="00667275">
        <w:rPr>
          <w:snapToGrid/>
          <w:color w:val="0D0D0D"/>
          <w:kern w:val="0"/>
          <w:szCs w:val="22"/>
        </w:rPr>
        <w:t>ections 63.03-04, 63.18, and 63.24 of the Commission’s rules,</w:t>
      </w:r>
      <w:r>
        <w:rPr>
          <w:snapToGrid/>
          <w:color w:val="0D0D0D"/>
          <w:kern w:val="0"/>
          <w:szCs w:val="22"/>
          <w:vertAlign w:val="superscript"/>
        </w:rPr>
        <w:footnoteReference w:id="3"/>
      </w:r>
      <w:r w:rsidRPr="00667275">
        <w:rPr>
          <w:snapToGrid/>
          <w:color w:val="0D0D0D"/>
          <w:kern w:val="0"/>
          <w:szCs w:val="22"/>
        </w:rPr>
        <w:t xml:space="preserve"> seeking approval to transfer control </w:t>
      </w:r>
      <w:r w:rsidRPr="00667275">
        <w:rPr>
          <w:color w:val="0D0D0D"/>
          <w:szCs w:val="22"/>
        </w:rPr>
        <w:t xml:space="preserve">of Transferor’s subsidiaries, </w:t>
      </w:r>
      <w:r w:rsidRPr="00667275">
        <w:rPr>
          <w:color w:val="0D0D0D"/>
          <w:szCs w:val="22"/>
        </w:rPr>
        <w:t>YMax</w:t>
      </w:r>
      <w:r w:rsidRPr="00667275">
        <w:rPr>
          <w:color w:val="0D0D0D"/>
          <w:szCs w:val="22"/>
        </w:rPr>
        <w:t xml:space="preserve"> Communications Corp. (</w:t>
      </w:r>
      <w:r w:rsidRPr="00667275">
        <w:rPr>
          <w:color w:val="0D0D0D"/>
          <w:szCs w:val="22"/>
        </w:rPr>
        <w:t>YMax</w:t>
      </w:r>
      <w:r w:rsidRPr="00667275">
        <w:rPr>
          <w:color w:val="0D0D0D"/>
          <w:szCs w:val="22"/>
        </w:rPr>
        <w:t xml:space="preserve">), magicJack SMB, Inc. (MJSMB), and </w:t>
      </w:r>
      <w:r w:rsidRPr="00667275">
        <w:rPr>
          <w:color w:val="0D0D0D"/>
          <w:szCs w:val="22"/>
        </w:rPr>
        <w:t>Broadsmart</w:t>
      </w:r>
      <w:r w:rsidRPr="00667275">
        <w:rPr>
          <w:color w:val="0D0D0D"/>
          <w:szCs w:val="22"/>
        </w:rPr>
        <w:t xml:space="preserve"> Global, Inc. (</w:t>
      </w:r>
      <w:r w:rsidRPr="00667275">
        <w:rPr>
          <w:color w:val="0D0D0D"/>
          <w:szCs w:val="22"/>
        </w:rPr>
        <w:t>Broadsmart</w:t>
      </w:r>
      <w:r w:rsidRPr="00667275">
        <w:rPr>
          <w:color w:val="0D0D0D"/>
          <w:szCs w:val="22"/>
        </w:rPr>
        <w:t xml:space="preserve">, with </w:t>
      </w:r>
      <w:r w:rsidRPr="00667275">
        <w:rPr>
          <w:color w:val="0D0D0D"/>
          <w:szCs w:val="22"/>
        </w:rPr>
        <w:t>YMax</w:t>
      </w:r>
      <w:r w:rsidRPr="00667275">
        <w:rPr>
          <w:color w:val="0D0D0D"/>
          <w:szCs w:val="22"/>
        </w:rPr>
        <w:t xml:space="preserve"> and MJSMB</w:t>
      </w:r>
      <w:r>
        <w:rPr>
          <w:color w:val="0D0D0D"/>
          <w:szCs w:val="22"/>
        </w:rPr>
        <w:t>,</w:t>
      </w:r>
      <w:r w:rsidRPr="00667275">
        <w:rPr>
          <w:color w:val="0D0D0D"/>
          <w:szCs w:val="22"/>
        </w:rPr>
        <w:t xml:space="preserve"> Licensees) to Transferee.</w:t>
      </w:r>
      <w:r w:rsidRPr="00667275">
        <w:rPr>
          <w:snapToGrid/>
          <w:color w:val="0D0D0D"/>
          <w:kern w:val="0"/>
          <w:szCs w:val="22"/>
        </w:rPr>
        <w:t xml:space="preserve">     </w:t>
      </w:r>
    </w:p>
    <w:p w:rsidR="000A4711" w:rsidRPr="00667275" w:rsidP="000A4711">
      <w:pPr>
        <w:widowControl/>
        <w:autoSpaceDE w:val="0"/>
        <w:autoSpaceDN w:val="0"/>
        <w:adjustRightInd w:val="0"/>
        <w:spacing w:after="120"/>
        <w:ind w:firstLine="720"/>
        <w:rPr>
          <w:color w:val="0D0D0D"/>
          <w:szCs w:val="22"/>
        </w:rPr>
      </w:pPr>
      <w:r w:rsidRPr="00667275">
        <w:rPr>
          <w:snapToGrid/>
          <w:color w:val="0D0D0D"/>
          <w:kern w:val="0"/>
          <w:szCs w:val="22"/>
        </w:rPr>
        <w:t xml:space="preserve">Transferor, a publicly traded company incorporated under the laws of Israel, provides Voice over Internet Protocol (VoIP) services and wholly owns </w:t>
      </w:r>
      <w:r w:rsidRPr="00667275">
        <w:rPr>
          <w:snapToGrid/>
          <w:color w:val="0D0D0D"/>
          <w:kern w:val="0"/>
          <w:szCs w:val="22"/>
        </w:rPr>
        <w:t>YMax</w:t>
      </w:r>
      <w:r w:rsidRPr="00667275">
        <w:rPr>
          <w:snapToGrid/>
          <w:color w:val="0D0D0D"/>
          <w:kern w:val="0"/>
          <w:szCs w:val="22"/>
        </w:rPr>
        <w:t xml:space="preserve"> Corporation (</w:t>
      </w:r>
      <w:r w:rsidRPr="00667275">
        <w:rPr>
          <w:snapToGrid/>
          <w:color w:val="0D0D0D"/>
          <w:kern w:val="0"/>
          <w:szCs w:val="22"/>
        </w:rPr>
        <w:t>YMax</w:t>
      </w:r>
      <w:r w:rsidRPr="00667275">
        <w:rPr>
          <w:snapToGrid/>
          <w:color w:val="0D0D0D"/>
          <w:kern w:val="0"/>
          <w:szCs w:val="22"/>
        </w:rPr>
        <w:t xml:space="preserve"> Corp.), a Delaware corporation that in turn wholly owns </w:t>
      </w:r>
      <w:r w:rsidRPr="00667275">
        <w:rPr>
          <w:snapToGrid/>
          <w:color w:val="0D0D0D"/>
          <w:kern w:val="0"/>
          <w:szCs w:val="22"/>
        </w:rPr>
        <w:t>YMax</w:t>
      </w:r>
      <w:r w:rsidRPr="00667275">
        <w:rPr>
          <w:snapToGrid/>
          <w:color w:val="0D0D0D"/>
          <w:kern w:val="0"/>
          <w:szCs w:val="22"/>
        </w:rPr>
        <w:t>.</w:t>
      </w:r>
      <w:r>
        <w:rPr>
          <w:rStyle w:val="FootnoteReference"/>
          <w:snapToGrid/>
          <w:color w:val="0D0D0D"/>
          <w:kern w:val="0"/>
          <w:szCs w:val="22"/>
        </w:rPr>
        <w:footnoteReference w:id="4"/>
      </w:r>
      <w:r w:rsidRPr="00667275">
        <w:rPr>
          <w:snapToGrid/>
          <w:color w:val="0D0D0D"/>
          <w:kern w:val="0"/>
          <w:szCs w:val="22"/>
        </w:rPr>
        <w:t xml:space="preserve">  </w:t>
      </w:r>
      <w:r w:rsidRPr="00667275">
        <w:rPr>
          <w:snapToGrid/>
          <w:color w:val="0D0D0D"/>
          <w:kern w:val="0"/>
          <w:szCs w:val="22"/>
        </w:rPr>
        <w:t>YMax</w:t>
      </w:r>
      <w:r w:rsidRPr="00667275">
        <w:rPr>
          <w:snapToGrid/>
          <w:color w:val="0D0D0D"/>
          <w:kern w:val="0"/>
          <w:szCs w:val="22"/>
        </w:rPr>
        <w:t xml:space="preserve"> is a Delaware corporation that is authorized to operate as a competitive local exchange carrier and long distance carrier in</w:t>
      </w:r>
      <w:r>
        <w:rPr>
          <w:snapToGrid/>
          <w:color w:val="0D0D0D"/>
          <w:kern w:val="0"/>
          <w:szCs w:val="22"/>
        </w:rPr>
        <w:t xml:space="preserve"> 49 states and</w:t>
      </w:r>
      <w:r w:rsidRPr="00667275">
        <w:rPr>
          <w:snapToGrid/>
          <w:color w:val="0D0D0D"/>
          <w:kern w:val="0"/>
          <w:szCs w:val="22"/>
        </w:rPr>
        <w:t xml:space="preserve"> </w:t>
      </w:r>
      <w:r>
        <w:rPr>
          <w:snapToGrid/>
          <w:color w:val="0D0D0D"/>
          <w:kern w:val="0"/>
          <w:szCs w:val="22"/>
        </w:rPr>
        <w:t>the District of Columbia</w:t>
      </w:r>
      <w:r w:rsidRPr="00667275">
        <w:rPr>
          <w:snapToGrid/>
          <w:color w:val="0D0D0D"/>
          <w:kern w:val="0"/>
          <w:szCs w:val="22"/>
        </w:rPr>
        <w:t>.</w:t>
      </w:r>
      <w:r>
        <w:rPr>
          <w:rStyle w:val="FootnoteReference"/>
          <w:snapToGrid/>
          <w:color w:val="0D0D0D"/>
          <w:kern w:val="0"/>
          <w:szCs w:val="22"/>
        </w:rPr>
        <w:footnoteReference w:id="5"/>
      </w:r>
      <w:r w:rsidRPr="00667275">
        <w:rPr>
          <w:snapToGrid/>
          <w:color w:val="0D0D0D"/>
          <w:kern w:val="0"/>
          <w:szCs w:val="22"/>
        </w:rPr>
        <w:t xml:space="preserve">  MJSMB and </w:t>
      </w:r>
      <w:r w:rsidRPr="00667275">
        <w:rPr>
          <w:color w:val="0D0D0D"/>
          <w:szCs w:val="22"/>
        </w:rPr>
        <w:t>Broadsmart</w:t>
      </w:r>
      <w:r w:rsidRPr="00667275">
        <w:rPr>
          <w:color w:val="0D0D0D"/>
          <w:szCs w:val="22"/>
        </w:rPr>
        <w:t xml:space="preserve">, both Florida corporations, provide VoIP services and are wholly owned subsidiaries of </w:t>
      </w:r>
      <w:r w:rsidRPr="00667275">
        <w:rPr>
          <w:color w:val="0D0D0D"/>
          <w:szCs w:val="22"/>
        </w:rPr>
        <w:t>YMax</w:t>
      </w:r>
      <w:r w:rsidRPr="00667275">
        <w:rPr>
          <w:color w:val="0D0D0D"/>
          <w:szCs w:val="22"/>
        </w:rPr>
        <w:t xml:space="preserve"> Corp.</w:t>
      </w:r>
      <w:r>
        <w:rPr>
          <w:rStyle w:val="FootnoteReference"/>
          <w:color w:val="0D0D0D"/>
          <w:szCs w:val="22"/>
        </w:rPr>
        <w:footnoteReference w:id="6"/>
      </w:r>
      <w:r w:rsidRPr="00667275">
        <w:rPr>
          <w:color w:val="0D0D0D"/>
          <w:szCs w:val="22"/>
        </w:rPr>
        <w:t xml:space="preserve">   </w:t>
      </w:r>
    </w:p>
    <w:p w:rsidR="000A4711" w:rsidRPr="00667275" w:rsidP="000A4711">
      <w:pPr>
        <w:widowControl/>
        <w:autoSpaceDE w:val="0"/>
        <w:autoSpaceDN w:val="0"/>
        <w:adjustRightInd w:val="0"/>
        <w:spacing w:after="120"/>
        <w:ind w:firstLine="720"/>
        <w:rPr>
          <w:color w:val="0D0D0D"/>
          <w:szCs w:val="22"/>
        </w:rPr>
      </w:pPr>
      <w:r w:rsidRPr="00667275">
        <w:rPr>
          <w:color w:val="0D0D0D"/>
          <w:szCs w:val="22"/>
        </w:rPr>
        <w:t>Transferee is a publicly traded California financial services company and operates through several wholly owned subsidiaries, including B. Riley Principal Investments, LLC (BRPI), a Delaware company.</w:t>
      </w:r>
      <w:r>
        <w:rPr>
          <w:rStyle w:val="FootnoteReference"/>
          <w:color w:val="0D0D0D"/>
          <w:szCs w:val="22"/>
        </w:rPr>
        <w:footnoteReference w:id="7"/>
      </w:r>
      <w:r w:rsidRPr="00667275">
        <w:rPr>
          <w:color w:val="0D0D0D"/>
          <w:szCs w:val="22"/>
        </w:rPr>
        <w:t xml:space="preserve">  Mr. Bryant Riley, a U.S. citizen, owns approximately 16 percent of Transferee.</w:t>
      </w:r>
      <w:r>
        <w:rPr>
          <w:rStyle w:val="FootnoteReference"/>
          <w:color w:val="0D0D0D"/>
          <w:szCs w:val="22"/>
        </w:rPr>
        <w:footnoteReference w:id="8"/>
      </w:r>
    </w:p>
    <w:p w:rsidR="000A4711" w:rsidRPr="00667275" w:rsidP="000A4711">
      <w:pPr>
        <w:widowControl/>
        <w:autoSpaceDE w:val="0"/>
        <w:autoSpaceDN w:val="0"/>
        <w:adjustRightInd w:val="0"/>
        <w:spacing w:after="120"/>
        <w:ind w:firstLine="720"/>
        <w:rPr>
          <w:snapToGrid/>
          <w:color w:val="0D0D0D"/>
          <w:kern w:val="0"/>
          <w:szCs w:val="22"/>
        </w:rPr>
      </w:pPr>
      <w:r w:rsidRPr="00667275">
        <w:rPr>
          <w:color w:val="0D0D0D"/>
          <w:szCs w:val="22"/>
        </w:rPr>
        <w:t xml:space="preserve">To effectuate the proposed transaction, </w:t>
      </w:r>
      <w:r>
        <w:rPr>
          <w:color w:val="0D0D0D"/>
          <w:szCs w:val="22"/>
        </w:rPr>
        <w:t>B. Riley</w:t>
      </w:r>
      <w:r w:rsidRPr="00667275">
        <w:rPr>
          <w:color w:val="0D0D0D"/>
          <w:szCs w:val="22"/>
        </w:rPr>
        <w:t xml:space="preserve"> formed </w:t>
      </w:r>
      <w:r w:rsidRPr="00667275">
        <w:rPr>
          <w:color w:val="0D0D0D"/>
        </w:rPr>
        <w:t>BRPI Acquisition Co LLC (BRPI Acquisition), a new U.S. holding company and wholly owned direct subsidiary of BRPI.</w:t>
      </w:r>
      <w:r>
        <w:rPr>
          <w:rStyle w:val="FootnoteReference"/>
          <w:color w:val="0D0D0D"/>
        </w:rPr>
        <w:footnoteReference w:id="9"/>
      </w:r>
      <w:r w:rsidRPr="00667275">
        <w:rPr>
          <w:color w:val="0D0D0D"/>
        </w:rPr>
        <w:t xml:space="preserve">  Upon closing </w:t>
      </w:r>
      <w:r w:rsidRPr="00667275">
        <w:rPr>
          <w:color w:val="0D0D0D"/>
        </w:rPr>
        <w:t xml:space="preserve">of the transaction and as an intermediate step, Transferor will become a wholly owned direct subsidiary of BRPI, and </w:t>
      </w:r>
      <w:r w:rsidRPr="00667275">
        <w:rPr>
          <w:color w:val="0D0D0D"/>
        </w:rPr>
        <w:t>YMax</w:t>
      </w:r>
      <w:r w:rsidRPr="00667275">
        <w:rPr>
          <w:color w:val="0D0D0D"/>
        </w:rPr>
        <w:t xml:space="preserve">, MJSMB, and </w:t>
      </w:r>
      <w:r w:rsidRPr="00667275">
        <w:rPr>
          <w:color w:val="0D0D0D"/>
        </w:rPr>
        <w:t>Broadsmart</w:t>
      </w:r>
      <w:r w:rsidRPr="00667275">
        <w:rPr>
          <w:color w:val="0D0D0D"/>
        </w:rPr>
        <w:t xml:space="preserve"> will become wholly owned, indirect subsidiaries of Transferee through </w:t>
      </w:r>
      <w:r w:rsidRPr="00667275">
        <w:rPr>
          <w:color w:val="0D0D0D"/>
        </w:rPr>
        <w:t>YMax</w:t>
      </w:r>
      <w:r w:rsidRPr="00667275">
        <w:rPr>
          <w:color w:val="0D0D0D"/>
        </w:rPr>
        <w:t xml:space="preserve"> Corp.</w:t>
      </w:r>
      <w:r>
        <w:rPr>
          <w:rStyle w:val="FootnoteReference"/>
          <w:color w:val="0D0D0D"/>
        </w:rPr>
        <w:footnoteReference w:id="10"/>
      </w:r>
      <w:r w:rsidRPr="00667275">
        <w:rPr>
          <w:color w:val="0D0D0D"/>
        </w:rPr>
        <w:t xml:space="preserve">  Applicants state that no later than one day after closing the transaction, Transferee will undertake an internal reorganization pursuant to which </w:t>
      </w:r>
      <w:r w:rsidRPr="00667275">
        <w:rPr>
          <w:color w:val="0D0D0D"/>
        </w:rPr>
        <w:t>YMax</w:t>
      </w:r>
      <w:r w:rsidRPr="00667275">
        <w:rPr>
          <w:color w:val="0D0D0D"/>
        </w:rPr>
        <w:t xml:space="preserve"> Corp. will become a wholly owned direct subsidiary of BRPI Acquisition (instead of remaining a wholly owned direct subsidiary of Transferor).</w:t>
      </w:r>
      <w:r>
        <w:rPr>
          <w:rStyle w:val="FootnoteReference"/>
          <w:color w:val="0D0D0D"/>
        </w:rPr>
        <w:footnoteReference w:id="11"/>
      </w:r>
      <w:r w:rsidRPr="00667275">
        <w:rPr>
          <w:color w:val="0D0D0D"/>
        </w:rPr>
        <w:t xml:space="preserve">  </w:t>
      </w:r>
      <w:r w:rsidRPr="00667275">
        <w:rPr>
          <w:color w:val="0D0D0D"/>
        </w:rPr>
        <w:t>YMax</w:t>
      </w:r>
      <w:r w:rsidRPr="00667275">
        <w:rPr>
          <w:color w:val="0D0D0D"/>
        </w:rPr>
        <w:t xml:space="preserve">, MJSMB, and </w:t>
      </w:r>
      <w:r w:rsidRPr="00667275">
        <w:rPr>
          <w:color w:val="0D0D0D"/>
        </w:rPr>
        <w:t>Broadsmart</w:t>
      </w:r>
      <w:r w:rsidRPr="00667275">
        <w:rPr>
          <w:color w:val="0D0D0D"/>
        </w:rPr>
        <w:t xml:space="preserve"> will continue to be wholly owned indirect subsidiaries of Transferee through </w:t>
      </w:r>
      <w:r w:rsidRPr="00667275">
        <w:rPr>
          <w:color w:val="0D0D0D"/>
        </w:rPr>
        <w:t>YMax</w:t>
      </w:r>
      <w:r w:rsidRPr="00667275">
        <w:rPr>
          <w:color w:val="0D0D0D"/>
        </w:rPr>
        <w:t xml:space="preserve"> Corp, BRPI Acquisition, and BRPI, without any intervening ownership of Transferor.</w:t>
      </w:r>
      <w:r>
        <w:rPr>
          <w:rStyle w:val="FootnoteReference"/>
          <w:color w:val="0D0D0D"/>
        </w:rPr>
        <w:footnoteReference w:id="12"/>
      </w:r>
      <w:r w:rsidRPr="00667275">
        <w:rPr>
          <w:color w:val="0D0D0D"/>
        </w:rPr>
        <w:t xml:space="preserve">  Transferor will become a separate, wholly owned subsidiary of BRPI Acquisition and will eventually be dissolved.</w:t>
      </w:r>
      <w:r>
        <w:rPr>
          <w:rStyle w:val="FootnoteReference"/>
          <w:color w:val="0D0D0D"/>
        </w:rPr>
        <w:footnoteReference w:id="13"/>
      </w:r>
      <w:r w:rsidRPr="00667275">
        <w:rPr>
          <w:color w:val="0D0D0D"/>
        </w:rPr>
        <w:t xml:space="preserve">  Applicants attest that, after the reorganization, all entities and individuals that hold a 10 percent or greater ownership interest in </w:t>
      </w:r>
      <w:r w:rsidRPr="00667275">
        <w:rPr>
          <w:color w:val="0D0D0D"/>
        </w:rPr>
        <w:t>YMax</w:t>
      </w:r>
      <w:r w:rsidRPr="00667275">
        <w:rPr>
          <w:color w:val="0D0D0D"/>
        </w:rPr>
        <w:t xml:space="preserve">, MJSMB, and </w:t>
      </w:r>
      <w:r w:rsidRPr="00667275">
        <w:rPr>
          <w:color w:val="0D0D0D"/>
        </w:rPr>
        <w:t>Broadsmart</w:t>
      </w:r>
      <w:r w:rsidRPr="00667275">
        <w:rPr>
          <w:color w:val="0D0D0D"/>
        </w:rPr>
        <w:t xml:space="preserve"> will be U.S. companies or U.S. citizens.</w:t>
      </w:r>
      <w:r>
        <w:rPr>
          <w:rStyle w:val="FootnoteReference"/>
          <w:color w:val="0D0D0D"/>
        </w:rPr>
        <w:footnoteReference w:id="14"/>
      </w:r>
      <w:r w:rsidRPr="00667275">
        <w:rPr>
          <w:color w:val="0D0D0D"/>
        </w:rPr>
        <w:t xml:space="preserve">  </w:t>
      </w:r>
    </w:p>
    <w:p w:rsidR="000A4711" w:rsidRPr="00667275" w:rsidP="000A4711">
      <w:pPr>
        <w:spacing w:after="120"/>
        <w:ind w:firstLine="720"/>
        <w:rPr>
          <w:snapToGrid/>
          <w:color w:val="0D0D0D"/>
          <w:kern w:val="0"/>
          <w:szCs w:val="22"/>
        </w:rPr>
      </w:pPr>
      <w:r w:rsidRPr="00667275">
        <w:rPr>
          <w:color w:val="0D0D0D"/>
          <w:szCs w:val="22"/>
        </w:rPr>
        <w:t>On December 20, 2017, WCB released a Public Notice requesting comment on the Lead Application.</w:t>
      </w:r>
      <w:r>
        <w:rPr>
          <w:color w:val="0D0D0D"/>
          <w:szCs w:val="22"/>
          <w:vertAlign w:val="superscript"/>
        </w:rPr>
        <w:footnoteReference w:id="15"/>
      </w:r>
      <w:r w:rsidRPr="00667275">
        <w:rPr>
          <w:color w:val="0D0D0D"/>
          <w:szCs w:val="22"/>
        </w:rPr>
        <w:t xml:space="preserve">  On December 21, 2017, the Department of Justice (DOJ), the Federal Bureau of Investigation (FBI), the Department of Homeland Security (DHS), and the Department of Defense (DOD) (collectively, the Executive Branch Agencies) filed a letter requesting that the Commission defer action on this proceeding while they completed their review of any national security, law enforcement, and public safety concerns.</w:t>
      </w:r>
      <w:r>
        <w:rPr>
          <w:color w:val="0D0D0D"/>
          <w:szCs w:val="22"/>
          <w:vertAlign w:val="superscript"/>
        </w:rPr>
        <w:footnoteReference w:id="16"/>
      </w:r>
      <w:r w:rsidRPr="00667275">
        <w:rPr>
          <w:color w:val="0D0D0D"/>
          <w:szCs w:val="22"/>
        </w:rPr>
        <w:t xml:space="preserve">  We deferred action in response to the Executive Branch Agencies’ request.</w:t>
      </w:r>
      <w:r>
        <w:rPr>
          <w:rStyle w:val="FootnoteReference"/>
          <w:color w:val="0D0D0D"/>
          <w:szCs w:val="22"/>
        </w:rPr>
        <w:footnoteReference w:id="17"/>
      </w:r>
      <w:r w:rsidRPr="00667275">
        <w:rPr>
          <w:snapToGrid/>
          <w:color w:val="0D0D0D"/>
          <w:kern w:val="0"/>
          <w:szCs w:val="22"/>
        </w:rPr>
        <w:t xml:space="preserve">  </w:t>
      </w:r>
    </w:p>
    <w:p w:rsidR="000A4711" w:rsidRPr="00667275" w:rsidP="00C85B9C">
      <w:pPr>
        <w:widowControl/>
        <w:spacing w:after="120"/>
        <w:ind w:firstLine="720"/>
        <w:rPr>
          <w:color w:val="0D0D0D"/>
          <w:szCs w:val="22"/>
        </w:rPr>
      </w:pPr>
      <w:r w:rsidRPr="00667275">
        <w:rPr>
          <w:color w:val="0D0D0D"/>
          <w:szCs w:val="22"/>
        </w:rPr>
        <w:t>On August 15, 2018, DOJ, to include its components, the National Security Division, and the FBI</w:t>
      </w:r>
      <w:r w:rsidR="008F43FF">
        <w:rPr>
          <w:color w:val="0D0D0D"/>
          <w:szCs w:val="22"/>
        </w:rPr>
        <w:t xml:space="preserve">, submitted a </w:t>
      </w:r>
      <w:r w:rsidRPr="00667275">
        <w:rPr>
          <w:bCs/>
          <w:color w:val="0D0D0D"/>
          <w:szCs w:val="22"/>
        </w:rPr>
        <w:t>Petition to</w:t>
      </w:r>
      <w:r w:rsidR="008F43FF">
        <w:rPr>
          <w:color w:val="0D0D0D"/>
          <w:szCs w:val="22"/>
        </w:rPr>
        <w:t xml:space="preserve"> </w:t>
      </w:r>
      <w:r w:rsidRPr="00667275">
        <w:rPr>
          <w:bCs/>
          <w:color w:val="0D0D0D"/>
          <w:szCs w:val="22"/>
        </w:rPr>
        <w:t>Adopt</w:t>
      </w:r>
      <w:r w:rsidR="008F43FF">
        <w:rPr>
          <w:color w:val="0D0D0D"/>
          <w:szCs w:val="22"/>
        </w:rPr>
        <w:t xml:space="preserve"> </w:t>
      </w:r>
      <w:r w:rsidRPr="00667275">
        <w:rPr>
          <w:bCs/>
          <w:color w:val="0D0D0D"/>
          <w:szCs w:val="22"/>
        </w:rPr>
        <w:t>Conditions</w:t>
      </w:r>
      <w:r w:rsidR="008F43FF">
        <w:rPr>
          <w:color w:val="0D0D0D"/>
          <w:szCs w:val="22"/>
        </w:rPr>
        <w:t xml:space="preserve"> </w:t>
      </w:r>
      <w:r w:rsidRPr="00667275">
        <w:rPr>
          <w:color w:val="0D0D0D"/>
          <w:szCs w:val="22"/>
        </w:rPr>
        <w:t>to Authorizations and Licenses (Petition).</w:t>
      </w:r>
      <w:r>
        <w:rPr>
          <w:rStyle w:val="FootnoteReference"/>
          <w:color w:val="0D0D0D"/>
          <w:szCs w:val="22"/>
        </w:rPr>
        <w:footnoteReference w:id="18"/>
      </w:r>
      <w:r w:rsidR="008F43FF">
        <w:rPr>
          <w:color w:val="0D0D0D"/>
          <w:szCs w:val="22"/>
        </w:rPr>
        <w:t xml:space="preserve">  </w:t>
      </w:r>
      <w:r w:rsidRPr="00667275">
        <w:rPr>
          <w:color w:val="0D0D0D"/>
          <w:szCs w:val="22"/>
        </w:rPr>
        <w:t xml:space="preserve">In the Petition, DOJ advises the Commission that DOJ has no objection to the Commission approving the authority sought in this proceeding, provided the Commission conditions its approval on the assurance of </w:t>
      </w:r>
      <w:r w:rsidRPr="00667275">
        <w:rPr>
          <w:color w:val="0D0D0D"/>
          <w:szCs w:val="22"/>
        </w:rPr>
        <w:t>Transferee to abide by the commitments and undertakings set forth in the August 13, 2018 Declaration of Transferee (Declaration) and Letter of Agreement (LOA) between Transferee and DOJ.</w:t>
      </w:r>
      <w:r>
        <w:rPr>
          <w:rStyle w:val="FootnoteReference"/>
          <w:color w:val="0D0D0D"/>
          <w:szCs w:val="22"/>
        </w:rPr>
        <w:footnoteReference w:id="19"/>
      </w:r>
      <w:bookmarkStart w:id="3" w:name="SearchTerm"/>
    </w:p>
    <w:p w:rsidR="000A4711" w:rsidP="000A4711">
      <w:pPr>
        <w:spacing w:after="120"/>
        <w:ind w:firstLine="720"/>
        <w:rPr>
          <w:color w:val="0D0D0D"/>
          <w:szCs w:val="22"/>
        </w:rPr>
      </w:pPr>
      <w:r w:rsidRPr="00667275">
        <w:rPr>
          <w:color w:val="0D0D0D"/>
          <w:szCs w:val="22"/>
        </w:rPr>
        <w:t xml:space="preserve">The Bureaus find, upon consideration of the record, that grant of the </w:t>
      </w:r>
      <w:r>
        <w:rPr>
          <w:color w:val="0D0D0D"/>
          <w:szCs w:val="22"/>
        </w:rPr>
        <w:t>A</w:t>
      </w:r>
      <w:r w:rsidRPr="00667275">
        <w:rPr>
          <w:color w:val="0D0D0D"/>
          <w:szCs w:val="22"/>
        </w:rPr>
        <w:t>pplications, subject to compliance with the Declaration and LOA</w:t>
      </w:r>
      <w:bookmarkStart w:id="4" w:name="SR;414"/>
      <w:bookmarkStart w:id="5" w:name="SR;416"/>
      <w:bookmarkEnd w:id="4"/>
      <w:bookmarkEnd w:id="5"/>
      <w:r w:rsidRPr="00667275">
        <w:rPr>
          <w:color w:val="0D0D0D"/>
          <w:szCs w:val="22"/>
        </w:rPr>
        <w:t>, will serve the public interest, convenience, and necessity.</w:t>
      </w:r>
      <w:r>
        <w:rPr>
          <w:rStyle w:val="FootnoteReference"/>
          <w:color w:val="0D0D0D"/>
          <w:szCs w:val="22"/>
        </w:rPr>
        <w:footnoteReference w:id="20"/>
      </w:r>
      <w:r w:rsidRPr="00667275">
        <w:rPr>
          <w:color w:val="0D0D0D"/>
          <w:szCs w:val="22"/>
        </w:rPr>
        <w:t xml:space="preserve">  Further, consistent with Commission precedent, the Bureau accords the appropriate level of deference to the Executive Branch Agencies’ expertise on national security and law enforcement issues.</w:t>
      </w:r>
      <w:bookmarkStart w:id="6" w:name="FN[FN9]"/>
      <w:bookmarkEnd w:id="6"/>
      <w:r>
        <w:rPr>
          <w:color w:val="0D0D0D"/>
          <w:szCs w:val="22"/>
          <w:vertAlign w:val="superscript"/>
        </w:rPr>
        <w:footnoteReference w:id="21"/>
      </w:r>
      <w:r w:rsidRPr="00667275">
        <w:rPr>
          <w:color w:val="0D0D0D"/>
          <w:szCs w:val="22"/>
        </w:rPr>
        <w:t xml:space="preserve">  A failure to comply with and/or remain in compliance with any of the provisions of the Declaration and LOA shall constitute a failure to meet a condition of this authorization and thus grounds for declaring the underlying authorizations terminated without further action on the part of the Commission.</w:t>
      </w:r>
      <w:r w:rsidR="0021558D">
        <w:rPr>
          <w:color w:val="0D0D0D"/>
          <w:szCs w:val="22"/>
        </w:rPr>
        <w:t xml:space="preserve"> </w:t>
      </w:r>
      <w:r w:rsidRPr="00667275">
        <w:rPr>
          <w:color w:val="0D0D0D"/>
          <w:szCs w:val="22"/>
        </w:rPr>
        <w:t xml:space="preserve"> Failure to meet a condition of this authorization may also result in monetary sanctions or other enforcement action by the Commission.</w:t>
      </w:r>
    </w:p>
    <w:p w:rsidR="000A4711" w:rsidP="000A4711">
      <w:pPr>
        <w:spacing w:after="120"/>
        <w:ind w:firstLine="720"/>
        <w:rPr>
          <w:color w:val="000000"/>
        </w:rPr>
      </w:pPr>
      <w:r>
        <w:rPr>
          <w:color w:val="000000"/>
        </w:rPr>
        <w:t xml:space="preserve">The Bureaus find that approval of the Applications will serve the public interest, convenience, and necessity, and hereby grants the Applications subject to the following condition </w:t>
      </w:r>
      <w:r w:rsidRPr="005B05BB">
        <w:rPr>
          <w:color w:val="0D0D0D"/>
        </w:rPr>
        <w:t>to which the parties to the transaction agree</w:t>
      </w:r>
      <w:r>
        <w:rPr>
          <w:color w:val="0D0D0D"/>
        </w:rPr>
        <w:t>:</w:t>
      </w:r>
      <w:r>
        <w:rPr>
          <w:color w:val="0D0D0D"/>
          <w:szCs w:val="22"/>
          <w:vertAlign w:val="superscript"/>
        </w:rPr>
        <w:footnoteReference w:id="22"/>
      </w:r>
      <w:r>
        <w:rPr>
          <w:color w:val="000000"/>
        </w:rPr>
        <w:t xml:space="preserve">  with respect to magicJack and its successors and assigns, B. Riley shall comply with and cause magicJack and its successors and assigns to comply with any and all final orders or consent decrees associated with any Commission investigation into </w:t>
      </w:r>
      <w:r>
        <w:rPr>
          <w:color w:val="000000"/>
        </w:rPr>
        <w:t>magicJack’s</w:t>
      </w:r>
      <w:r>
        <w:rPr>
          <w:color w:val="000000"/>
        </w:rPr>
        <w:t xml:space="preserve"> compliance with the Act, and the Commission’s rules, including any requirements in such orders or consent decrees to (</w:t>
      </w:r>
      <w:r>
        <w:rPr>
          <w:color w:val="000000"/>
        </w:rPr>
        <w:t>i</w:t>
      </w:r>
      <w:r>
        <w:rPr>
          <w:color w:val="000000"/>
        </w:rPr>
        <w:t xml:space="preserve">) file, report, or otherwise provide any information to </w:t>
      </w:r>
      <w:r w:rsidRPr="00667275">
        <w:rPr>
          <w:color w:val="0D0D0D"/>
        </w:rPr>
        <w:t>the Universal Service Administrative Company (USAC), the Telecommunications Relay Services (TRS) Fund administrator, the Local Number Portability Administrator (LNPA), or the North American Numbering Plan Administrator (NANPA);</w:t>
      </w:r>
      <w:r>
        <w:rPr>
          <w:rStyle w:val="FootnoteReference"/>
          <w:color w:val="0D0D0D"/>
        </w:rPr>
        <w:footnoteReference w:id="23"/>
      </w:r>
      <w:r>
        <w:rPr>
          <w:color w:val="000000"/>
        </w:rPr>
        <w:t xml:space="preserve"> (ii) make payments to USAC as the administrator of the Universal Service Fund, to the TRS Fund administrator, to the LNPA, and to the NANPA; and (iii) pay any forfeiture, voluntary contribution, or civil penalty required by any such order or consent decree; with B. Riley having responsibility for any monetary obligations to the same extent as if it was the named party in such orders or consent decrees; provided, </w:t>
      </w:r>
      <w:r>
        <w:rPr>
          <w:color w:val="000000"/>
        </w:rPr>
        <w:t>however, that B. Riley and magicJack do not waive any rights they have under the Act, the Commission’s rules, or any other law, to oppose or otherwise respond to any enforcement action, resulting determination of liability, if any, or billing and collection claims by authorized entities.</w:t>
      </w:r>
    </w:p>
    <w:p w:rsidR="000A4711" w:rsidRPr="00667275" w:rsidP="000A4711">
      <w:pPr>
        <w:spacing w:after="120"/>
        <w:ind w:firstLine="720"/>
        <w:rPr>
          <w:color w:val="0D0D0D"/>
          <w:szCs w:val="22"/>
        </w:rPr>
      </w:pPr>
      <w:bookmarkStart w:id="7" w:name="sp_999_1"/>
      <w:bookmarkStart w:id="8" w:name="SDU_1"/>
      <w:bookmarkEnd w:id="7"/>
      <w:bookmarkEnd w:id="8"/>
      <w:r w:rsidRPr="00667275">
        <w:rPr>
          <w:color w:val="0D0D0D"/>
          <w:szCs w:val="22"/>
        </w:rPr>
        <w:t xml:space="preserve">Accordingly, having reviewed the </w:t>
      </w:r>
      <w:r>
        <w:rPr>
          <w:color w:val="0D0D0D"/>
          <w:szCs w:val="22"/>
        </w:rPr>
        <w:t>A</w:t>
      </w:r>
      <w:r w:rsidRPr="00667275">
        <w:rPr>
          <w:color w:val="0D0D0D"/>
          <w:szCs w:val="22"/>
        </w:rPr>
        <w:t>pplications</w:t>
      </w:r>
      <w:r w:rsidR="002618F0">
        <w:rPr>
          <w:color w:val="0D0D0D"/>
          <w:szCs w:val="22"/>
        </w:rPr>
        <w:t xml:space="preserve"> and the record in this matter, </w:t>
      </w:r>
      <w:r w:rsidRPr="00667275">
        <w:rPr>
          <w:color w:val="0D0D0D"/>
          <w:szCs w:val="22"/>
        </w:rPr>
        <w:t>purs</w:t>
      </w:r>
      <w:r w:rsidR="002618F0">
        <w:rPr>
          <w:color w:val="0D0D0D"/>
          <w:szCs w:val="22"/>
        </w:rPr>
        <w:t xml:space="preserve">uant to section 214 of the Act, </w:t>
      </w:r>
      <w:r w:rsidRPr="00667275">
        <w:rPr>
          <w:color w:val="0D0D0D"/>
          <w:szCs w:val="22"/>
        </w:rPr>
        <w:t>47 U.S.C. § 214, and sections 0.51</w:t>
      </w:r>
      <w:r>
        <w:rPr>
          <w:color w:val="0D0D0D"/>
          <w:szCs w:val="22"/>
        </w:rPr>
        <w:t>,</w:t>
      </w:r>
      <w:r w:rsidRPr="00667275">
        <w:rPr>
          <w:color w:val="0D0D0D"/>
          <w:szCs w:val="22"/>
        </w:rPr>
        <w:t xml:space="preserve"> 0.91, 0.261, 0.291, 63.03, 63.04, 63.18, and 63.24 of the Commission</w:t>
      </w:r>
      <w:r w:rsidR="002618F0">
        <w:rPr>
          <w:color w:val="0D0D0D"/>
          <w:szCs w:val="22"/>
        </w:rPr>
        <w:t xml:space="preserve">'s rules, 47 CFR §§ 0.51, 0.91, </w:t>
      </w:r>
      <w:r w:rsidRPr="00667275">
        <w:rPr>
          <w:color w:val="0D0D0D"/>
          <w:szCs w:val="22"/>
        </w:rPr>
        <w:t>0.261, 0.291,</w:t>
      </w:r>
      <w:r w:rsidRPr="00667275" w:rsidR="002618F0">
        <w:rPr>
          <w:color w:val="0D0D0D"/>
          <w:szCs w:val="22"/>
        </w:rPr>
        <w:t xml:space="preserve"> </w:t>
      </w:r>
      <w:r w:rsidRPr="00667275">
        <w:rPr>
          <w:color w:val="0D0D0D"/>
          <w:szCs w:val="22"/>
        </w:rPr>
        <w:t xml:space="preserve">63.03, 63.04, 63.18, and 63.24, the Bureaus hereby grant the </w:t>
      </w:r>
      <w:r>
        <w:rPr>
          <w:color w:val="0D0D0D"/>
          <w:szCs w:val="22"/>
        </w:rPr>
        <w:t>A</w:t>
      </w:r>
      <w:r w:rsidRPr="00667275">
        <w:rPr>
          <w:color w:val="0D0D0D"/>
          <w:szCs w:val="22"/>
        </w:rPr>
        <w:t xml:space="preserve">pplications discussed in this Public Notice subject to compliance with the Declaration and LOA and with the additional condition described above.  </w:t>
      </w:r>
    </w:p>
    <w:p w:rsidR="000A4711" w:rsidRPr="00667275" w:rsidP="000A4711">
      <w:pPr>
        <w:spacing w:after="120"/>
        <w:ind w:firstLine="720"/>
        <w:rPr>
          <w:color w:val="0D0D0D"/>
          <w:szCs w:val="22"/>
        </w:rPr>
      </w:pPr>
      <w:r w:rsidRPr="00667275">
        <w:rPr>
          <w:color w:val="0D0D0D"/>
          <w:szCs w:val="22"/>
        </w:rPr>
        <w:t>Pursuant to section 1.103 of the Commission’s rules, 47 CFR § 1.103, the grant is effective upon release of this Public Notice.</w:t>
      </w:r>
      <w:bookmarkStart w:id="9" w:name="FN[FN11]"/>
      <w:bookmarkEnd w:id="9"/>
      <w:r w:rsidRPr="00667275">
        <w:rPr>
          <w:color w:val="0D0D0D"/>
          <w:szCs w:val="22"/>
        </w:rPr>
        <w:t xml:space="preserve">  Petitions for reconsideration under section 1.106 or applications for review under section 1.115 of the Commission's rules, 47 CFR §§ 1.106, 1.115, may be filed within 30 days of the date of this Public Notice.</w:t>
      </w:r>
      <w:bookmarkStart w:id="10" w:name="FN[FN12]"/>
      <w:bookmarkEnd w:id="10"/>
    </w:p>
    <w:p w:rsidR="000A4711" w:rsidRPr="00667275" w:rsidP="000A4711">
      <w:pPr>
        <w:spacing w:after="120"/>
        <w:ind w:firstLine="720"/>
        <w:rPr>
          <w:color w:val="0D0D0D"/>
          <w:szCs w:val="22"/>
        </w:rPr>
      </w:pPr>
      <w:bookmarkStart w:id="11" w:name="sp_999_2"/>
      <w:bookmarkStart w:id="12" w:name="SDU_2"/>
      <w:bookmarkEnd w:id="3"/>
      <w:bookmarkEnd w:id="11"/>
      <w:bookmarkEnd w:id="12"/>
      <w:r w:rsidRPr="00667275">
        <w:rPr>
          <w:color w:val="0D0D0D"/>
          <w:szCs w:val="22"/>
        </w:rPr>
        <w:t>For further information, please contact Jodie May, Wireline Competition Bureau, (202) 418-0913, or David Krech, International Bureau, (202) 418-7443.</w:t>
      </w:r>
    </w:p>
    <w:p w:rsidR="000A4711" w:rsidP="000A4711">
      <w:pPr>
        <w:ind w:firstLine="720"/>
        <w:jc w:val="center"/>
        <w:rPr>
          <w:b/>
          <w:color w:val="000000"/>
          <w:szCs w:val="22"/>
        </w:rPr>
      </w:pPr>
      <w:r w:rsidRPr="00667275">
        <w:rPr>
          <w:color w:val="0D0D0D"/>
          <w:szCs w:val="22"/>
        </w:rPr>
        <w:br w:type="page"/>
      </w:r>
      <w:r>
        <w:rPr>
          <w:b/>
          <w:color w:val="000000"/>
          <w:szCs w:val="22"/>
        </w:rPr>
        <w:t>APPENDIX</w:t>
      </w:r>
    </w:p>
    <w:p w:rsidR="000A4711" w:rsidP="000A4711">
      <w:pPr>
        <w:keepNext/>
        <w:jc w:val="center"/>
        <w:rPr>
          <w:b/>
          <w:color w:val="000000"/>
          <w:szCs w:val="22"/>
        </w:rPr>
      </w:pPr>
    </w:p>
    <w:p w:rsidR="000A4711" w:rsidRPr="00E01966" w:rsidP="000A4711">
      <w:pPr>
        <w:keepNext/>
        <w:rPr>
          <w:color w:val="000000"/>
          <w:szCs w:val="22"/>
        </w:rPr>
      </w:pPr>
      <w:r w:rsidRPr="00E01966">
        <w:rPr>
          <w:b/>
          <w:color w:val="000000"/>
          <w:szCs w:val="22"/>
        </w:rPr>
        <w:t>SECTION 214 AUTHORIZATIONS</w:t>
      </w:r>
    </w:p>
    <w:p w:rsidR="000A4711" w:rsidRPr="00E01966" w:rsidP="000A4711">
      <w:pPr>
        <w:keepNext/>
        <w:rPr>
          <w:color w:val="000000"/>
          <w:szCs w:val="22"/>
        </w:rPr>
      </w:pPr>
    </w:p>
    <w:p w:rsidR="000A4711" w:rsidRPr="00E01966" w:rsidP="000A4711">
      <w:pPr>
        <w:keepNext/>
        <w:ind w:firstLine="720"/>
        <w:rPr>
          <w:b/>
          <w:color w:val="000000"/>
          <w:szCs w:val="22"/>
        </w:rPr>
      </w:pPr>
      <w:r w:rsidRPr="00E01966">
        <w:rPr>
          <w:b/>
          <w:color w:val="000000"/>
          <w:szCs w:val="22"/>
        </w:rPr>
        <w:t>A.</w:t>
      </w:r>
      <w:r w:rsidRPr="00E01966">
        <w:rPr>
          <w:b/>
          <w:color w:val="000000"/>
          <w:szCs w:val="22"/>
        </w:rPr>
        <w:tab/>
        <w:t>International</w:t>
      </w:r>
    </w:p>
    <w:p w:rsidR="000A4711" w:rsidRPr="00E01966" w:rsidP="000A4711">
      <w:pPr>
        <w:keepNext/>
        <w:rPr>
          <w:color w:val="000000"/>
          <w:szCs w:val="22"/>
        </w:rPr>
      </w:pPr>
    </w:p>
    <w:p w:rsidR="000A4711" w:rsidRPr="00E01966" w:rsidP="000A4711">
      <w:pPr>
        <w:spacing w:after="240"/>
        <w:ind w:firstLine="720"/>
        <w:rPr>
          <w:color w:val="000000"/>
          <w:szCs w:val="22"/>
        </w:rPr>
      </w:pPr>
      <w:r w:rsidRPr="00E01966">
        <w:rPr>
          <w:color w:val="000000"/>
          <w:szCs w:val="22"/>
        </w:rPr>
        <w:t xml:space="preserve">The </w:t>
      </w:r>
      <w:r>
        <w:rPr>
          <w:color w:val="000000"/>
          <w:szCs w:val="22"/>
        </w:rPr>
        <w:t xml:space="preserve">following </w:t>
      </w:r>
      <w:r w:rsidRPr="00E01966">
        <w:rPr>
          <w:color w:val="000000"/>
          <w:szCs w:val="22"/>
        </w:rPr>
        <w:t xml:space="preserve">applications for consent to the transfer of control of the international section 214 authorizations from </w:t>
      </w:r>
      <w:r>
        <w:rPr>
          <w:color w:val="000000"/>
          <w:szCs w:val="22"/>
        </w:rPr>
        <w:t>Transferor to Transferee are granted.</w:t>
      </w:r>
    </w:p>
    <w:tbl>
      <w:tblPr>
        <w:tblW w:w="4898" w:type="pct"/>
        <w:tblCellMar>
          <w:left w:w="115" w:type="dxa"/>
          <w:right w:w="115" w:type="dxa"/>
        </w:tblCellMar>
        <w:tblLook w:val="01E0"/>
      </w:tblPr>
      <w:tblGrid>
        <w:gridCol w:w="2856"/>
        <w:gridCol w:w="3111"/>
        <w:gridCol w:w="3427"/>
      </w:tblGrid>
      <w:tr w:rsidTr="00E57D7F">
        <w:tblPrEx>
          <w:tblW w:w="4898" w:type="pct"/>
          <w:tblCellMar>
            <w:left w:w="115" w:type="dxa"/>
            <w:right w:w="115" w:type="dxa"/>
          </w:tblCellMar>
          <w:tblLook w:val="01E0"/>
        </w:tblPrEx>
        <w:trPr>
          <w:trHeight w:val="495"/>
        </w:trPr>
        <w:tc>
          <w:tcPr>
            <w:tcW w:w="1520" w:type="pct"/>
          </w:tcPr>
          <w:p w:rsidR="000A4711" w:rsidRPr="00E01966" w:rsidP="00E57D7F">
            <w:pPr>
              <w:tabs>
                <w:tab w:val="left" w:pos="100"/>
              </w:tabs>
              <w:rPr>
                <w:b/>
                <w:color w:val="000000"/>
                <w:szCs w:val="22"/>
              </w:rPr>
            </w:pPr>
            <w:r w:rsidRPr="00E01966">
              <w:rPr>
                <w:b/>
                <w:color w:val="000000"/>
                <w:szCs w:val="22"/>
                <w:u w:val="single"/>
              </w:rPr>
              <w:t>File Number</w:t>
            </w:r>
          </w:p>
        </w:tc>
        <w:tc>
          <w:tcPr>
            <w:tcW w:w="1656" w:type="pct"/>
          </w:tcPr>
          <w:p w:rsidR="000A4711" w:rsidRPr="00E01966" w:rsidP="00E57D7F">
            <w:pPr>
              <w:ind w:left="180"/>
              <w:rPr>
                <w:b/>
                <w:color w:val="000000"/>
                <w:szCs w:val="22"/>
              </w:rPr>
            </w:pPr>
            <w:r w:rsidRPr="00E01966">
              <w:rPr>
                <w:b/>
                <w:color w:val="000000"/>
                <w:szCs w:val="22"/>
                <w:u w:val="single"/>
              </w:rPr>
              <w:t>Authorization Holder</w:t>
            </w:r>
          </w:p>
        </w:tc>
        <w:tc>
          <w:tcPr>
            <w:tcW w:w="1824" w:type="pct"/>
          </w:tcPr>
          <w:p w:rsidR="000A4711" w:rsidRPr="00E01966" w:rsidP="00E57D7F">
            <w:pPr>
              <w:rPr>
                <w:b/>
                <w:color w:val="000000"/>
                <w:szCs w:val="22"/>
                <w:u w:val="single"/>
              </w:rPr>
            </w:pPr>
            <w:r w:rsidRPr="00E01966">
              <w:rPr>
                <w:b/>
                <w:color w:val="000000"/>
                <w:szCs w:val="22"/>
                <w:u w:val="single"/>
              </w:rPr>
              <w:t>Authorization Number</w:t>
            </w:r>
          </w:p>
          <w:p w:rsidR="000A4711" w:rsidRPr="00E01966" w:rsidP="00E57D7F">
            <w:pPr>
              <w:rPr>
                <w:b/>
                <w:color w:val="000000"/>
                <w:szCs w:val="22"/>
                <w:u w:val="single"/>
              </w:rPr>
            </w:pPr>
          </w:p>
        </w:tc>
      </w:tr>
      <w:tr w:rsidTr="00E57D7F">
        <w:tblPrEx>
          <w:tblW w:w="4898" w:type="pct"/>
          <w:tblCellMar>
            <w:left w:w="115" w:type="dxa"/>
            <w:right w:w="115" w:type="dxa"/>
          </w:tblCellMar>
          <w:tblLook w:val="01E0"/>
        </w:tblPrEx>
        <w:trPr>
          <w:trHeight w:val="183"/>
        </w:trPr>
        <w:tc>
          <w:tcPr>
            <w:tcW w:w="1520" w:type="pct"/>
          </w:tcPr>
          <w:p w:rsidR="000A4711" w:rsidP="00E57D7F">
            <w:pPr>
              <w:rPr>
                <w:color w:val="000000"/>
                <w:szCs w:val="22"/>
              </w:rPr>
            </w:pPr>
            <w:r>
              <w:t>ITC-T/C-20171213-00221</w:t>
            </w:r>
          </w:p>
          <w:p w:rsidR="000A4711" w:rsidRPr="00E01966" w:rsidP="00E57D7F">
            <w:pPr>
              <w:rPr>
                <w:szCs w:val="22"/>
              </w:rPr>
            </w:pPr>
            <w:r w:rsidRPr="00E01966">
              <w:rPr>
                <w:color w:val="000000"/>
                <w:szCs w:val="22"/>
              </w:rPr>
              <w:t>ITC-T/C-</w:t>
            </w:r>
            <w:r>
              <w:t>20171213-00222</w:t>
            </w:r>
          </w:p>
        </w:tc>
        <w:tc>
          <w:tcPr>
            <w:tcW w:w="1656" w:type="pct"/>
          </w:tcPr>
          <w:p w:rsidR="000A4711" w:rsidP="00E57D7F">
            <w:pPr>
              <w:ind w:left="180"/>
              <w:rPr>
                <w:szCs w:val="22"/>
              </w:rPr>
            </w:pPr>
            <w:r>
              <w:rPr>
                <w:szCs w:val="22"/>
              </w:rPr>
              <w:t>YMax</w:t>
            </w:r>
            <w:r>
              <w:rPr>
                <w:szCs w:val="22"/>
              </w:rPr>
              <w:t xml:space="preserve"> Communications Corp.</w:t>
            </w:r>
          </w:p>
          <w:p w:rsidR="000A4711" w:rsidRPr="00E01966" w:rsidP="00E57D7F">
            <w:pPr>
              <w:ind w:left="180"/>
              <w:rPr>
                <w:szCs w:val="22"/>
              </w:rPr>
            </w:pPr>
            <w:r>
              <w:rPr>
                <w:szCs w:val="22"/>
              </w:rPr>
              <w:t>magicJack SMB, Inc.</w:t>
            </w:r>
          </w:p>
        </w:tc>
        <w:tc>
          <w:tcPr>
            <w:tcW w:w="1824" w:type="pct"/>
          </w:tcPr>
          <w:p w:rsidR="000A4711" w:rsidRPr="002A5CC9" w:rsidP="00E57D7F">
            <w:pPr>
              <w:rPr>
                <w:color w:val="000000"/>
                <w:szCs w:val="22"/>
              </w:rPr>
            </w:pPr>
            <w:r w:rsidRPr="002A5CC9">
              <w:rPr>
                <w:color w:val="000000"/>
                <w:szCs w:val="22"/>
              </w:rPr>
              <w:t>ITC-214-20050614-00222</w:t>
            </w:r>
          </w:p>
          <w:p w:rsidR="000A4711" w:rsidRPr="002A5CC9" w:rsidP="00E57D7F">
            <w:pPr>
              <w:rPr>
                <w:color w:val="000000"/>
                <w:szCs w:val="22"/>
              </w:rPr>
            </w:pPr>
            <w:r w:rsidRPr="002A5CC9">
              <w:rPr>
                <w:color w:val="000000"/>
                <w:szCs w:val="22"/>
              </w:rPr>
              <w:t>ITC-214-20160901-00265</w:t>
            </w:r>
          </w:p>
        </w:tc>
      </w:tr>
      <w:tr w:rsidTr="00E57D7F">
        <w:tblPrEx>
          <w:tblW w:w="4898" w:type="pct"/>
          <w:tblCellMar>
            <w:left w:w="115" w:type="dxa"/>
            <w:right w:w="115" w:type="dxa"/>
          </w:tblCellMar>
          <w:tblLook w:val="01E0"/>
        </w:tblPrEx>
        <w:trPr>
          <w:trHeight w:val="187"/>
        </w:trPr>
        <w:tc>
          <w:tcPr>
            <w:tcW w:w="1520" w:type="pct"/>
          </w:tcPr>
          <w:p w:rsidR="000A4711" w:rsidRPr="00E01966" w:rsidP="00E57D7F">
            <w:pPr>
              <w:rPr>
                <w:color w:val="000000"/>
                <w:szCs w:val="22"/>
              </w:rPr>
            </w:pPr>
            <w:r w:rsidRPr="00E01966">
              <w:rPr>
                <w:color w:val="000000"/>
                <w:szCs w:val="22"/>
              </w:rPr>
              <w:t>ITC-T/C-</w:t>
            </w:r>
            <w:r>
              <w:t>20171213-00223</w:t>
            </w:r>
          </w:p>
        </w:tc>
        <w:tc>
          <w:tcPr>
            <w:tcW w:w="1656" w:type="pct"/>
          </w:tcPr>
          <w:p w:rsidR="000A4711" w:rsidRPr="00E01966" w:rsidP="00E57D7F">
            <w:pPr>
              <w:ind w:left="180"/>
              <w:rPr>
                <w:szCs w:val="22"/>
              </w:rPr>
            </w:pPr>
            <w:r>
              <w:rPr>
                <w:szCs w:val="22"/>
              </w:rPr>
              <w:t>Broadsmart</w:t>
            </w:r>
            <w:r>
              <w:rPr>
                <w:szCs w:val="22"/>
              </w:rPr>
              <w:t xml:space="preserve"> Global, Inc. </w:t>
            </w:r>
          </w:p>
        </w:tc>
        <w:tc>
          <w:tcPr>
            <w:tcW w:w="1824" w:type="pct"/>
          </w:tcPr>
          <w:p w:rsidR="000A4711" w:rsidRPr="002A5CC9" w:rsidP="00E57D7F">
            <w:pPr>
              <w:rPr>
                <w:color w:val="000000"/>
                <w:szCs w:val="22"/>
              </w:rPr>
            </w:pPr>
            <w:r w:rsidRPr="002A5CC9">
              <w:rPr>
                <w:color w:val="000000"/>
                <w:szCs w:val="22"/>
              </w:rPr>
              <w:t>ITC-214-20160901-00264</w:t>
            </w:r>
          </w:p>
        </w:tc>
      </w:tr>
      <w:tr w:rsidTr="00E57D7F">
        <w:tblPrEx>
          <w:tblW w:w="4898" w:type="pct"/>
          <w:tblCellMar>
            <w:left w:w="115" w:type="dxa"/>
            <w:right w:w="115" w:type="dxa"/>
          </w:tblCellMar>
          <w:tblLook w:val="01E0"/>
        </w:tblPrEx>
        <w:trPr>
          <w:trHeight w:val="128"/>
        </w:trPr>
        <w:tc>
          <w:tcPr>
            <w:tcW w:w="1520" w:type="pct"/>
          </w:tcPr>
          <w:p w:rsidR="000A4711" w:rsidRPr="00E01966" w:rsidP="00E57D7F">
            <w:pPr>
              <w:rPr>
                <w:color w:val="000000"/>
                <w:szCs w:val="22"/>
              </w:rPr>
            </w:pPr>
          </w:p>
        </w:tc>
        <w:tc>
          <w:tcPr>
            <w:tcW w:w="1656" w:type="pct"/>
          </w:tcPr>
          <w:p w:rsidR="000A4711" w:rsidRPr="00E01966" w:rsidP="00E57D7F">
            <w:pPr>
              <w:ind w:left="180"/>
              <w:rPr>
                <w:szCs w:val="22"/>
              </w:rPr>
            </w:pPr>
          </w:p>
        </w:tc>
        <w:tc>
          <w:tcPr>
            <w:tcW w:w="1824" w:type="pct"/>
          </w:tcPr>
          <w:p w:rsidR="000A4711" w:rsidRPr="002A5CC9" w:rsidP="00E57D7F">
            <w:pPr>
              <w:rPr>
                <w:szCs w:val="22"/>
              </w:rPr>
            </w:pPr>
          </w:p>
        </w:tc>
      </w:tr>
      <w:tr w:rsidTr="00E57D7F">
        <w:tblPrEx>
          <w:tblW w:w="4898" w:type="pct"/>
          <w:tblCellMar>
            <w:left w:w="115" w:type="dxa"/>
            <w:right w:w="115" w:type="dxa"/>
          </w:tblCellMar>
          <w:tblLook w:val="01E0"/>
        </w:tblPrEx>
        <w:trPr>
          <w:trHeight w:val="187"/>
        </w:trPr>
        <w:tc>
          <w:tcPr>
            <w:tcW w:w="1520" w:type="pct"/>
          </w:tcPr>
          <w:p w:rsidR="000A4711" w:rsidRPr="00E01966" w:rsidP="00E57D7F">
            <w:pPr>
              <w:rPr>
                <w:color w:val="000000"/>
                <w:szCs w:val="22"/>
              </w:rPr>
            </w:pPr>
          </w:p>
        </w:tc>
        <w:tc>
          <w:tcPr>
            <w:tcW w:w="1656" w:type="pct"/>
          </w:tcPr>
          <w:p w:rsidR="000A4711" w:rsidRPr="00E01966" w:rsidP="00E57D7F">
            <w:pPr>
              <w:ind w:left="180"/>
              <w:rPr>
                <w:szCs w:val="22"/>
              </w:rPr>
            </w:pPr>
          </w:p>
        </w:tc>
        <w:tc>
          <w:tcPr>
            <w:tcW w:w="1824" w:type="pct"/>
          </w:tcPr>
          <w:p w:rsidR="000A4711" w:rsidRPr="00E01966" w:rsidP="00E57D7F">
            <w:pPr>
              <w:rPr>
                <w:szCs w:val="22"/>
              </w:rPr>
            </w:pPr>
          </w:p>
        </w:tc>
      </w:tr>
    </w:tbl>
    <w:p w:rsidR="000A4711" w:rsidRPr="00E01966" w:rsidP="000A4711">
      <w:pPr>
        <w:keepNext/>
        <w:ind w:firstLine="720"/>
        <w:rPr>
          <w:b/>
          <w:color w:val="000000"/>
          <w:szCs w:val="22"/>
        </w:rPr>
      </w:pPr>
      <w:r w:rsidRPr="00E01966">
        <w:rPr>
          <w:b/>
          <w:color w:val="000000"/>
          <w:szCs w:val="22"/>
        </w:rPr>
        <w:t>B.</w:t>
      </w:r>
      <w:r w:rsidRPr="00E01966">
        <w:rPr>
          <w:b/>
          <w:color w:val="000000"/>
          <w:szCs w:val="22"/>
        </w:rPr>
        <w:tab/>
        <w:t>Domestic</w:t>
      </w:r>
    </w:p>
    <w:p w:rsidR="000A4711" w:rsidRPr="00E01966" w:rsidP="000A4711">
      <w:pPr>
        <w:keepNext/>
        <w:ind w:firstLine="720"/>
        <w:rPr>
          <w:b/>
          <w:color w:val="000000"/>
          <w:szCs w:val="22"/>
        </w:rPr>
      </w:pPr>
    </w:p>
    <w:p w:rsidR="000A4711" w:rsidRPr="004F7405" w:rsidP="000A4711">
      <w:pPr>
        <w:ind w:firstLine="720"/>
        <w:rPr>
          <w:color w:val="000000"/>
          <w:szCs w:val="22"/>
        </w:rPr>
      </w:pPr>
      <w:r>
        <w:rPr>
          <w:color w:val="000000"/>
          <w:szCs w:val="22"/>
        </w:rPr>
        <w:t xml:space="preserve">The Wireline Competition Bureau grants the </w:t>
      </w:r>
      <w:r w:rsidRPr="00E01966">
        <w:rPr>
          <w:color w:val="000000"/>
          <w:szCs w:val="22"/>
        </w:rPr>
        <w:t>application to transfer control of domestic section 214 authority in connection with the proposed transaction.</w:t>
      </w:r>
    </w:p>
    <w:p w:rsidR="000A4711" w:rsidP="000A4711">
      <w:pPr>
        <w:widowControl/>
        <w:rPr>
          <w:sz w:val="24"/>
        </w:rPr>
      </w:pPr>
    </w:p>
    <w:p w:rsidR="00930ECF" w:rsidRPr="00930ECF" w:rsidP="000A4711">
      <w:pPr>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2D37">
      <w:r>
        <w:separator/>
      </w:r>
    </w:p>
  </w:footnote>
  <w:footnote w:type="continuationSeparator" w:id="1">
    <w:p w:rsidR="00172D37">
      <w:pPr>
        <w:rPr>
          <w:sz w:val="20"/>
        </w:rPr>
      </w:pPr>
      <w:r>
        <w:rPr>
          <w:sz w:val="20"/>
        </w:rPr>
        <w:t xml:space="preserve">(Continued from previous page)  </w:t>
      </w:r>
      <w:r>
        <w:rPr>
          <w:sz w:val="20"/>
        </w:rPr>
        <w:separator/>
      </w:r>
    </w:p>
  </w:footnote>
  <w:footnote w:type="continuationNotice" w:id="2">
    <w:p w:rsidR="00172D37" w:rsidP="00910F12">
      <w:pPr>
        <w:jc w:val="right"/>
        <w:rPr>
          <w:sz w:val="20"/>
        </w:rPr>
      </w:pPr>
      <w:r>
        <w:rPr>
          <w:sz w:val="20"/>
        </w:rPr>
        <w:t>(continued….)</w:t>
      </w:r>
    </w:p>
  </w:footnote>
  <w:footnote w:id="3">
    <w:p w:rsidR="000A4711" w:rsidRPr="00667275" w:rsidP="000A4711">
      <w:pPr>
        <w:pStyle w:val="FootnoteText"/>
        <w:rPr>
          <w:color w:val="0D0D0D"/>
        </w:rPr>
      </w:pPr>
      <w:r w:rsidRPr="00667275">
        <w:rPr>
          <w:rStyle w:val="FootnoteReference"/>
          <w:color w:val="0D0D0D"/>
        </w:rPr>
        <w:footnoteRef/>
      </w:r>
      <w:r w:rsidRPr="00667275">
        <w:rPr>
          <w:color w:val="0D0D0D"/>
        </w:rPr>
        <w:t xml:space="preserve"> 47 U.S.C. §214; 47 CFR §§ 63.04, 63.18, 63.24; </w:t>
      </w:r>
      <w:r w:rsidRPr="00667275">
        <w:rPr>
          <w:i/>
          <w:color w:val="0D0D0D"/>
        </w:rPr>
        <w:t>see also</w:t>
      </w:r>
      <w:r w:rsidRPr="00667275">
        <w:rPr>
          <w:color w:val="0D0D0D"/>
        </w:rPr>
        <w:t xml:space="preserve"> Joint Application of magicJack </w:t>
      </w:r>
      <w:r w:rsidRPr="00667275">
        <w:rPr>
          <w:color w:val="0D0D0D"/>
        </w:rPr>
        <w:t>VocalTec</w:t>
      </w:r>
      <w:r w:rsidRPr="00667275">
        <w:rPr>
          <w:color w:val="0D0D0D"/>
        </w:rPr>
        <w:t xml:space="preserve"> Ltd. And B. Riley Financial, Inc.to Transfer Control of Domestic and International Section 214 Authorizations. WC Docket No. 17-356 (filed Dec. 13, 2017) (Lead Application).  On December 29, 2017, IB accepted for filing the </w:t>
      </w:r>
      <w:r>
        <w:rPr>
          <w:color w:val="0D0D0D"/>
        </w:rPr>
        <w:t xml:space="preserve">international section 214 </w:t>
      </w:r>
      <w:r w:rsidRPr="00667275">
        <w:rPr>
          <w:color w:val="0D0D0D"/>
        </w:rPr>
        <w:t xml:space="preserve">applications of </w:t>
      </w:r>
      <w:r w:rsidRPr="00667275">
        <w:rPr>
          <w:color w:val="0D0D0D"/>
        </w:rPr>
        <w:t>YMax</w:t>
      </w:r>
      <w:r w:rsidRPr="00667275">
        <w:rPr>
          <w:color w:val="0D0D0D"/>
        </w:rPr>
        <w:t xml:space="preserve"> (ITC-T/C-20171213-00221), MJSMB (ITC-T/C-20171213-00022), and </w:t>
      </w:r>
      <w:r w:rsidRPr="00667275">
        <w:rPr>
          <w:color w:val="0D0D0D"/>
        </w:rPr>
        <w:t>Broadsmart</w:t>
      </w:r>
      <w:r w:rsidRPr="00667275">
        <w:rPr>
          <w:color w:val="0D0D0D"/>
        </w:rPr>
        <w:t xml:space="preserve"> (IT</w:t>
      </w:r>
      <w:r>
        <w:rPr>
          <w:color w:val="0D0D0D"/>
        </w:rPr>
        <w:t>C-T/C-20171213-00223)</w:t>
      </w:r>
      <w:r w:rsidRPr="00667275">
        <w:rPr>
          <w:color w:val="0D0D0D"/>
        </w:rPr>
        <w:t xml:space="preserve">.  </w:t>
      </w:r>
      <w:r w:rsidRPr="00667275">
        <w:rPr>
          <w:i/>
          <w:color w:val="0D0D0D"/>
        </w:rPr>
        <w:t>Streamlined International Applications Accepted for Filing; Section 214 Applications; Section 310(b) Petitions</w:t>
      </w:r>
      <w:r w:rsidRPr="00667275">
        <w:rPr>
          <w:color w:val="0D0D0D"/>
        </w:rPr>
        <w:t>, Public Notice, Report No. TEL-01882S (IB rel. Dec. 29, 2017)</w:t>
      </w:r>
      <w:r>
        <w:rPr>
          <w:color w:val="0D0D0D"/>
        </w:rPr>
        <w:t>.  We refer to the domestic section 214 application and the international section 214 applications as “Applications.”</w:t>
      </w:r>
      <w:r w:rsidRPr="00667275">
        <w:rPr>
          <w:color w:val="0D0D0D"/>
        </w:rPr>
        <w:t xml:space="preserve">   </w:t>
      </w:r>
    </w:p>
  </w:footnote>
  <w:footnote w:id="4">
    <w:p w:rsidR="000A4711" w:rsidRPr="00667275" w:rsidP="000A4711">
      <w:pPr>
        <w:pStyle w:val="FootnoteText"/>
        <w:rPr>
          <w:color w:val="0D0D0D"/>
        </w:rPr>
      </w:pPr>
      <w:r w:rsidRPr="00667275">
        <w:rPr>
          <w:rStyle w:val="FootnoteReference"/>
          <w:color w:val="0D0D0D"/>
        </w:rPr>
        <w:footnoteRef/>
      </w:r>
      <w:r w:rsidRPr="00667275">
        <w:rPr>
          <w:color w:val="0D0D0D"/>
        </w:rPr>
        <w:t xml:space="preserve"> Lead Application at 2-3.</w:t>
      </w:r>
    </w:p>
  </w:footnote>
  <w:footnote w:id="5">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Pr>
          <w:color w:val="0D0D0D"/>
        </w:rPr>
        <w:t xml:space="preserve"> </w:t>
      </w:r>
      <w:r w:rsidRPr="00667275">
        <w:rPr>
          <w:i/>
          <w:color w:val="0D0D0D"/>
        </w:rPr>
        <w:t>Id</w:t>
      </w:r>
      <w:r w:rsidRPr="00667275">
        <w:rPr>
          <w:color w:val="0D0D0D"/>
        </w:rPr>
        <w:t>.</w:t>
      </w:r>
      <w:r>
        <w:rPr>
          <w:color w:val="0D0D0D"/>
        </w:rPr>
        <w:t xml:space="preserve">  New Hampshire is the only state where </w:t>
      </w:r>
      <w:r>
        <w:rPr>
          <w:color w:val="0D0D0D"/>
        </w:rPr>
        <w:t>YMax</w:t>
      </w:r>
      <w:r>
        <w:rPr>
          <w:color w:val="0D0D0D"/>
        </w:rPr>
        <w:t xml:space="preserve"> does not have authority to operate as a CLEC.  </w:t>
      </w:r>
      <w:r w:rsidRPr="000268B2">
        <w:rPr>
          <w:i/>
          <w:color w:val="0D0D0D"/>
        </w:rPr>
        <w:t>Id</w:t>
      </w:r>
      <w:r>
        <w:rPr>
          <w:color w:val="0D0D0D"/>
        </w:rPr>
        <w:t>.</w:t>
      </w:r>
    </w:p>
  </w:footnote>
  <w:footnote w:id="6">
    <w:p w:rsidR="000A4711" w:rsidRPr="00667275" w:rsidP="000A4711">
      <w:pPr>
        <w:pStyle w:val="FootnoteText"/>
        <w:rPr>
          <w:color w:val="0D0D0D"/>
        </w:rPr>
      </w:pPr>
      <w:r w:rsidRPr="00667275">
        <w:rPr>
          <w:rStyle w:val="FootnoteReference"/>
          <w:color w:val="0D0D0D"/>
        </w:rPr>
        <w:footnoteRef/>
      </w:r>
      <w:r w:rsidRPr="00667275">
        <w:rPr>
          <w:color w:val="0D0D0D"/>
        </w:rPr>
        <w:t xml:space="preserve"> Applicants state that </w:t>
      </w:r>
      <w:r w:rsidRPr="00667275">
        <w:rPr>
          <w:color w:val="0D0D0D"/>
        </w:rPr>
        <w:t>Broadsmart</w:t>
      </w:r>
      <w:r w:rsidRPr="00667275">
        <w:rPr>
          <w:color w:val="0D0D0D"/>
        </w:rPr>
        <w:t xml:space="preserve"> and MJSMB do not provide domestic telecommunications services.  </w:t>
      </w:r>
      <w:r w:rsidRPr="00667275">
        <w:rPr>
          <w:i/>
          <w:color w:val="0D0D0D"/>
        </w:rPr>
        <w:t>Id</w:t>
      </w:r>
      <w:r w:rsidRPr="00667275">
        <w:rPr>
          <w:color w:val="0D0D0D"/>
        </w:rPr>
        <w:t>. at 3, 8, n.6.</w:t>
      </w:r>
    </w:p>
  </w:footnote>
  <w:footnote w:id="7">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sidRPr="00667275">
        <w:rPr>
          <w:i/>
          <w:color w:val="0D0D0D"/>
        </w:rPr>
        <w:t>Id.</w:t>
      </w:r>
      <w:r w:rsidRPr="00667275">
        <w:rPr>
          <w:color w:val="0D0D0D"/>
        </w:rPr>
        <w:t xml:space="preserve"> at 3.</w:t>
      </w:r>
    </w:p>
  </w:footnote>
  <w:footnote w:id="8">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sidRPr="00667275">
        <w:rPr>
          <w:i/>
          <w:color w:val="0D0D0D"/>
        </w:rPr>
        <w:t>Id</w:t>
      </w:r>
      <w:r w:rsidRPr="00667275">
        <w:rPr>
          <w:color w:val="0D0D0D"/>
        </w:rPr>
        <w:t>. at 7.</w:t>
      </w:r>
    </w:p>
  </w:footnote>
  <w:footnote w:id="9">
    <w:p w:rsidR="000A4711" w:rsidRPr="00667275" w:rsidP="000A4711">
      <w:pPr>
        <w:pStyle w:val="FootnoteText"/>
        <w:spacing w:before="240"/>
        <w:rPr>
          <w:color w:val="0D0D0D"/>
        </w:rPr>
      </w:pPr>
      <w:r w:rsidRPr="00667275">
        <w:rPr>
          <w:rStyle w:val="FootnoteReference"/>
          <w:color w:val="0D0D0D"/>
        </w:rPr>
        <w:footnoteRef/>
      </w:r>
      <w:r w:rsidRPr="00667275">
        <w:rPr>
          <w:color w:val="0D0D0D"/>
        </w:rPr>
        <w:t xml:space="preserve"> Applicants submitted pre- and post-closing ownership charts of the entities in the proposed transaction.  Letter from William F. Maher and Jennifer L. </w:t>
      </w:r>
      <w:r w:rsidRPr="00667275">
        <w:rPr>
          <w:color w:val="0D0D0D"/>
        </w:rPr>
        <w:t>Kostyu</w:t>
      </w:r>
      <w:r w:rsidRPr="00667275">
        <w:rPr>
          <w:color w:val="0D0D0D"/>
        </w:rPr>
        <w:t>, Counsel to B. Riley, to Marlene H. Dortch, Secretary, FCC, WC Docket No. 17-356, File Nos. ITC-T/C-20171213-00221, ITC-T/C-20171213-00222, ITC-T/C-20171213-00223, at 1-2 (filed Apr. 30, 2018) (Applicants’ April 30</w:t>
      </w:r>
      <w:r w:rsidRPr="00667275">
        <w:rPr>
          <w:i/>
          <w:color w:val="0D0D0D"/>
        </w:rPr>
        <w:t xml:space="preserve"> Ex Parte </w:t>
      </w:r>
      <w:r w:rsidRPr="00667275">
        <w:rPr>
          <w:color w:val="0D0D0D"/>
        </w:rPr>
        <w:t xml:space="preserve">Letter).  Applicants have confirmed that the ownership charts remain accurate.  Letter from William F. Maher and Jennifer L. </w:t>
      </w:r>
      <w:r w:rsidRPr="00667275">
        <w:rPr>
          <w:color w:val="0D0D0D"/>
        </w:rPr>
        <w:t>Kostyu</w:t>
      </w:r>
      <w:r w:rsidRPr="00667275">
        <w:rPr>
          <w:color w:val="0D0D0D"/>
        </w:rPr>
        <w:t>, Counsel to Transferee, and Bennett Ross, Counsel to Transferor, to Marlene H. Dortch, Secretary, FCC, WC Docket No. 17-356, IB Docket Nos. ITC-T/C-20171213-00221, ITC-T/C-20171213-00222, ITC-T/C-20171213-00223, at 1-2 (filed Oct. 23, 2018).</w:t>
      </w:r>
    </w:p>
  </w:footnote>
  <w:footnote w:id="10">
    <w:p w:rsidR="000A4711" w:rsidRPr="00667275" w:rsidP="000A4711">
      <w:pPr>
        <w:pStyle w:val="FootnoteText"/>
        <w:rPr>
          <w:color w:val="0D0D0D"/>
        </w:rPr>
      </w:pPr>
      <w:r w:rsidRPr="00667275">
        <w:rPr>
          <w:rStyle w:val="FootnoteReference"/>
          <w:color w:val="0D0D0D"/>
        </w:rPr>
        <w:footnoteRef/>
      </w:r>
      <w:r w:rsidRPr="00667275">
        <w:rPr>
          <w:color w:val="0D0D0D"/>
        </w:rPr>
        <w:t xml:space="preserve"> Applicants’ April 30</w:t>
      </w:r>
      <w:r w:rsidRPr="00667275">
        <w:rPr>
          <w:i/>
          <w:color w:val="0D0D0D"/>
        </w:rPr>
        <w:t xml:space="preserve"> Ex Parte </w:t>
      </w:r>
      <w:r w:rsidRPr="00667275">
        <w:rPr>
          <w:color w:val="0D0D0D"/>
        </w:rPr>
        <w:t>Letter at 1-2.</w:t>
      </w:r>
    </w:p>
  </w:footnote>
  <w:footnote w:id="11">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bookmarkStart w:id="1" w:name="_Hlk528334003"/>
      <w:r w:rsidRPr="00667275">
        <w:rPr>
          <w:i/>
          <w:color w:val="0D0D0D"/>
        </w:rPr>
        <w:t>Id</w:t>
      </w:r>
      <w:r w:rsidRPr="00667275">
        <w:rPr>
          <w:color w:val="0D0D0D"/>
        </w:rPr>
        <w:t>. at 2</w:t>
      </w:r>
      <w:bookmarkEnd w:id="1"/>
      <w:r w:rsidRPr="00667275">
        <w:rPr>
          <w:color w:val="0D0D0D"/>
        </w:rPr>
        <w:t>.</w:t>
      </w:r>
    </w:p>
  </w:footnote>
  <w:footnote w:id="12">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bookmarkStart w:id="2" w:name="_Hlk528334095"/>
      <w:r w:rsidRPr="00667275">
        <w:rPr>
          <w:i/>
          <w:color w:val="0D0D0D"/>
        </w:rPr>
        <w:t>Id</w:t>
      </w:r>
      <w:r w:rsidRPr="00667275">
        <w:rPr>
          <w:color w:val="0D0D0D"/>
        </w:rPr>
        <w:t>.</w:t>
      </w:r>
      <w:bookmarkEnd w:id="2"/>
      <w:r w:rsidRPr="00667275">
        <w:rPr>
          <w:color w:val="0D0D0D"/>
        </w:rPr>
        <w:t xml:space="preserve"> </w:t>
      </w:r>
    </w:p>
  </w:footnote>
  <w:footnote w:id="13">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sidRPr="00667275">
        <w:rPr>
          <w:i/>
          <w:color w:val="0D0D0D"/>
        </w:rPr>
        <w:t>Id</w:t>
      </w:r>
      <w:r w:rsidRPr="00667275">
        <w:rPr>
          <w:color w:val="0D0D0D"/>
        </w:rPr>
        <w:t>.</w:t>
      </w:r>
    </w:p>
  </w:footnote>
  <w:footnote w:id="14">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sidRPr="00667275">
        <w:rPr>
          <w:i/>
          <w:color w:val="0D0D0D"/>
        </w:rPr>
        <w:t>Id</w:t>
      </w:r>
      <w:r w:rsidRPr="00667275">
        <w:rPr>
          <w:color w:val="0D0D0D"/>
        </w:rPr>
        <w:t>.</w:t>
      </w:r>
    </w:p>
  </w:footnote>
  <w:footnote w:id="15">
    <w:p w:rsidR="000A4711" w:rsidRPr="00667275" w:rsidP="000A4711">
      <w:pPr>
        <w:pStyle w:val="FootnoteText"/>
        <w:rPr>
          <w:i/>
          <w:color w:val="0D0D0D"/>
        </w:rPr>
      </w:pPr>
      <w:r w:rsidRPr="00667275">
        <w:rPr>
          <w:rStyle w:val="FootnoteReference"/>
          <w:color w:val="0D0D0D"/>
        </w:rPr>
        <w:footnoteRef/>
      </w:r>
      <w:r w:rsidRPr="00667275">
        <w:rPr>
          <w:color w:val="0D0D0D"/>
        </w:rPr>
        <w:t xml:space="preserve"> </w:t>
      </w:r>
      <w:r w:rsidRPr="00667275">
        <w:rPr>
          <w:i/>
          <w:color w:val="0D0D0D"/>
        </w:rPr>
        <w:t xml:space="preserve">Domestic Section 214 Application Filed for the Transfer of Control of </w:t>
      </w:r>
      <w:r w:rsidRPr="00667275">
        <w:rPr>
          <w:i/>
          <w:color w:val="0D0D0D"/>
        </w:rPr>
        <w:t>YMax</w:t>
      </w:r>
      <w:r w:rsidRPr="00667275">
        <w:rPr>
          <w:i/>
          <w:color w:val="0D0D0D"/>
        </w:rPr>
        <w:t xml:space="preserve"> Communications Corp. to B. Riley Financial, Inc.</w:t>
      </w:r>
      <w:r w:rsidRPr="00667275">
        <w:rPr>
          <w:color w:val="0D0D0D"/>
        </w:rPr>
        <w:t xml:space="preserve">, WC Docket No. 17-356, Public Notice, 32 FCC </w:t>
      </w:r>
      <w:r w:rsidRPr="00667275">
        <w:rPr>
          <w:color w:val="0D0D0D"/>
        </w:rPr>
        <w:t>Rcd</w:t>
      </w:r>
      <w:r w:rsidRPr="00667275">
        <w:rPr>
          <w:color w:val="0D0D0D"/>
        </w:rPr>
        <w:t xml:space="preserve"> 10414 (WCB 2017).  </w:t>
      </w:r>
    </w:p>
  </w:footnote>
  <w:footnote w:id="16">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sidRPr="00667275">
        <w:rPr>
          <w:rFonts w:ascii="Times New (W1)" w:hAnsi="Times New (W1)"/>
          <w:color w:val="0D0D0D"/>
        </w:rPr>
        <w:t xml:space="preserve">Letter from Debbie Wheeler, U.S. Department of Justice, to Marlene H. Dortch, Secretary, FCC, </w:t>
      </w:r>
      <w:r w:rsidRPr="00667275">
        <w:rPr>
          <w:color w:val="0D0D0D"/>
        </w:rPr>
        <w:t>WC Docket No. 17-356, File Nos. ITC-T/C-20171213-00221, ITC-T/C-20171213-00222, ITC-T/C-20171213-00223 (filed Dec. 21, 2017)</w:t>
      </w:r>
      <w:r w:rsidRPr="00667275">
        <w:rPr>
          <w:rFonts w:ascii="Times New (W1)" w:hAnsi="Times New (W1)"/>
          <w:color w:val="0D0D0D"/>
        </w:rPr>
        <w:t>.</w:t>
      </w:r>
    </w:p>
  </w:footnote>
  <w:footnote w:id="17">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sidRPr="00667275">
        <w:rPr>
          <w:i/>
          <w:color w:val="0D0D0D"/>
        </w:rPr>
        <w:t>Notice of Removal of Domestic Section 214 Application from Streamlined Treatment</w:t>
      </w:r>
      <w:r w:rsidRPr="00667275">
        <w:rPr>
          <w:color w:val="0D0D0D"/>
        </w:rPr>
        <w:t xml:space="preserve">, Public Notice, 33 FCC </w:t>
      </w:r>
      <w:r w:rsidRPr="00667275">
        <w:rPr>
          <w:color w:val="0D0D0D"/>
        </w:rPr>
        <w:t>Rcd</w:t>
      </w:r>
      <w:r w:rsidRPr="00667275">
        <w:rPr>
          <w:color w:val="0D0D0D"/>
        </w:rPr>
        <w:t xml:space="preserve"> 213 (WCB 2018). </w:t>
      </w:r>
      <w:r>
        <w:rPr>
          <w:color w:val="0D0D0D"/>
        </w:rPr>
        <w:t xml:space="preserve"> </w:t>
      </w:r>
      <w:r w:rsidRPr="00667275">
        <w:rPr>
          <w:color w:val="0D0D0D"/>
        </w:rPr>
        <w:t xml:space="preserve">On January 12, 2018, IB removed the international section 214 applications from streamlined processing.  </w:t>
      </w:r>
      <w:r w:rsidRPr="00667275">
        <w:rPr>
          <w:i/>
          <w:color w:val="0D0D0D"/>
        </w:rPr>
        <w:t>Streamlined International Applications Accepted for Filing; Section 214 Applications; Section 310(b) Petitions</w:t>
      </w:r>
      <w:r w:rsidRPr="00667275">
        <w:rPr>
          <w:color w:val="0D0D0D"/>
        </w:rPr>
        <w:t xml:space="preserve">, Public Notice, Report No. TEL-01886S (IB rel. Jan. 12, 2018).  </w:t>
      </w:r>
    </w:p>
  </w:footnote>
  <w:footnote w:id="18">
    <w:p w:rsidR="000A4711" w:rsidRPr="00667275" w:rsidP="000A4711">
      <w:pPr>
        <w:pStyle w:val="FootnoteText"/>
        <w:rPr>
          <w:color w:val="0D0D0D"/>
        </w:rPr>
      </w:pPr>
      <w:r w:rsidRPr="00667275">
        <w:rPr>
          <w:rStyle w:val="FootnoteReference"/>
          <w:color w:val="0D0D0D"/>
        </w:rPr>
        <w:footnoteRef/>
      </w:r>
      <w:r w:rsidRPr="00667275">
        <w:rPr>
          <w:color w:val="0D0D0D"/>
        </w:rPr>
        <w:t xml:space="preserve"> Petition to Adopt Conditions to Authorizations and Licenses, WC Docket No. 17-356 and File Nos. ITC-T/C-20171213-00221, ITC-T/C-20171213-00222, ITC-T/C-20171213-00223 (filed Aug. 15, 2018).</w:t>
      </w:r>
    </w:p>
  </w:footnote>
  <w:footnote w:id="19">
    <w:p w:rsidR="000A4711" w:rsidRPr="00667275" w:rsidP="000A4711">
      <w:pPr>
        <w:pStyle w:val="FootnoteText"/>
        <w:rPr>
          <w:color w:val="0D0D0D"/>
        </w:rPr>
      </w:pPr>
      <w:r w:rsidRPr="00667275">
        <w:rPr>
          <w:rStyle w:val="FootnoteReference"/>
          <w:color w:val="0D0D0D"/>
        </w:rPr>
        <w:footnoteRef/>
      </w:r>
      <w:r w:rsidRPr="00667275">
        <w:rPr>
          <w:color w:val="0D0D0D"/>
        </w:rPr>
        <w:t xml:space="preserve"> </w:t>
      </w:r>
      <w:r w:rsidRPr="00667275">
        <w:rPr>
          <w:i/>
          <w:color w:val="0D0D0D"/>
        </w:rPr>
        <w:t>Id</w:t>
      </w:r>
      <w:r w:rsidRPr="00667275">
        <w:rPr>
          <w:color w:val="0D0D0D"/>
        </w:rPr>
        <w:t xml:space="preserve">. at 1-2 and Attach. (Declaration and LOA).  Pursuant to the Declaration and LOA, the terms of the LOA will automatically take effect if Transferee does not undertake a reorganization to remove the foreign ownership from the Licensees’ ownership structure within three (3) business days from the closing of the transaction.  </w:t>
      </w:r>
      <w:r w:rsidRPr="00667275">
        <w:rPr>
          <w:i/>
          <w:color w:val="0D0D0D"/>
        </w:rPr>
        <w:t>See</w:t>
      </w:r>
      <w:r w:rsidRPr="00667275">
        <w:rPr>
          <w:color w:val="0D0D0D"/>
        </w:rPr>
        <w:t xml:space="preserve"> Declaration and LOA (para. 15).  Stated another way, the LOA will not take effect if Transferor is removed from the ownership structure within three business days of closing. </w:t>
      </w:r>
    </w:p>
  </w:footnote>
  <w:footnote w:id="20">
    <w:p w:rsidR="000A4711" w:rsidRPr="00667275" w:rsidP="000A4711">
      <w:pPr>
        <w:pStyle w:val="FootnoteText"/>
        <w:rPr>
          <w:color w:val="0D0D0D"/>
        </w:rPr>
      </w:pPr>
      <w:r w:rsidRPr="00667275">
        <w:rPr>
          <w:rStyle w:val="FootnoteReference"/>
          <w:color w:val="0D0D0D"/>
        </w:rPr>
        <w:footnoteRef/>
      </w:r>
      <w:r w:rsidRPr="00667275">
        <w:rPr>
          <w:color w:val="0D0D0D"/>
        </w:rPr>
        <w:t xml:space="preserve"> 47 CFR § 63.03(b).</w:t>
      </w:r>
    </w:p>
  </w:footnote>
  <w:footnote w:id="21">
    <w:p w:rsidR="000A4711" w:rsidRPr="00667275" w:rsidP="000A4711">
      <w:pPr>
        <w:pStyle w:val="FootnoteText"/>
        <w:rPr>
          <w:color w:val="0D0D0D"/>
        </w:rPr>
      </w:pPr>
      <w:r w:rsidRPr="00667275">
        <w:rPr>
          <w:rStyle w:val="FootnoteReference"/>
          <w:color w:val="0D0D0D"/>
        </w:rPr>
        <w:footnoteRef/>
      </w:r>
      <w:r w:rsidRPr="00667275">
        <w:rPr>
          <w:color w:val="0D0D0D"/>
        </w:rPr>
        <w:t xml:space="preserve"> The Commission considers national security, law enforcement, foreign policy, and trade policy concerns when analyzing a transfer of control or assignment application in which foreign ownership is an issue.  </w:t>
      </w:r>
      <w:r w:rsidRPr="00667275">
        <w:rPr>
          <w:i/>
          <w:color w:val="0D0D0D"/>
        </w:rPr>
        <w:t>See Amendment of the Commission’s Regulatory Policies to Allow Non-U.S. Licensed Satellites Providing Domestic and International Service in the United States</w:t>
      </w:r>
      <w:r w:rsidRPr="00667275">
        <w:rPr>
          <w:color w:val="0D0D0D"/>
        </w:rPr>
        <w:t xml:space="preserve">, Report and Order, 12 FCC </w:t>
      </w:r>
      <w:r w:rsidRPr="00667275">
        <w:rPr>
          <w:color w:val="0D0D0D"/>
        </w:rPr>
        <w:t>Rcd</w:t>
      </w:r>
      <w:r w:rsidRPr="00667275">
        <w:rPr>
          <w:color w:val="0D0D0D"/>
        </w:rPr>
        <w:t xml:space="preserve"> 24094, 24170-72, paras. 178-82 (1997); </w:t>
      </w:r>
      <w:r w:rsidRPr="00667275">
        <w:rPr>
          <w:i/>
          <w:color w:val="0D0D0D"/>
        </w:rPr>
        <w:t xml:space="preserve">Rules and Policies on Foreign Participation in the U.S. </w:t>
      </w:r>
      <w:smartTag w:uri="urn:schemas-microsoft-com:office:smarttags" w:element="PersonName">
        <w:r w:rsidRPr="00667275">
          <w:rPr>
            <w:i/>
            <w:color w:val="0D0D0D"/>
          </w:rPr>
          <w:t>Telecommunications</w:t>
        </w:r>
      </w:smartTag>
      <w:r w:rsidRPr="00667275">
        <w:rPr>
          <w:i/>
          <w:color w:val="0D0D0D"/>
        </w:rPr>
        <w:t xml:space="preserve"> Market</w:t>
      </w:r>
      <w:r w:rsidRPr="00667275">
        <w:rPr>
          <w:color w:val="0D0D0D"/>
        </w:rPr>
        <w:t xml:space="preserve">, IB Docket No. 97-142, Market Entry and Regulation of Foreign Affiliated Entities, IB Docket No. 95-22, Report and Order and Order on Reconsideration, 12 FCC </w:t>
      </w:r>
      <w:r w:rsidRPr="00667275">
        <w:rPr>
          <w:color w:val="0D0D0D"/>
        </w:rPr>
        <w:t>Rcd</w:t>
      </w:r>
      <w:r w:rsidRPr="00667275">
        <w:rPr>
          <w:color w:val="0D0D0D"/>
        </w:rPr>
        <w:t xml:space="preserve"> 23891, 23919-21, paras. 61-66 (1997) (</w:t>
      </w:r>
      <w:r w:rsidRPr="00667275">
        <w:rPr>
          <w:i/>
          <w:color w:val="0D0D0D"/>
        </w:rPr>
        <w:t>Foreign Participation Order</w:t>
      </w:r>
      <w:r w:rsidRPr="00667275">
        <w:rPr>
          <w:color w:val="0D0D0D"/>
        </w:rPr>
        <w:t xml:space="preserve">), Order on Reconsideration, 15 FCC </w:t>
      </w:r>
      <w:r w:rsidRPr="00667275">
        <w:rPr>
          <w:color w:val="0D0D0D"/>
        </w:rPr>
        <w:t>Rcd</w:t>
      </w:r>
      <w:r w:rsidRPr="00667275">
        <w:rPr>
          <w:color w:val="0D0D0D"/>
        </w:rPr>
        <w:t xml:space="preserve"> 18158 (2000).  In assessing the public interest, the Commission considers the record and accords the appropriate level of deference to Executive Branch expertise on national security and law enforcement issues.  </w:t>
      </w:r>
      <w:r w:rsidRPr="00667275">
        <w:rPr>
          <w:i/>
          <w:color w:val="0D0D0D"/>
        </w:rPr>
        <w:t>See Foreign Participation Order</w:t>
      </w:r>
      <w:r w:rsidRPr="00667275">
        <w:rPr>
          <w:color w:val="0D0D0D"/>
        </w:rPr>
        <w:t xml:space="preserve">, 12 FCC </w:t>
      </w:r>
      <w:r w:rsidRPr="00667275">
        <w:rPr>
          <w:color w:val="0D0D0D"/>
        </w:rPr>
        <w:t>Rcd</w:t>
      </w:r>
      <w:r w:rsidRPr="00667275">
        <w:rPr>
          <w:color w:val="0D0D0D"/>
        </w:rPr>
        <w:t xml:space="preserve"> at 23919-21, paras. 61-66.</w:t>
      </w:r>
    </w:p>
  </w:footnote>
  <w:footnote w:id="22">
    <w:p w:rsidR="000A4711" w:rsidP="000A4711">
      <w:pPr>
        <w:pStyle w:val="FootnoteText"/>
      </w:pPr>
      <w:r w:rsidRPr="00667275">
        <w:rPr>
          <w:rStyle w:val="FootnoteReference"/>
          <w:color w:val="0D0D0D"/>
        </w:rPr>
        <w:footnoteRef/>
      </w:r>
      <w:r w:rsidRPr="00667275">
        <w:rPr>
          <w:color w:val="0D0D0D"/>
        </w:rPr>
        <w:t xml:space="preserve"> </w:t>
      </w:r>
      <w:r>
        <w:rPr>
          <w:color w:val="0D0D0D"/>
        </w:rPr>
        <w:t xml:space="preserve">Letter from William F. Maher, Counsel to B. Riley Financial, Inc., and Bennett Ross, Counsel to magicJack </w:t>
      </w:r>
      <w:r>
        <w:rPr>
          <w:color w:val="0D0D0D"/>
        </w:rPr>
        <w:t>VocalTec</w:t>
      </w:r>
      <w:r>
        <w:rPr>
          <w:color w:val="0D0D0D"/>
        </w:rPr>
        <w:t xml:space="preserve"> Ltd., to Marlene H. Dortch, WC Docket No. 17-356,</w:t>
      </w:r>
      <w:r w:rsidRPr="00FA2F65">
        <w:rPr>
          <w:color w:val="0D0D0D"/>
        </w:rPr>
        <w:t xml:space="preserve"> </w:t>
      </w:r>
      <w:r w:rsidRPr="00667275">
        <w:rPr>
          <w:color w:val="0D0D0D"/>
        </w:rPr>
        <w:t>File Nos. ITC-T/C-20171213-00221, ITC-T/C-20171213-00222, ITC-T/C-20171213-00223</w:t>
      </w:r>
      <w:r>
        <w:rPr>
          <w:color w:val="0D0D0D"/>
        </w:rPr>
        <w:t xml:space="preserve"> (filed Nov. 6, 2018).  </w:t>
      </w:r>
      <w:r w:rsidRPr="00667275">
        <w:rPr>
          <w:color w:val="0D0D0D"/>
        </w:rPr>
        <w:t xml:space="preserve">For purposes of this condition, “magicJack” refers to Transferor, Licensees, and all </w:t>
      </w:r>
      <w:r>
        <w:rPr>
          <w:color w:val="0D0D0D"/>
        </w:rPr>
        <w:t>subsidiaries</w:t>
      </w:r>
      <w:r w:rsidRPr="00667275">
        <w:rPr>
          <w:color w:val="0D0D0D"/>
        </w:rPr>
        <w:t xml:space="preserve"> thereof; and “B. Riley” refers to Transferee and </w:t>
      </w:r>
      <w:r w:rsidRPr="004D73C4">
        <w:rPr>
          <w:color w:val="000000"/>
        </w:rPr>
        <w:t>its successors and assigns</w:t>
      </w:r>
      <w:r w:rsidRPr="00667275">
        <w:rPr>
          <w:color w:val="0D0D0D"/>
        </w:rPr>
        <w:t>.</w:t>
      </w:r>
    </w:p>
  </w:footnote>
  <w:footnote w:id="23">
    <w:p w:rsidR="000A4711" w:rsidP="000A4711">
      <w:pPr>
        <w:rPr>
          <w:snapToGrid/>
          <w:kern w:val="0"/>
        </w:rPr>
      </w:pPr>
      <w:r>
        <w:rPr>
          <w:rStyle w:val="FootnoteReference"/>
        </w:rPr>
        <w:footnoteRef/>
      </w:r>
      <w:r>
        <w:t xml:space="preserve"> </w:t>
      </w:r>
      <w:r w:rsidRPr="006F3C9E">
        <w:rPr>
          <w:i/>
          <w:iCs/>
          <w:sz w:val="20"/>
        </w:rPr>
        <w:t>See</w:t>
      </w:r>
      <w:r>
        <w:rPr>
          <w:i/>
          <w:iCs/>
          <w:sz w:val="20"/>
        </w:rPr>
        <w:t>, e.g.</w:t>
      </w:r>
      <w:r>
        <w:rPr>
          <w:iCs/>
          <w:sz w:val="20"/>
        </w:rPr>
        <w:t>,</w:t>
      </w:r>
      <w:r w:rsidRPr="006F3C9E">
        <w:rPr>
          <w:sz w:val="20"/>
        </w:rPr>
        <w:t xml:space="preserve"> 47 U.S.C. §§ 159, 225(d)(3), 251(e), 254(d); 47 CFR §§ 1.1157, 52.17, 52.32, 54.706(a)-(b), 64.604(c)(5)(iii)(A);</w:t>
      </w:r>
      <w:r>
        <w:rPr>
          <w:i/>
          <w:iCs/>
          <w:sz w:val="20"/>
        </w:rPr>
        <w:t xml:space="preserve"> </w:t>
      </w:r>
      <w:r w:rsidRPr="006F3C9E">
        <w:rPr>
          <w:i/>
          <w:iCs/>
          <w:sz w:val="20"/>
        </w:rPr>
        <w:t>Assessment and Collection of Regulatory Fees for Fiscal Year 2018</w:t>
      </w:r>
      <w:r w:rsidRPr="006F3C9E">
        <w:rPr>
          <w:sz w:val="20"/>
        </w:rPr>
        <w:t>, MD Docket No. 18-175, Report and Order and Order (2018)</w:t>
      </w:r>
      <w:r>
        <w:rPr>
          <w:sz w:val="20"/>
        </w:rPr>
        <w:t>.</w:t>
      </w:r>
    </w:p>
    <w:p w:rsidR="000A4711" w:rsidP="000A47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618F0">
      <w:rPr>
        <w:b/>
      </w:rPr>
      <w:t>DA 18-1136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711"/>
    <w:pPr>
      <w:widowControl w:val="0"/>
    </w:pPr>
    <w:rPr>
      <w:snapToGrid w:val="0"/>
      <w:kern w:val="28"/>
      <w:sz w:val="22"/>
    </w:rPr>
  </w:style>
  <w:style w:type="paragraph" w:styleId="Heading1">
    <w:name w:val="heading 1"/>
    <w:basedOn w:val="Normal"/>
    <w:next w:val="ParaNum"/>
    <w:qFormat/>
    <w:rsid w:val="000A471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4711"/>
    <w:pPr>
      <w:keepNext/>
      <w:numPr>
        <w:ilvl w:val="1"/>
        <w:numId w:val="3"/>
      </w:numPr>
      <w:spacing w:after="120"/>
      <w:outlineLvl w:val="1"/>
    </w:pPr>
    <w:rPr>
      <w:b/>
    </w:rPr>
  </w:style>
  <w:style w:type="paragraph" w:styleId="Heading3">
    <w:name w:val="heading 3"/>
    <w:basedOn w:val="Normal"/>
    <w:next w:val="ParaNum"/>
    <w:qFormat/>
    <w:rsid w:val="000A4711"/>
    <w:pPr>
      <w:keepNext/>
      <w:numPr>
        <w:ilvl w:val="2"/>
        <w:numId w:val="3"/>
      </w:numPr>
      <w:tabs>
        <w:tab w:val="left" w:pos="2160"/>
      </w:tabs>
      <w:spacing w:after="120"/>
      <w:outlineLvl w:val="2"/>
    </w:pPr>
    <w:rPr>
      <w:b/>
    </w:rPr>
  </w:style>
  <w:style w:type="paragraph" w:styleId="Heading4">
    <w:name w:val="heading 4"/>
    <w:basedOn w:val="Normal"/>
    <w:next w:val="ParaNum"/>
    <w:qFormat/>
    <w:rsid w:val="000A4711"/>
    <w:pPr>
      <w:keepNext/>
      <w:numPr>
        <w:ilvl w:val="3"/>
        <w:numId w:val="3"/>
      </w:numPr>
      <w:tabs>
        <w:tab w:val="left" w:pos="2880"/>
      </w:tabs>
      <w:spacing w:after="120"/>
      <w:outlineLvl w:val="3"/>
    </w:pPr>
    <w:rPr>
      <w:b/>
    </w:rPr>
  </w:style>
  <w:style w:type="paragraph" w:styleId="Heading5">
    <w:name w:val="heading 5"/>
    <w:basedOn w:val="Normal"/>
    <w:next w:val="ParaNum"/>
    <w:qFormat/>
    <w:rsid w:val="000A471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4711"/>
    <w:pPr>
      <w:numPr>
        <w:ilvl w:val="5"/>
        <w:numId w:val="3"/>
      </w:numPr>
      <w:tabs>
        <w:tab w:val="left" w:pos="4320"/>
      </w:tabs>
      <w:spacing w:after="120"/>
      <w:outlineLvl w:val="5"/>
    </w:pPr>
    <w:rPr>
      <w:b/>
    </w:rPr>
  </w:style>
  <w:style w:type="paragraph" w:styleId="Heading7">
    <w:name w:val="heading 7"/>
    <w:basedOn w:val="Normal"/>
    <w:next w:val="ParaNum"/>
    <w:qFormat/>
    <w:rsid w:val="000A471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471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471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A47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4711"/>
  </w:style>
  <w:style w:type="paragraph" w:customStyle="1" w:styleId="ParaNum">
    <w:name w:val="ParaNum"/>
    <w:basedOn w:val="Normal"/>
    <w:rsid w:val="000A4711"/>
    <w:pPr>
      <w:numPr>
        <w:numId w:val="2"/>
      </w:numPr>
      <w:tabs>
        <w:tab w:val="clear" w:pos="1080"/>
        <w:tab w:val="num" w:pos="1440"/>
      </w:tabs>
      <w:spacing w:after="120"/>
    </w:pPr>
  </w:style>
  <w:style w:type="paragraph" w:styleId="EndnoteText">
    <w:name w:val="endnote text"/>
    <w:basedOn w:val="Normal"/>
    <w:semiHidden/>
    <w:rsid w:val="000A4711"/>
    <w:rPr>
      <w:sz w:val="20"/>
    </w:rPr>
  </w:style>
  <w:style w:type="character" w:styleId="EndnoteReference">
    <w:name w:val="endnote reference"/>
    <w:semiHidden/>
    <w:rsid w:val="000A4711"/>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A4711"/>
    <w:pPr>
      <w:spacing w:after="120"/>
    </w:pPr>
  </w:style>
  <w:style w:type="character" w:styleId="FootnoteReference">
    <w:name w:val="footnote reference"/>
    <w:aliases w:val="(NECG) Footnote Reference,Appel note de bas de p,FR,Style 12,Style 124,Style 17,Style 3,fr,o"/>
    <w:rsid w:val="000A4711"/>
    <w:rPr>
      <w:rFonts w:ascii="Times New Roman" w:hAnsi="Times New Roman"/>
      <w:dstrike w:val="0"/>
      <w:color w:val="auto"/>
      <w:sz w:val="22"/>
      <w:vertAlign w:val="superscript"/>
    </w:rPr>
  </w:style>
  <w:style w:type="paragraph" w:styleId="TOC1">
    <w:name w:val="toc 1"/>
    <w:basedOn w:val="Normal"/>
    <w:next w:val="Normal"/>
    <w:uiPriority w:val="39"/>
    <w:rsid w:val="000A471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4711"/>
    <w:pPr>
      <w:tabs>
        <w:tab w:val="left" w:pos="720"/>
        <w:tab w:val="right" w:leader="dot" w:pos="9360"/>
      </w:tabs>
      <w:suppressAutoHyphens/>
      <w:ind w:left="720" w:right="720" w:hanging="360"/>
    </w:pPr>
    <w:rPr>
      <w:noProof/>
    </w:rPr>
  </w:style>
  <w:style w:type="paragraph" w:styleId="TOC3">
    <w:name w:val="toc 3"/>
    <w:basedOn w:val="Normal"/>
    <w:next w:val="Normal"/>
    <w:semiHidden/>
    <w:rsid w:val="000A47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47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47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47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47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47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471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4711"/>
    <w:pPr>
      <w:tabs>
        <w:tab w:val="right" w:pos="9360"/>
      </w:tabs>
      <w:suppressAutoHyphens/>
    </w:pPr>
  </w:style>
  <w:style w:type="character" w:customStyle="1" w:styleId="EquationCaption">
    <w:name w:val="_Equation Caption"/>
    <w:rsid w:val="000A4711"/>
  </w:style>
  <w:style w:type="paragraph" w:styleId="Header">
    <w:name w:val="header"/>
    <w:basedOn w:val="Normal"/>
    <w:autoRedefine/>
    <w:rsid w:val="000A471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A4711"/>
    <w:pPr>
      <w:tabs>
        <w:tab w:val="center" w:pos="4320"/>
        <w:tab w:val="right" w:pos="8640"/>
      </w:tabs>
    </w:pPr>
  </w:style>
  <w:style w:type="character" w:styleId="PageNumber">
    <w:name w:val="page number"/>
    <w:rsid w:val="000A4711"/>
  </w:style>
  <w:style w:type="paragraph" w:styleId="BlockText">
    <w:name w:val="Block Text"/>
    <w:basedOn w:val="Normal"/>
    <w:rsid w:val="000A4711"/>
    <w:pPr>
      <w:spacing w:after="240"/>
      <w:ind w:left="1440" w:right="1440"/>
    </w:pPr>
  </w:style>
  <w:style w:type="paragraph" w:customStyle="1" w:styleId="Paratitle">
    <w:name w:val="Para title"/>
    <w:basedOn w:val="Normal"/>
    <w:rsid w:val="000A4711"/>
    <w:pPr>
      <w:tabs>
        <w:tab w:val="center" w:pos="9270"/>
      </w:tabs>
      <w:spacing w:after="240"/>
    </w:pPr>
    <w:rPr>
      <w:spacing w:val="-2"/>
    </w:rPr>
  </w:style>
  <w:style w:type="paragraph" w:customStyle="1" w:styleId="Bullet">
    <w:name w:val="Bullet"/>
    <w:basedOn w:val="Normal"/>
    <w:rsid w:val="000A4711"/>
    <w:pPr>
      <w:numPr>
        <w:numId w:val="1"/>
      </w:numPr>
      <w:tabs>
        <w:tab w:val="clear" w:pos="360"/>
        <w:tab w:val="left" w:pos="2160"/>
      </w:tabs>
      <w:spacing w:after="220"/>
      <w:ind w:left="2160" w:hanging="720"/>
    </w:pPr>
  </w:style>
  <w:style w:type="paragraph" w:customStyle="1" w:styleId="TableFormat">
    <w:name w:val="TableFormat"/>
    <w:basedOn w:val="Bullet"/>
    <w:rsid w:val="000A4711"/>
    <w:pPr>
      <w:numPr>
        <w:numId w:val="0"/>
      </w:numPr>
      <w:tabs>
        <w:tab w:val="clear" w:pos="2160"/>
        <w:tab w:val="left" w:pos="5040"/>
      </w:tabs>
      <w:ind w:left="5040" w:hanging="3600"/>
    </w:pPr>
  </w:style>
  <w:style w:type="paragraph" w:customStyle="1" w:styleId="TOCTitle">
    <w:name w:val="TOC Title"/>
    <w:basedOn w:val="Normal"/>
    <w:rsid w:val="000A47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4711"/>
    <w:pPr>
      <w:jc w:val="center"/>
    </w:pPr>
    <w:rPr>
      <w:rFonts w:ascii="Times New Roman Bold" w:hAnsi="Times New Roman Bold"/>
      <w:b/>
      <w:bCs/>
      <w:caps/>
      <w:szCs w:val="22"/>
    </w:rPr>
  </w:style>
  <w:style w:type="character" w:styleId="Hyperlink">
    <w:name w:val="Hyperlink"/>
    <w:rsid w:val="000A4711"/>
    <w:rPr>
      <w:color w:val="0000FF"/>
      <w:u w:val="single"/>
    </w:rPr>
  </w:style>
  <w:style w:type="character" w:customStyle="1" w:styleId="FooterChar">
    <w:name w:val="Footer Char"/>
    <w:link w:val="Footer"/>
    <w:uiPriority w:val="99"/>
    <w:rsid w:val="000A4711"/>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rsid w:val="000A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