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6.3.0.0 -->
  <w:body>
    <w:p w:rsidR="005F3A0F">
      <w:pPr>
        <w:jc w:val="center"/>
        <w:rPr>
          <w:b/>
        </w:rPr>
      </w:pPr>
      <w:bookmarkStart w:id="0" w:name="_GoBack"/>
      <w:bookmarkEnd w:id="0"/>
      <w:r>
        <w:rPr>
          <w:rFonts w:ascii="Times New Roman Bold" w:hAnsi="Times New Roman Bold"/>
          <w:b/>
          <w:kern w:val="0"/>
          <w:szCs w:val="22"/>
        </w:rPr>
        <w:t>Before</w:t>
      </w:r>
      <w:r>
        <w:rPr>
          <w:b/>
        </w:rPr>
        <w:t xml:space="preserve"> the</w:t>
      </w:r>
    </w:p>
    <w:p w:rsidR="005F3A0F">
      <w:pPr>
        <w:pStyle w:val="StyleBoldCentered"/>
      </w:pPr>
      <w:r>
        <w:t>F</w:t>
      </w:r>
      <w:r>
        <w:rPr>
          <w:caps w:val="0"/>
        </w:rPr>
        <w:t>ederal Communications Commission</w:t>
      </w:r>
    </w:p>
    <w:p w:rsidR="005F3A0F">
      <w:pPr>
        <w:pStyle w:val="StyleBoldCentered"/>
      </w:pPr>
      <w:r>
        <w:t>Washington, D.C. 20554</w:t>
      </w:r>
    </w:p>
    <w:tbl>
      <w:tblPr>
        <w:tblW w:w="9648" w:type="dxa"/>
        <w:tblLayout w:type="fixed"/>
        <w:tblLook w:val="0000"/>
      </w:tblPr>
      <w:tblGrid>
        <w:gridCol w:w="4698"/>
        <w:gridCol w:w="720"/>
        <w:gridCol w:w="4230"/>
      </w:tblGrid>
      <w:tr w:rsidTr="00F37108">
        <w:tblPrEx>
          <w:tblW w:w="9648" w:type="dxa"/>
          <w:tblLayout w:type="fixed"/>
          <w:tblLook w:val="0000"/>
        </w:tblPrEx>
        <w:tc>
          <w:tcPr>
            <w:tcW w:w="4698" w:type="dxa"/>
          </w:tcPr>
          <w:p w:rsidR="00F37108">
            <w:pPr>
              <w:ind w:right="-18"/>
            </w:pPr>
            <w:r>
              <w:tab/>
            </w:r>
            <w:r>
              <w:tab/>
            </w:r>
            <w:r>
              <w:tab/>
            </w:r>
          </w:p>
          <w:p w:rsidR="0037767F">
            <w:pPr>
              <w:ind w:right="-18"/>
              <w:rPr>
                <w:szCs w:val="22"/>
              </w:rPr>
            </w:pPr>
          </w:p>
          <w:p w:rsidR="00BD5F51">
            <w:pPr>
              <w:ind w:right="-18"/>
              <w:rPr>
                <w:szCs w:val="22"/>
              </w:rPr>
            </w:pPr>
          </w:p>
          <w:p w:rsidR="005F3A0F">
            <w:pPr>
              <w:ind w:right="-18"/>
              <w:rPr>
                <w:szCs w:val="22"/>
              </w:rPr>
            </w:pPr>
            <w:r>
              <w:rPr>
                <w:szCs w:val="22"/>
              </w:rPr>
              <w:t>In the Matter of</w:t>
            </w:r>
          </w:p>
          <w:p w:rsidR="005F3A0F">
            <w:pPr>
              <w:ind w:right="-18"/>
              <w:rPr>
                <w:szCs w:val="22"/>
              </w:rPr>
            </w:pPr>
          </w:p>
          <w:p w:rsidR="00693695" w:rsidRPr="009C0C43" w:rsidP="00EC37EE">
            <w:pPr>
              <w:ind w:right="-18"/>
              <w:rPr>
                <w:color w:val="000000"/>
                <w:szCs w:val="22"/>
              </w:rPr>
            </w:pPr>
            <w:r>
              <w:rPr>
                <w:color w:val="000000"/>
                <w:szCs w:val="22"/>
              </w:rPr>
              <w:t>State of Wisconsin</w:t>
            </w:r>
          </w:p>
        </w:tc>
        <w:tc>
          <w:tcPr>
            <w:tcW w:w="720" w:type="dxa"/>
          </w:tcPr>
          <w:p w:rsidR="005F3A0F">
            <w:pPr>
              <w:rPr>
                <w:b/>
                <w:szCs w:val="22"/>
              </w:rPr>
            </w:pPr>
          </w:p>
          <w:p w:rsidR="005F3A0F">
            <w:pPr>
              <w:rPr>
                <w:b/>
                <w:szCs w:val="22"/>
              </w:rPr>
            </w:pPr>
            <w:r>
              <w:rPr>
                <w:b/>
                <w:szCs w:val="22"/>
              </w:rPr>
              <w:t>)</w:t>
            </w:r>
          </w:p>
          <w:p w:rsidR="005F3A0F">
            <w:pPr>
              <w:rPr>
                <w:b/>
                <w:szCs w:val="22"/>
              </w:rPr>
            </w:pPr>
            <w:r>
              <w:rPr>
                <w:b/>
                <w:szCs w:val="22"/>
              </w:rPr>
              <w:t>)</w:t>
            </w:r>
          </w:p>
          <w:p w:rsidR="005F3A0F">
            <w:pPr>
              <w:rPr>
                <w:b/>
                <w:szCs w:val="22"/>
              </w:rPr>
            </w:pPr>
            <w:r>
              <w:rPr>
                <w:b/>
                <w:szCs w:val="22"/>
              </w:rPr>
              <w:t>)</w:t>
            </w:r>
          </w:p>
          <w:p w:rsidR="005F3A0F">
            <w:pPr>
              <w:rPr>
                <w:b/>
                <w:szCs w:val="22"/>
              </w:rPr>
            </w:pPr>
            <w:r>
              <w:rPr>
                <w:b/>
                <w:szCs w:val="22"/>
              </w:rPr>
              <w:t>)</w:t>
            </w:r>
          </w:p>
          <w:p w:rsidR="005F3A0F">
            <w:pPr>
              <w:rPr>
                <w:b/>
                <w:szCs w:val="22"/>
              </w:rPr>
            </w:pPr>
            <w:r>
              <w:rPr>
                <w:b/>
                <w:szCs w:val="22"/>
              </w:rPr>
              <w:t>)</w:t>
            </w:r>
          </w:p>
          <w:p w:rsidR="005F3A0F">
            <w:pPr>
              <w:rPr>
                <w:b/>
                <w:szCs w:val="22"/>
              </w:rPr>
            </w:pPr>
            <w:r>
              <w:rPr>
                <w:b/>
                <w:szCs w:val="22"/>
              </w:rPr>
              <w:t>)</w:t>
            </w:r>
          </w:p>
          <w:p w:rsidR="005F3A0F">
            <w:pPr>
              <w:rPr>
                <w:b/>
                <w:szCs w:val="22"/>
              </w:rPr>
            </w:pPr>
            <w:r>
              <w:rPr>
                <w:b/>
                <w:szCs w:val="22"/>
              </w:rPr>
              <w:t>)</w:t>
            </w:r>
          </w:p>
          <w:p w:rsidR="0046753E">
            <w:pPr>
              <w:rPr>
                <w:b/>
                <w:szCs w:val="22"/>
              </w:rPr>
            </w:pPr>
            <w:r>
              <w:rPr>
                <w:b/>
                <w:szCs w:val="22"/>
              </w:rPr>
              <w:t>)</w:t>
            </w:r>
          </w:p>
          <w:p w:rsidR="0046753E">
            <w:pPr>
              <w:rPr>
                <w:b/>
                <w:szCs w:val="22"/>
              </w:rPr>
            </w:pPr>
            <w:r>
              <w:rPr>
                <w:b/>
                <w:szCs w:val="22"/>
              </w:rPr>
              <w:t>)</w:t>
            </w:r>
          </w:p>
          <w:p w:rsidR="00BD5F51">
            <w:pPr>
              <w:rPr>
                <w:b/>
                <w:szCs w:val="22"/>
              </w:rPr>
            </w:pPr>
            <w:r>
              <w:rPr>
                <w:b/>
                <w:szCs w:val="22"/>
              </w:rPr>
              <w:t>)</w:t>
            </w:r>
          </w:p>
          <w:p w:rsidR="00BD5F51">
            <w:pPr>
              <w:rPr>
                <w:b/>
                <w:szCs w:val="22"/>
              </w:rPr>
            </w:pPr>
            <w:r>
              <w:rPr>
                <w:b/>
                <w:szCs w:val="22"/>
              </w:rPr>
              <w:t>)</w:t>
            </w:r>
          </w:p>
          <w:p w:rsidR="0046753E">
            <w:pPr>
              <w:rPr>
                <w:b/>
                <w:szCs w:val="22"/>
              </w:rPr>
            </w:pPr>
          </w:p>
        </w:tc>
        <w:tc>
          <w:tcPr>
            <w:tcW w:w="4230" w:type="dxa"/>
          </w:tcPr>
          <w:p w:rsidR="005F3A0F" w:rsidRPr="0037767F">
            <w:pPr>
              <w:rPr>
                <w:szCs w:val="22"/>
              </w:rPr>
            </w:pPr>
          </w:p>
          <w:p w:rsidR="00BD5F51" w:rsidP="00693695">
            <w:pPr>
              <w:rPr>
                <w:spacing w:val="-2"/>
                <w:szCs w:val="22"/>
              </w:rPr>
            </w:pPr>
          </w:p>
          <w:p w:rsidR="000260AF" w:rsidRPr="0037767F" w:rsidP="00693695">
            <w:r w:rsidRPr="0037767F">
              <w:rPr>
                <w:spacing w:val="-2"/>
                <w:szCs w:val="22"/>
              </w:rPr>
              <w:t>File No</w:t>
            </w:r>
            <w:r w:rsidRPr="0037767F" w:rsidR="00E13409">
              <w:rPr>
                <w:spacing w:val="-2"/>
                <w:szCs w:val="22"/>
              </w:rPr>
              <w:t>s</w:t>
            </w:r>
            <w:r w:rsidRPr="0037767F">
              <w:rPr>
                <w:spacing w:val="-2"/>
                <w:szCs w:val="22"/>
              </w:rPr>
              <w:t>.</w:t>
            </w:r>
            <w:r w:rsidRPr="0037767F" w:rsidR="0037767F">
              <w:rPr>
                <w:spacing w:val="-2"/>
                <w:szCs w:val="22"/>
              </w:rPr>
              <w:t xml:space="preserve"> </w:t>
            </w:r>
            <w:r w:rsidR="0046753E">
              <w:rPr>
                <w:spacing w:val="-2"/>
                <w:szCs w:val="22"/>
              </w:rPr>
              <w:t xml:space="preserve">0007838020, 0007838021, 0007838022, 0007838023, 0007838024, 0007838025, 0007838026, 0007838027, 0007838028, 0007838029, 0007838030, 0007838031, 0007838032, 0007838033, </w:t>
            </w:r>
            <w:r w:rsidRPr="0018081D" w:rsidR="0046753E">
              <w:rPr>
                <w:spacing w:val="-2"/>
                <w:szCs w:val="22"/>
              </w:rPr>
              <w:t>0007838034</w:t>
            </w:r>
            <w:r w:rsidR="0046753E">
              <w:rPr>
                <w:spacing w:val="-2"/>
                <w:szCs w:val="22"/>
              </w:rPr>
              <w:t xml:space="preserve">, 0007838035, 0007838036, 0007838037, </w:t>
            </w:r>
            <w:r w:rsidRPr="0018081D" w:rsidR="0046753E">
              <w:rPr>
                <w:spacing w:val="-2"/>
                <w:szCs w:val="22"/>
              </w:rPr>
              <w:t>0007838038</w:t>
            </w:r>
            <w:r w:rsidR="0046753E">
              <w:rPr>
                <w:spacing w:val="-2"/>
                <w:szCs w:val="22"/>
              </w:rPr>
              <w:t xml:space="preserve">, 0007838039, 0007838040, 0007838041, </w:t>
            </w:r>
            <w:r w:rsidRPr="0018081D" w:rsidR="0046753E">
              <w:rPr>
                <w:spacing w:val="-2"/>
                <w:szCs w:val="22"/>
              </w:rPr>
              <w:t>0007838042</w:t>
            </w:r>
            <w:r w:rsidR="0046753E">
              <w:rPr>
                <w:spacing w:val="-2"/>
                <w:szCs w:val="22"/>
              </w:rPr>
              <w:t>, 0007838043, 0007838044</w:t>
            </w:r>
          </w:p>
        </w:tc>
      </w:tr>
    </w:tbl>
    <w:p w:rsidR="00A576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s>
        <w:jc w:val="center"/>
        <w:rPr>
          <w:rFonts w:ascii="Times New Roman Bold" w:hAnsi="Times New Roman Bold"/>
          <w:b/>
          <w:caps/>
          <w:szCs w:val="22"/>
        </w:rPr>
      </w:pPr>
    </w:p>
    <w:p w:rsidR="00AD1B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s>
        <w:jc w:val="center"/>
        <w:rPr>
          <w:rFonts w:ascii="Times New Roman Bold" w:hAnsi="Times New Roman Bold"/>
          <w:b/>
          <w:caps/>
          <w:szCs w:val="22"/>
        </w:rPr>
      </w:pPr>
      <w:r w:rsidRPr="00BB05FB">
        <w:rPr>
          <w:rFonts w:ascii="Times New Roman Bold" w:hAnsi="Times New Roman Bold"/>
          <w:b/>
          <w:caps/>
          <w:szCs w:val="22"/>
        </w:rPr>
        <w:t>ORDER</w:t>
      </w:r>
      <w:r w:rsidR="000F3EDE">
        <w:rPr>
          <w:rFonts w:ascii="Times New Roman Bold" w:hAnsi="Times New Roman Bold"/>
          <w:b/>
          <w:caps/>
          <w:szCs w:val="22"/>
        </w:rPr>
        <w:t xml:space="preserve"> and </w:t>
      </w:r>
      <w:r w:rsidR="000F3EDE">
        <w:rPr>
          <w:b/>
          <w:spacing w:val="-2"/>
          <w:szCs w:val="22"/>
        </w:rPr>
        <w:t>PROPOSED ORDER OF MODIFICATION</w:t>
      </w:r>
    </w:p>
    <w:p w:rsidR="005F3A0F" w:rsidRPr="009C0C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s>
        <w:jc w:val="center"/>
        <w:rPr>
          <w:rFonts w:ascii="Times New Roman Bold" w:hAnsi="Times New Roman Bold"/>
          <w:b/>
          <w:caps/>
          <w:szCs w:val="22"/>
          <w:u w:val="single"/>
        </w:rPr>
      </w:pPr>
    </w:p>
    <w:p w:rsidR="005F3A0F">
      <w:pPr>
        <w:tabs>
          <w:tab w:val="left" w:pos="5760"/>
        </w:tabs>
        <w:jc w:val="both"/>
        <w:rPr>
          <w:b/>
          <w:szCs w:val="22"/>
        </w:rPr>
      </w:pPr>
      <w:r w:rsidRPr="00BB05FB">
        <w:rPr>
          <w:b/>
          <w:szCs w:val="22"/>
        </w:rPr>
        <w:t xml:space="preserve">Adopted:  </w:t>
      </w:r>
      <w:r w:rsidR="009D7B60">
        <w:rPr>
          <w:b/>
          <w:szCs w:val="22"/>
        </w:rPr>
        <w:t>November 13, 2018</w:t>
      </w:r>
      <w:r w:rsidRPr="00BB05FB">
        <w:rPr>
          <w:b/>
          <w:szCs w:val="22"/>
        </w:rPr>
        <w:t xml:space="preserve">                         </w:t>
      </w:r>
      <w:r w:rsidRPr="00BB05FB">
        <w:rPr>
          <w:b/>
          <w:szCs w:val="22"/>
        </w:rPr>
        <w:t xml:space="preserve">                    </w:t>
      </w:r>
      <w:r w:rsidRPr="00BB05FB" w:rsidR="00074854">
        <w:rPr>
          <w:b/>
          <w:szCs w:val="22"/>
        </w:rPr>
        <w:t xml:space="preserve">        </w:t>
      </w:r>
      <w:r w:rsidR="00900AA1">
        <w:rPr>
          <w:b/>
          <w:szCs w:val="22"/>
        </w:rPr>
        <w:tab/>
      </w:r>
      <w:r w:rsidR="00900AA1">
        <w:rPr>
          <w:b/>
          <w:szCs w:val="22"/>
        </w:rPr>
        <w:tab/>
      </w:r>
      <w:r w:rsidRPr="00BB05FB">
        <w:rPr>
          <w:b/>
          <w:szCs w:val="22"/>
        </w:rPr>
        <w:t xml:space="preserve">Released:  </w:t>
      </w:r>
      <w:r w:rsidR="009D7B60">
        <w:rPr>
          <w:b/>
          <w:szCs w:val="22"/>
        </w:rPr>
        <w:t xml:space="preserve">November 13, 2018 </w:t>
      </w:r>
    </w:p>
    <w:p w:rsidR="005F3A0F">
      <w:pPr>
        <w:tabs>
          <w:tab w:val="left" w:pos="5760"/>
        </w:tabs>
        <w:jc w:val="both"/>
        <w:rPr>
          <w:b/>
          <w:szCs w:val="22"/>
        </w:rPr>
      </w:pPr>
    </w:p>
    <w:p w:rsidR="005F3A0F">
      <w:pPr>
        <w:tabs>
          <w:tab w:val="left" w:pos="5760"/>
        </w:tabs>
        <w:jc w:val="both"/>
        <w:rPr>
          <w:bCs/>
          <w:szCs w:val="22"/>
        </w:rPr>
      </w:pPr>
      <w:r>
        <w:rPr>
          <w:bCs/>
          <w:szCs w:val="22"/>
        </w:rPr>
        <w:t>By</w:t>
      </w:r>
      <w:r w:rsidR="00AD1BF7">
        <w:rPr>
          <w:bCs/>
          <w:szCs w:val="22"/>
        </w:rPr>
        <w:t xml:space="preserve"> the Chief, </w:t>
      </w:r>
      <w:r w:rsidR="001C3144">
        <w:rPr>
          <w:bCs/>
          <w:szCs w:val="22"/>
        </w:rPr>
        <w:t>Mobility Division</w:t>
      </w:r>
      <w:r w:rsidR="00F56EB8">
        <w:rPr>
          <w:bCs/>
          <w:szCs w:val="22"/>
        </w:rPr>
        <w:t xml:space="preserve">, </w:t>
      </w:r>
      <w:r w:rsidR="00AD1BF7">
        <w:rPr>
          <w:bCs/>
          <w:szCs w:val="22"/>
        </w:rPr>
        <w:t>Wir</w:t>
      </w:r>
      <w:r>
        <w:rPr>
          <w:bCs/>
          <w:spacing w:val="-2"/>
          <w:szCs w:val="22"/>
        </w:rPr>
        <w:t xml:space="preserve">eless Telecommunications </w:t>
      </w:r>
      <w:r w:rsidR="00AD1BF7">
        <w:rPr>
          <w:bCs/>
          <w:spacing w:val="-2"/>
          <w:szCs w:val="22"/>
        </w:rPr>
        <w:t>B</w:t>
      </w:r>
      <w:r>
        <w:rPr>
          <w:bCs/>
          <w:spacing w:val="-2"/>
          <w:szCs w:val="22"/>
        </w:rPr>
        <w:t xml:space="preserve">ureau: </w:t>
      </w:r>
    </w:p>
    <w:p w:rsidR="005F3A0F">
      <w:pPr>
        <w:tabs>
          <w:tab w:val="left" w:pos="5760"/>
        </w:tabs>
        <w:jc w:val="both"/>
        <w:rPr>
          <w:b/>
          <w:szCs w:val="22"/>
        </w:rPr>
      </w:pPr>
    </w:p>
    <w:p w:rsidR="0046753E" w:rsidP="00B7110A">
      <w:pPr>
        <w:pStyle w:val="ParaNum"/>
        <w:numPr>
          <w:ilvl w:val="0"/>
          <w:numId w:val="3"/>
        </w:numPr>
        <w:tabs>
          <w:tab w:val="num" w:pos="990"/>
        </w:tabs>
        <w:ind w:left="-90" w:firstLine="720"/>
      </w:pPr>
      <w:r>
        <w:rPr>
          <w:i/>
        </w:rPr>
        <w:t xml:space="preserve">Introduction.  </w:t>
      </w:r>
      <w:bookmarkStart w:id="1" w:name="_Hlk525636477"/>
      <w:r>
        <w:t xml:space="preserve">In this Order, the Mobility Division (Division) of the Wireless Telecommunications Bureau (Bureau) addresses a Petition for Reconsideration filed by the </w:t>
      </w:r>
      <w:r w:rsidRPr="00BB05FB">
        <w:t xml:space="preserve">State of </w:t>
      </w:r>
      <w:r>
        <w:t>Wisconsin</w:t>
      </w:r>
      <w:r w:rsidRPr="00BB05FB">
        <w:t xml:space="preserve"> </w:t>
      </w:r>
      <w:r>
        <w:t xml:space="preserve">(Wisconsin or the State).  Wisconsin asks that the Division reconsider </w:t>
      </w:r>
      <w:r w:rsidR="00147407">
        <w:t>our</w:t>
      </w:r>
      <w:r>
        <w:t xml:space="preserve"> denial of</w:t>
      </w:r>
      <w:r w:rsidRPr="00F56EB8">
        <w:t xml:space="preserve"> </w:t>
      </w:r>
      <w:r w:rsidR="003E4680">
        <w:t xml:space="preserve">its request </w:t>
      </w:r>
      <w:r>
        <w:t xml:space="preserve">to extend the deadline </w:t>
      </w:r>
      <w:r w:rsidR="0093486A">
        <w:t xml:space="preserve">for filing its construction notifications </w:t>
      </w:r>
      <w:r w:rsidR="00BB3A71">
        <w:t xml:space="preserve">  </w:t>
      </w:r>
      <w:r w:rsidR="00DD4872">
        <w:t xml:space="preserve">for </w:t>
      </w:r>
      <w:r>
        <w:t>twenty-five Part 22 Paging (paging) licenses operating as a part of Wisconsin’s statewide,</w:t>
      </w:r>
      <w:r w:rsidRPr="00AF54E3">
        <w:t xml:space="preserve"> </w:t>
      </w:r>
      <w:r>
        <w:t>interoperable public safety communications network.</w:t>
      </w:r>
      <w:r>
        <w:rPr>
          <w:rStyle w:val="FootnoteReference"/>
        </w:rPr>
        <w:footnoteReference w:id="3"/>
      </w:r>
      <w:r>
        <w:t xml:space="preserve">  Wisconsin asks that the Division either grant a</w:t>
      </w:r>
      <w:r w:rsidR="0093486A">
        <w:t>n</w:t>
      </w:r>
      <w:r>
        <w:t xml:space="preserve"> extension of time in which to file construction notifications, accept its earlier </w:t>
      </w:r>
      <w:r w:rsidR="0093486A">
        <w:t xml:space="preserve">2016 </w:t>
      </w:r>
      <w:r>
        <w:t xml:space="preserve">construction notifications, or allow the </w:t>
      </w:r>
      <w:r w:rsidR="00984A14">
        <w:t>S</w:t>
      </w:r>
      <w:r>
        <w:t>tate to file a petition for waiver of its construction requirements.</w:t>
      </w:r>
      <w:r>
        <w:rPr>
          <w:rStyle w:val="FootnoteReference"/>
        </w:rPr>
        <w:footnoteReference w:id="4"/>
      </w:r>
      <w:r w:rsidR="00E0202B">
        <w:t xml:space="preserve"> </w:t>
      </w:r>
      <w:r>
        <w:t xml:space="preserve"> </w:t>
      </w:r>
      <w:r w:rsidRPr="00F56EB8">
        <w:t xml:space="preserve">For the reasons stated below, </w:t>
      </w:r>
      <w:r>
        <w:t>the Division denies the Petition for Reconsideration</w:t>
      </w:r>
      <w:r w:rsidR="00CD6B5D">
        <w:t xml:space="preserve">, affirming </w:t>
      </w:r>
      <w:r w:rsidR="00147407">
        <w:t xml:space="preserve">our earlier finding that </w:t>
      </w:r>
      <w:r>
        <w:t xml:space="preserve">Wisconsin </w:t>
      </w:r>
      <w:r w:rsidR="001863C4">
        <w:rPr>
          <w:snapToGrid/>
          <w:kern w:val="0"/>
        </w:rPr>
        <w:t xml:space="preserve">makes no showing that an extension is warranted and </w:t>
      </w:r>
      <w:r>
        <w:t xml:space="preserve">did not satisfy the construction requirement for the licenses at issue.  </w:t>
      </w:r>
    </w:p>
    <w:p w:rsidR="00AF54E3" w:rsidRPr="00C63C19" w:rsidP="00B7110A">
      <w:pPr>
        <w:pStyle w:val="ParaNum"/>
        <w:numPr>
          <w:ilvl w:val="0"/>
          <w:numId w:val="3"/>
        </w:numPr>
        <w:tabs>
          <w:tab w:val="num" w:pos="990"/>
        </w:tabs>
        <w:ind w:left="-90" w:firstLine="720"/>
      </w:pPr>
      <w:bookmarkEnd w:id="1"/>
      <w:r>
        <w:t xml:space="preserve">Based on our review of the record, </w:t>
      </w:r>
      <w:r w:rsidR="00B35BA9">
        <w:t xml:space="preserve">however, </w:t>
      </w:r>
      <w:r>
        <w:t>w</w:t>
      </w:r>
      <w:r>
        <w:t>e find</w:t>
      </w:r>
      <w:r w:rsidR="00612693">
        <w:t xml:space="preserve"> on our own motion</w:t>
      </w:r>
      <w:r>
        <w:t xml:space="preserve"> that the public interest </w:t>
      </w:r>
      <w:r w:rsidR="00BF1284">
        <w:t>support</w:t>
      </w:r>
      <w:r w:rsidR="00D903AD">
        <w:t>s</w:t>
      </w:r>
      <w:r>
        <w:t xml:space="preserve"> </w:t>
      </w:r>
      <w:r w:rsidRPr="00A4239C" w:rsidR="00456C1E">
        <w:t xml:space="preserve">a </w:t>
      </w:r>
      <w:r w:rsidRPr="00A4239C" w:rsidR="003F6828">
        <w:t xml:space="preserve">partial </w:t>
      </w:r>
      <w:r w:rsidRPr="00A4239C" w:rsidR="00456C1E">
        <w:t>waiver</w:t>
      </w:r>
      <w:r w:rsidR="00456C1E">
        <w:t xml:space="preserve"> </w:t>
      </w:r>
      <w:r>
        <w:t>of the construction requirement</w:t>
      </w:r>
      <w:r w:rsidR="00382467">
        <w:t>s</w:t>
      </w:r>
      <w:r>
        <w:t xml:space="preserve"> </w:t>
      </w:r>
      <w:r w:rsidR="00C06CA8">
        <w:t xml:space="preserve">for </w:t>
      </w:r>
      <w:r w:rsidR="00302DE5">
        <w:t xml:space="preserve">fourteen </w:t>
      </w:r>
      <w:r w:rsidR="00C06CA8">
        <w:t>of the twenty-five licenses at issue, as well as</w:t>
      </w:r>
      <w:r>
        <w:t xml:space="preserve"> of relevant technical rules</w:t>
      </w:r>
      <w:r w:rsidR="00612693">
        <w:t xml:space="preserve"> to the extent </w:t>
      </w:r>
      <w:r w:rsidR="00B35BA9">
        <w:t>necessary</w:t>
      </w:r>
      <w:r w:rsidR="00612693">
        <w:t xml:space="preserve"> to permit </w:t>
      </w:r>
      <w:r w:rsidR="000849D5">
        <w:t>continue</w:t>
      </w:r>
      <w:r w:rsidR="00612693">
        <w:t>d</w:t>
      </w:r>
      <w:r w:rsidR="000849D5">
        <w:t xml:space="preserve"> operation</w:t>
      </w:r>
      <w:r w:rsidR="00612693">
        <w:t xml:space="preserve"> o</w:t>
      </w:r>
      <w:r w:rsidR="00C01310">
        <w:t xml:space="preserve">f </w:t>
      </w:r>
      <w:r w:rsidR="00C06CA8">
        <w:t xml:space="preserve">the </w:t>
      </w:r>
      <w:r w:rsidR="00612693">
        <w:t>frequencies</w:t>
      </w:r>
      <w:r w:rsidR="00C01310">
        <w:t xml:space="preserve"> that were</w:t>
      </w:r>
      <w:r w:rsidR="00323929">
        <w:t xml:space="preserve"> in use</w:t>
      </w:r>
      <w:r w:rsidR="00ED6A5C">
        <w:t xml:space="preserve"> as of</w:t>
      </w:r>
      <w:r w:rsidR="009C5379">
        <w:t xml:space="preserve"> </w:t>
      </w:r>
      <w:r w:rsidR="00A30A78">
        <w:t>July 3,</w:t>
      </w:r>
      <w:r w:rsidR="009C5379">
        <w:t xml:space="preserve"> 2017</w:t>
      </w:r>
      <w:r w:rsidR="00C01310">
        <w:t>.  We also find that the public interest</w:t>
      </w:r>
      <w:r w:rsidR="00C7458C">
        <w:t xml:space="preserve"> supports a limited grant of special temporary authority to operate while </w:t>
      </w:r>
      <w:r w:rsidR="00147407">
        <w:t xml:space="preserve">the State </w:t>
      </w:r>
      <w:r w:rsidR="00C7458C">
        <w:t>bring</w:t>
      </w:r>
      <w:r w:rsidR="003F6828">
        <w:t>s</w:t>
      </w:r>
      <w:r w:rsidR="00C7458C">
        <w:t xml:space="preserve"> the system into compliance with our rules</w:t>
      </w:r>
      <w:r w:rsidR="0076320A">
        <w:t xml:space="preserve">.  </w:t>
      </w:r>
      <w:r w:rsidR="00B35BA9">
        <w:t xml:space="preserve">In light </w:t>
      </w:r>
      <w:r w:rsidR="0076320A">
        <w:t>of</w:t>
      </w:r>
      <w:r w:rsidR="0076320A">
        <w:t xml:space="preserve"> these waivers</w:t>
      </w:r>
      <w:r>
        <w:t>,</w:t>
      </w:r>
      <w:r w:rsidR="0076320A">
        <w:t xml:space="preserve"> we propose to modify the geographic license area for the </w:t>
      </w:r>
      <w:r w:rsidR="00302DE5">
        <w:t xml:space="preserve">fourteen </w:t>
      </w:r>
      <w:r w:rsidR="0058396E">
        <w:t xml:space="preserve">licenses </w:t>
      </w:r>
      <w:r w:rsidR="00E0202B">
        <w:t>that are the subject of the partial waiver</w:t>
      </w:r>
      <w:r w:rsidR="0058396E">
        <w:t>.</w:t>
      </w:r>
      <w:r w:rsidR="00E0202B">
        <w:t xml:space="preserve">  </w:t>
      </w:r>
      <w:r w:rsidR="0076320A">
        <w:t xml:space="preserve">The </w:t>
      </w:r>
      <w:r>
        <w:t xml:space="preserve">technical </w:t>
      </w:r>
      <w:r w:rsidR="0076320A">
        <w:t>waivers are</w:t>
      </w:r>
      <w:r>
        <w:t xml:space="preserve"> conditioned on </w:t>
      </w:r>
      <w:r w:rsidR="00C01310">
        <w:t>Wisconsin</w:t>
      </w:r>
      <w:r>
        <w:t xml:space="preserve"> </w:t>
      </w:r>
      <w:r>
        <w:t xml:space="preserve">obtaining </w:t>
      </w:r>
      <w:r w:rsidR="0076320A">
        <w:t xml:space="preserve">consent of relevant other licensees.  </w:t>
      </w:r>
      <w:r>
        <w:t xml:space="preserve">We conclude that such relief is in the public interest given the unique factual circumstances involved and that the conditions will promote use of spectrum for important public safety functions, while </w:t>
      </w:r>
      <w:r w:rsidR="00E0617A">
        <w:t xml:space="preserve">protecting against </w:t>
      </w:r>
      <w:r>
        <w:t>harmful interfe</w:t>
      </w:r>
      <w:r w:rsidR="00382467">
        <w:t>rence</w:t>
      </w:r>
      <w:r w:rsidR="00E0617A">
        <w:t xml:space="preserve"> to adjacent licensees</w:t>
      </w:r>
      <w:r>
        <w:t>.</w:t>
      </w:r>
    </w:p>
    <w:p w:rsidR="006D7B4A" w:rsidRPr="004B27AC" w:rsidP="00EE7C02">
      <w:pPr>
        <w:pStyle w:val="Heading1"/>
      </w:pPr>
      <w:r w:rsidRPr="004B27AC">
        <w:t>BACKGROUND</w:t>
      </w:r>
    </w:p>
    <w:p w:rsidR="003F5C77" w:rsidRPr="00291205" w:rsidP="00B7110A">
      <w:pPr>
        <w:pStyle w:val="ParaNum"/>
        <w:numPr>
          <w:ilvl w:val="0"/>
          <w:numId w:val="3"/>
        </w:numPr>
        <w:tabs>
          <w:tab w:val="num" w:pos="990"/>
        </w:tabs>
        <w:ind w:left="-90" w:firstLine="720"/>
        <w:rPr>
          <w:snapToGrid/>
          <w:kern w:val="0"/>
          <w:sz w:val="24"/>
          <w:szCs w:val="24"/>
        </w:rPr>
      </w:pPr>
      <w:r w:rsidRPr="003F5C77">
        <w:rPr>
          <w:i/>
        </w:rPr>
        <w:t xml:space="preserve">Construction Requirements.  </w:t>
      </w:r>
      <w:r w:rsidRPr="00E47B14">
        <w:t>Section 22.503(k) of the Commission's rules</w:t>
      </w:r>
      <w:r>
        <w:t xml:space="preserve"> requires </w:t>
      </w:r>
      <w:r w:rsidR="00B35BA9">
        <w:t xml:space="preserve">a </w:t>
      </w:r>
      <w:r>
        <w:t xml:space="preserve">Part 22 </w:t>
      </w:r>
      <w:r w:rsidR="00612693">
        <w:t xml:space="preserve">paging </w:t>
      </w:r>
      <w:r>
        <w:t>licensee to</w:t>
      </w:r>
      <w:r w:rsidRPr="00E47B14">
        <w:t xml:space="preserve"> construct and operate sufficient facilities to cover one-third of the population in its paging geographic area no later than three years after th</w:t>
      </w:r>
      <w:r>
        <w:t>e initial grant of its license, and cover two-thirds of the population within the final five-year deadline.</w:t>
      </w:r>
      <w:r>
        <w:rPr>
          <w:rStyle w:val="FootnoteReference"/>
        </w:rPr>
        <w:footnoteReference w:id="5"/>
      </w:r>
      <w:r w:rsidRPr="00E47B14">
        <w:t xml:space="preserve"> </w:t>
      </w:r>
      <w:r>
        <w:t xml:space="preserve"> </w:t>
      </w:r>
      <w:r w:rsidRPr="00E47B14">
        <w:t xml:space="preserve">A licensee may notify </w:t>
      </w:r>
      <w:r>
        <w:t>the Commission</w:t>
      </w:r>
      <w:r w:rsidRPr="00E47B14">
        <w:t xml:space="preserve"> at the three-year deadline </w:t>
      </w:r>
      <w:r>
        <w:t xml:space="preserve">that it </w:t>
      </w:r>
      <w:r w:rsidR="006A0F8B">
        <w:t xml:space="preserve">elects </w:t>
      </w:r>
      <w:r>
        <w:t>the alternative of providing</w:t>
      </w:r>
      <w:r w:rsidRPr="00E47B14">
        <w:t xml:space="preserve"> </w:t>
      </w:r>
      <w:r>
        <w:t>“</w:t>
      </w:r>
      <w:r w:rsidRPr="00E47B14">
        <w:t>substantial service</w:t>
      </w:r>
      <w:r>
        <w:t>”</w:t>
      </w:r>
      <w:r w:rsidRPr="00E47B14">
        <w:t xml:space="preserve"> in the paging geographic area </w:t>
      </w:r>
      <w:r>
        <w:t>by</w:t>
      </w:r>
      <w:r w:rsidRPr="00E47B14">
        <w:t xml:space="preserve"> the five-year constru</w:t>
      </w:r>
      <w:r>
        <w:t>ction deadline for the license.</w:t>
      </w:r>
      <w:r>
        <w:rPr>
          <w:rStyle w:val="FootnoteReference"/>
        </w:rPr>
        <w:footnoteReference w:id="6"/>
      </w:r>
      <w:r w:rsidRPr="00E47B14">
        <w:t xml:space="preserve"> </w:t>
      </w:r>
      <w:r>
        <w:t xml:space="preserve"> </w:t>
      </w:r>
      <w:r w:rsidRPr="00AB11D4" w:rsidR="006224FE">
        <w:t>Section 22.503(k)(3) defines “substantial service” as service that is “sound, favorable, and substantially above a level of mediocre service that would barely warrant renewal.”</w:t>
      </w:r>
      <w:r>
        <w:rPr>
          <w:rStyle w:val="FootnoteReference"/>
        </w:rPr>
        <w:footnoteReference w:id="7"/>
      </w:r>
      <w:r w:rsidR="002246B5">
        <w:t xml:space="preserve">  If a licensee fails to make the required showing, the license automatically terminates as of the construction deadline.</w:t>
      </w:r>
      <w:r>
        <w:rPr>
          <w:rStyle w:val="FootnoteReference"/>
        </w:rPr>
        <w:footnoteReference w:id="8"/>
      </w:r>
      <w:r w:rsidR="00E0617A">
        <w:t xml:space="preserve"> </w:t>
      </w:r>
      <w:r w:rsidR="00220890">
        <w:t xml:space="preserve"> </w:t>
      </w:r>
      <w:r w:rsidRPr="00220890" w:rsidR="008B6B17">
        <w:t xml:space="preserve">Licensees must file </w:t>
      </w:r>
      <w:r w:rsidR="00AB3EF0">
        <w:t xml:space="preserve">separate </w:t>
      </w:r>
      <w:r w:rsidRPr="00220890" w:rsidR="008B6B17">
        <w:t>notifications showing they have met the construction requirements for each license.</w:t>
      </w:r>
      <w:r>
        <w:rPr>
          <w:vertAlign w:val="superscript"/>
        </w:rPr>
        <w:footnoteReference w:id="9"/>
      </w:r>
    </w:p>
    <w:p w:rsidR="00291205" w:rsidRPr="00291205" w:rsidP="00B7110A">
      <w:pPr>
        <w:pStyle w:val="ParaNum"/>
        <w:numPr>
          <w:ilvl w:val="0"/>
          <w:numId w:val="3"/>
        </w:numPr>
        <w:tabs>
          <w:tab w:val="num" w:pos="990"/>
        </w:tabs>
        <w:ind w:left="-90" w:firstLine="720"/>
      </w:pPr>
      <w:r w:rsidRPr="00AB4078">
        <w:rPr>
          <w:i/>
        </w:rPr>
        <w:t>Canadian Coordination</w:t>
      </w:r>
      <w:r>
        <w:rPr>
          <w:i/>
        </w:rPr>
        <w:t xml:space="preserve"> Requirements</w:t>
      </w:r>
      <w:r>
        <w:t xml:space="preserve">. </w:t>
      </w:r>
      <w:r w:rsidRPr="00AB4078">
        <w:t>The Commission is bound by international agreement to coordinate with the Canadian government when a U.S. applicant proposes to operate stations</w:t>
      </w:r>
      <w:r>
        <w:t xml:space="preserve"> north of “Line A”</w:t>
      </w:r>
      <w:r w:rsidRPr="00AB4078">
        <w:t xml:space="preserve"> using fr</w:t>
      </w:r>
      <w:r>
        <w:t>equencies in the 30-174 MHz band.</w:t>
      </w:r>
      <w:r>
        <w:rPr>
          <w:rStyle w:val="FootnoteReference"/>
        </w:rPr>
        <w:footnoteReference w:id="10"/>
      </w:r>
      <w:r>
        <w:t xml:space="preserve">  Line A is an imaginary line within the U.S. approximately paralleling the U.S.-Canadian border.</w:t>
      </w:r>
      <w:r>
        <w:rPr>
          <w:rStyle w:val="FootnoteReference"/>
        </w:rPr>
        <w:footnoteReference w:id="11"/>
      </w:r>
      <w:r>
        <w:t xml:space="preserve">  </w:t>
      </w:r>
      <w:r w:rsidRPr="00AB4078">
        <w:t xml:space="preserve">Licensees </w:t>
      </w:r>
      <w:r>
        <w:t>may not</w:t>
      </w:r>
      <w:r w:rsidRPr="00AB4078">
        <w:t xml:space="preserve"> include a transmitter site located north of Line A for the purpose of meeting their construction obligations until Canada has approved the proposed s</w:t>
      </w:r>
      <w:r>
        <w:t>ite</w:t>
      </w:r>
      <w:r w:rsidRPr="00AB4078">
        <w:t>.</w:t>
      </w:r>
      <w:r>
        <w:rPr>
          <w:rStyle w:val="FootnoteReference"/>
        </w:rPr>
        <w:footnoteReference w:id="12"/>
      </w:r>
    </w:p>
    <w:p w:rsidR="000271A8" w:rsidP="00B7110A">
      <w:pPr>
        <w:pStyle w:val="ParaNum"/>
        <w:numPr>
          <w:ilvl w:val="0"/>
          <w:numId w:val="3"/>
        </w:numPr>
        <w:tabs>
          <w:tab w:val="num" w:pos="990"/>
        </w:tabs>
        <w:ind w:left="-90" w:firstLine="720"/>
      </w:pPr>
      <w:r w:rsidRPr="00674B4F">
        <w:rPr>
          <w:i/>
        </w:rPr>
        <w:t xml:space="preserve">Procedural History. </w:t>
      </w:r>
      <w:r>
        <w:t xml:space="preserve"> </w:t>
      </w:r>
      <w:r w:rsidR="001D4260">
        <w:t>In 2010, the Commission held Auction 87 for licenses in the lower and upper paging bands.</w:t>
      </w:r>
      <w:r>
        <w:rPr>
          <w:rStyle w:val="FootnoteReference"/>
        </w:rPr>
        <w:footnoteReference w:id="13"/>
      </w:r>
      <w:r w:rsidR="001D4260">
        <w:t xml:space="preserve">  </w:t>
      </w:r>
      <w:r w:rsidR="006224FE">
        <w:t xml:space="preserve">The </w:t>
      </w:r>
      <w:r w:rsidR="00674B4F">
        <w:t>twenty-five l</w:t>
      </w:r>
      <w:r w:rsidR="006224FE">
        <w:t>icenses a</w:t>
      </w:r>
      <w:r>
        <w:t>t</w:t>
      </w:r>
      <w:r w:rsidR="006224FE">
        <w:t xml:space="preserve"> issue </w:t>
      </w:r>
      <w:r>
        <w:t xml:space="preserve">here </w:t>
      </w:r>
      <w:r w:rsidR="004058CF">
        <w:t xml:space="preserve">transmit on </w:t>
      </w:r>
      <w:r w:rsidR="00FC0B26">
        <w:t xml:space="preserve">Part 22 </w:t>
      </w:r>
      <w:r w:rsidR="004058CF">
        <w:t xml:space="preserve">VHF </w:t>
      </w:r>
      <w:r w:rsidR="00C12A63">
        <w:t>p</w:t>
      </w:r>
      <w:r w:rsidR="00FC0B26">
        <w:t xml:space="preserve">aging </w:t>
      </w:r>
      <w:r w:rsidR="004058CF">
        <w:t xml:space="preserve">channels and </w:t>
      </w:r>
      <w:r w:rsidR="006224FE">
        <w:t xml:space="preserve">were granted to </w:t>
      </w:r>
      <w:r w:rsidR="00674B4F">
        <w:t>the State of Wisconsin</w:t>
      </w:r>
      <w:r w:rsidR="009A7190">
        <w:t xml:space="preserve"> o</w:t>
      </w:r>
      <w:r w:rsidR="00272021">
        <w:t xml:space="preserve">n November </w:t>
      </w:r>
      <w:r w:rsidR="009A7190">
        <w:t xml:space="preserve">3, </w:t>
      </w:r>
      <w:r w:rsidR="006224FE">
        <w:t>2010</w:t>
      </w:r>
      <w:r w:rsidR="00272021">
        <w:t>, creating a three-year construction deadline of November</w:t>
      </w:r>
      <w:r w:rsidR="009A7190">
        <w:t xml:space="preserve"> 3,</w:t>
      </w:r>
      <w:r w:rsidR="00272021">
        <w:t xml:space="preserve"> 2013 and a five-year deadline of November </w:t>
      </w:r>
      <w:r w:rsidR="009A7190">
        <w:t xml:space="preserve">3, </w:t>
      </w:r>
      <w:r w:rsidR="00272021">
        <w:t>2015</w:t>
      </w:r>
      <w:r w:rsidR="006224FE">
        <w:t>.</w:t>
      </w:r>
      <w:r>
        <w:rPr>
          <w:rStyle w:val="FootnoteReference"/>
        </w:rPr>
        <w:footnoteReference w:id="14"/>
      </w:r>
      <w:r w:rsidR="006224FE">
        <w:t xml:space="preserve">  </w:t>
      </w:r>
    </w:p>
    <w:p w:rsidR="000C648E" w:rsidP="00B7110A">
      <w:pPr>
        <w:pStyle w:val="ParaNum"/>
        <w:numPr>
          <w:ilvl w:val="0"/>
          <w:numId w:val="3"/>
        </w:numPr>
        <w:tabs>
          <w:tab w:val="num" w:pos="990"/>
        </w:tabs>
        <w:ind w:left="-90" w:firstLine="720"/>
      </w:pPr>
      <w:r>
        <w:t xml:space="preserve">At the three-year interim construction deadline, </w:t>
      </w:r>
      <w:r w:rsidR="00E0202B">
        <w:t>Wisconsin filed a</w:t>
      </w:r>
      <w:r w:rsidR="004A151A">
        <w:t xml:space="preserve"> timely</w:t>
      </w:r>
      <w:r w:rsidR="00E0202B">
        <w:t xml:space="preserve"> notification asserting that it had </w:t>
      </w:r>
      <w:r w:rsidR="001B59BE">
        <w:t xml:space="preserve">already </w:t>
      </w:r>
      <w:r w:rsidR="00E0202B">
        <w:t xml:space="preserve">met the </w:t>
      </w:r>
      <w:r w:rsidR="006834EC">
        <w:t>two-thirds</w:t>
      </w:r>
      <w:r w:rsidR="00E0202B">
        <w:t xml:space="preserve"> </w:t>
      </w:r>
      <w:r w:rsidR="00BF4513">
        <w:t>population coverage requirement</w:t>
      </w:r>
      <w:r w:rsidR="001B59BE">
        <w:t xml:space="preserve"> for all twenty-five licenses.</w:t>
      </w:r>
      <w:r>
        <w:rPr>
          <w:vertAlign w:val="superscript"/>
        </w:rPr>
        <w:footnoteReference w:id="15"/>
      </w:r>
      <w:r w:rsidR="001B59BE">
        <w:t xml:space="preserve"> </w:t>
      </w:r>
      <w:r w:rsidR="00E0202B">
        <w:t xml:space="preserve"> </w:t>
      </w:r>
      <w:r w:rsidR="004A151A">
        <w:t xml:space="preserve">In </w:t>
      </w:r>
      <w:r w:rsidR="004A151A">
        <w:t xml:space="preserve">December 2013, </w:t>
      </w:r>
      <w:r w:rsidR="00194B81">
        <w:t xml:space="preserve">however, </w:t>
      </w:r>
      <w:r w:rsidR="004A151A">
        <w:t xml:space="preserve">Wisconsin </w:t>
      </w:r>
      <w:r w:rsidR="00731195">
        <w:t>separately filed</w:t>
      </w:r>
      <w:r w:rsidR="004A151A">
        <w:t xml:space="preserve"> amendment</w:t>
      </w:r>
      <w:r w:rsidR="00731195">
        <w:t>s</w:t>
      </w:r>
      <w:r w:rsidR="00150978">
        <w:t xml:space="preserve"> </w:t>
      </w:r>
      <w:r>
        <w:t>under</w:t>
      </w:r>
      <w:r w:rsidR="00731195">
        <w:t xml:space="preserve"> each </w:t>
      </w:r>
      <w:r>
        <w:t>call sign</w:t>
      </w:r>
      <w:r w:rsidR="00150978">
        <w:t>,</w:t>
      </w:r>
      <w:r w:rsidR="004A151A">
        <w:t xml:space="preserve"> instead electing </w:t>
      </w:r>
      <w:r>
        <w:t>to demonstrate “substantial service” by the five-year deadline.</w:t>
      </w:r>
      <w:r>
        <w:rPr>
          <w:vertAlign w:val="superscript"/>
        </w:rPr>
        <w:footnoteReference w:id="16"/>
      </w:r>
      <w:r w:rsidRPr="00205CB5">
        <w:rPr>
          <w:vertAlign w:val="superscript"/>
        </w:rPr>
        <w:t xml:space="preserve"> </w:t>
      </w:r>
      <w:r>
        <w:t xml:space="preserve"> </w:t>
      </w:r>
    </w:p>
    <w:p w:rsidR="00291205" w:rsidP="00B7110A">
      <w:pPr>
        <w:pStyle w:val="ParaNum"/>
        <w:numPr>
          <w:ilvl w:val="0"/>
          <w:numId w:val="3"/>
        </w:numPr>
        <w:tabs>
          <w:tab w:val="num" w:pos="990"/>
        </w:tabs>
        <w:ind w:left="-90" w:firstLine="720"/>
      </w:pPr>
      <w:r>
        <w:t>Wisconsin</w:t>
      </w:r>
      <w:r w:rsidR="00323929">
        <w:t xml:space="preserve"> </w:t>
      </w:r>
      <w:r w:rsidR="00455856">
        <w:t xml:space="preserve">failed to make </w:t>
      </w:r>
      <w:r w:rsidR="00342824">
        <w:t>the</w:t>
      </w:r>
      <w:r w:rsidR="00455856">
        <w:t xml:space="preserve"> final construction filing</w:t>
      </w:r>
      <w:r w:rsidR="00342824">
        <w:t>s</w:t>
      </w:r>
      <w:r w:rsidR="00455856">
        <w:t xml:space="preserve"> by </w:t>
      </w:r>
      <w:r w:rsidR="00903F8E">
        <w:t xml:space="preserve">the deadline of </w:t>
      </w:r>
      <w:r w:rsidR="00455856">
        <w:t>November 3, 2015, causing th</w:t>
      </w:r>
      <w:r w:rsidR="00A41EFB">
        <w:t>e</w:t>
      </w:r>
      <w:r w:rsidR="00455856">
        <w:t xml:space="preserve"> licenses to automatically move into termination pending status.  </w:t>
      </w:r>
      <w:r>
        <w:t>On January 8, 2016, Wisconsin filed a petition for reconsideration of the public notice placing the licenses in termination pending status.</w:t>
      </w:r>
      <w:r>
        <w:rPr>
          <w:vertAlign w:val="superscript"/>
        </w:rPr>
        <w:footnoteReference w:id="17"/>
      </w:r>
      <w:r>
        <w:t xml:space="preserve">  Staff notified Wisconsin on March 15, 2016, that the petition </w:t>
      </w:r>
      <w:r w:rsidR="0086767B">
        <w:t xml:space="preserve">did not provide information </w:t>
      </w:r>
      <w:r w:rsidR="008B5432">
        <w:t>demonstrating</w:t>
      </w:r>
      <w:r w:rsidR="006C2832">
        <w:t xml:space="preserve"> that </w:t>
      </w:r>
      <w:r w:rsidR="0086767B">
        <w:t xml:space="preserve">Wisconsin had met its substantial service </w:t>
      </w:r>
      <w:r w:rsidR="0086767B">
        <w:t>obligation,</w:t>
      </w:r>
      <w:r>
        <w:t xml:space="preserve"> and</w:t>
      </w:r>
      <w:r>
        <w:t xml:space="preserve"> allowed the State an additional sixty days to supplement the petition with t</w:t>
      </w:r>
      <w:r w:rsidR="00102D83">
        <w:t>he required showings.  On May 14</w:t>
      </w:r>
      <w:r>
        <w:t xml:space="preserve">, 2016, Wisconsin filed supplemental information purporting to show substantial service, though none of </w:t>
      </w:r>
      <w:r w:rsidR="00DA15A5">
        <w:t xml:space="preserve">the </w:t>
      </w:r>
      <w:r>
        <w:t>call signs showed coverages greater than 10 percent of the population.  In addition, one site was above Line A but had not completed international coordination.</w:t>
      </w:r>
      <w:r>
        <w:rPr>
          <w:rStyle w:val="FootnoteReference"/>
        </w:rPr>
        <w:footnoteReference w:id="18"/>
      </w:r>
      <w:r>
        <w:t xml:space="preserve"> </w:t>
      </w:r>
    </w:p>
    <w:p w:rsidR="002246B5" w:rsidP="00B7110A">
      <w:pPr>
        <w:pStyle w:val="ParaNum"/>
        <w:numPr>
          <w:ilvl w:val="0"/>
          <w:numId w:val="3"/>
        </w:numPr>
        <w:tabs>
          <w:tab w:val="num" w:pos="990"/>
        </w:tabs>
        <w:ind w:left="-90" w:firstLine="720"/>
      </w:pPr>
      <w:r w:rsidRPr="000F3EDE">
        <w:t xml:space="preserve">On </w:t>
      </w:r>
      <w:r w:rsidR="00A30A78">
        <w:t>July 25</w:t>
      </w:r>
      <w:r w:rsidRPr="000F3EDE">
        <w:t>, 20</w:t>
      </w:r>
      <w:r w:rsidRPr="000F3EDE" w:rsidR="00455856">
        <w:t>16</w:t>
      </w:r>
      <w:r w:rsidRPr="000F3EDE">
        <w:t>,</w:t>
      </w:r>
      <w:r w:rsidRPr="000F3EDE" w:rsidR="00455856">
        <w:t xml:space="preserve"> </w:t>
      </w:r>
      <w:r w:rsidRPr="000F3EDE">
        <w:t xml:space="preserve">the </w:t>
      </w:r>
      <w:r w:rsidR="00903776">
        <w:t xml:space="preserve">Division notified </w:t>
      </w:r>
      <w:r w:rsidR="00141814">
        <w:t>Wisconsin</w:t>
      </w:r>
      <w:r w:rsidR="00903776">
        <w:t xml:space="preserve"> that its filings did not show </w:t>
      </w:r>
      <w:r w:rsidR="00D903AD">
        <w:t xml:space="preserve">substantial service sufficient </w:t>
      </w:r>
      <w:r w:rsidR="00903776">
        <w:t xml:space="preserve">to meet the construction requirement, and </w:t>
      </w:r>
      <w:r w:rsidRPr="000F3EDE">
        <w:t xml:space="preserve">granted </w:t>
      </w:r>
      <w:r w:rsidR="00903776">
        <w:t>on our own motion</w:t>
      </w:r>
      <w:r w:rsidRPr="000F3EDE">
        <w:t xml:space="preserve"> </w:t>
      </w:r>
      <w:r w:rsidRPr="000F3EDE" w:rsidR="0008688D">
        <w:t>a waiver and extension of the deadline</w:t>
      </w:r>
      <w:r w:rsidR="00A30A78">
        <w:t xml:space="preserve"> to July 3</w:t>
      </w:r>
      <w:r w:rsidR="004129FF">
        <w:t>, 2017</w:t>
      </w:r>
      <w:r w:rsidR="00CB2BC4">
        <w:t xml:space="preserve"> (the extended construction deadline)</w:t>
      </w:r>
      <w:r w:rsidR="002327E4">
        <w:t>, similar to relief given to certain other paging licensees</w:t>
      </w:r>
      <w:r w:rsidR="004129FF">
        <w:t>.</w:t>
      </w:r>
      <w:r>
        <w:rPr>
          <w:vertAlign w:val="superscript"/>
        </w:rPr>
        <w:footnoteReference w:id="19"/>
      </w:r>
      <w:r w:rsidR="004129FF">
        <w:t xml:space="preserve">  </w:t>
      </w:r>
      <w:r w:rsidRPr="000F3EDE" w:rsidR="0008688D">
        <w:t>T</w:t>
      </w:r>
      <w:r w:rsidR="004129FF">
        <w:t>he</w:t>
      </w:r>
      <w:r w:rsidRPr="000F3EDE" w:rsidR="0008688D">
        <w:t xml:space="preserve"> </w:t>
      </w:r>
      <w:r w:rsidR="004129FF">
        <w:t xml:space="preserve">extension letter </w:t>
      </w:r>
      <w:r w:rsidR="00D903AD">
        <w:t>explain</w:t>
      </w:r>
      <w:r w:rsidR="004129FF">
        <w:t xml:space="preserve">ed that the additional time was </w:t>
      </w:r>
      <w:r w:rsidR="00D903AD">
        <w:t xml:space="preserve">to allow </w:t>
      </w:r>
      <w:r w:rsidR="00141814">
        <w:t xml:space="preserve">Wisconsin </w:t>
      </w:r>
      <w:r w:rsidR="00D903AD">
        <w:t>to</w:t>
      </w:r>
      <w:r w:rsidR="004129FF">
        <w:t xml:space="preserve"> either</w:t>
      </w:r>
      <w:r w:rsidRPr="000F3EDE" w:rsidR="001A10A6">
        <w:t xml:space="preserve"> </w:t>
      </w:r>
      <w:r w:rsidRPr="000F3EDE" w:rsidR="0008688D">
        <w:t xml:space="preserve">meet the substantial service requirements for the entire </w:t>
      </w:r>
      <w:r w:rsidRPr="000F3EDE" w:rsidR="00342824">
        <w:t>market area</w:t>
      </w:r>
      <w:r w:rsidR="004129FF">
        <w:t>, or</w:t>
      </w:r>
      <w:r w:rsidRPr="000F3EDE" w:rsidR="0008688D">
        <w:t xml:space="preserve"> </w:t>
      </w:r>
      <w:r w:rsidR="00D903AD">
        <w:t xml:space="preserve">to </w:t>
      </w:r>
      <w:r w:rsidRPr="000F3EDE" w:rsidR="00342824">
        <w:t>file applications</w:t>
      </w:r>
      <w:r w:rsidRPr="000F3EDE" w:rsidR="001A10A6">
        <w:t xml:space="preserve"> partitioning the license</w:t>
      </w:r>
      <w:r w:rsidR="00D903AD">
        <w:t>,</w:t>
      </w:r>
      <w:r w:rsidRPr="000F3EDE" w:rsidR="001A10A6">
        <w:t xml:space="preserve"> cancelling the unused license area</w:t>
      </w:r>
      <w:r w:rsidRPr="000F3EDE" w:rsidR="000F3EDE">
        <w:t>, and filing a construction notification demonstrating substantial service for the retained license area</w:t>
      </w:r>
      <w:r w:rsidRPr="000F3EDE" w:rsidR="001A10A6">
        <w:t>.</w:t>
      </w:r>
      <w:r>
        <w:rPr>
          <w:vertAlign w:val="superscript"/>
        </w:rPr>
        <w:footnoteReference w:id="20"/>
      </w:r>
      <w:r w:rsidRPr="00C74E57" w:rsidR="004129FF">
        <w:rPr>
          <w:vertAlign w:val="superscript"/>
        </w:rPr>
        <w:t xml:space="preserve"> </w:t>
      </w:r>
      <w:r w:rsidR="004129FF">
        <w:t xml:space="preserve"> </w:t>
      </w:r>
    </w:p>
    <w:p w:rsidR="00141814" w:rsidP="00B7110A">
      <w:pPr>
        <w:pStyle w:val="ParaNum"/>
        <w:numPr>
          <w:ilvl w:val="0"/>
          <w:numId w:val="3"/>
        </w:numPr>
        <w:tabs>
          <w:tab w:val="num" w:pos="990"/>
        </w:tabs>
        <w:ind w:left="-90" w:firstLine="720"/>
      </w:pPr>
      <w:r>
        <w:t xml:space="preserve">On June 30, 2017, Wisconsin filed a request seeking an extension of the deadline to </w:t>
      </w:r>
      <w:r w:rsidR="002E5592">
        <w:t>December 31</w:t>
      </w:r>
      <w:r w:rsidR="00194B81">
        <w:t>,</w:t>
      </w:r>
      <w:r>
        <w:t xml:space="preserve"> 2017, </w:t>
      </w:r>
      <w:r w:rsidRPr="00B7110A">
        <w:t>citing</w:t>
      </w:r>
      <w:r>
        <w:t xml:space="preserve"> state budget issues, loss of sites, and other factors, </w:t>
      </w:r>
      <w:r w:rsidR="00F1691D">
        <w:t xml:space="preserve">and </w:t>
      </w:r>
      <w:r w:rsidR="002E5592">
        <w:t>asserting that “the State is not seeking an extension to complete construction but is simply asking for additional time to report the construction</w:t>
      </w:r>
      <w:r w:rsidR="00F1691D">
        <w:t>.</w:t>
      </w:r>
      <w:r w:rsidR="002E5592">
        <w:t xml:space="preserve">” </w:t>
      </w:r>
      <w:r w:rsidR="00F1691D">
        <w:t xml:space="preserve">The filing </w:t>
      </w:r>
      <w:r>
        <w:t>stat</w:t>
      </w:r>
      <w:r w:rsidR="00F1691D">
        <w:t>ed</w:t>
      </w:r>
      <w:r>
        <w:t xml:space="preserve"> that the State would be filing construction notifications on a rolling basis between July </w:t>
      </w:r>
      <w:r w:rsidR="00F1691D">
        <w:t>and</w:t>
      </w:r>
      <w:r>
        <w:t xml:space="preserve"> December 2017</w:t>
      </w:r>
      <w:r w:rsidR="00F1691D">
        <w:t xml:space="preserve">, but no such notifications were </w:t>
      </w:r>
      <w:r w:rsidR="00F1691D">
        <w:t>actually filed</w:t>
      </w:r>
      <w:r>
        <w:t>.</w:t>
      </w:r>
      <w:r>
        <w:rPr>
          <w:rStyle w:val="FootnoteReference"/>
        </w:rPr>
        <w:footnoteReference w:id="21"/>
      </w:r>
      <w:r>
        <w:t xml:space="preserve">  </w:t>
      </w:r>
    </w:p>
    <w:p w:rsidR="00141814" w:rsidP="00B7110A">
      <w:pPr>
        <w:pStyle w:val="ParaNum"/>
        <w:numPr>
          <w:ilvl w:val="0"/>
          <w:numId w:val="3"/>
        </w:numPr>
        <w:tabs>
          <w:tab w:val="num" w:pos="990"/>
        </w:tabs>
        <w:ind w:left="-90" w:firstLine="720"/>
      </w:pPr>
      <w:r>
        <w:t>On January 5, 2018, the Division denied Wisconsin’s extension request</w:t>
      </w:r>
      <w:r w:rsidR="004E4756">
        <w:t xml:space="preserve">, finding that </w:t>
      </w:r>
      <w:r w:rsidRPr="00B7110A" w:rsidR="004E4756">
        <w:t>Wisconsin made</w:t>
      </w:r>
      <w:r w:rsidRPr="00B7110A" w:rsidR="00AF481F">
        <w:t xml:space="preserve"> no showing that a waiver or extension </w:t>
      </w:r>
      <w:r w:rsidRPr="00B7110A" w:rsidR="00DA15A5">
        <w:t>wa</w:t>
      </w:r>
      <w:r w:rsidRPr="00B7110A" w:rsidR="00AF481F">
        <w:t>s warranted</w:t>
      </w:r>
      <w:r w:rsidRPr="00B7110A" w:rsidR="004E4756">
        <w:t xml:space="preserve">, </w:t>
      </w:r>
      <w:r w:rsidRPr="00B7110A" w:rsidR="00C83B8B">
        <w:t xml:space="preserve">that it </w:t>
      </w:r>
      <w:r w:rsidRPr="00B7110A" w:rsidR="004E4756">
        <w:t>had to date</w:t>
      </w:r>
      <w:r w:rsidRPr="00B7110A" w:rsidR="00AF481F">
        <w:t xml:space="preserve"> not filed any construction notifications despite its commitment to do so in </w:t>
      </w:r>
      <w:r w:rsidRPr="00B7110A" w:rsidR="004E4756">
        <w:t>its waiver requests, and</w:t>
      </w:r>
      <w:r w:rsidRPr="00B7110A" w:rsidR="00C83B8B">
        <w:t xml:space="preserve"> that </w:t>
      </w:r>
      <w:r w:rsidRPr="00B7110A" w:rsidR="002E5592">
        <w:t>there had been no</w:t>
      </w:r>
      <w:r w:rsidRPr="00B7110A" w:rsidR="00AF481F">
        <w:t xml:space="preserve"> effort </w:t>
      </w:r>
      <w:r w:rsidR="00F1691D">
        <w:t>during</w:t>
      </w:r>
      <w:r w:rsidRPr="00B7110A" w:rsidR="00AF481F">
        <w:t xml:space="preserve"> the six months since the fi</w:t>
      </w:r>
      <w:r w:rsidRPr="00B7110A" w:rsidR="004E4756">
        <w:t>ling of the extension</w:t>
      </w:r>
      <w:r w:rsidR="004E4756">
        <w:rPr>
          <w:snapToGrid/>
        </w:rPr>
        <w:t xml:space="preserve"> requests</w:t>
      </w:r>
      <w:r w:rsidRPr="00141814" w:rsidR="00AF481F">
        <w:rPr>
          <w:snapToGrid/>
        </w:rPr>
        <w:t xml:space="preserve"> to file any of the required construction notifications.</w:t>
      </w:r>
      <w:r>
        <w:rPr>
          <w:rStyle w:val="FootnoteReference"/>
          <w:snapToGrid/>
        </w:rPr>
        <w:footnoteReference w:id="22"/>
      </w:r>
      <w:r w:rsidR="004E4756">
        <w:rPr>
          <w:snapToGrid/>
        </w:rPr>
        <w:t xml:space="preserve">  </w:t>
      </w:r>
      <w:r>
        <w:t>The licenses were placed in termination pending</w:t>
      </w:r>
      <w:r w:rsidR="00C83B8B">
        <w:t xml:space="preserve"> status on January 10, 2018.</w:t>
      </w:r>
    </w:p>
    <w:p w:rsidR="00141814" w:rsidP="00B7110A">
      <w:pPr>
        <w:pStyle w:val="ParaNum"/>
        <w:numPr>
          <w:ilvl w:val="0"/>
          <w:numId w:val="3"/>
        </w:numPr>
        <w:tabs>
          <w:tab w:val="num" w:pos="990"/>
        </w:tabs>
        <w:ind w:left="-90" w:firstLine="720"/>
      </w:pPr>
      <w:r w:rsidRPr="003F5C77">
        <w:rPr>
          <w:i/>
        </w:rPr>
        <w:t xml:space="preserve">State of </w:t>
      </w:r>
      <w:r w:rsidR="00852EF1">
        <w:rPr>
          <w:i/>
        </w:rPr>
        <w:t>Wisconsin</w:t>
      </w:r>
      <w:r w:rsidRPr="003F5C77">
        <w:rPr>
          <w:i/>
        </w:rPr>
        <w:t>’s</w:t>
      </w:r>
      <w:r w:rsidRPr="003F5C77" w:rsidR="00D24924">
        <w:rPr>
          <w:i/>
        </w:rPr>
        <w:t xml:space="preserve"> </w:t>
      </w:r>
      <w:r>
        <w:rPr>
          <w:i/>
        </w:rPr>
        <w:t>Petition for Reconsideration</w:t>
      </w:r>
      <w:r w:rsidR="003B1054">
        <w:t xml:space="preserve">.  </w:t>
      </w:r>
      <w:r>
        <w:t xml:space="preserve">On February 6, 2018, Wisconsin filed the Petition for Reconsideration under consideration here, claiming that the termination of the licenses will cause a hardship to thousands </w:t>
      </w:r>
      <w:r w:rsidRPr="009E07AC">
        <w:rPr>
          <w:snapToGrid/>
        </w:rPr>
        <w:t>of</w:t>
      </w:r>
      <w:r>
        <w:t xml:space="preserve"> public safety users and adversely affect the statewide public safety </w:t>
      </w:r>
      <w:r>
        <w:t>trunked radio system.</w:t>
      </w:r>
      <w:r>
        <w:rPr>
          <w:rStyle w:val="FootnoteReference"/>
        </w:rPr>
        <w:footnoteReference w:id="23"/>
      </w:r>
      <w:r>
        <w:t xml:space="preserve">  </w:t>
      </w:r>
      <w:r w:rsidR="009E07AC">
        <w:t>Wisconsin states that the</w:t>
      </w:r>
      <w:r w:rsidRPr="009E07AC" w:rsidR="009E07AC">
        <w:t xml:space="preserve"> loss of spectrum </w:t>
      </w:r>
      <w:r w:rsidR="009E07AC">
        <w:t>“</w:t>
      </w:r>
      <w:r w:rsidRPr="009E07AC" w:rsidR="009E07AC">
        <w:t>would diminish capacity by at least 25%</w:t>
      </w:r>
      <w:r w:rsidR="009E07AC">
        <w:t>.”</w:t>
      </w:r>
      <w:r>
        <w:rPr>
          <w:rStyle w:val="FootnoteReference"/>
        </w:rPr>
        <w:footnoteReference w:id="24"/>
      </w:r>
      <w:r w:rsidR="00CD7EB9">
        <w:t xml:space="preserve"> </w:t>
      </w:r>
      <w:r w:rsidR="009E07AC">
        <w:t xml:space="preserve"> </w:t>
      </w:r>
      <w:r>
        <w:t xml:space="preserve">Wisconsin also claims that it did not know it should make the </w:t>
      </w:r>
      <w:r w:rsidR="00D476D3">
        <w:t xml:space="preserve">construction notification </w:t>
      </w:r>
      <w:r>
        <w:t xml:space="preserve">filings without “further prompting” from the </w:t>
      </w:r>
      <w:r w:rsidR="005B0C4B">
        <w:t>Commission</w:t>
      </w:r>
      <w:r>
        <w:t>.</w:t>
      </w:r>
      <w:r>
        <w:rPr>
          <w:rStyle w:val="FootnoteReference"/>
        </w:rPr>
        <w:footnoteReference w:id="25"/>
      </w:r>
      <w:r>
        <w:t xml:space="preserve">  </w:t>
      </w:r>
      <w:r w:rsidR="009E07AC">
        <w:t>The State also appears to argue that the Part 22 rules should no longer</w:t>
      </w:r>
      <w:r w:rsidR="009254B2">
        <w:t xml:space="preserve"> apply</w:t>
      </w:r>
      <w:r w:rsidR="009E07AC">
        <w:t>, as the spectrum “</w:t>
      </w:r>
      <w:r w:rsidRPr="009E07AC" w:rsidR="009E07AC">
        <w:t>has become available to new and emerging uses</w:t>
      </w:r>
      <w:r w:rsidR="009E07AC">
        <w:t>” like</w:t>
      </w:r>
      <w:r w:rsidRPr="009E07AC" w:rsidR="009E07AC">
        <w:t xml:space="preserve"> public safety radio system</w:t>
      </w:r>
      <w:r w:rsidR="003651E8">
        <w:t>s</w:t>
      </w:r>
      <w:r w:rsidRPr="009E07AC" w:rsidR="009E07AC">
        <w:t>.</w:t>
      </w:r>
      <w:r>
        <w:rPr>
          <w:rStyle w:val="FootnoteReference"/>
        </w:rPr>
        <w:footnoteReference w:id="26"/>
      </w:r>
      <w:r w:rsidR="003651E8">
        <w:t xml:space="preserve">  </w:t>
      </w:r>
      <w:r>
        <w:t>The State now seeks either a new extension timeframe; acceptance of the previous construction notification filings from 2016 and 2017; or the opportunity to file a request for waiver of the construction requirements.</w:t>
      </w:r>
      <w:r>
        <w:rPr>
          <w:rStyle w:val="FootnoteReference"/>
        </w:rPr>
        <w:footnoteReference w:id="27"/>
      </w:r>
    </w:p>
    <w:p w:rsidR="00C679DB" w:rsidP="00C679DB">
      <w:pPr>
        <w:pStyle w:val="Heading1"/>
        <w:tabs>
          <w:tab w:val="left" w:pos="720"/>
        </w:tabs>
      </w:pPr>
      <w:r>
        <w:t>discussion</w:t>
      </w:r>
    </w:p>
    <w:p w:rsidR="00417F2F" w:rsidRPr="00417F2F" w:rsidP="00417F2F">
      <w:pPr>
        <w:pStyle w:val="Heading2"/>
      </w:pPr>
      <w:r>
        <w:t xml:space="preserve">Waiver of Construction </w:t>
      </w:r>
      <w:r w:rsidR="00794F82">
        <w:t>and</w:t>
      </w:r>
      <w:r w:rsidR="00FE78A5">
        <w:t xml:space="preserve"> </w:t>
      </w:r>
      <w:r>
        <w:t>Technical Rules</w:t>
      </w:r>
    </w:p>
    <w:p w:rsidR="00794F82" w:rsidP="00B7110A">
      <w:pPr>
        <w:pStyle w:val="ParaNum"/>
        <w:numPr>
          <w:ilvl w:val="0"/>
          <w:numId w:val="3"/>
        </w:numPr>
        <w:tabs>
          <w:tab w:val="num" w:pos="990"/>
        </w:tabs>
        <w:ind w:left="-90" w:firstLine="720"/>
      </w:pPr>
      <w:r>
        <w:t>Section 1.925 of the rules states that the Commission may grant a waiver when either the underlying purpose of the rule at issue would not be served or would be frustrated by application to the instant case, and a grant would be in the public interest, or where, “in view of unique or unusual factual circumstances,” application of the rule would be inequitable, unduly burdensome or contrary to the public interest, or the applicant has no reasonable alternative.</w:t>
      </w:r>
      <w:r>
        <w:rPr>
          <w:rStyle w:val="FootnoteReference"/>
        </w:rPr>
        <w:footnoteReference w:id="28"/>
      </w:r>
      <w:r>
        <w:t xml:space="preserve">  In addition, Section 1.3 allows t</w:t>
      </w:r>
      <w:r w:rsidRPr="00332373">
        <w:t xml:space="preserve">he Commission </w:t>
      </w:r>
      <w:r>
        <w:t>to</w:t>
      </w:r>
      <w:r w:rsidRPr="00332373">
        <w:t xml:space="preserve"> wa</w:t>
      </w:r>
      <w:r>
        <w:t>i</w:t>
      </w:r>
      <w:r w:rsidRPr="00332373">
        <w:t xml:space="preserve">ve any provision of its rules on its own motion </w:t>
      </w:r>
      <w:r>
        <w:t xml:space="preserve">for </w:t>
      </w:r>
      <w:r w:rsidRPr="00332373">
        <w:t>good cause.</w:t>
      </w:r>
      <w:r>
        <w:rPr>
          <w:rStyle w:val="FootnoteReference"/>
        </w:rPr>
        <w:footnoteReference w:id="29"/>
      </w:r>
      <w:r w:rsidRPr="00332373">
        <w:t xml:space="preserve"> </w:t>
      </w:r>
    </w:p>
    <w:p w:rsidR="00B7110A" w:rsidP="00B7110A">
      <w:pPr>
        <w:pStyle w:val="ParaNum"/>
        <w:numPr>
          <w:ilvl w:val="0"/>
          <w:numId w:val="3"/>
        </w:numPr>
        <w:tabs>
          <w:tab w:val="num" w:pos="990"/>
        </w:tabs>
        <w:ind w:left="-90" w:firstLine="720"/>
      </w:pPr>
      <w:r w:rsidRPr="00417F2F">
        <w:rPr>
          <w:i/>
        </w:rPr>
        <w:t>Construction Requirements</w:t>
      </w:r>
      <w:r>
        <w:rPr>
          <w:i/>
        </w:rPr>
        <w:t xml:space="preserve"> and Request for Extension of Time</w:t>
      </w:r>
      <w:r>
        <w:t xml:space="preserve">.  </w:t>
      </w:r>
      <w:r w:rsidR="003651E8">
        <w:t xml:space="preserve">Based on the information before us, we deny Wisconsin’s Petition for Reconsideration.  </w:t>
      </w:r>
      <w:r w:rsidR="006068BD">
        <w:t xml:space="preserve">The State’s final construction deadline was </w:t>
      </w:r>
      <w:r w:rsidRPr="003651E8" w:rsidR="006068BD">
        <w:t>July 3, 2017</w:t>
      </w:r>
      <w:r w:rsidR="006068BD">
        <w:t xml:space="preserve">, at which time the State </w:t>
      </w:r>
      <w:r w:rsidRPr="00B7110A" w:rsidR="006068BD">
        <w:t>was required to demonstrate substantial service on an individual basis for each license.</w:t>
      </w:r>
      <w:r>
        <w:rPr>
          <w:vertAlign w:val="superscript"/>
        </w:rPr>
        <w:footnoteReference w:id="30"/>
      </w:r>
      <w:r w:rsidRPr="00B7110A" w:rsidR="006068BD">
        <w:t xml:space="preserve">  </w:t>
      </w:r>
    </w:p>
    <w:p w:rsidR="0013668D" w:rsidP="0013668D">
      <w:pPr>
        <w:pStyle w:val="ParaNum"/>
        <w:numPr>
          <w:ilvl w:val="0"/>
          <w:numId w:val="3"/>
        </w:numPr>
        <w:tabs>
          <w:tab w:val="num" w:pos="990"/>
        </w:tabs>
        <w:ind w:left="-90" w:firstLine="720"/>
      </w:pPr>
      <w:r>
        <w:t>W</w:t>
      </w:r>
      <w:r>
        <w:t>ith respect to</w:t>
      </w:r>
      <w:r>
        <w:t xml:space="preserve"> ten of its twenty-five licenses,</w:t>
      </w:r>
      <w:r>
        <w:t xml:space="preserve"> call signs WQMS420, WQMS442, WQMS445, WQMS450, WQMS453, WQMS454, WQMS455, WQMS456, WQMS457, </w:t>
      </w:r>
      <w:r w:rsidR="00BB53F8">
        <w:t xml:space="preserve">and </w:t>
      </w:r>
      <w:r>
        <w:t xml:space="preserve">WQMS458, we find that Wisconsin has made no showing that indicates these licenses are in operation </w:t>
      </w:r>
      <w:r w:rsidRPr="006068BD">
        <w:t xml:space="preserve">and note that </w:t>
      </w:r>
      <w:r>
        <w:t>the</w:t>
      </w:r>
      <w:r w:rsidRPr="006068BD">
        <w:t xml:space="preserve"> licenses automatically cancelled on </w:t>
      </w:r>
      <w:r>
        <w:t>July 3, 2017</w:t>
      </w:r>
      <w:r w:rsidRPr="006068BD">
        <w:t>.</w:t>
      </w:r>
      <w:r>
        <w:t xml:space="preserve">  </w:t>
      </w:r>
    </w:p>
    <w:p w:rsidR="0013668D" w:rsidP="0013668D">
      <w:pPr>
        <w:pStyle w:val="ParaNum"/>
        <w:numPr>
          <w:ilvl w:val="0"/>
          <w:numId w:val="3"/>
        </w:numPr>
        <w:tabs>
          <w:tab w:val="num" w:pos="990"/>
        </w:tabs>
        <w:ind w:left="-90" w:firstLine="720"/>
      </w:pPr>
      <w:r>
        <w:t>For an eleventh call sign, WQMS448, the record reflects that Wisconsin is using the frequency for mobile-to-mobile communications “as needed”</w:t>
      </w:r>
      <w:r>
        <w:rPr>
          <w:rStyle w:val="FootnoteReference"/>
        </w:rPr>
        <w:footnoteReference w:id="31"/>
      </w:r>
      <w:r>
        <w:t xml:space="preserve"> and </w:t>
      </w:r>
      <w:r w:rsidR="00BB53F8">
        <w:t xml:space="preserve">that it is </w:t>
      </w:r>
      <w:r>
        <w:t xml:space="preserve">not paired with any base </w:t>
      </w:r>
      <w:r w:rsidR="007805FE">
        <w:t>frequency and</w:t>
      </w:r>
      <w:r>
        <w:t xml:space="preserve"> is thus violating </w:t>
      </w:r>
      <w:r w:rsidRPr="00EA477B">
        <w:t>Section 22.531</w:t>
      </w:r>
      <w:r>
        <w:t xml:space="preserve"> of our rules.  </w:t>
      </w:r>
      <w:r w:rsidRPr="00AA2A33">
        <w:t>Section 22.531 provid</w:t>
      </w:r>
      <w:r>
        <w:t>es that certain unpaired,</w:t>
      </w:r>
      <w:r w:rsidRPr="00AA2A33">
        <w:t xml:space="preserve"> </w:t>
      </w:r>
      <w:r>
        <w:t>high VHF channels for paging operation are allocated only for use as</w:t>
      </w:r>
      <w:r w:rsidRPr="00AA2A33">
        <w:t xml:space="preserve"> base transmitters</w:t>
      </w:r>
      <w:r>
        <w:t>.</w:t>
      </w:r>
      <w:r>
        <w:rPr>
          <w:rStyle w:val="FootnoteReference"/>
        </w:rPr>
        <w:footnoteReference w:id="32"/>
      </w:r>
      <w:r>
        <w:t xml:space="preserve">  In addition to making </w:t>
      </w:r>
      <w:r w:rsidR="00DB56C6">
        <w:t>mobile-</w:t>
      </w:r>
      <w:r>
        <w:t xml:space="preserve">only use of the base frequency, the State has not completed any base station construction for this </w:t>
      </w:r>
      <w:r>
        <w:t>frequency.</w:t>
      </w:r>
      <w:r>
        <w:rPr>
          <w:rStyle w:val="FootnoteReference"/>
        </w:rPr>
        <w:footnoteReference w:id="33"/>
      </w:r>
      <w:r>
        <w:t xml:space="preserve">  Operating the license as a mobile-only frequency without any base station construction does not comply with the construction requirement, and WQMS448 therefore terminated as of July 3, 2017. </w:t>
      </w:r>
    </w:p>
    <w:p w:rsidR="00E46FA9" w:rsidP="00B7110A">
      <w:pPr>
        <w:pStyle w:val="ParaNum"/>
        <w:numPr>
          <w:ilvl w:val="0"/>
          <w:numId w:val="3"/>
        </w:numPr>
        <w:tabs>
          <w:tab w:val="num" w:pos="990"/>
        </w:tabs>
        <w:ind w:left="-90" w:firstLine="720"/>
      </w:pPr>
      <w:r>
        <w:t xml:space="preserve">Further, </w:t>
      </w:r>
      <w:r w:rsidRPr="00B7110A" w:rsidR="006068BD">
        <w:t>Wisconsin’s</w:t>
      </w:r>
      <w:r w:rsidR="006068BD">
        <w:t xml:space="preserve"> submissions </w:t>
      </w:r>
      <w:r>
        <w:t>for the licenses that were in operation as of July 3, 2017</w:t>
      </w:r>
      <w:r w:rsidR="00725EA0">
        <w:t>,</w:t>
      </w:r>
      <w:r>
        <w:t xml:space="preserve"> </w:t>
      </w:r>
      <w:r w:rsidR="006068BD">
        <w:t>indicate that the State’s service coverages are quite low, and no individual market reaches a level that would be considered substantial or above mediocre.  Wisconsin’s actual constructi</w:t>
      </w:r>
      <w:r w:rsidR="008F1DDF">
        <w:t>on with respect to its Part 22 p</w:t>
      </w:r>
      <w:r w:rsidR="006068BD">
        <w:t>aging licenses is low by any measure, as it appears to concede in its Petition for Reconsideration.</w:t>
      </w:r>
      <w:r>
        <w:rPr>
          <w:vertAlign w:val="superscript"/>
        </w:rPr>
        <w:footnoteReference w:id="34"/>
      </w:r>
      <w:r w:rsidR="006068BD">
        <w:t xml:space="preserve"> </w:t>
      </w:r>
      <w:bookmarkStart w:id="2" w:name="_Hlk527374823"/>
      <w:r w:rsidR="00DB56C6">
        <w:t xml:space="preserve"> </w:t>
      </w:r>
      <w:r w:rsidR="00C6349F">
        <w:t xml:space="preserve">For example, for </w:t>
      </w:r>
      <w:r>
        <w:t>eleven licenses</w:t>
      </w:r>
      <w:r w:rsidR="00C6349F">
        <w:t xml:space="preserve">, the </w:t>
      </w:r>
      <w:r w:rsidR="00DB56C6">
        <w:t xml:space="preserve">record shows that the </w:t>
      </w:r>
      <w:r w:rsidR="00C6349F">
        <w:t xml:space="preserve">State has </w:t>
      </w:r>
      <w:r w:rsidR="00DC0D78">
        <w:t xml:space="preserve">constructed </w:t>
      </w:r>
      <w:r w:rsidR="00960334">
        <w:t>only a single Part 22 base station</w:t>
      </w:r>
      <w:r w:rsidR="00C6349F">
        <w:t xml:space="preserve"> in the applicable market</w:t>
      </w:r>
      <w:r w:rsidR="00DC0D78">
        <w:t xml:space="preserve">.  </w:t>
      </w:r>
      <w:r w:rsidR="006068BD">
        <w:t xml:space="preserve">Viewing Wisconsin’s operations from a population coverage standpoint, the markets in operation range from coverages of zero or close to zero percent, to coverages for the rest of the markets of not more than fifteen percent.  </w:t>
      </w:r>
      <w:bookmarkEnd w:id="2"/>
    </w:p>
    <w:p w:rsidR="00462010" w:rsidP="00B7110A">
      <w:pPr>
        <w:pStyle w:val="ParaNum"/>
        <w:numPr>
          <w:ilvl w:val="0"/>
          <w:numId w:val="3"/>
        </w:numPr>
        <w:tabs>
          <w:tab w:val="num" w:pos="990"/>
        </w:tabs>
        <w:ind w:left="-90" w:firstLine="720"/>
      </w:pPr>
      <w:r>
        <w:t xml:space="preserve">We recognize that Wisconsin relies on these frequencies as part of its </w:t>
      </w:r>
      <w:r w:rsidR="004C1DD8">
        <w:t>s</w:t>
      </w:r>
      <w:r>
        <w:t xml:space="preserve">tatewide public safety system, </w:t>
      </w:r>
      <w:r w:rsidR="004C1DD8">
        <w:t>but the</w:t>
      </w:r>
      <w:r>
        <w:t xml:space="preserve"> use </w:t>
      </w:r>
      <w:r w:rsidR="004C1DD8">
        <w:t xml:space="preserve">of the licenses in a larger system </w:t>
      </w:r>
      <w:r>
        <w:t>does not relieve the State of its obligation to meet the construction requirement for each license individually.  The State additionally has the obligation to petition for all necessary waivers where, as here, its actual use of the frequencies does not comport with our rules.  In any event, and even if Wisconsin had showed much greater service coverage, Wisconsin is operating the licenses in violation of a Part 22 rule and has been operating one license without required coordination with Canada, and thus the operations in violation of our rules cannot be counted towards its construction obligations.</w:t>
      </w:r>
    </w:p>
    <w:p w:rsidR="007E40BD" w:rsidP="00B7110A">
      <w:pPr>
        <w:pStyle w:val="ParaNum"/>
        <w:numPr>
          <w:ilvl w:val="0"/>
          <w:numId w:val="3"/>
        </w:numPr>
        <w:tabs>
          <w:tab w:val="num" w:pos="990"/>
        </w:tabs>
        <w:ind w:left="-90" w:firstLine="720"/>
      </w:pPr>
      <w:r>
        <w:t xml:space="preserve">We note that since the original deadline in 2015, </w:t>
      </w:r>
      <w:r w:rsidR="006068BD">
        <w:t>Wisconsin</w:t>
      </w:r>
      <w:r w:rsidRPr="006754FC">
        <w:t xml:space="preserve"> </w:t>
      </w:r>
      <w:r>
        <w:t>h</w:t>
      </w:r>
      <w:r w:rsidRPr="006754FC">
        <w:t xml:space="preserve">as </w:t>
      </w:r>
      <w:r>
        <w:t xml:space="preserve">been </w:t>
      </w:r>
      <w:r w:rsidRPr="006754FC">
        <w:t xml:space="preserve">given multiple opportunities </w:t>
      </w:r>
      <w:r>
        <w:t xml:space="preserve">and reminders </w:t>
      </w:r>
      <w:r w:rsidRPr="006754FC">
        <w:t xml:space="preserve">to comply with </w:t>
      </w:r>
      <w:r>
        <w:t xml:space="preserve">its </w:t>
      </w:r>
      <w:r w:rsidRPr="006754FC">
        <w:t>construction</w:t>
      </w:r>
      <w:r>
        <w:t xml:space="preserve"> obligations</w:t>
      </w:r>
      <w:r>
        <w:t xml:space="preserve">.  </w:t>
      </w:r>
      <w:r>
        <w:t xml:space="preserve">The Division has previously granted extensions of time </w:t>
      </w:r>
      <w:r w:rsidR="00D162A2">
        <w:t xml:space="preserve">and </w:t>
      </w:r>
      <w:r w:rsidR="00820327">
        <w:t>given the State opportunities to provide</w:t>
      </w:r>
      <w:r w:rsidR="00D162A2">
        <w:t xml:space="preserve"> supplemental information, </w:t>
      </w:r>
      <w:r>
        <w:t xml:space="preserve">and none of </w:t>
      </w:r>
      <w:r w:rsidR="00DB56C6">
        <w:t>the information</w:t>
      </w:r>
      <w:r>
        <w:t xml:space="preserve"> </w:t>
      </w:r>
      <w:r w:rsidR="006068BD">
        <w:t>Wisconsin</w:t>
      </w:r>
      <w:r>
        <w:t xml:space="preserve"> </w:t>
      </w:r>
      <w:r w:rsidR="00820327">
        <w:t xml:space="preserve">has </w:t>
      </w:r>
      <w:r>
        <w:t xml:space="preserve">provided supports </w:t>
      </w:r>
      <w:r w:rsidR="008F0BF9">
        <w:t>a finding of completion of any</w:t>
      </w:r>
      <w:r>
        <w:t xml:space="preserve"> additional construction.  By </w:t>
      </w:r>
      <w:r w:rsidR="006068BD">
        <w:t>Wisconsin</w:t>
      </w:r>
      <w:r>
        <w:t xml:space="preserve">’s own </w:t>
      </w:r>
      <w:r w:rsidR="006542CE">
        <w:t>statements</w:t>
      </w:r>
      <w:r>
        <w:t>, it has no plans for additional construction</w:t>
      </w:r>
      <w:r w:rsidR="00DB3A6D">
        <w:t>, and believes its current showings are sufficient to demonstrate compliance</w:t>
      </w:r>
      <w:r>
        <w:t>.</w:t>
      </w:r>
      <w:r>
        <w:rPr>
          <w:rStyle w:val="FootnoteReference"/>
        </w:rPr>
        <w:footnoteReference w:id="35"/>
      </w:r>
      <w:r>
        <w:t xml:space="preserve">  None of its filings indicate that granting a</w:t>
      </w:r>
      <w:r w:rsidR="00AD53BA">
        <w:t xml:space="preserve"> further</w:t>
      </w:r>
      <w:r>
        <w:t xml:space="preserve"> extension of the deadline would result in </w:t>
      </w:r>
      <w:r w:rsidR="00DB3A6D">
        <w:t xml:space="preserve">the </w:t>
      </w:r>
      <w:r w:rsidR="00D162A2">
        <w:t>S</w:t>
      </w:r>
      <w:r w:rsidR="00DB3A6D">
        <w:t>tate’s being able to meet its construction requirement</w:t>
      </w:r>
      <w:r>
        <w:t>.  Thus, we conclude that providing additional time</w:t>
      </w:r>
      <w:r w:rsidR="00D162A2">
        <w:t xml:space="preserve"> as requested in the Petition for Reconsideration</w:t>
      </w:r>
      <w:r>
        <w:t xml:space="preserve"> would not be in the public interest. </w:t>
      </w:r>
    </w:p>
    <w:p w:rsidR="00464523" w:rsidP="0013668D">
      <w:pPr>
        <w:pStyle w:val="ParaNum"/>
        <w:numPr>
          <w:ilvl w:val="0"/>
          <w:numId w:val="3"/>
        </w:numPr>
        <w:tabs>
          <w:tab w:val="num" w:pos="990"/>
        </w:tabs>
        <w:ind w:left="-90" w:firstLine="720"/>
      </w:pPr>
      <w:r>
        <w:t>W</w:t>
      </w:r>
      <w:r w:rsidR="008C7325">
        <w:t xml:space="preserve">hile we conclude that providing </w:t>
      </w:r>
      <w:r w:rsidR="006068BD">
        <w:t>Wisconsin</w:t>
      </w:r>
      <w:r w:rsidR="008C7325">
        <w:t xml:space="preserve"> </w:t>
      </w:r>
      <w:r w:rsidR="00D162A2">
        <w:t>more time to meet</w:t>
      </w:r>
      <w:r w:rsidR="008C7325">
        <w:t xml:space="preserve"> its construction obligations is not warranted, w</w:t>
      </w:r>
      <w:r w:rsidR="00607EDA">
        <w:t>e find</w:t>
      </w:r>
      <w:r w:rsidR="00D903AD">
        <w:t xml:space="preserve"> on our own motion</w:t>
      </w:r>
      <w:r w:rsidR="00607EDA">
        <w:t xml:space="preserve"> that the unique circumstances present here justify granting </w:t>
      </w:r>
      <w:r w:rsidR="00B270BE">
        <w:t xml:space="preserve">limited relief to </w:t>
      </w:r>
      <w:r w:rsidR="006068BD">
        <w:t>Wisconsin</w:t>
      </w:r>
      <w:r w:rsidR="00D162A2">
        <w:t xml:space="preserve">.  We therefore grant a conditional waiver of </w:t>
      </w:r>
      <w:r w:rsidR="00382467">
        <w:t xml:space="preserve">Section 22.503(k) </w:t>
      </w:r>
      <w:r>
        <w:t xml:space="preserve">to the extent necessary to allow the </w:t>
      </w:r>
      <w:r w:rsidR="00D162A2">
        <w:t>S</w:t>
      </w:r>
      <w:r>
        <w:t xml:space="preserve">tate to keep the portions of the </w:t>
      </w:r>
      <w:r w:rsidR="00382467">
        <w:t>license area</w:t>
      </w:r>
      <w:r w:rsidR="00D162A2">
        <w:t>s</w:t>
      </w:r>
      <w:r w:rsidR="00382467">
        <w:t xml:space="preserve"> </w:t>
      </w:r>
      <w:r w:rsidR="00B270BE">
        <w:t>where i</w:t>
      </w:r>
      <w:r w:rsidR="00382467">
        <w:t>t was operating</w:t>
      </w:r>
      <w:r>
        <w:t xml:space="preserve"> as of the </w:t>
      </w:r>
      <w:r w:rsidR="00086651">
        <w:t xml:space="preserve">extended construction deadline of </w:t>
      </w:r>
      <w:r w:rsidR="00291205">
        <w:t>July 3</w:t>
      </w:r>
      <w:r w:rsidR="00382467">
        <w:t>, 2017</w:t>
      </w:r>
      <w:r w:rsidR="00607EDA">
        <w:t>.</w:t>
      </w:r>
      <w:r>
        <w:rPr>
          <w:rStyle w:val="FootnoteReference"/>
        </w:rPr>
        <w:footnoteReference w:id="36"/>
      </w:r>
      <w:r w:rsidR="00607EDA">
        <w:t xml:space="preserve">  </w:t>
      </w:r>
      <w:r w:rsidR="008F0BF9">
        <w:t>Without such a waiver,</w:t>
      </w:r>
      <w:r w:rsidR="002B45A8">
        <w:t xml:space="preserve"> failure to meet the Commission’s construction requirements results in automatic termination of the entire license.  </w:t>
      </w:r>
    </w:p>
    <w:p w:rsidR="00C54998" w:rsidP="0013668D">
      <w:pPr>
        <w:pStyle w:val="ParaNum"/>
        <w:numPr>
          <w:ilvl w:val="0"/>
          <w:numId w:val="3"/>
        </w:numPr>
        <w:tabs>
          <w:tab w:val="num" w:pos="990"/>
        </w:tabs>
        <w:ind w:left="-90" w:firstLine="720"/>
      </w:pPr>
      <w:r>
        <w:t>We recognize</w:t>
      </w:r>
      <w:r w:rsidR="00464523">
        <w:t xml:space="preserve"> that it would be contrary to the public interest for </w:t>
      </w:r>
      <w:r w:rsidR="006068BD">
        <w:t>Wisconsin</w:t>
      </w:r>
      <w:r w:rsidR="00464523">
        <w:t xml:space="preserve"> to build a statewide system that was incapable of interoperating</w:t>
      </w:r>
      <w:r w:rsidR="004961C1">
        <w:t xml:space="preserve"> </w:t>
      </w:r>
      <w:r w:rsidR="00464523">
        <w:t xml:space="preserve">throughout the state.  </w:t>
      </w:r>
      <w:r w:rsidR="00276B3E">
        <w:t xml:space="preserve">Given the nature of </w:t>
      </w:r>
      <w:r w:rsidR="006068BD">
        <w:t>Wisconsin</w:t>
      </w:r>
      <w:r w:rsidR="00276B3E">
        <w:t>’s use of the Part 22 licenses</w:t>
      </w:r>
      <w:r w:rsidR="00607EDA">
        <w:t>,</w:t>
      </w:r>
      <w:r w:rsidR="00276B3E">
        <w:t xml:space="preserve"> </w:t>
      </w:r>
      <w:r w:rsidR="00382467">
        <w:t xml:space="preserve">automatic </w:t>
      </w:r>
      <w:r w:rsidR="00276B3E">
        <w:t>terminat</w:t>
      </w:r>
      <w:r w:rsidR="00382467">
        <w:t>ion of</w:t>
      </w:r>
      <w:r w:rsidR="00276B3E">
        <w:t xml:space="preserve"> the licenses </w:t>
      </w:r>
      <w:r w:rsidR="007D4443">
        <w:t xml:space="preserve">wholesale </w:t>
      </w:r>
      <w:r w:rsidR="00464523">
        <w:t>would necessarily limit the statewide operation and interoperability between all levels of government that we have found</w:t>
      </w:r>
      <w:r>
        <w:t xml:space="preserve"> in other instances</w:t>
      </w:r>
      <w:r w:rsidR="00464523">
        <w:t xml:space="preserve"> to be in the public interest.</w:t>
      </w:r>
      <w:r>
        <w:rPr>
          <w:rStyle w:val="FootnoteReference"/>
        </w:rPr>
        <w:footnoteReference w:id="37"/>
      </w:r>
      <w:r w:rsidR="00464523">
        <w:t xml:space="preserve">  We thus conclude </w:t>
      </w:r>
      <w:r w:rsidR="008C7325">
        <w:t xml:space="preserve">that the public interest supports granting a waiver to permit the </w:t>
      </w:r>
      <w:r w:rsidR="004A3578">
        <w:t>S</w:t>
      </w:r>
      <w:r w:rsidR="008C7325">
        <w:t>tate to retain its operations</w:t>
      </w:r>
      <w:r w:rsidR="00974414">
        <w:t xml:space="preserve"> </w:t>
      </w:r>
      <w:r w:rsidR="00086651">
        <w:t xml:space="preserve">as of the extended construction deadline </w:t>
      </w:r>
      <w:r w:rsidR="007131C9">
        <w:t xml:space="preserve">with regard to the </w:t>
      </w:r>
      <w:r w:rsidR="00302DE5">
        <w:t xml:space="preserve">fourteen </w:t>
      </w:r>
      <w:r w:rsidR="007131C9">
        <w:t xml:space="preserve">licenses it has shown to be in operation, </w:t>
      </w:r>
      <w:r w:rsidR="00974414">
        <w:t>rather than terminating the licenses in their entirety</w:t>
      </w:r>
      <w:r w:rsidR="00CA236F">
        <w:t>.</w:t>
      </w:r>
      <w:r w:rsidR="00E24BC3">
        <w:t xml:space="preserve"> </w:t>
      </w:r>
    </w:p>
    <w:p w:rsidR="00021001" w:rsidP="0013668D">
      <w:pPr>
        <w:pStyle w:val="ParaNum"/>
        <w:numPr>
          <w:ilvl w:val="0"/>
          <w:numId w:val="3"/>
        </w:numPr>
        <w:tabs>
          <w:tab w:val="num" w:pos="990"/>
        </w:tabs>
        <w:ind w:left="-90" w:firstLine="720"/>
      </w:pPr>
      <w:r>
        <w:t xml:space="preserve">Although </w:t>
      </w:r>
      <w:r w:rsidR="006068BD">
        <w:t>Wisconsin</w:t>
      </w:r>
      <w:r w:rsidR="00C54998">
        <w:t xml:space="preserve"> has not established </w:t>
      </w:r>
      <w:r w:rsidR="005825D9">
        <w:t>a level of co</w:t>
      </w:r>
      <w:r w:rsidR="00185E7B">
        <w:t>nstruction and servic</w:t>
      </w:r>
      <w:r w:rsidR="005825D9">
        <w:t xml:space="preserve">e that would constitute </w:t>
      </w:r>
      <w:r w:rsidR="00C54998">
        <w:t>su</w:t>
      </w:r>
      <w:r w:rsidR="00912860">
        <w:t>bstantial service for any of the</w:t>
      </w:r>
      <w:r w:rsidR="00C54998">
        <w:t xml:space="preserve"> </w:t>
      </w:r>
      <w:r w:rsidR="00302DE5">
        <w:t xml:space="preserve">fourteen </w:t>
      </w:r>
      <w:r w:rsidR="00C54998">
        <w:t>licenses</w:t>
      </w:r>
      <w:r w:rsidR="005825D9">
        <w:t>,</w:t>
      </w:r>
      <w:r w:rsidR="00C54998">
        <w:t xml:space="preserve"> we agree that it is</w:t>
      </w:r>
      <w:r w:rsidR="00974414">
        <w:t xml:space="preserve"> currently</w:t>
      </w:r>
      <w:r w:rsidR="00C54998">
        <w:t xml:space="preserve"> </w:t>
      </w:r>
      <w:r w:rsidR="00DA4171">
        <w:t xml:space="preserve">operating in </w:t>
      </w:r>
      <w:r w:rsidR="00C54998">
        <w:t xml:space="preserve">portions of </w:t>
      </w:r>
      <w:r w:rsidR="00431F03">
        <w:t>a given</w:t>
      </w:r>
      <w:r w:rsidR="00C54998">
        <w:t xml:space="preserve"> market</w:t>
      </w:r>
      <w:r w:rsidR="00B52DE6">
        <w:t xml:space="preserve"> </w:t>
      </w:r>
      <w:r w:rsidR="00947D78">
        <w:t xml:space="preserve">area for </w:t>
      </w:r>
      <w:r w:rsidR="00431F03">
        <w:t>each</w:t>
      </w:r>
      <w:r w:rsidR="00D903AD">
        <w:t xml:space="preserve"> </w:t>
      </w:r>
      <w:r w:rsidR="00912860">
        <w:t xml:space="preserve">of those </w:t>
      </w:r>
      <w:r w:rsidR="00D903AD">
        <w:t>license</w:t>
      </w:r>
      <w:r w:rsidR="00AC325C">
        <w:t>s</w:t>
      </w:r>
      <w:r w:rsidR="00974414">
        <w:t xml:space="preserve"> as part of its statewide </w:t>
      </w:r>
      <w:r w:rsidR="005B4C53">
        <w:t xml:space="preserve">public safety </w:t>
      </w:r>
      <w:r w:rsidR="00974414">
        <w:t>system</w:t>
      </w:r>
      <w:r w:rsidR="00CA236F">
        <w:t>.</w:t>
      </w:r>
      <w:r w:rsidR="00C54998">
        <w:t xml:space="preserve">  </w:t>
      </w:r>
      <w:r>
        <w:t xml:space="preserve">This waiver </w:t>
      </w:r>
      <w:r w:rsidR="00912860">
        <w:t>maintains</w:t>
      </w:r>
      <w:r>
        <w:t xml:space="preserve"> the functionality of the network </w:t>
      </w:r>
      <w:r w:rsidR="00E10F5B">
        <w:t>in total</w:t>
      </w:r>
      <w:r w:rsidR="007D4443">
        <w:t xml:space="preserve">, while </w:t>
      </w:r>
      <w:r w:rsidR="008F0BF9">
        <w:t xml:space="preserve">ultimately requiring </w:t>
      </w:r>
      <w:r w:rsidR="007D4443">
        <w:t xml:space="preserve">return </w:t>
      </w:r>
      <w:r w:rsidR="008F0BF9">
        <w:t xml:space="preserve">of </w:t>
      </w:r>
      <w:r w:rsidR="007D4443">
        <w:t xml:space="preserve">spectrum not in use by </w:t>
      </w:r>
      <w:r w:rsidR="007131C9">
        <w:t>Wisconsin</w:t>
      </w:r>
      <w:r w:rsidR="007D4443">
        <w:t xml:space="preserve"> to the Commission’s inventory</w:t>
      </w:r>
      <w:r w:rsidR="00B52DE6">
        <w:t>.</w:t>
      </w:r>
    </w:p>
    <w:p w:rsidR="0076320A" w:rsidP="0013668D">
      <w:pPr>
        <w:pStyle w:val="ParaNum"/>
        <w:numPr>
          <w:ilvl w:val="0"/>
          <w:numId w:val="3"/>
        </w:numPr>
        <w:tabs>
          <w:tab w:val="num" w:pos="990"/>
        </w:tabs>
        <w:ind w:left="-90" w:firstLine="720"/>
      </w:pPr>
      <w:r w:rsidRPr="00276B3E">
        <w:rPr>
          <w:i/>
        </w:rPr>
        <w:t>Technical Waivers</w:t>
      </w:r>
      <w:r w:rsidR="008722F7">
        <w:rPr>
          <w:i/>
        </w:rPr>
        <w:t xml:space="preserve"> and </w:t>
      </w:r>
      <w:r w:rsidR="000A1129">
        <w:rPr>
          <w:i/>
        </w:rPr>
        <w:t xml:space="preserve">Special </w:t>
      </w:r>
      <w:r w:rsidR="008722F7">
        <w:rPr>
          <w:i/>
        </w:rPr>
        <w:t>Temporary Authority to Continue Operations</w:t>
      </w:r>
      <w:r>
        <w:t xml:space="preserve">. </w:t>
      </w:r>
      <w:r w:rsidR="00276B3E">
        <w:t xml:space="preserve"> </w:t>
      </w:r>
      <w:r w:rsidR="00B51693">
        <w:t>Wisconsin</w:t>
      </w:r>
      <w:r w:rsidR="00381C3E">
        <w:t xml:space="preserve"> is operating its Part 22 </w:t>
      </w:r>
      <w:r w:rsidR="00D434AC">
        <w:t xml:space="preserve">paging </w:t>
      </w:r>
      <w:r w:rsidR="00381C3E">
        <w:t xml:space="preserve">licenses within a public safety system made up of primarily Part 90 </w:t>
      </w:r>
      <w:r>
        <w:t xml:space="preserve">and other non-Part 22 licenses, and this operation has resulted in </w:t>
      </w:r>
      <w:r w:rsidR="00381C3E">
        <w:t xml:space="preserve">inconsistencies between the operation of the </w:t>
      </w:r>
      <w:r>
        <w:t xml:space="preserve">Part 22 </w:t>
      </w:r>
      <w:r w:rsidR="00381C3E">
        <w:t xml:space="preserve">licenses and our technical rules.  </w:t>
      </w:r>
      <w:r w:rsidR="00431F03">
        <w:t xml:space="preserve">Our review of the information </w:t>
      </w:r>
      <w:r w:rsidR="00D802BF">
        <w:t xml:space="preserve">Wisconsin has </w:t>
      </w:r>
      <w:r w:rsidR="00431F03">
        <w:t>provided reveal</w:t>
      </w:r>
      <w:r w:rsidR="00D802BF">
        <w:t>s</w:t>
      </w:r>
      <w:r w:rsidR="00431F03">
        <w:t xml:space="preserve"> that the </w:t>
      </w:r>
      <w:r w:rsidR="00D802BF">
        <w:t>S</w:t>
      </w:r>
      <w:r w:rsidR="00431F03">
        <w:t xml:space="preserve">tate requires additional rule </w:t>
      </w:r>
      <w:r w:rsidR="00D802BF">
        <w:t>waivers</w:t>
      </w:r>
      <w:r w:rsidR="00431F03">
        <w:t>.</w:t>
      </w:r>
      <w:r>
        <w:rPr>
          <w:rStyle w:val="FootnoteReference"/>
        </w:rPr>
        <w:footnoteReference w:id="38"/>
      </w:r>
      <w:r w:rsidR="00431F03">
        <w:t xml:space="preserve">  </w:t>
      </w:r>
      <w:r w:rsidR="00974414">
        <w:t xml:space="preserve">While we are permitting </w:t>
      </w:r>
      <w:r w:rsidR="00D802BF">
        <w:t>Wisconsin</w:t>
      </w:r>
      <w:r w:rsidR="00974414">
        <w:t xml:space="preserve"> to retain areas in which it </w:t>
      </w:r>
      <w:r w:rsidR="00086651">
        <w:t>was</w:t>
      </w:r>
      <w:r w:rsidR="00974414">
        <w:t xml:space="preserve"> operating</w:t>
      </w:r>
      <w:r w:rsidR="00086651">
        <w:t xml:space="preserve"> as of the extended construction deadline</w:t>
      </w:r>
      <w:r w:rsidR="00B270BE">
        <w:t xml:space="preserve">, </w:t>
      </w:r>
      <w:r w:rsidR="00D802BF">
        <w:t>its</w:t>
      </w:r>
      <w:r w:rsidR="00B270BE">
        <w:t xml:space="preserve"> operation of </w:t>
      </w:r>
      <w:r w:rsidR="00A96A21">
        <w:t>these licenses</w:t>
      </w:r>
      <w:r w:rsidR="00DD0447">
        <w:t xml:space="preserve"> </w:t>
      </w:r>
      <w:r w:rsidR="00B270BE">
        <w:t>would remain out of compliance with our rules, and we therefore grant limited waivers of certain technical rules to enable continued use of the licenses.</w:t>
      </w:r>
      <w:r w:rsidR="00431F03">
        <w:t xml:space="preserve">    </w:t>
      </w:r>
    </w:p>
    <w:p w:rsidR="00AB11D4" w:rsidP="0013668D">
      <w:pPr>
        <w:pStyle w:val="ParaNum"/>
        <w:numPr>
          <w:ilvl w:val="0"/>
          <w:numId w:val="3"/>
        </w:numPr>
        <w:tabs>
          <w:tab w:val="num" w:pos="990"/>
        </w:tabs>
        <w:ind w:left="-90" w:firstLine="720"/>
      </w:pPr>
      <w:r>
        <w:t>To</w:t>
      </w:r>
      <w:r w:rsidR="003D7892">
        <w:t xml:space="preserve"> bring </w:t>
      </w:r>
      <w:r w:rsidR="00B51693">
        <w:t>Wisconsin</w:t>
      </w:r>
      <w:r w:rsidR="003D7892">
        <w:t>’s operations into compliance with the rules, w</w:t>
      </w:r>
      <w:r w:rsidR="0076320A">
        <w:t>e</w:t>
      </w:r>
      <w:r w:rsidR="00607EDA">
        <w:t xml:space="preserve"> grant waivers on our own motion for the technical rules discussed below</w:t>
      </w:r>
      <w:r w:rsidR="001B05C0">
        <w:t>, as well as special temporary authority (STA) for these stations to continue operating for a</w:t>
      </w:r>
      <w:r w:rsidR="008722F7">
        <w:t>n interim</w:t>
      </w:r>
      <w:r w:rsidR="001B05C0">
        <w:t xml:space="preserve"> period of six months</w:t>
      </w:r>
      <w:r w:rsidR="008722F7">
        <w:t xml:space="preserve"> while the </w:t>
      </w:r>
      <w:r w:rsidR="00B51693">
        <w:t>S</w:t>
      </w:r>
      <w:r w:rsidR="008722F7">
        <w:t xml:space="preserve">tate </w:t>
      </w:r>
      <w:r w:rsidR="00A236CD">
        <w:t xml:space="preserve">comes into </w:t>
      </w:r>
      <w:r w:rsidR="008722F7">
        <w:t xml:space="preserve">compliance with the conditions set out in </w:t>
      </w:r>
      <w:r w:rsidR="00715126">
        <w:t>this section</w:t>
      </w:r>
      <w:r w:rsidR="003D7892">
        <w:t>.</w:t>
      </w:r>
      <w:r>
        <w:rPr>
          <w:rStyle w:val="FootnoteReference"/>
        </w:rPr>
        <w:footnoteReference w:id="39"/>
      </w:r>
      <w:r w:rsidR="003D7892">
        <w:t xml:space="preserve">  </w:t>
      </w:r>
      <w:r w:rsidR="00421182">
        <w:t xml:space="preserve">Each of these waivers is specifically conditioned </w:t>
      </w:r>
      <w:r w:rsidR="008722F7">
        <w:t>on</w:t>
      </w:r>
      <w:r w:rsidR="00421182">
        <w:t xml:space="preserve"> </w:t>
      </w:r>
      <w:r w:rsidR="007C11E5">
        <w:t xml:space="preserve">the </w:t>
      </w:r>
      <w:r w:rsidR="0076320A">
        <w:t>concurrence of</w:t>
      </w:r>
      <w:r w:rsidR="007C11E5">
        <w:t xml:space="preserve"> licensees</w:t>
      </w:r>
      <w:r w:rsidR="0076320A">
        <w:t xml:space="preserve"> </w:t>
      </w:r>
      <w:r w:rsidR="00B270BE">
        <w:t xml:space="preserve">who would potentially be affected by </w:t>
      </w:r>
      <w:r w:rsidR="00B51693">
        <w:t>Wisconsin’</w:t>
      </w:r>
      <w:r w:rsidR="0076320A">
        <w:t>s operation of</w:t>
      </w:r>
      <w:r w:rsidR="00B51693">
        <w:t xml:space="preserve"> its network at t</w:t>
      </w:r>
      <w:r w:rsidR="0076320A">
        <w:t xml:space="preserve">he waived </w:t>
      </w:r>
      <w:r w:rsidR="008F0BF9">
        <w:t xml:space="preserve">technical </w:t>
      </w:r>
      <w:r w:rsidR="0076320A">
        <w:t>parameters</w:t>
      </w:r>
      <w:r w:rsidR="00204272">
        <w:t xml:space="preserve"> in order to ensure </w:t>
      </w:r>
      <w:r w:rsidR="009C5379">
        <w:t xml:space="preserve">protection from harmful </w:t>
      </w:r>
      <w:r w:rsidR="00A236CD">
        <w:t xml:space="preserve">interference </w:t>
      </w:r>
      <w:r w:rsidR="00204272">
        <w:t>for other licensees</w:t>
      </w:r>
      <w:r w:rsidR="007C11E5">
        <w:t xml:space="preserve">.  </w:t>
      </w:r>
      <w:r w:rsidR="00912860">
        <w:t>T</w:t>
      </w:r>
      <w:r w:rsidR="003D7892">
        <w:t>he following waivers</w:t>
      </w:r>
      <w:r w:rsidR="0076320A">
        <w:t xml:space="preserve">, as conditioned, will bring its </w:t>
      </w:r>
      <w:r w:rsidR="003D7892">
        <w:t xml:space="preserve">operations into compliance with </w:t>
      </w:r>
      <w:r w:rsidR="00B270BE">
        <w:t xml:space="preserve">the </w:t>
      </w:r>
      <w:r w:rsidR="003D7892">
        <w:t xml:space="preserve">rules </w:t>
      </w:r>
      <w:r w:rsidR="00B270BE">
        <w:t>while</w:t>
      </w:r>
      <w:r w:rsidR="003D7892">
        <w:t xml:space="preserve"> maintaining </w:t>
      </w:r>
      <w:r w:rsidR="00B51693">
        <w:t>the network’s</w:t>
      </w:r>
      <w:r w:rsidR="003D7892">
        <w:t xml:space="preserve"> functionality and minimizing the risk of harmful interference. </w:t>
      </w:r>
    </w:p>
    <w:p w:rsidR="00086E2F" w:rsidP="009D0473">
      <w:pPr>
        <w:pStyle w:val="ParaNum"/>
        <w:numPr>
          <w:ilvl w:val="0"/>
          <w:numId w:val="4"/>
        </w:numPr>
      </w:pPr>
      <w:bookmarkStart w:id="3" w:name="_Hlk520447774"/>
      <w:r w:rsidRPr="00086E2F">
        <w:rPr>
          <w:i/>
        </w:rPr>
        <w:t>Section 22.561</w:t>
      </w:r>
      <w:r>
        <w:t xml:space="preserve">.  Section 22.561 provides </w:t>
      </w:r>
      <w:r w:rsidR="00B51693">
        <w:t>that</w:t>
      </w:r>
      <w:r w:rsidR="00DC4535">
        <w:t xml:space="preserve"> for the frequencies identified in the rule, the </w:t>
      </w:r>
      <w:r>
        <w:t>bandwidth is 20 kHz, designated by their center frequencies in</w:t>
      </w:r>
      <w:r w:rsidR="00725EA0">
        <w:t xml:space="preserve"> megahertz</w:t>
      </w:r>
      <w:r>
        <w:t>.</w:t>
      </w:r>
      <w:r>
        <w:rPr>
          <w:rStyle w:val="FootnoteReference"/>
        </w:rPr>
        <w:footnoteReference w:id="40"/>
      </w:r>
      <w:r>
        <w:t xml:space="preserve">  </w:t>
      </w:r>
      <w:r w:rsidR="002D5D98">
        <w:t xml:space="preserve">These licenses have center frequencies in the 152 through 159 MHz frequency band.  </w:t>
      </w:r>
      <w:r w:rsidR="00DC4535">
        <w:t>We understand that Wisconsin may be operating</w:t>
      </w:r>
      <w:r>
        <w:t xml:space="preserve"> </w:t>
      </w:r>
      <w:r w:rsidRPr="00DC4535" w:rsidR="00DC4535">
        <w:t>WQMS406, WQMS407, WQMS408, WQMS409, WQMS410, WQMS412, WQ</w:t>
      </w:r>
      <w:r w:rsidR="00996E40">
        <w:t>MS413, WQMS417, WQMS418</w:t>
      </w:r>
      <w:r w:rsidRPr="00DC4535" w:rsidR="00DC4535">
        <w:t xml:space="preserve">, </w:t>
      </w:r>
      <w:r w:rsidR="00DB56C6">
        <w:t xml:space="preserve">WQMS 421, </w:t>
      </w:r>
      <w:r w:rsidRPr="00DC4535" w:rsidR="00DC4535">
        <w:t xml:space="preserve">WQMS422, WQMS423, WQMS424, </w:t>
      </w:r>
      <w:r w:rsidR="00DC4535">
        <w:t xml:space="preserve">and </w:t>
      </w:r>
      <w:r w:rsidRPr="00DC4535" w:rsidR="00DC4535">
        <w:t>WQMS425</w:t>
      </w:r>
      <w:r w:rsidR="00DC4535">
        <w:t xml:space="preserve"> such that the bandwidth exceeds the limits in Section 22.561.</w:t>
      </w:r>
      <w:r>
        <w:rPr>
          <w:rStyle w:val="FootnoteReference"/>
        </w:rPr>
        <w:footnoteReference w:id="41"/>
      </w:r>
      <w:r w:rsidR="00DC4535">
        <w:t xml:space="preserve">  W</w:t>
      </w:r>
      <w:r>
        <w:t>e grant a waive</w:t>
      </w:r>
      <w:r w:rsidR="00DC4535">
        <w:t>r of this rule to the extent the</w:t>
      </w:r>
      <w:r>
        <w:t>se</w:t>
      </w:r>
      <w:r w:rsidR="002D5D98">
        <w:t xml:space="preserve"> licenses</w:t>
      </w:r>
      <w:r>
        <w:t xml:space="preserve"> are operating outside of the prescribed bandwidth</w:t>
      </w:r>
      <w:r w:rsidR="002D5D98">
        <w:t>, as conditioned below</w:t>
      </w:r>
      <w:r>
        <w:t>.</w:t>
      </w:r>
      <w:r>
        <w:t xml:space="preserve">  </w:t>
      </w:r>
    </w:p>
    <w:p w:rsidR="006908BB" w:rsidRPr="006908BB" w:rsidP="009D0473">
      <w:pPr>
        <w:pStyle w:val="ParaNum"/>
        <w:numPr>
          <w:ilvl w:val="0"/>
          <w:numId w:val="4"/>
        </w:numPr>
        <w:rPr>
          <w:snapToGrid/>
          <w:kern w:val="0"/>
        </w:rPr>
      </w:pPr>
      <w:bookmarkEnd w:id="3"/>
      <w:r w:rsidRPr="001A1B0B">
        <w:rPr>
          <w:i/>
        </w:rPr>
        <w:t>Conditions</w:t>
      </w:r>
      <w:r w:rsidRPr="001A1B0B" w:rsidR="00A70844">
        <w:t>.</w:t>
      </w:r>
      <w:r w:rsidRPr="001A1B0B" w:rsidR="00A8074C">
        <w:t xml:space="preserve"> </w:t>
      </w:r>
      <w:r w:rsidRPr="001A1B0B" w:rsidR="00A8074C">
        <w:rPr>
          <w:sz w:val="24"/>
          <w:szCs w:val="24"/>
        </w:rPr>
        <w:t xml:space="preserve"> </w:t>
      </w:r>
      <w:r w:rsidRPr="001A1B0B" w:rsidR="000B5729">
        <w:t>We</w:t>
      </w:r>
      <w:r w:rsidRPr="000B5729" w:rsidR="000B5729">
        <w:t xml:space="preserve"> find it </w:t>
      </w:r>
      <w:r w:rsidR="00A96A21">
        <w:t>necessary</w:t>
      </w:r>
      <w:r w:rsidR="000B5729">
        <w:t xml:space="preserve"> to </w:t>
      </w:r>
      <w:r w:rsidRPr="000B5729" w:rsidR="00A8074C">
        <w:t>condition</w:t>
      </w:r>
      <w:r w:rsidR="000B5729">
        <w:t xml:space="preserve"> the relief</w:t>
      </w:r>
      <w:r w:rsidR="003A5DBC">
        <w:t xml:space="preserve"> granted</w:t>
      </w:r>
      <w:r w:rsidR="00E74A4A">
        <w:t xml:space="preserve"> </w:t>
      </w:r>
      <w:r w:rsidR="00E74A4A">
        <w:t>in order to</w:t>
      </w:r>
      <w:r w:rsidR="00E74A4A">
        <w:t xml:space="preserve"> meet the expectations of neighboring licensees that their operations will be free from </w:t>
      </w:r>
      <w:r w:rsidR="00CB2BC4">
        <w:t xml:space="preserve">harmful </w:t>
      </w:r>
      <w:r w:rsidR="00E74A4A">
        <w:t>interference</w:t>
      </w:r>
      <w:r w:rsidR="003A5DBC">
        <w:t xml:space="preserve">.  </w:t>
      </w:r>
      <w:r w:rsidRPr="00723CF5" w:rsidR="001E03D2">
        <w:t>Failure to comply with these conditions will result in</w:t>
      </w:r>
      <w:r w:rsidR="00C63D34">
        <w:t xml:space="preserve"> automatic</w:t>
      </w:r>
      <w:r w:rsidRPr="00723CF5" w:rsidR="001E03D2">
        <w:t xml:space="preserve"> termination of the </w:t>
      </w:r>
      <w:r w:rsidR="00A02DBD">
        <w:t xml:space="preserve">technical </w:t>
      </w:r>
      <w:r w:rsidRPr="00723CF5" w:rsidR="001E03D2">
        <w:t xml:space="preserve">waiver </w:t>
      </w:r>
      <w:r w:rsidR="001E03D2">
        <w:t xml:space="preserve">with respect to the license at issue. </w:t>
      </w:r>
      <w:r w:rsidRPr="00723CF5" w:rsidR="001E03D2">
        <w:t xml:space="preserve"> </w:t>
      </w:r>
      <w:bookmarkStart w:id="4" w:name="_Hlk520451152"/>
      <w:r w:rsidR="00C579E8">
        <w:t>The technical rule waivers are conditioned on the</w:t>
      </w:r>
      <w:r w:rsidR="006F1765">
        <w:t xml:space="preserve"> </w:t>
      </w:r>
      <w:r w:rsidR="00F56DF6">
        <w:t xml:space="preserve">State of Wisconsin obtaining </w:t>
      </w:r>
      <w:r w:rsidR="006F1765">
        <w:t>concurrence</w:t>
      </w:r>
      <w:r w:rsidR="00C579E8">
        <w:t xml:space="preserve"> </w:t>
      </w:r>
      <w:r w:rsidR="006F1765">
        <w:t>of</w:t>
      </w:r>
      <w:r w:rsidR="00C579E8">
        <w:t xml:space="preserve"> geographic or spectral neighbors that would potentially be affected</w:t>
      </w:r>
      <w:r w:rsidR="00204D38">
        <w:t>.</w:t>
      </w:r>
      <w:r w:rsidR="00A02DBD">
        <w:t xml:space="preserve"> </w:t>
      </w:r>
      <w:r w:rsidR="008B2CC8">
        <w:t xml:space="preserve"> </w:t>
      </w:r>
      <w:r w:rsidR="00F56DF6">
        <w:t>Wisconsin’s c</w:t>
      </w:r>
      <w:r w:rsidR="00D453A4">
        <w:t xml:space="preserve">oordination with neighboring geographic or spectral licensees </w:t>
      </w:r>
      <w:r w:rsidR="00A02DBD">
        <w:t xml:space="preserve">shall </w:t>
      </w:r>
      <w:r w:rsidR="00D453A4">
        <w:t xml:space="preserve">be conducted </w:t>
      </w:r>
      <w:r w:rsidR="008B2CC8">
        <w:t xml:space="preserve">consistent with the </w:t>
      </w:r>
      <w:r w:rsidR="00D453A4">
        <w:t xml:space="preserve">process </w:t>
      </w:r>
      <w:r w:rsidR="008B2CC8">
        <w:t>in</w:t>
      </w:r>
      <w:r w:rsidR="00D453A4">
        <w:t xml:space="preserve"> </w:t>
      </w:r>
      <w:r w:rsidR="008B2CC8">
        <w:t>Sections 22.503(h) and (</w:t>
      </w:r>
      <w:r w:rsidR="008B2CC8">
        <w:t>i</w:t>
      </w:r>
      <w:r w:rsidR="008B2CC8">
        <w:t xml:space="preserve">) of our rules that seek to protect adjacent geographic and co-channel licensees from </w:t>
      </w:r>
      <w:r w:rsidR="009C5379">
        <w:t xml:space="preserve">harmful </w:t>
      </w:r>
      <w:r w:rsidR="008B2CC8">
        <w:t>interference.</w:t>
      </w:r>
      <w:r>
        <w:rPr>
          <w:rStyle w:val="FootnoteReference"/>
        </w:rPr>
        <w:footnoteReference w:id="42"/>
      </w:r>
      <w:r w:rsidR="008B2CC8">
        <w:t xml:space="preserve">  </w:t>
      </w:r>
    </w:p>
    <w:p w:rsidR="009254B2" w:rsidP="00AC0111">
      <w:pPr>
        <w:pStyle w:val="ListParagraph"/>
        <w:ind w:left="630" w:firstLine="0"/>
      </w:pPr>
      <w:r w:rsidRPr="006908BB">
        <w:rPr>
          <w:rFonts w:ascii="Times New Roman" w:eastAsia="Times New Roman" w:hAnsi="Times New Roman"/>
          <w:snapToGrid w:val="0"/>
          <w:color w:val="000000"/>
          <w:kern w:val="28"/>
        </w:rPr>
        <w:t>Specifically</w:t>
      </w:r>
      <w:r w:rsidRPr="006908BB" w:rsidR="006908BB">
        <w:rPr>
          <w:rFonts w:ascii="Times New Roman" w:eastAsia="Times New Roman" w:hAnsi="Times New Roman"/>
          <w:snapToGrid w:val="0"/>
          <w:color w:val="000000"/>
          <w:kern w:val="28"/>
        </w:rPr>
        <w:t>, our</w:t>
      </w:r>
      <w:r w:rsidR="0099773C">
        <w:rPr>
          <w:rFonts w:ascii="Times New Roman" w:eastAsia="Times New Roman" w:hAnsi="Times New Roman"/>
          <w:snapToGrid w:val="0"/>
          <w:color w:val="000000"/>
          <w:kern w:val="28"/>
        </w:rPr>
        <w:t xml:space="preserve"> </w:t>
      </w:r>
      <w:r w:rsidRPr="006908BB" w:rsidR="006908BB">
        <w:rPr>
          <w:rFonts w:ascii="Times New Roman" w:eastAsia="Times New Roman" w:hAnsi="Times New Roman"/>
          <w:snapToGrid w:val="0"/>
          <w:color w:val="000000"/>
          <w:kern w:val="28"/>
        </w:rPr>
        <w:t>waiver of Section 22.561 for WQMS406, WQMS407, WQMS408, WQMS409, WQMS410, WQMS412, WQMS413, WQMS417, WQMS418, WQMS421, WQMS422, WQMS423, WQMS424, and WQMS425 has the potential to affect adjacent licensees and is conditioned on the concurrence of those licensees.</w:t>
      </w:r>
      <w:r w:rsidRPr="006908BB" w:rsidR="00AC0111">
        <w:rPr>
          <w:rFonts w:ascii="Times New Roman" w:eastAsia="Times New Roman" w:hAnsi="Times New Roman"/>
          <w:snapToGrid w:val="0"/>
          <w:color w:val="000000"/>
          <w:kern w:val="28"/>
        </w:rPr>
        <w:t xml:space="preserve"> </w:t>
      </w:r>
      <w:bookmarkEnd w:id="4"/>
    </w:p>
    <w:p w:rsidR="00260965" w:rsidRPr="009254B2" w:rsidP="009D0473">
      <w:pPr>
        <w:pStyle w:val="ParaNum"/>
        <w:numPr>
          <w:ilvl w:val="1"/>
          <w:numId w:val="4"/>
        </w:numPr>
        <w:ind w:left="1354"/>
      </w:pPr>
      <w:r w:rsidRPr="009254B2">
        <w:t xml:space="preserve">In seeking concurrence, Wisconsin must provide these licensees with any technical information requested for testing purposes, </w:t>
      </w:r>
      <w:r w:rsidRPr="009254B2">
        <w:t>in order to</w:t>
      </w:r>
      <w:r w:rsidRPr="009254B2">
        <w:t xml:space="preserve"> ensure no harmful interference will exist. </w:t>
      </w:r>
    </w:p>
    <w:p w:rsidR="00A96A21" w:rsidP="009D0473">
      <w:pPr>
        <w:pStyle w:val="ParaNum"/>
        <w:numPr>
          <w:ilvl w:val="1"/>
          <w:numId w:val="4"/>
        </w:numPr>
      </w:pPr>
      <w:r>
        <w:t xml:space="preserve">Within </w:t>
      </w:r>
      <w:r w:rsidR="00715126">
        <w:t>six months</w:t>
      </w:r>
      <w:r w:rsidR="004C178A">
        <w:t xml:space="preserve"> </w:t>
      </w:r>
      <w:r>
        <w:t xml:space="preserve">of the effective date of this </w:t>
      </w:r>
      <w:r w:rsidR="001A473A">
        <w:t>O</w:t>
      </w:r>
      <w:r>
        <w:t xml:space="preserve">rder, the </w:t>
      </w:r>
      <w:r w:rsidR="00DC4535">
        <w:t>S</w:t>
      </w:r>
      <w:r>
        <w:t xml:space="preserve">tate of </w:t>
      </w:r>
      <w:r w:rsidR="00DC4535">
        <w:t>Wisconsin</w:t>
      </w:r>
      <w:r>
        <w:t xml:space="preserve"> must submit copies of </w:t>
      </w:r>
      <w:r>
        <w:t xml:space="preserve">concurrences </w:t>
      </w:r>
      <w:r>
        <w:t xml:space="preserve">in ULS under the applicable license. </w:t>
      </w:r>
    </w:p>
    <w:p w:rsidR="004164B4" w:rsidP="009D0473">
      <w:pPr>
        <w:pStyle w:val="ParaNum"/>
        <w:numPr>
          <w:ilvl w:val="1"/>
          <w:numId w:val="4"/>
        </w:numPr>
      </w:pPr>
      <w:r w:rsidRPr="005928E3">
        <w:t>In the event t</w:t>
      </w:r>
      <w:r>
        <w:t xml:space="preserve">he </w:t>
      </w:r>
      <w:r w:rsidR="00DC4535">
        <w:t>State of Wisconsin</w:t>
      </w:r>
      <w:r>
        <w:t xml:space="preserve"> cannot comply with the conditions of the technical waivers, it</w:t>
      </w:r>
      <w:r w:rsidRPr="005928E3">
        <w:t xml:space="preserve"> </w:t>
      </w:r>
      <w:r w:rsidR="00715126">
        <w:t>may choose to forgo the waiver and</w:t>
      </w:r>
      <w:r w:rsidRPr="005928E3">
        <w:t xml:space="preserve"> </w:t>
      </w:r>
      <w:r>
        <w:t>implement</w:t>
      </w:r>
      <w:r w:rsidRPr="005928E3">
        <w:t xml:space="preserve"> an alternative </w:t>
      </w:r>
      <w:r w:rsidR="00A02DBD">
        <w:t xml:space="preserve">operational </w:t>
      </w:r>
      <w:r w:rsidRPr="005928E3">
        <w:t>solution that complies with Part 22 rules</w:t>
      </w:r>
      <w:r>
        <w:t>,</w:t>
      </w:r>
      <w:r w:rsidRPr="005928E3">
        <w:t xml:space="preserve"> or </w:t>
      </w:r>
      <w:r w:rsidR="00715126">
        <w:t xml:space="preserve">to </w:t>
      </w:r>
      <w:r w:rsidRPr="005928E3">
        <w:t>cease operations from th</w:t>
      </w:r>
      <w:r>
        <w:t>e</w:t>
      </w:r>
      <w:r w:rsidRPr="005928E3">
        <w:t xml:space="preserve"> </w:t>
      </w:r>
      <w:r w:rsidR="00D453A4">
        <w:t xml:space="preserve">applicable </w:t>
      </w:r>
      <w:r w:rsidRPr="005928E3">
        <w:t>site</w:t>
      </w:r>
      <w:r w:rsidR="00D453A4">
        <w:t>(s)</w:t>
      </w:r>
      <w:r>
        <w:t xml:space="preserve">.  </w:t>
      </w:r>
      <w:r w:rsidR="002F7AA8">
        <w:t xml:space="preserve">If </w:t>
      </w:r>
      <w:r w:rsidR="00DC4535">
        <w:t>Wisconsin</w:t>
      </w:r>
      <w:r w:rsidR="002F7AA8">
        <w:t xml:space="preserve"> cannot comply with the conditions, then w</w:t>
      </w:r>
      <w:r w:rsidR="00BD70C0">
        <w:t>ithin six months</w:t>
      </w:r>
      <w:r w:rsidR="001A473A">
        <w:t xml:space="preserve"> of the effective date of this O</w:t>
      </w:r>
      <w:r w:rsidR="00BD70C0">
        <w:t xml:space="preserve">rder, </w:t>
      </w:r>
      <w:r w:rsidR="00DC4535">
        <w:t>the State</w:t>
      </w:r>
      <w:r w:rsidR="00715126">
        <w:t xml:space="preserve"> shall notify the Division</w:t>
      </w:r>
      <w:r w:rsidR="00BD70C0">
        <w:t xml:space="preserve"> that it has implemented an alternative solution</w:t>
      </w:r>
      <w:r w:rsidR="00086651">
        <w:t xml:space="preserve"> that complies with the rules</w:t>
      </w:r>
      <w:r w:rsidR="00BD70C0">
        <w:t xml:space="preserve"> or </w:t>
      </w:r>
      <w:r w:rsidR="00086651">
        <w:t xml:space="preserve">has </w:t>
      </w:r>
      <w:r w:rsidR="00BD70C0">
        <w:t>ceased operations</w:t>
      </w:r>
      <w:r w:rsidR="00715126">
        <w:t xml:space="preserve">.  </w:t>
      </w:r>
      <w:r>
        <w:t>Any licenses that do not comply with the Part 22 rules or with the waiver conditions</w:t>
      </w:r>
      <w:r w:rsidR="00715126">
        <w:t xml:space="preserve"> by the end of this</w:t>
      </w:r>
      <w:r w:rsidR="00BD70C0">
        <w:t xml:space="preserve"> six-month</w:t>
      </w:r>
      <w:r w:rsidR="00715126">
        <w:t xml:space="preserve"> timeframe will automatically terminate.</w:t>
      </w:r>
      <w:r>
        <w:t xml:space="preserve"> </w:t>
      </w:r>
      <w:r w:rsidRPr="005928E3">
        <w:t xml:space="preserve"> </w:t>
      </w:r>
    </w:p>
    <w:p w:rsidR="00AB11D4" w:rsidRPr="00AB11D4" w:rsidP="00C01FDC">
      <w:pPr>
        <w:pStyle w:val="Heading2"/>
        <w:rPr>
          <w:szCs w:val="22"/>
        </w:rPr>
      </w:pPr>
      <w:r w:rsidRPr="00AB11D4">
        <w:rPr>
          <w:szCs w:val="22"/>
        </w:rPr>
        <w:t xml:space="preserve">Order of </w:t>
      </w:r>
      <w:r w:rsidR="00C01FDC">
        <w:rPr>
          <w:szCs w:val="22"/>
        </w:rPr>
        <w:t>P</w:t>
      </w:r>
      <w:r w:rsidRPr="00C01FDC">
        <w:t>roposed</w:t>
      </w:r>
      <w:r w:rsidRPr="00AB11D4">
        <w:rPr>
          <w:szCs w:val="22"/>
        </w:rPr>
        <w:t xml:space="preserve"> </w:t>
      </w:r>
      <w:r w:rsidR="00C01FDC">
        <w:rPr>
          <w:szCs w:val="22"/>
        </w:rPr>
        <w:t>M</w:t>
      </w:r>
      <w:r w:rsidRPr="00AB11D4">
        <w:rPr>
          <w:szCs w:val="22"/>
        </w:rPr>
        <w:t>odification</w:t>
      </w:r>
    </w:p>
    <w:p w:rsidR="007D491B" w:rsidRPr="005825D9" w:rsidP="000C3067">
      <w:pPr>
        <w:pStyle w:val="ParaNum"/>
        <w:numPr>
          <w:ilvl w:val="0"/>
          <w:numId w:val="3"/>
        </w:numPr>
        <w:tabs>
          <w:tab w:val="num" w:pos="990"/>
        </w:tabs>
        <w:ind w:left="-90" w:firstLine="720"/>
      </w:pPr>
      <w:r w:rsidRPr="005825D9">
        <w:t>Section 316(a)(1) authori</w:t>
      </w:r>
      <w:r w:rsidRPr="005825D9" w:rsidR="000862BC">
        <w:t>zes the Commission to modify a station license if, in our judgment, “</w:t>
      </w:r>
      <w:r w:rsidRPr="005825D9">
        <w:t>such action will promote the public interest, convenience, and necessity, or the provisions of this chapter [</w:t>
      </w:r>
      <w:r w:rsidRPr="005825D9">
        <w:rPr>
          <w:i/>
        </w:rPr>
        <w:t>i.e</w:t>
      </w:r>
      <w:r w:rsidRPr="00AF481F">
        <w:t>.</w:t>
      </w:r>
      <w:r w:rsidRPr="005825D9">
        <w:t>, the Communications Act] or of any treaty ratified by the United States will be more fully complied with.”</w:t>
      </w:r>
      <w:r>
        <w:rPr>
          <w:rStyle w:val="FootnoteReference"/>
        </w:rPr>
        <w:footnoteReference w:id="43"/>
      </w:r>
      <w:r w:rsidR="005921EB">
        <w:t xml:space="preserve">  </w:t>
      </w:r>
      <w:r w:rsidRPr="005825D9" w:rsidR="000862BC">
        <w:t>The authority to modify licenses under Section 316(a)(1) is well established and courts have recognized the Commission’s “broad power” to do so, explaining that the Commission “need only find that the proposed modification serves the public interest, convenience and necessity.”</w:t>
      </w:r>
      <w:r>
        <w:rPr>
          <w:rStyle w:val="FootnoteReference"/>
        </w:rPr>
        <w:footnoteReference w:id="44"/>
      </w:r>
    </w:p>
    <w:p w:rsidR="00AB11D4" w:rsidP="000C3067">
      <w:pPr>
        <w:pStyle w:val="ParaNum"/>
        <w:numPr>
          <w:ilvl w:val="0"/>
          <w:numId w:val="3"/>
        </w:numPr>
        <w:tabs>
          <w:tab w:val="num" w:pos="990"/>
        </w:tabs>
        <w:ind w:left="-90" w:firstLine="720"/>
      </w:pPr>
      <w:r w:rsidRPr="005825D9">
        <w:t xml:space="preserve">We find that </w:t>
      </w:r>
      <w:r w:rsidRPr="005825D9" w:rsidR="000862BC">
        <w:t>a</w:t>
      </w:r>
      <w:r w:rsidR="00BD70C0">
        <w:t xml:space="preserve"> proposed</w:t>
      </w:r>
      <w:r w:rsidRPr="005825D9">
        <w:t xml:space="preserve"> modification of </w:t>
      </w:r>
      <w:r w:rsidRPr="005825D9" w:rsidR="000862BC">
        <w:t xml:space="preserve">the </w:t>
      </w:r>
      <w:r w:rsidR="00302DE5">
        <w:t xml:space="preserve">fourteen </w:t>
      </w:r>
      <w:r w:rsidRPr="005825D9" w:rsidR="000862BC">
        <w:t xml:space="preserve">Part 22 Paging licenses here will </w:t>
      </w:r>
      <w:r w:rsidRPr="005825D9">
        <w:t>promote the public interest, convenience, and necessity</w:t>
      </w:r>
      <w:r w:rsidRPr="005825D9" w:rsidR="000862BC">
        <w:t>.  Given the role the licenses play in a public safety network that supports over a dozen governmental agencies, we also find that the</w:t>
      </w:r>
      <w:r w:rsidRPr="005825D9">
        <w:t xml:space="preserve"> proposed modification is consistent with</w:t>
      </w:r>
      <w:r w:rsidR="00CA236F">
        <w:t xml:space="preserve"> </w:t>
      </w:r>
      <w:r w:rsidRPr="005825D9" w:rsidR="000862BC">
        <w:t>our fundamental obligation to promote</w:t>
      </w:r>
      <w:r w:rsidRPr="005825D9">
        <w:t xml:space="preserve"> safety of life and property through the use of </w:t>
      </w:r>
      <w:r w:rsidRPr="005825D9" w:rsidR="000862BC">
        <w:t>wire and radio communications.</w:t>
      </w:r>
      <w:r>
        <w:rPr>
          <w:vertAlign w:val="superscript"/>
        </w:rPr>
        <w:footnoteReference w:id="45"/>
      </w:r>
      <w:r w:rsidR="00996900">
        <w:t xml:space="preserve">  </w:t>
      </w:r>
      <w:r w:rsidRPr="005825D9">
        <w:t xml:space="preserve">In view of the foregoing and pursuant to Section 316(a)(1) of the Act, we propose to modify </w:t>
      </w:r>
      <w:r w:rsidRPr="005825D9" w:rsidR="00213719">
        <w:t>the geographic authorizations</w:t>
      </w:r>
      <w:r w:rsidR="00213719">
        <w:t xml:space="preserve"> as described below, subject to </w:t>
      </w:r>
      <w:r w:rsidR="006068BD">
        <w:t>Wisconsin</w:t>
      </w:r>
      <w:r w:rsidR="00900AA1">
        <w:t xml:space="preserve"> satisfying the </w:t>
      </w:r>
      <w:r w:rsidR="00213719">
        <w:t>conditions</w:t>
      </w:r>
      <w:r w:rsidR="00900AA1">
        <w:t xml:space="preserve"> of the </w:t>
      </w:r>
      <w:r w:rsidR="00086651">
        <w:t xml:space="preserve">construction and </w:t>
      </w:r>
      <w:r w:rsidR="00900AA1">
        <w:t>technical waivers above</w:t>
      </w:r>
      <w:r w:rsidR="00213719">
        <w:t xml:space="preserve">.  </w:t>
      </w:r>
      <w:r w:rsidR="00634870">
        <w:t>If</w:t>
      </w:r>
      <w:r w:rsidR="00C02674">
        <w:t xml:space="preserve"> </w:t>
      </w:r>
      <w:r w:rsidR="006068BD">
        <w:t>Wisconsin</w:t>
      </w:r>
      <w:r w:rsidR="00C02674">
        <w:t xml:space="preserve"> does not comply with all conditions, we propose to modify the licenses </w:t>
      </w:r>
      <w:r w:rsidR="00634870">
        <w:t xml:space="preserve">solely to the extent the </w:t>
      </w:r>
      <w:r w:rsidR="004A3578">
        <w:t>S</w:t>
      </w:r>
      <w:r w:rsidR="00634870">
        <w:t xml:space="preserve">tate is able to provide </w:t>
      </w:r>
      <w:r w:rsidRPr="005928E3" w:rsidR="00634870">
        <w:t xml:space="preserve">alternative </w:t>
      </w:r>
      <w:r w:rsidR="00634870">
        <w:t xml:space="preserve">operational </w:t>
      </w:r>
      <w:r w:rsidRPr="005928E3" w:rsidR="00634870">
        <w:t>solution</w:t>
      </w:r>
      <w:r w:rsidR="00634870">
        <w:t>s that comply</w:t>
      </w:r>
      <w:r w:rsidRPr="005928E3" w:rsidR="00634870">
        <w:t xml:space="preserve"> with Part 22 rules</w:t>
      </w:r>
      <w:r w:rsidR="00F3203B">
        <w:t xml:space="preserve">, as described above in the conditions and within </w:t>
      </w:r>
      <w:r w:rsidRPr="00EB1BE5" w:rsidR="002E1B68">
        <w:t>the</w:t>
      </w:r>
      <w:r w:rsidR="00F3203B">
        <w:t xml:space="preserve"> six-month timeframe</w:t>
      </w:r>
      <w:r w:rsidR="00C02674">
        <w:t xml:space="preserve">. </w:t>
      </w:r>
    </w:p>
    <w:p w:rsidR="00900AA1" w:rsidP="000C3067">
      <w:pPr>
        <w:pStyle w:val="ParaNum"/>
        <w:numPr>
          <w:ilvl w:val="0"/>
          <w:numId w:val="3"/>
        </w:numPr>
        <w:tabs>
          <w:tab w:val="num" w:pos="990"/>
        </w:tabs>
        <w:ind w:left="-90" w:firstLine="720"/>
      </w:pPr>
      <w:r>
        <w:rPr>
          <w:i/>
        </w:rPr>
        <w:t xml:space="preserve">Modified License Area.  </w:t>
      </w:r>
      <w:r w:rsidRPr="00C01FDC">
        <w:t>For each license</w:t>
      </w:r>
      <w:r w:rsidR="007A048A">
        <w:t xml:space="preserve"> </w:t>
      </w:r>
      <w:r w:rsidR="006542CE">
        <w:t>subject to the waiver</w:t>
      </w:r>
      <w:r w:rsidR="007A048A">
        <w:t>,</w:t>
      </w:r>
      <w:r>
        <w:rPr>
          <w:rStyle w:val="FootnoteReference"/>
        </w:rPr>
        <w:footnoteReference w:id="46"/>
      </w:r>
      <w:r w:rsidR="007A048A">
        <w:t xml:space="preserve"> </w:t>
      </w:r>
      <w:r w:rsidRPr="00C01FDC">
        <w:t xml:space="preserve">we propose that </w:t>
      </w:r>
      <w:r w:rsidR="006068BD">
        <w:t>Wisconsin</w:t>
      </w:r>
      <w:r w:rsidRPr="00C01FDC">
        <w:t xml:space="preserve"> retain the areas </w:t>
      </w:r>
      <w:r w:rsidR="005F155B">
        <w:t>in which it is using its Part 22 Paging frequencies</w:t>
      </w:r>
      <w:r>
        <w:t>, with the</w:t>
      </w:r>
      <w:r w:rsidR="00CD10B5">
        <w:t xml:space="preserve"> modified</w:t>
      </w:r>
      <w:r>
        <w:t xml:space="preserve"> boundaries of the license determined by the formula in the Part 22 rules</w:t>
      </w:r>
      <w:r w:rsidRPr="00C01FDC">
        <w:t>.</w:t>
      </w:r>
      <w:r>
        <w:rPr>
          <w:rStyle w:val="FootnoteReference"/>
        </w:rPr>
        <w:footnoteReference w:id="47"/>
      </w:r>
      <w:r w:rsidRPr="00C01FDC">
        <w:t xml:space="preserve">  The remainder of the license</w:t>
      </w:r>
      <w:r w:rsidR="00CD10B5">
        <w:t>d market</w:t>
      </w:r>
      <w:r w:rsidRPr="00C01FDC">
        <w:t xml:space="preserve"> areas </w:t>
      </w:r>
      <w:r w:rsidR="00374BA9">
        <w:t>will b</w:t>
      </w:r>
      <w:r w:rsidRPr="00C01FDC">
        <w:t xml:space="preserve">e terminated and revert to the Commission.  </w:t>
      </w:r>
    </w:p>
    <w:p w:rsidR="009166F3" w:rsidRPr="00AF481F" w:rsidP="000C3067">
      <w:pPr>
        <w:pStyle w:val="ParaNum"/>
        <w:numPr>
          <w:ilvl w:val="0"/>
          <w:numId w:val="3"/>
        </w:numPr>
        <w:tabs>
          <w:tab w:val="num" w:pos="990"/>
        </w:tabs>
        <w:ind w:left="-90" w:firstLine="720"/>
      </w:pPr>
      <w:r w:rsidRPr="009C5379">
        <w:t>Section</w:t>
      </w:r>
      <w:r w:rsidR="0099773C">
        <w:t xml:space="preserve"> </w:t>
      </w:r>
      <w:r w:rsidRPr="009C5379">
        <w:t>22.567(d) of our rules describe</w:t>
      </w:r>
      <w:r w:rsidR="006908BB">
        <w:t>s</w:t>
      </w:r>
      <w:r w:rsidRPr="009C5379">
        <w:t xml:space="preserve"> the formula to be used in determining a VHF channel transmitter’s interfering contour (the area beyond which signals from the transmitter </w:t>
      </w:r>
      <w:r w:rsidRPr="009C5379" w:rsidR="009C5379">
        <w:t>are</w:t>
      </w:r>
      <w:r w:rsidRPr="009C5379">
        <w:t xml:space="preserve"> deemed not to be causing interference to another transmitter).  </w:t>
      </w:r>
      <w:r w:rsidRPr="009C5379" w:rsidR="00C01FDC">
        <w:t xml:space="preserve">Using </w:t>
      </w:r>
      <w:r w:rsidRPr="00AF481F" w:rsidR="00C01FDC">
        <w:t xml:space="preserve">the </w:t>
      </w:r>
      <w:r w:rsidRPr="00AF481F">
        <w:t xml:space="preserve">technical parameters of </w:t>
      </w:r>
      <w:r w:rsidR="006068BD">
        <w:t>Wisconsin</w:t>
      </w:r>
      <w:r w:rsidRPr="00AF481F">
        <w:t xml:space="preserve">’s operations </w:t>
      </w:r>
      <w:r w:rsidRPr="00AF481F">
        <w:t xml:space="preserve">as they are today, we have calculated an interfering contour </w:t>
      </w:r>
      <w:r w:rsidRPr="00AF481F" w:rsidR="001A473A">
        <w:t xml:space="preserve">with </w:t>
      </w:r>
      <w:r w:rsidRPr="00AF481F">
        <w:t xml:space="preserve">Section 22.567(d) and </w:t>
      </w:r>
      <w:r w:rsidRPr="00AF481F" w:rsidR="00C01FDC">
        <w:t xml:space="preserve">propose </w:t>
      </w:r>
      <w:r w:rsidRPr="00AF481F" w:rsidR="00900AA1">
        <w:t xml:space="preserve">a modified </w:t>
      </w:r>
      <w:r w:rsidRPr="00AF481F" w:rsidR="00C01FDC">
        <w:t>license boundary for each license at issue</w:t>
      </w:r>
      <w:r w:rsidRPr="00AF481F">
        <w:t xml:space="preserve"> based on the interfering contour.</w:t>
      </w:r>
      <w:r w:rsidRPr="00AF481F">
        <w:t xml:space="preserve"> </w:t>
      </w:r>
      <w:r w:rsidRPr="00AF481F">
        <w:t xml:space="preserve"> These </w:t>
      </w:r>
      <w:r w:rsidRPr="00AF481F" w:rsidR="00CB2BC4">
        <w:t>modified</w:t>
      </w:r>
      <w:r w:rsidRPr="00AF481F">
        <w:t xml:space="preserve"> license boundaries are shown</w:t>
      </w:r>
      <w:r w:rsidRPr="00AF481F" w:rsidR="00C01FDC">
        <w:t xml:space="preserve"> in the attached Appendix.  </w:t>
      </w:r>
    </w:p>
    <w:p w:rsidR="00FC7414" w:rsidP="000C3067">
      <w:pPr>
        <w:pStyle w:val="ParaNum"/>
        <w:numPr>
          <w:ilvl w:val="0"/>
          <w:numId w:val="3"/>
        </w:numPr>
        <w:tabs>
          <w:tab w:val="num" w:pos="990"/>
        </w:tabs>
        <w:ind w:left="-90" w:firstLine="720"/>
      </w:pPr>
      <w:r w:rsidRPr="00AF481F">
        <w:t>The</w:t>
      </w:r>
      <w:r w:rsidRPr="00AF481F" w:rsidR="009166F3">
        <w:t xml:space="preserve"> interfering contour as calculated above will define the</w:t>
      </w:r>
      <w:r w:rsidRPr="00AF481F">
        <w:t xml:space="preserve"> modified license boundary </w:t>
      </w:r>
      <w:r w:rsidRPr="00AF481F" w:rsidR="009166F3">
        <w:t xml:space="preserve">for each </w:t>
      </w:r>
      <w:r w:rsidR="009166F3">
        <w:t>call sign,</w:t>
      </w:r>
      <w:r w:rsidRPr="00C01FDC">
        <w:t xml:space="preserve"> except where that contour would </w:t>
      </w:r>
      <w:r w:rsidR="009166F3">
        <w:t>reach</w:t>
      </w:r>
      <w:r w:rsidRPr="00C01FDC" w:rsidR="009166F3">
        <w:t xml:space="preserve"> </w:t>
      </w:r>
      <w:r w:rsidRPr="00C01FDC">
        <w:t xml:space="preserve">beyond the </w:t>
      </w:r>
      <w:r w:rsidR="00CD10B5">
        <w:t>geographic</w:t>
      </w:r>
      <w:r w:rsidRPr="00C01FDC" w:rsidR="00CD10B5">
        <w:t xml:space="preserve"> </w:t>
      </w:r>
      <w:r w:rsidRPr="00C01FDC">
        <w:t xml:space="preserve">market boundary.  In those cases, the </w:t>
      </w:r>
      <w:r w:rsidR="00CB2BC4">
        <w:t>modified</w:t>
      </w:r>
      <w:r w:rsidRPr="00C01FDC">
        <w:t xml:space="preserve"> license area will end at the market boundary.  </w:t>
      </w:r>
    </w:p>
    <w:p w:rsidR="005D133D" w:rsidP="000C3067">
      <w:pPr>
        <w:pStyle w:val="ParaNum"/>
        <w:numPr>
          <w:ilvl w:val="0"/>
          <w:numId w:val="3"/>
        </w:numPr>
        <w:tabs>
          <w:tab w:val="num" w:pos="990"/>
        </w:tabs>
        <w:ind w:left="-90" w:firstLine="720"/>
      </w:pPr>
      <w:r>
        <w:t xml:space="preserve">While we propose to allow Wisconsin to retain the areas in which they are providing service, we are also mindful of the expectations of, and effect of </w:t>
      </w:r>
      <w:r w:rsidR="008C6857">
        <w:t>Wisconsin</w:t>
      </w:r>
      <w:r>
        <w:t xml:space="preserve">’s operations on, other licensees.  We note that there may be instances where Wisconsin is making mobile use of a Part 22 license in conjunction with a non-Part 22 base station.  In these instances, the expectation of neighboring licensees to be free from harmful interference </w:t>
      </w:r>
      <w:r>
        <w:t>is based on the assumption</w:t>
      </w:r>
      <w:r>
        <w:t xml:space="preserve"> that the operation of the mobile channel is in compliance with Part 22 paging rules.  We therefore determined the proposed license area based on the Part 22 rules, rather than any technical parameters that would have been applicable to a non-Part 22 base station.</w:t>
      </w:r>
    </w:p>
    <w:p w:rsidR="009249CE" w:rsidP="000C3067">
      <w:pPr>
        <w:pStyle w:val="ParaNum"/>
        <w:numPr>
          <w:ilvl w:val="0"/>
          <w:numId w:val="3"/>
        </w:numPr>
        <w:tabs>
          <w:tab w:val="num" w:pos="990"/>
        </w:tabs>
        <w:ind w:left="-90" w:firstLine="720"/>
      </w:pPr>
      <w:r>
        <w:t>In addition to</w:t>
      </w:r>
      <w:r w:rsidR="00374BA9">
        <w:t xml:space="preserve"> proposing to</w:t>
      </w:r>
      <w:r>
        <w:t xml:space="preserve"> limit the modified license areas to the market boundary, the </w:t>
      </w:r>
      <w:r w:rsidR="00374BA9">
        <w:t xml:space="preserve">proposed </w:t>
      </w:r>
      <w:r w:rsidR="007A048A">
        <w:t>license</w:t>
      </w:r>
      <w:r>
        <w:t xml:space="preserve"> areas </w:t>
      </w:r>
      <w:r w:rsidR="007A048A">
        <w:t>in the Appendix were</w:t>
      </w:r>
      <w:r>
        <w:t xml:space="preserve"> </w:t>
      </w:r>
      <w:r w:rsidR="00315EED">
        <w:t xml:space="preserve">calculated </w:t>
      </w:r>
      <w:r w:rsidR="007A048A">
        <w:t>using</w:t>
      </w:r>
      <w:r w:rsidR="00315EED">
        <w:t xml:space="preserve"> </w:t>
      </w:r>
      <w:r w:rsidR="006068BD">
        <w:t>Wisconsin</w:t>
      </w:r>
      <w:r w:rsidR="00315EED">
        <w:t xml:space="preserve">’s current technical parameters.  As </w:t>
      </w:r>
      <w:r w:rsidR="007A048A">
        <w:t>discusse</w:t>
      </w:r>
      <w:r w:rsidR="00315EED">
        <w:t>d above, these parameters require us to waive certain technical rules that have the potential to a</w:t>
      </w:r>
      <w:r w:rsidRPr="00FC7414" w:rsidR="00FC7414">
        <w:t xml:space="preserve">ffect </w:t>
      </w:r>
      <w:r w:rsidR="00315EED">
        <w:t>other licensees.  Per the condi</w:t>
      </w:r>
      <w:r w:rsidR="00B52DE6">
        <w:t>tions o</w:t>
      </w:r>
      <w:r w:rsidR="00374BA9">
        <w:t>f</w:t>
      </w:r>
      <w:r w:rsidR="00B52DE6">
        <w:t xml:space="preserve"> the technical waivers,</w:t>
      </w:r>
      <w:r w:rsidRPr="00FC7414" w:rsidR="00FC7414">
        <w:t xml:space="preserve"> </w:t>
      </w:r>
      <w:r w:rsidR="006068BD">
        <w:t>Wisconsin</w:t>
      </w:r>
      <w:r>
        <w:t xml:space="preserve"> </w:t>
      </w:r>
      <w:r w:rsidR="00374BA9">
        <w:t xml:space="preserve">is required to </w:t>
      </w:r>
      <w:r w:rsidR="00715126">
        <w:t>notify the</w:t>
      </w:r>
      <w:r>
        <w:t xml:space="preserve"> Division</w:t>
      </w:r>
      <w:r w:rsidR="007A048A">
        <w:t xml:space="preserve"> </w:t>
      </w:r>
      <w:r w:rsidR="00715126">
        <w:t>within six months</w:t>
      </w:r>
      <w:r w:rsidR="001A473A">
        <w:t xml:space="preserve"> of the effective date of this O</w:t>
      </w:r>
      <w:r w:rsidR="00715126">
        <w:t xml:space="preserve">rder </w:t>
      </w:r>
      <w:r w:rsidR="00374BA9">
        <w:t>that it has obtained the required concurrences</w:t>
      </w:r>
      <w:r w:rsidR="00644494">
        <w:t xml:space="preserve"> or forgone the waiver, and therefore either</w:t>
      </w:r>
      <w:r w:rsidR="00374BA9">
        <w:t xml:space="preserve"> implemented an alternative solution </w:t>
      </w:r>
      <w:r w:rsidR="00CB2BC4">
        <w:t xml:space="preserve">that complies with our current rules </w:t>
      </w:r>
      <w:r w:rsidR="00374BA9">
        <w:t xml:space="preserve">or </w:t>
      </w:r>
      <w:r w:rsidR="00644494">
        <w:t>ceased operation</w:t>
      </w:r>
      <w:r w:rsidR="00374BA9">
        <w:t xml:space="preserve">. </w:t>
      </w:r>
    </w:p>
    <w:p w:rsidR="00FC7414" w:rsidRPr="00374BA9" w:rsidP="000C3067">
      <w:pPr>
        <w:pStyle w:val="ParaNum"/>
        <w:numPr>
          <w:ilvl w:val="0"/>
          <w:numId w:val="3"/>
        </w:numPr>
        <w:tabs>
          <w:tab w:val="num" w:pos="990"/>
        </w:tabs>
        <w:ind w:left="-90" w:firstLine="720"/>
        <w:rPr>
          <w:szCs w:val="20"/>
        </w:rPr>
      </w:pPr>
      <w:bookmarkStart w:id="5" w:name="_Toc432754501"/>
      <w:bookmarkStart w:id="6" w:name="_Toc432767974"/>
      <w:bookmarkStart w:id="7" w:name="_Toc433108656"/>
      <w:bookmarkStart w:id="8" w:name="_Toc433202779"/>
      <w:bookmarkStart w:id="9" w:name="_Toc433264851"/>
      <w:bookmarkStart w:id="10" w:name="_Toc434509979"/>
      <w:bookmarkStart w:id="11" w:name="_Toc434511192"/>
      <w:bookmarkStart w:id="12" w:name="_Toc434582095"/>
      <w:bookmarkStart w:id="13" w:name="_Toc435612729"/>
      <w:bookmarkStart w:id="14" w:name="_Toc437511255"/>
      <w:bookmarkStart w:id="15" w:name="_Toc439765319"/>
      <w:bookmarkStart w:id="16" w:name="_Toc439855365"/>
      <w:bookmarkStart w:id="17" w:name="_Toc441061386"/>
      <w:r w:rsidRPr="00374BA9">
        <w:rPr>
          <w:i/>
        </w:rPr>
        <w:t>Protest Rights</w:t>
      </w:r>
      <w:r w:rsidRPr="00374BA9" w:rsidR="0021103A">
        <w:rPr>
          <w:i/>
        </w:rPr>
        <w:t xml:space="preserve"> and</w:t>
      </w:r>
      <w:r w:rsidRPr="00374BA9">
        <w:rPr>
          <w:i/>
        </w:rPr>
        <w:t xml:space="preserve"> Procedures</w:t>
      </w:r>
      <w:bookmarkEnd w:id="5"/>
      <w:bookmarkEnd w:id="6"/>
      <w:bookmarkEnd w:id="7"/>
      <w:bookmarkEnd w:id="8"/>
      <w:bookmarkEnd w:id="9"/>
      <w:bookmarkEnd w:id="10"/>
      <w:bookmarkEnd w:id="11"/>
      <w:bookmarkEnd w:id="12"/>
      <w:bookmarkEnd w:id="13"/>
      <w:bookmarkEnd w:id="14"/>
      <w:bookmarkEnd w:id="15"/>
      <w:bookmarkEnd w:id="16"/>
      <w:bookmarkEnd w:id="17"/>
      <w:r>
        <w:t xml:space="preserve">.  </w:t>
      </w:r>
      <w:r w:rsidRPr="000C3067">
        <w:t>Section</w:t>
      </w:r>
      <w:r w:rsidRPr="00374BA9">
        <w:rPr>
          <w:lang w:val="en"/>
        </w:rPr>
        <w:t xml:space="preserve"> 316(a)(1) of the Act provides that no proposed order of </w:t>
      </w:r>
      <w:r w:rsidRPr="00FC7414">
        <w:t>modification</w:t>
      </w:r>
      <w:r w:rsidRPr="00374BA9">
        <w:rPr>
          <w:lang w:val="en"/>
        </w:rPr>
        <w:t xml:space="preserve"> shall become fina</w:t>
      </w:r>
      <w:r w:rsidR="00CB2BC4">
        <w:rPr>
          <w:lang w:val="en"/>
        </w:rPr>
        <w:t>l</w:t>
      </w:r>
      <w:r w:rsidRPr="00374BA9">
        <w:rPr>
          <w:lang w:val="en"/>
        </w:rPr>
        <w:t xml:space="preserve"> until the license holder has been provided at least 30 days to protest the proposed order.</w:t>
      </w:r>
      <w:r>
        <w:rPr>
          <w:rStyle w:val="FootnoteReference"/>
          <w:lang w:val="en"/>
        </w:rPr>
        <w:footnoteReference w:id="48"/>
      </w:r>
      <w:r w:rsidRPr="00374BA9">
        <w:rPr>
          <w:lang w:val="en"/>
        </w:rPr>
        <w:t xml:space="preserve">  We will </w:t>
      </w:r>
      <w:r w:rsidRPr="00374BA9" w:rsidR="004164B4">
        <w:rPr>
          <w:lang w:val="en"/>
        </w:rPr>
        <w:t xml:space="preserve">thus </w:t>
      </w:r>
      <w:r w:rsidRPr="00374BA9">
        <w:rPr>
          <w:lang w:val="en"/>
        </w:rPr>
        <w:t xml:space="preserve">provide </w:t>
      </w:r>
      <w:r w:rsidR="006068BD">
        <w:rPr>
          <w:lang w:val="en"/>
        </w:rPr>
        <w:t>Wisconsin</w:t>
      </w:r>
      <w:r w:rsidRPr="00374BA9">
        <w:rPr>
          <w:lang w:val="en"/>
        </w:rPr>
        <w:t xml:space="preserve"> with 30 days from the release date of this </w:t>
      </w:r>
      <w:r w:rsidRPr="00534959">
        <w:t>Proposed Order of Modification</w:t>
      </w:r>
      <w:r w:rsidRPr="00374BA9">
        <w:rPr>
          <w:lang w:val="en"/>
        </w:rPr>
        <w:t xml:space="preserve"> to file a protest.  Section 316(a)(2)</w:t>
      </w:r>
      <w:r w:rsidRPr="00374BA9" w:rsidR="004164B4">
        <w:rPr>
          <w:lang w:val="en"/>
        </w:rPr>
        <w:t xml:space="preserve"> and (3)</w:t>
      </w:r>
      <w:r w:rsidRPr="00374BA9">
        <w:rPr>
          <w:lang w:val="en"/>
        </w:rPr>
        <w:t xml:space="preserve"> of the Act </w:t>
      </w:r>
      <w:r w:rsidRPr="00374BA9" w:rsidR="004164B4">
        <w:rPr>
          <w:lang w:val="en"/>
        </w:rPr>
        <w:t>also provide</w:t>
      </w:r>
      <w:r w:rsidRPr="00374BA9">
        <w:rPr>
          <w:lang w:val="en"/>
        </w:rPr>
        <w:t xml:space="preserve"> that </w:t>
      </w:r>
      <w:r w:rsidR="004164B4">
        <w:t>a</w:t>
      </w:r>
      <w:r w:rsidRPr="00534959">
        <w:t>ny other licensee or permittee who believes its license or permit would be modified by the proposed action may also protest the proposed a</w:t>
      </w:r>
      <w:r w:rsidR="004164B4">
        <w:t xml:space="preserve">ction before its effective date and that any </w:t>
      </w:r>
      <w:r w:rsidRPr="00534959">
        <w:t xml:space="preserve">protest </w:t>
      </w:r>
      <w:r w:rsidR="004164B4">
        <w:t>is</w:t>
      </w:r>
      <w:r w:rsidRPr="00534959">
        <w:t xml:space="preserve"> subject to </w:t>
      </w:r>
      <w:r w:rsidR="004164B4">
        <w:t>the requirements of Section 309</w:t>
      </w:r>
      <w:r w:rsidRPr="00534959">
        <w:t xml:space="preserve"> for petitions to deny.</w:t>
      </w:r>
      <w:r>
        <w:rPr>
          <w:rStyle w:val="FootnoteReference"/>
        </w:rPr>
        <w:footnoteReference w:id="49"/>
      </w:r>
      <w:r w:rsidRPr="00534959">
        <w:t xml:space="preserve">  Section 309(d) in turn provides that a petition to deny must </w:t>
      </w:r>
      <w:r w:rsidR="004164B4">
        <w:t xml:space="preserve">show that the party has standing </w:t>
      </w:r>
      <w:r w:rsidRPr="00534959">
        <w:t>and that the Commission’s action would be contrary to the public interest.</w:t>
      </w:r>
      <w:r>
        <w:rPr>
          <w:rStyle w:val="FootnoteReference"/>
        </w:rPr>
        <w:footnoteReference w:id="50"/>
      </w:r>
    </w:p>
    <w:p w:rsidR="006D7B4A" w:rsidRPr="00F56EB8" w:rsidP="00EE7C02">
      <w:pPr>
        <w:pStyle w:val="Heading1"/>
        <w:rPr>
          <w:rFonts w:ascii="Times New Roman" w:hAnsi="Times New Roman"/>
          <w:szCs w:val="22"/>
        </w:rPr>
      </w:pPr>
      <w:r w:rsidRPr="00F56EB8">
        <w:rPr>
          <w:rFonts w:ascii="Times New Roman" w:hAnsi="Times New Roman"/>
          <w:szCs w:val="22"/>
        </w:rPr>
        <w:t>ORDERING CLAUSE</w:t>
      </w:r>
      <w:r w:rsidR="00715126">
        <w:rPr>
          <w:rFonts w:ascii="Times New Roman" w:hAnsi="Times New Roman"/>
          <w:szCs w:val="22"/>
        </w:rPr>
        <w:t>S</w:t>
      </w:r>
    </w:p>
    <w:p w:rsidR="002841A2" w:rsidRPr="005616C4" w:rsidP="000C3067">
      <w:pPr>
        <w:pStyle w:val="ParaNum"/>
        <w:numPr>
          <w:ilvl w:val="0"/>
          <w:numId w:val="3"/>
        </w:numPr>
        <w:tabs>
          <w:tab w:val="num" w:pos="990"/>
        </w:tabs>
        <w:ind w:left="-90" w:firstLine="720"/>
      </w:pPr>
      <w:r w:rsidRPr="00F56EB8">
        <w:t>Accordingly</w:t>
      </w:r>
      <w:r w:rsidRPr="00F56EB8" w:rsidR="002C7F34">
        <w:t xml:space="preserve">, </w:t>
      </w:r>
      <w:r w:rsidRPr="005616C4">
        <w:t>IT IS ORDERED that, pursuant to Section 4(</w:t>
      </w:r>
      <w:r w:rsidRPr="005616C4">
        <w:t>i</w:t>
      </w:r>
      <w:r w:rsidRPr="005616C4">
        <w:t>) of the Communications Act, as amended, 47 U.</w:t>
      </w:r>
      <w:r w:rsidR="00AF481F">
        <w:t>S.C. § 154(</w:t>
      </w:r>
      <w:r w:rsidR="00AF481F">
        <w:t>i</w:t>
      </w:r>
      <w:r w:rsidR="00AF481F">
        <w:t>), and</w:t>
      </w:r>
      <w:r w:rsidR="00176D58">
        <w:t xml:space="preserve"> Section 1.106</w:t>
      </w:r>
      <w:r w:rsidRPr="005616C4">
        <w:t xml:space="preserve"> of the C</w:t>
      </w:r>
      <w:r w:rsidR="00AF481F">
        <w:t>o</w:t>
      </w:r>
      <w:r w:rsidR="00176D58">
        <w:t>mmission’s rules, 47 CFR § 1.106</w:t>
      </w:r>
      <w:r w:rsidRPr="005616C4">
        <w:t xml:space="preserve">, the </w:t>
      </w:r>
      <w:r w:rsidR="00E174E1">
        <w:t xml:space="preserve">State of </w:t>
      </w:r>
      <w:r w:rsidR="00AF481F">
        <w:t>Wisconsin</w:t>
      </w:r>
      <w:r w:rsidR="00E174E1">
        <w:t xml:space="preserve">’s </w:t>
      </w:r>
      <w:r w:rsidR="00AF481F">
        <w:t>Petition for Reconsideration</w:t>
      </w:r>
      <w:r>
        <w:t xml:space="preserve"> </w:t>
      </w:r>
      <w:r w:rsidR="00AF481F">
        <w:t>regarding</w:t>
      </w:r>
      <w:r>
        <w:t xml:space="preserve"> the requirements of Section 22.503(k) of the Commission</w:t>
      </w:r>
      <w:r w:rsidR="00644494">
        <w:t>’</w:t>
      </w:r>
      <w:r>
        <w:t xml:space="preserve">s rules, 47 CFR § 22.503(k), </w:t>
      </w:r>
      <w:r w:rsidRPr="005616C4">
        <w:t>is DENIED.</w:t>
      </w:r>
    </w:p>
    <w:p w:rsidR="000F5310" w:rsidRPr="000B132D" w:rsidP="000C3067">
      <w:pPr>
        <w:pStyle w:val="ParaNum"/>
        <w:numPr>
          <w:ilvl w:val="0"/>
          <w:numId w:val="3"/>
        </w:numPr>
        <w:tabs>
          <w:tab w:val="num" w:pos="990"/>
        </w:tabs>
        <w:ind w:left="-90" w:firstLine="720"/>
        <w:rPr>
          <w:b/>
        </w:rPr>
      </w:pPr>
      <w:r w:rsidRPr="00F56EB8">
        <w:t xml:space="preserve">IT IS </w:t>
      </w:r>
      <w:r w:rsidR="002841A2">
        <w:t xml:space="preserve">FURTHER </w:t>
      </w:r>
      <w:r w:rsidRPr="00F56EB8">
        <w:t>ORDERED</w:t>
      </w:r>
      <w:r w:rsidR="00F6534D">
        <w:t xml:space="preserve"> that</w:t>
      </w:r>
      <w:r w:rsidR="00C10311">
        <w:t xml:space="preserve">, </w:t>
      </w:r>
      <w:r w:rsidRPr="00C10311" w:rsidR="00C10311">
        <w:t>pu</w:t>
      </w:r>
      <w:r w:rsidR="00C10311">
        <w:t>rsuant to S</w:t>
      </w:r>
      <w:r w:rsidR="006F678E">
        <w:t>ection</w:t>
      </w:r>
      <w:r w:rsidR="00C10311">
        <w:t xml:space="preserve"> 4(</w:t>
      </w:r>
      <w:r w:rsidR="00C10311">
        <w:t>i</w:t>
      </w:r>
      <w:r w:rsidR="00C10311">
        <w:t xml:space="preserve">) </w:t>
      </w:r>
      <w:r w:rsidRPr="00C10311" w:rsidR="00C10311">
        <w:t>of the Communications Act of 1934, as ame</w:t>
      </w:r>
      <w:r w:rsidR="00C10311">
        <w:t>nded, 47 U.S.C. § 154(</w:t>
      </w:r>
      <w:r w:rsidR="00C10311">
        <w:t>i</w:t>
      </w:r>
      <w:r w:rsidR="00C10311">
        <w:t>),</w:t>
      </w:r>
      <w:r w:rsidRPr="00F56EB8">
        <w:rPr>
          <w:i/>
        </w:rPr>
        <w:t xml:space="preserve"> </w:t>
      </w:r>
      <w:r w:rsidR="003F49D8">
        <w:t>and S</w:t>
      </w:r>
      <w:r w:rsidR="00C10311">
        <w:t>ection</w:t>
      </w:r>
      <w:r w:rsidR="008B30FB">
        <w:t>s</w:t>
      </w:r>
      <w:r w:rsidR="00C10311">
        <w:t xml:space="preserve"> </w:t>
      </w:r>
      <w:r w:rsidR="004164B4">
        <w:t>1.3</w:t>
      </w:r>
      <w:r w:rsidR="008B30FB">
        <w:t xml:space="preserve"> and 1.925</w:t>
      </w:r>
      <w:r w:rsidR="00C10311">
        <w:t xml:space="preserve"> of the Commission’s rules, 47 CFR §</w:t>
      </w:r>
      <w:r w:rsidR="008B30FB">
        <w:t>§</w:t>
      </w:r>
      <w:r w:rsidR="00C10311">
        <w:t xml:space="preserve"> </w:t>
      </w:r>
      <w:r w:rsidR="003F49D8">
        <w:t>1.3</w:t>
      </w:r>
      <w:r w:rsidR="00C10311">
        <w:t xml:space="preserve">, </w:t>
      </w:r>
      <w:r w:rsidR="008B30FB">
        <w:t>1.925</w:t>
      </w:r>
      <w:r w:rsidR="005D133D">
        <w:t>,</w:t>
      </w:r>
      <w:r w:rsidR="008B30FB">
        <w:t xml:space="preserve"> </w:t>
      </w:r>
      <w:r w:rsidR="000B132D">
        <w:t>waiver of Sections 22.503</w:t>
      </w:r>
      <w:r w:rsidR="00AF481F">
        <w:t xml:space="preserve">(k) and </w:t>
      </w:r>
      <w:r w:rsidR="002841A2">
        <w:t>22.561</w:t>
      </w:r>
      <w:r w:rsidR="00FE78A5">
        <w:t xml:space="preserve"> </w:t>
      </w:r>
      <w:r w:rsidR="002841A2">
        <w:t>of the Commission’s rules</w:t>
      </w:r>
      <w:r w:rsidR="000B132D">
        <w:t>,</w:t>
      </w:r>
      <w:r w:rsidR="002841A2">
        <w:t xml:space="preserve"> </w:t>
      </w:r>
      <w:r w:rsidR="00FE78A5">
        <w:t>47 CFR §§ 22.503(k)</w:t>
      </w:r>
      <w:r w:rsidR="00E174E1">
        <w:t xml:space="preserve">, </w:t>
      </w:r>
      <w:r w:rsidR="00FE78A5">
        <w:t>22.561</w:t>
      </w:r>
      <w:r w:rsidR="00E174E1">
        <w:t xml:space="preserve">, </w:t>
      </w:r>
      <w:r w:rsidRPr="00F56EB8">
        <w:t xml:space="preserve">is </w:t>
      </w:r>
      <w:r w:rsidR="000B132D">
        <w:t xml:space="preserve">CONDITIONALLY </w:t>
      </w:r>
      <w:r w:rsidRPr="00F56EB8">
        <w:t>GRANTE</w:t>
      </w:r>
      <w:r w:rsidRPr="00F56EB8" w:rsidR="000F77F1">
        <w:t xml:space="preserve">D </w:t>
      </w:r>
      <w:r w:rsidR="000B132D">
        <w:t>TO THE EXTENT PROVIDED ABOVE</w:t>
      </w:r>
      <w:r w:rsidR="00F6534D">
        <w:t>.</w:t>
      </w:r>
    </w:p>
    <w:p w:rsidR="006F1765" w:rsidP="000C3067">
      <w:pPr>
        <w:pStyle w:val="ParaNum"/>
        <w:numPr>
          <w:ilvl w:val="0"/>
          <w:numId w:val="3"/>
        </w:numPr>
        <w:tabs>
          <w:tab w:val="num" w:pos="990"/>
        </w:tabs>
        <w:ind w:left="-90" w:firstLine="720"/>
      </w:pPr>
      <w:r w:rsidRPr="005616C4">
        <w:t xml:space="preserve">IT IS </w:t>
      </w:r>
      <w:r>
        <w:t xml:space="preserve">FURTHER </w:t>
      </w:r>
      <w:r>
        <w:t>ORDERED that</w:t>
      </w:r>
      <w:r w:rsidR="00644494">
        <w:t>,</w:t>
      </w:r>
      <w:r w:rsidR="00496601">
        <w:t xml:space="preserve"> </w:t>
      </w:r>
      <w:r w:rsidRPr="00534959" w:rsidR="00496601">
        <w:t>pursuant to Sections 4(</w:t>
      </w:r>
      <w:r w:rsidRPr="00534959" w:rsidR="00496601">
        <w:t>i</w:t>
      </w:r>
      <w:r w:rsidRPr="00534959" w:rsidR="00496601">
        <w:t xml:space="preserve">) and </w:t>
      </w:r>
      <w:r>
        <w:fldChar w:fldCharType="begin"/>
      </w:r>
      <w:r>
        <w:instrText xml:space="preserve"> HYPERLINK "https://a.next.westlaw.com/Link/Document/FullText?findType=L&amp;pubNum=1000546&amp;cite=47USCAS316&amp;originatingDoc=If0bcd4d0419011e39ac8bab74931929c&amp;refType=LQ&amp;originationContext=document&amp;transitionType=DocumentItem&amp;contextData=(sc.Search)" </w:instrText>
      </w:r>
      <w:r>
        <w:fldChar w:fldCharType="separate"/>
      </w:r>
      <w:r w:rsidRPr="00534959" w:rsidR="00496601">
        <w:t>316(a)</w:t>
      </w:r>
      <w:r>
        <w:fldChar w:fldCharType="end"/>
      </w:r>
      <w:r w:rsidRPr="00534959" w:rsidR="00496601">
        <w:t xml:space="preserve"> of the Communications Act of 1934, as amended, 47 U.S.C. §§ 154(</w:t>
      </w:r>
      <w:r w:rsidRPr="00534959" w:rsidR="00496601">
        <w:t>i</w:t>
      </w:r>
      <w:r w:rsidRPr="00534959" w:rsidR="00496601">
        <w:t xml:space="preserve">), </w:t>
      </w:r>
      <w:r>
        <w:fldChar w:fldCharType="begin"/>
      </w:r>
      <w:r>
        <w:instrText xml:space="preserve"> HYPERLINK "https://a.next.westlaw.com/Link/Document/FullText?findType=L&amp;pubNum=1000546&amp;cite=47USCAS316&amp;originatingDoc=If0bcd4d0419011e39ac8bab74931929c&amp;refType=LQ&amp;originationContext=document&amp;transitionType=DocumentItem&amp;contextData=(sc.Search)" </w:instrText>
      </w:r>
      <w:r>
        <w:fldChar w:fldCharType="separate"/>
      </w:r>
      <w:r w:rsidRPr="00534959" w:rsidR="00496601">
        <w:t>316</w:t>
      </w:r>
      <w:r>
        <w:fldChar w:fldCharType="end"/>
      </w:r>
      <w:r w:rsidRPr="00534959" w:rsidR="00496601">
        <w:t>(a),</w:t>
      </w:r>
      <w:r w:rsidR="00496601">
        <w:t xml:space="preserve"> the Proposed Order of Modification is ADOPTED.</w:t>
      </w:r>
    </w:p>
    <w:p w:rsidR="002841A2" w:rsidRPr="00534959" w:rsidP="000C3067">
      <w:pPr>
        <w:pStyle w:val="ParaNum"/>
        <w:numPr>
          <w:ilvl w:val="0"/>
          <w:numId w:val="3"/>
        </w:numPr>
        <w:tabs>
          <w:tab w:val="num" w:pos="990"/>
        </w:tabs>
        <w:ind w:left="-90" w:firstLine="720"/>
      </w:pPr>
      <w:r>
        <w:t xml:space="preserve">IT IS FURTHER </w:t>
      </w:r>
      <w:r>
        <w:t>PROPOSED that</w:t>
      </w:r>
      <w:r w:rsidR="00644494">
        <w:t>,</w:t>
      </w:r>
      <w:r>
        <w:t xml:space="preserve"> </w:t>
      </w:r>
      <w:r w:rsidRPr="00534959">
        <w:t>pursuant to Sections 4(</w:t>
      </w:r>
      <w:r w:rsidRPr="00534959">
        <w:t>i</w:t>
      </w:r>
      <w:r w:rsidRPr="00534959">
        <w:t xml:space="preserve">) and </w:t>
      </w:r>
      <w:r>
        <w:fldChar w:fldCharType="begin"/>
      </w:r>
      <w:r>
        <w:instrText xml:space="preserve"> HYPERLINK "https://a.next.westlaw.com/Link/Document/FullText?findType=L&amp;pubNum=1000546&amp;cite=47USCAS316&amp;originatingDoc=If0bcd4d0419011e39ac8bab74931929c&amp;refType=LQ&amp;originationContext=document&amp;transitionType=DocumentItem&amp;contextData=(sc.Search)" </w:instrText>
      </w:r>
      <w:r>
        <w:fldChar w:fldCharType="separate"/>
      </w:r>
      <w:r w:rsidRPr="00534959">
        <w:t>316(a)</w:t>
      </w:r>
      <w:r>
        <w:fldChar w:fldCharType="end"/>
      </w:r>
      <w:r w:rsidRPr="00534959">
        <w:t xml:space="preserve"> of the Communications Act of 1934, as amended, 47 U.S.C. §§ 154(</w:t>
      </w:r>
      <w:r w:rsidRPr="00534959">
        <w:t>i</w:t>
      </w:r>
      <w:r w:rsidRPr="00534959">
        <w:t xml:space="preserve">), </w:t>
      </w:r>
      <w:r>
        <w:fldChar w:fldCharType="begin"/>
      </w:r>
      <w:r>
        <w:instrText xml:space="preserve"> HYPERLINK "https://a.next.westlaw.com/Link/Document/FullText?findType=L&amp;pubNum=1000546&amp;cite=47USCAS316&amp;originatingDoc=If0bcd4d0419011e39ac8bab74931929c&amp;refType=LQ&amp;originationContext=document&amp;transitionType=DocumentItem&amp;contextData=(sc.Search)" </w:instrText>
      </w:r>
      <w:r>
        <w:fldChar w:fldCharType="separate"/>
      </w:r>
      <w:r w:rsidRPr="00534959">
        <w:t>316</w:t>
      </w:r>
      <w:r>
        <w:fldChar w:fldCharType="end"/>
      </w:r>
      <w:r w:rsidRPr="00534959">
        <w:t xml:space="preserve">(a), </w:t>
      </w:r>
      <w:r w:rsidR="00644494">
        <w:t xml:space="preserve">the </w:t>
      </w:r>
      <w:r>
        <w:t xml:space="preserve">call signs </w:t>
      </w:r>
      <w:r w:rsidR="0005325A">
        <w:t xml:space="preserve">listed in the Appendix and </w:t>
      </w:r>
      <w:r w:rsidRPr="00534959">
        <w:t xml:space="preserve">licensed to the </w:t>
      </w:r>
      <w:r>
        <w:t xml:space="preserve">State of </w:t>
      </w:r>
      <w:r w:rsidR="006068BD">
        <w:t>Wisconsin</w:t>
      </w:r>
      <w:r w:rsidRPr="00534959">
        <w:t xml:space="preserve"> BE MODIFIED consistent with Section </w:t>
      </w:r>
      <w:r>
        <w:t>II.B.</w:t>
      </w:r>
      <w:r w:rsidRPr="00534959">
        <w:t xml:space="preserve"> </w:t>
      </w:r>
      <w:r>
        <w:t xml:space="preserve">and the Appendix </w:t>
      </w:r>
      <w:r w:rsidRPr="00534959">
        <w:t>of this Order</w:t>
      </w:r>
      <w:r>
        <w:t xml:space="preserve"> and </w:t>
      </w:r>
      <w:r w:rsidRPr="00534959">
        <w:t xml:space="preserve">Proposed Order of </w:t>
      </w:r>
      <w:r>
        <w:t>Modification</w:t>
      </w:r>
      <w:r w:rsidRPr="00534959">
        <w:t xml:space="preserve">.  </w:t>
      </w:r>
    </w:p>
    <w:p w:rsidR="000B132D" w:rsidRPr="00F56EB8" w:rsidP="000C3067">
      <w:pPr>
        <w:pStyle w:val="ParaNum"/>
        <w:numPr>
          <w:ilvl w:val="0"/>
          <w:numId w:val="3"/>
        </w:numPr>
        <w:tabs>
          <w:tab w:val="num" w:pos="990"/>
        </w:tabs>
        <w:ind w:left="-90" w:firstLine="720"/>
      </w:pPr>
      <w:bookmarkStart w:id="18" w:name="_Hlk528162792"/>
      <w:r w:rsidRPr="00534959">
        <w:t>IT IS FURTHER ORDERED that</w:t>
      </w:r>
      <w:r w:rsidR="00644494">
        <w:t>,</w:t>
      </w:r>
      <w:r w:rsidRPr="00534959">
        <w:t xml:space="preserve"> pursuant to Section 316(a)(1) of the Communications Act of 1934, as amended, 47 U.S.C. § 316(a)(1), the Wireless Telecommunications Bureau SHALL SEND this </w:t>
      </w:r>
      <w:r>
        <w:t xml:space="preserve">Order and </w:t>
      </w:r>
      <w:r w:rsidRPr="00534959">
        <w:t>Proposed Order of Modification by certified mail, return receipt requested</w:t>
      </w:r>
      <w:r w:rsidR="00E21ED7">
        <w:t>,</w:t>
      </w:r>
      <w:r w:rsidRPr="00534959">
        <w:t xml:space="preserve"> to the </w:t>
      </w:r>
      <w:r>
        <w:t xml:space="preserve">State of </w:t>
      </w:r>
      <w:r w:rsidR="006068BD">
        <w:t>Wisconsin</w:t>
      </w:r>
      <w:r w:rsidRPr="00534959">
        <w:t>.</w:t>
      </w:r>
    </w:p>
    <w:p w:rsidR="000C3067" w:rsidRPr="00F56EB8" w:rsidP="00AC0111">
      <w:pPr>
        <w:pStyle w:val="ParaNum"/>
        <w:numPr>
          <w:ilvl w:val="0"/>
          <w:numId w:val="3"/>
        </w:numPr>
        <w:tabs>
          <w:tab w:val="num" w:pos="990"/>
        </w:tabs>
        <w:ind w:left="-90" w:firstLine="720"/>
      </w:pPr>
      <w:bookmarkEnd w:id="18"/>
      <w:r w:rsidRPr="00F56EB8">
        <w:t xml:space="preserve">These actions are taken under delegated authority pursuant to sections </w:t>
      </w:r>
      <w:r w:rsidRPr="00F56EB8" w:rsidR="000F77F1">
        <w:t>0</w:t>
      </w:r>
      <w:r w:rsidRPr="00F56EB8">
        <w:t>.131 and 0.331 of the Commission’s rules, 47 CFR §§ 0.131, 0.331.</w:t>
      </w:r>
    </w:p>
    <w:p w:rsidR="00AC0111" w:rsidP="00AC0111">
      <w:pPr>
        <w:ind w:left="4320"/>
        <w:rPr>
          <w:szCs w:val="22"/>
        </w:rPr>
      </w:pPr>
    </w:p>
    <w:p w:rsidR="003B45E0" w:rsidP="00AC0111">
      <w:pPr>
        <w:ind w:left="4320"/>
        <w:rPr>
          <w:szCs w:val="22"/>
        </w:rPr>
      </w:pPr>
      <w:r w:rsidRPr="00F56EB8">
        <w:rPr>
          <w:szCs w:val="22"/>
        </w:rPr>
        <w:t>FEDERAL COMMUNICATIONS COMMISSION</w:t>
      </w:r>
    </w:p>
    <w:p w:rsidR="008318B0" w:rsidP="00AC0111">
      <w:pPr>
        <w:keepNext/>
        <w:keepLines/>
        <w:tabs>
          <w:tab w:val="left" w:pos="-1440"/>
          <w:tab w:val="left" w:pos="-720"/>
          <w:tab w:val="left" w:pos="0"/>
          <w:tab w:val="left" w:pos="720"/>
          <w:tab w:val="left" w:pos="1080"/>
          <w:tab w:val="left" w:pos="1440"/>
        </w:tabs>
        <w:suppressAutoHyphens/>
        <w:rPr>
          <w:szCs w:val="22"/>
        </w:rPr>
      </w:pPr>
    </w:p>
    <w:p w:rsidR="00AC0111" w:rsidP="00D50901">
      <w:pPr>
        <w:keepNext/>
        <w:keepLines/>
        <w:tabs>
          <w:tab w:val="left" w:pos="-1440"/>
          <w:tab w:val="left" w:pos="-720"/>
          <w:tab w:val="left" w:pos="0"/>
          <w:tab w:val="left" w:pos="720"/>
          <w:tab w:val="left" w:pos="1080"/>
          <w:tab w:val="left" w:pos="1440"/>
        </w:tabs>
        <w:suppressAutoHyphens/>
        <w:ind w:left="720"/>
        <w:rPr>
          <w:szCs w:val="22"/>
        </w:rPr>
      </w:pPr>
    </w:p>
    <w:p w:rsidR="00AC0111" w:rsidP="00D50901">
      <w:pPr>
        <w:keepNext/>
        <w:keepLines/>
        <w:tabs>
          <w:tab w:val="left" w:pos="-1440"/>
          <w:tab w:val="left" w:pos="-720"/>
          <w:tab w:val="left" w:pos="0"/>
          <w:tab w:val="left" w:pos="720"/>
          <w:tab w:val="left" w:pos="1080"/>
          <w:tab w:val="left" w:pos="1440"/>
        </w:tabs>
        <w:suppressAutoHyphens/>
        <w:ind w:left="720"/>
        <w:rPr>
          <w:szCs w:val="22"/>
        </w:rPr>
      </w:pPr>
    </w:p>
    <w:p w:rsidR="005F3A0F" w:rsidRPr="00F56EB8" w:rsidP="00D50901">
      <w:pPr>
        <w:keepNext/>
        <w:keepLines/>
        <w:tabs>
          <w:tab w:val="left" w:pos="-1440"/>
          <w:tab w:val="left" w:pos="-720"/>
          <w:tab w:val="left" w:pos="0"/>
          <w:tab w:val="left" w:pos="720"/>
          <w:tab w:val="left" w:pos="1080"/>
          <w:tab w:val="left" w:pos="1440"/>
        </w:tabs>
        <w:suppressAutoHyphens/>
        <w:ind w:left="720"/>
        <w:rPr>
          <w:szCs w:val="22"/>
        </w:rPr>
      </w:pPr>
      <w:r w:rsidRPr="00F56EB8">
        <w:rPr>
          <w:szCs w:val="22"/>
        </w:rPr>
        <w:tab/>
      </w:r>
      <w:r w:rsidRPr="00F56EB8">
        <w:rPr>
          <w:szCs w:val="22"/>
        </w:rPr>
        <w:tab/>
      </w:r>
      <w:r w:rsidRPr="00F56EB8">
        <w:rPr>
          <w:szCs w:val="22"/>
        </w:rPr>
        <w:tab/>
      </w:r>
      <w:r w:rsidRPr="00F56EB8">
        <w:rPr>
          <w:szCs w:val="22"/>
        </w:rPr>
        <w:tab/>
      </w:r>
      <w:r w:rsidRPr="00F56EB8">
        <w:rPr>
          <w:szCs w:val="22"/>
        </w:rPr>
        <w:tab/>
      </w:r>
      <w:r w:rsidRPr="00F56EB8">
        <w:rPr>
          <w:szCs w:val="22"/>
        </w:rPr>
        <w:tab/>
      </w:r>
      <w:r w:rsidRPr="00F56EB8" w:rsidR="007F1935">
        <w:rPr>
          <w:szCs w:val="22"/>
        </w:rPr>
        <w:t xml:space="preserve">Roger </w:t>
      </w:r>
      <w:r w:rsidR="00521CB9">
        <w:rPr>
          <w:szCs w:val="22"/>
        </w:rPr>
        <w:t xml:space="preserve">S. </w:t>
      </w:r>
      <w:r w:rsidRPr="00F56EB8" w:rsidR="007F1935">
        <w:rPr>
          <w:szCs w:val="22"/>
        </w:rPr>
        <w:t>Noel</w:t>
      </w:r>
      <w:r w:rsidRPr="00F56EB8">
        <w:rPr>
          <w:szCs w:val="22"/>
        </w:rPr>
        <w:tab/>
      </w:r>
      <w:r w:rsidRPr="00F56EB8">
        <w:rPr>
          <w:szCs w:val="22"/>
        </w:rPr>
        <w:tab/>
      </w:r>
      <w:r w:rsidRPr="00F56EB8">
        <w:rPr>
          <w:szCs w:val="22"/>
        </w:rPr>
        <w:tab/>
      </w:r>
      <w:r w:rsidRPr="00F56EB8">
        <w:rPr>
          <w:szCs w:val="22"/>
        </w:rPr>
        <w:tab/>
      </w:r>
      <w:r w:rsidRPr="00F56EB8">
        <w:rPr>
          <w:szCs w:val="22"/>
        </w:rPr>
        <w:tab/>
      </w:r>
      <w:r w:rsidR="00F6534D">
        <w:rPr>
          <w:szCs w:val="22"/>
        </w:rPr>
        <w:tab/>
      </w:r>
      <w:r w:rsidR="00F6534D">
        <w:rPr>
          <w:szCs w:val="22"/>
        </w:rPr>
        <w:tab/>
      </w:r>
      <w:r w:rsidR="00F6534D">
        <w:rPr>
          <w:szCs w:val="22"/>
        </w:rPr>
        <w:tab/>
      </w:r>
      <w:r w:rsidR="00F6534D">
        <w:rPr>
          <w:szCs w:val="22"/>
        </w:rPr>
        <w:tab/>
      </w:r>
      <w:r w:rsidR="00F6534D">
        <w:rPr>
          <w:szCs w:val="22"/>
        </w:rPr>
        <w:tab/>
      </w:r>
      <w:r w:rsidR="00F6534D">
        <w:rPr>
          <w:szCs w:val="22"/>
        </w:rPr>
        <w:tab/>
      </w:r>
      <w:r w:rsidR="00C91E3A">
        <w:rPr>
          <w:szCs w:val="22"/>
        </w:rPr>
        <w:tab/>
        <w:t xml:space="preserve">Chief, </w:t>
      </w:r>
      <w:r w:rsidRPr="00F56EB8" w:rsidR="002F635C">
        <w:rPr>
          <w:szCs w:val="22"/>
        </w:rPr>
        <w:t>Mobility Division</w:t>
      </w:r>
    </w:p>
    <w:p w:rsidR="002841A2" w:rsidP="00AC0111">
      <w:pPr>
        <w:keepNext/>
        <w:keepLines/>
        <w:tabs>
          <w:tab w:val="left" w:pos="-1440"/>
          <w:tab w:val="left" w:pos="-720"/>
          <w:tab w:val="left" w:pos="0"/>
          <w:tab w:val="left" w:pos="720"/>
          <w:tab w:val="left" w:pos="1080"/>
          <w:tab w:val="left" w:pos="1440"/>
        </w:tabs>
        <w:suppressAutoHyphens/>
        <w:ind w:left="720"/>
        <w:rPr>
          <w:szCs w:val="22"/>
        </w:rPr>
      </w:pPr>
      <w:r w:rsidRPr="00F56EB8">
        <w:rPr>
          <w:szCs w:val="22"/>
        </w:rPr>
        <w:tab/>
      </w:r>
      <w:r w:rsidRPr="00F56EB8">
        <w:rPr>
          <w:szCs w:val="22"/>
        </w:rPr>
        <w:tab/>
      </w:r>
      <w:r w:rsidRPr="00F56EB8">
        <w:rPr>
          <w:szCs w:val="22"/>
        </w:rPr>
        <w:tab/>
      </w:r>
      <w:r w:rsidRPr="00F56EB8" w:rsidR="002F635C">
        <w:rPr>
          <w:szCs w:val="22"/>
        </w:rPr>
        <w:tab/>
      </w:r>
      <w:r w:rsidRPr="00F56EB8" w:rsidR="002F635C">
        <w:rPr>
          <w:szCs w:val="22"/>
        </w:rPr>
        <w:tab/>
      </w:r>
      <w:r w:rsidRPr="00F56EB8" w:rsidR="002F635C">
        <w:rPr>
          <w:szCs w:val="22"/>
        </w:rPr>
        <w:tab/>
      </w:r>
      <w:r w:rsidRPr="00F56EB8">
        <w:rPr>
          <w:szCs w:val="22"/>
        </w:rPr>
        <w:t>Wireless Telecommunications Bureau</w:t>
      </w:r>
    </w:p>
    <w:p w:rsidR="002841A2" w:rsidP="002841A2">
      <w:pPr>
        <w:keepNext/>
        <w:keepLines/>
        <w:tabs>
          <w:tab w:val="left" w:pos="-1440"/>
          <w:tab w:val="left" w:pos="-720"/>
          <w:tab w:val="left" w:pos="0"/>
          <w:tab w:val="left" w:pos="720"/>
          <w:tab w:val="left" w:pos="1080"/>
          <w:tab w:val="left" w:pos="1440"/>
        </w:tabs>
        <w:suppressAutoHyphens/>
        <w:ind w:left="720" w:hanging="720"/>
        <w:jc w:val="center"/>
        <w:rPr>
          <w:b/>
          <w:szCs w:val="22"/>
        </w:rPr>
      </w:pPr>
      <w:r>
        <w:rPr>
          <w:szCs w:val="22"/>
        </w:rPr>
        <w:br w:type="page"/>
      </w:r>
      <w:r w:rsidRPr="002841A2">
        <w:rPr>
          <w:b/>
          <w:szCs w:val="22"/>
        </w:rPr>
        <w:t>APPENDIX</w:t>
      </w:r>
    </w:p>
    <w:p w:rsidR="0005325A" w:rsidP="002841A2">
      <w:pPr>
        <w:keepNext/>
        <w:keepLines/>
        <w:tabs>
          <w:tab w:val="left" w:pos="-1440"/>
          <w:tab w:val="left" w:pos="-720"/>
          <w:tab w:val="left" w:pos="0"/>
          <w:tab w:val="left" w:pos="720"/>
          <w:tab w:val="left" w:pos="1080"/>
          <w:tab w:val="left" w:pos="1440"/>
        </w:tabs>
        <w:suppressAutoHyphens/>
        <w:ind w:left="720" w:hanging="720"/>
        <w:jc w:val="center"/>
        <w:rPr>
          <w:szCs w:val="22"/>
        </w:rPr>
      </w:pPr>
    </w:p>
    <w:p w:rsidR="00874FDA" w:rsidP="002E70EA">
      <w:pPr>
        <w:rPr>
          <w:b/>
          <w:szCs w:val="22"/>
        </w:rPr>
      </w:pPr>
      <w:r w:rsidRPr="00874FDA">
        <w:rPr>
          <w:b/>
          <w:szCs w:val="22"/>
        </w:rPr>
        <w:t>Call Signs</w:t>
      </w:r>
    </w:p>
    <w:p w:rsidR="00874FDA" w:rsidP="002E70EA">
      <w:pPr>
        <w:rPr>
          <w:sz w:val="23"/>
          <w:szCs w:val="23"/>
        </w:rPr>
      </w:pPr>
    </w:p>
    <w:p w:rsidR="0005325A" w:rsidP="002E70EA">
      <w:pPr>
        <w:rPr>
          <w:sz w:val="23"/>
          <w:szCs w:val="23"/>
        </w:rPr>
      </w:pPr>
      <w:r>
        <w:rPr>
          <w:sz w:val="23"/>
          <w:szCs w:val="23"/>
        </w:rPr>
        <w:t>WQMS406, WQMS407, WQMS408, WQMS409, WQMS410, WQMS412, WQMS413, WQMS417, WQMS418, WQMS421, WQMS422, WQMS423, WQMS424, WQMS425</w:t>
      </w:r>
      <w:r w:rsidR="00420021">
        <w:rPr>
          <w:sz w:val="23"/>
          <w:szCs w:val="23"/>
        </w:rPr>
        <w:t>.</w:t>
      </w:r>
    </w:p>
    <w:p w:rsidR="005D133D" w:rsidP="002E70EA">
      <w:pPr>
        <w:rPr>
          <w:sz w:val="23"/>
          <w:szCs w:val="23"/>
        </w:rPr>
      </w:pPr>
    </w:p>
    <w:p w:rsidR="008C6857" w:rsidP="008C6857">
      <w:pPr>
        <w:rPr>
          <w:b/>
        </w:rPr>
      </w:pPr>
      <w:r w:rsidRPr="00F843BB">
        <w:rPr>
          <w:b/>
        </w:rPr>
        <w:t>Proposed Modified License Areas</w:t>
      </w:r>
    </w:p>
    <w:p w:rsidR="008C6857" w:rsidRPr="00DB56C6" w:rsidP="008C6857">
      <w:pPr>
        <w:jc w:val="center"/>
      </w:pPr>
    </w:p>
    <w:p w:rsidR="003E4680" w:rsidP="003E4680">
      <w:r>
        <w:t xml:space="preserve">As noted in the Proposed Order of Modification, the proposed modified license areas consist of areas where the State of Wisconsin (Wisconsin) was operating as of </w:t>
      </w:r>
      <w:r w:rsidRPr="00660A19">
        <w:t>July 3</w:t>
      </w:r>
      <w:r w:rsidRPr="00626FAE">
        <w:t>, 2017</w:t>
      </w:r>
      <w:r>
        <w:t xml:space="preserve">.  The proposed modified boundaries of each license area will be defined by the interference contour of its base transmitter(s) as calculated pursuant to Section 22.567(d).  The </w:t>
      </w:r>
      <w:r w:rsidRPr="00660A19">
        <w:t>following</w:t>
      </w:r>
      <w:r>
        <w:t xml:space="preserve"> maps depicting the proposed modified license areas of each call sign were derived using technical information such as location</w:t>
      </w:r>
      <w:r w:rsidR="00D05690">
        <w:t>(s) of the base transmitter(s) being used for the call sign, effective radiated power (ERP)</w:t>
      </w:r>
      <w:r>
        <w:t>, antenna height</w:t>
      </w:r>
      <w:r w:rsidR="006B6C8A">
        <w:t>,</w:t>
      </w:r>
      <w:r>
        <w:t xml:space="preserve"> and height above average terrain (HAAT) data provided by Wisconsin</w:t>
      </w:r>
      <w:r w:rsidR="006B6C8A">
        <w:t>.</w:t>
      </w:r>
      <w:r>
        <w:rPr>
          <w:rStyle w:val="FootnoteReference"/>
        </w:rPr>
        <w:footnoteReference w:id="51"/>
      </w:r>
      <w:r w:rsidR="006B6C8A">
        <w:t xml:space="preserve">  </w:t>
      </w:r>
      <w:r w:rsidRPr="00FA6CCD">
        <w:t>The tables below depict the base transmitter information provided by</w:t>
      </w:r>
      <w:r w:rsidRPr="00660A19">
        <w:t xml:space="preserve"> Wisconsin</w:t>
      </w:r>
      <w:r w:rsidRPr="00FA6CCD">
        <w:t>,</w:t>
      </w:r>
      <w:r>
        <w:rPr>
          <w:rStyle w:val="FootnoteReference"/>
        </w:rPr>
        <w:footnoteReference w:id="52"/>
      </w:r>
      <w:r w:rsidRPr="00FA6CCD">
        <w:t xml:space="preserve"> as well as distances from the base transmitter to the interfering contour along the eight radials that were calculated using </w:t>
      </w:r>
      <w:r w:rsidRPr="00660A19">
        <w:t>Wisconsin</w:t>
      </w:r>
      <w:r w:rsidRPr="00FA6CCD">
        <w:t>’s technical data.</w:t>
      </w:r>
      <w:r>
        <w:rPr>
          <w:rStyle w:val="FootnoteReference"/>
        </w:rPr>
        <w:footnoteReference w:id="53"/>
      </w:r>
    </w:p>
    <w:p w:rsidR="003E4680" w:rsidP="003E4680"/>
    <w:p w:rsidR="003E4680" w:rsidP="003E4680">
      <w:pPr>
        <w:rPr>
          <w:u w:val="single"/>
        </w:rPr>
      </w:pPr>
      <w:r>
        <w:rPr>
          <w:u w:val="single"/>
        </w:rPr>
        <w:t xml:space="preserve">Contour Information for </w:t>
      </w:r>
      <w:r w:rsidRPr="00FB7646">
        <w:rPr>
          <w:u w:val="single"/>
        </w:rPr>
        <w:t xml:space="preserve">Calls </w:t>
      </w:r>
      <w:r>
        <w:rPr>
          <w:u w:val="single"/>
        </w:rPr>
        <w:t>Signs</w:t>
      </w:r>
      <w:r w:rsidRPr="00FB7646">
        <w:rPr>
          <w:u w:val="single"/>
        </w:rPr>
        <w:t xml:space="preserve"> subject to Section 22.567(d)</w:t>
      </w:r>
    </w:p>
    <w:tbl>
      <w:tblPr>
        <w:tblStyle w:val="TableGrid"/>
        <w:tblW w:w="9630" w:type="dxa"/>
        <w:jc w:val="center"/>
        <w:tblLook w:val="04A0"/>
      </w:tblPr>
      <w:tblGrid>
        <w:gridCol w:w="1394"/>
        <w:gridCol w:w="1752"/>
        <w:gridCol w:w="1259"/>
        <w:gridCol w:w="1260"/>
        <w:gridCol w:w="967"/>
        <w:gridCol w:w="1027"/>
        <w:gridCol w:w="836"/>
        <w:gridCol w:w="1108"/>
        <w:gridCol w:w="27"/>
      </w:tblGrid>
      <w:tr w:rsidTr="003E4680">
        <w:tblPrEx>
          <w:tblW w:w="9630" w:type="dxa"/>
          <w:jc w:val="center"/>
          <w:tblLook w:val="04A0"/>
        </w:tblPrEx>
        <w:trPr>
          <w:trHeight w:val="288"/>
          <w:jc w:val="center"/>
        </w:trPr>
        <w:tc>
          <w:tcPr>
            <w:tcW w:w="9630" w:type="dxa"/>
            <w:gridSpan w:val="9"/>
            <w:tcBorders>
              <w:bottom w:val="single" w:sz="4" w:space="0" w:color="auto"/>
            </w:tcBorders>
            <w:vAlign w:val="bottom"/>
          </w:tcPr>
          <w:p w:rsidR="003E4680" w:rsidRPr="00E64A61" w:rsidP="003E4680">
            <w:pPr>
              <w:rPr>
                <w:rFonts w:asciiTheme="minorHAnsi" w:hAnsiTheme="minorHAnsi" w:cstheme="minorHAnsi"/>
                <w:b/>
                <w:sz w:val="16"/>
                <w:szCs w:val="16"/>
              </w:rPr>
            </w:pPr>
            <w:r w:rsidRPr="00E64A61">
              <w:rPr>
                <w:rFonts w:asciiTheme="minorHAnsi" w:hAnsiTheme="minorHAnsi" w:cstheme="minorHAnsi"/>
                <w:sz w:val="16"/>
                <w:szCs w:val="16"/>
              </w:rPr>
              <w:t xml:space="preserve">Base transmitter information provided by State of </w:t>
            </w:r>
            <w:r>
              <w:rPr>
                <w:rFonts w:asciiTheme="minorHAnsi" w:hAnsiTheme="minorHAnsi" w:cstheme="minorHAnsi"/>
                <w:sz w:val="16"/>
                <w:szCs w:val="16"/>
              </w:rPr>
              <w:t>Wisconsin</w:t>
            </w:r>
            <w:r w:rsidRPr="00E64A61">
              <w:rPr>
                <w:rFonts w:asciiTheme="minorHAnsi" w:hAnsiTheme="minorHAnsi" w:cstheme="minorHAnsi"/>
                <w:sz w:val="16"/>
                <w:szCs w:val="16"/>
              </w:rPr>
              <w:t xml:space="preserve"> – 22.567(d)</w:t>
            </w:r>
          </w:p>
        </w:tc>
      </w:tr>
      <w:tr w:rsidTr="003E4680">
        <w:tblPrEx>
          <w:tblW w:w="9630" w:type="dxa"/>
          <w:jc w:val="center"/>
          <w:tblLook w:val="04A0"/>
        </w:tblPrEx>
        <w:trPr>
          <w:gridAfter w:val="1"/>
          <w:wAfter w:w="27" w:type="dxa"/>
          <w:trHeight w:val="288"/>
          <w:jc w:val="center"/>
        </w:trPr>
        <w:tc>
          <w:tcPr>
            <w:tcW w:w="1394" w:type="dxa"/>
            <w:tcBorders>
              <w:bottom w:val="single" w:sz="4" w:space="0" w:color="auto"/>
            </w:tcBorders>
            <w:shd w:val="clear" w:color="auto" w:fill="D9D9FF"/>
            <w:vAlign w:val="center"/>
          </w:tcPr>
          <w:p w:rsidR="003E4680" w:rsidRPr="00E64A61" w:rsidP="003E4680">
            <w:pPr>
              <w:rPr>
                <w:rFonts w:asciiTheme="minorHAnsi" w:hAnsiTheme="minorHAnsi" w:cstheme="minorHAnsi"/>
                <w:b/>
                <w:sz w:val="16"/>
                <w:szCs w:val="16"/>
              </w:rPr>
            </w:pPr>
            <w:r w:rsidRPr="00E64A61">
              <w:rPr>
                <w:rFonts w:asciiTheme="minorHAnsi" w:hAnsiTheme="minorHAnsi" w:cstheme="minorHAnsi"/>
                <w:b/>
                <w:sz w:val="16"/>
                <w:szCs w:val="16"/>
              </w:rPr>
              <w:t>Call Sign</w:t>
            </w:r>
          </w:p>
        </w:tc>
        <w:tc>
          <w:tcPr>
            <w:tcW w:w="1752" w:type="dxa"/>
            <w:shd w:val="clear" w:color="auto" w:fill="D9D9FF"/>
            <w:vAlign w:val="center"/>
          </w:tcPr>
          <w:p w:rsidR="003E4680" w:rsidRPr="00E64A61" w:rsidP="003E4680">
            <w:pPr>
              <w:jc w:val="center"/>
              <w:rPr>
                <w:rFonts w:asciiTheme="minorHAnsi" w:hAnsiTheme="minorHAnsi" w:cstheme="minorHAnsi"/>
                <w:b/>
                <w:sz w:val="16"/>
                <w:szCs w:val="16"/>
              </w:rPr>
            </w:pPr>
            <w:r w:rsidRPr="00E64A61">
              <w:rPr>
                <w:rFonts w:asciiTheme="minorHAnsi" w:hAnsiTheme="minorHAnsi" w:cstheme="minorHAnsi"/>
                <w:b/>
                <w:sz w:val="16"/>
                <w:szCs w:val="16"/>
              </w:rPr>
              <w:t>Location</w:t>
            </w:r>
          </w:p>
        </w:tc>
        <w:tc>
          <w:tcPr>
            <w:tcW w:w="1259" w:type="dxa"/>
            <w:shd w:val="clear" w:color="auto" w:fill="D9D9FF"/>
            <w:vAlign w:val="center"/>
          </w:tcPr>
          <w:p w:rsidR="003E4680" w:rsidRPr="00E64A61" w:rsidP="003E4680">
            <w:pPr>
              <w:jc w:val="center"/>
              <w:rPr>
                <w:rFonts w:asciiTheme="minorHAnsi" w:hAnsiTheme="minorHAnsi" w:cstheme="minorHAnsi"/>
                <w:b/>
                <w:sz w:val="16"/>
                <w:szCs w:val="16"/>
              </w:rPr>
            </w:pPr>
            <w:r w:rsidRPr="00E64A61">
              <w:rPr>
                <w:rFonts w:asciiTheme="minorHAnsi" w:hAnsiTheme="minorHAnsi" w:cstheme="minorHAnsi"/>
                <w:b/>
                <w:sz w:val="16"/>
                <w:szCs w:val="16"/>
              </w:rPr>
              <w:t>Latitude</w:t>
            </w:r>
          </w:p>
        </w:tc>
        <w:tc>
          <w:tcPr>
            <w:tcW w:w="1260" w:type="dxa"/>
            <w:shd w:val="clear" w:color="auto" w:fill="D9D9FF"/>
            <w:vAlign w:val="center"/>
          </w:tcPr>
          <w:p w:rsidR="003E4680" w:rsidRPr="00E64A61" w:rsidP="003E4680">
            <w:pPr>
              <w:jc w:val="center"/>
              <w:rPr>
                <w:rFonts w:asciiTheme="minorHAnsi" w:hAnsiTheme="minorHAnsi" w:cstheme="minorHAnsi"/>
                <w:b/>
                <w:sz w:val="16"/>
                <w:szCs w:val="16"/>
              </w:rPr>
            </w:pPr>
            <w:r w:rsidRPr="00E64A61">
              <w:rPr>
                <w:rFonts w:asciiTheme="minorHAnsi" w:hAnsiTheme="minorHAnsi" w:cstheme="minorHAnsi"/>
                <w:b/>
                <w:sz w:val="16"/>
                <w:szCs w:val="16"/>
              </w:rPr>
              <w:t>Longitude</w:t>
            </w:r>
          </w:p>
        </w:tc>
        <w:tc>
          <w:tcPr>
            <w:tcW w:w="967" w:type="dxa"/>
            <w:shd w:val="clear" w:color="auto" w:fill="D9D9FF"/>
            <w:vAlign w:val="center"/>
          </w:tcPr>
          <w:p w:rsidR="003E4680" w:rsidRPr="00E64A61" w:rsidP="003E4680">
            <w:pPr>
              <w:jc w:val="center"/>
              <w:rPr>
                <w:rFonts w:asciiTheme="minorHAnsi" w:hAnsiTheme="minorHAnsi" w:cstheme="minorHAnsi"/>
                <w:b/>
                <w:sz w:val="16"/>
                <w:szCs w:val="16"/>
              </w:rPr>
            </w:pPr>
            <w:r w:rsidRPr="00E64A61">
              <w:rPr>
                <w:rFonts w:asciiTheme="minorHAnsi" w:hAnsiTheme="minorHAnsi" w:cstheme="minorHAnsi"/>
                <w:b/>
                <w:sz w:val="16"/>
                <w:szCs w:val="16"/>
              </w:rPr>
              <w:t>Elevation (m)</w:t>
            </w:r>
          </w:p>
        </w:tc>
        <w:tc>
          <w:tcPr>
            <w:tcW w:w="1027" w:type="dxa"/>
            <w:shd w:val="clear" w:color="auto" w:fill="D9D9FF"/>
            <w:vAlign w:val="center"/>
          </w:tcPr>
          <w:p w:rsidR="003E4680" w:rsidRPr="00E64A61" w:rsidP="003E4680">
            <w:pPr>
              <w:jc w:val="center"/>
              <w:rPr>
                <w:rFonts w:asciiTheme="minorHAnsi" w:hAnsiTheme="minorHAnsi" w:cstheme="minorHAnsi"/>
                <w:b/>
                <w:sz w:val="16"/>
                <w:szCs w:val="16"/>
              </w:rPr>
            </w:pPr>
            <w:r w:rsidRPr="00E64A61">
              <w:rPr>
                <w:rFonts w:asciiTheme="minorHAnsi" w:hAnsiTheme="minorHAnsi" w:cstheme="minorHAnsi"/>
                <w:b/>
                <w:sz w:val="16"/>
                <w:szCs w:val="16"/>
              </w:rPr>
              <w:t>Antenna Height (m)</w:t>
            </w:r>
          </w:p>
        </w:tc>
        <w:tc>
          <w:tcPr>
            <w:tcW w:w="836" w:type="dxa"/>
            <w:shd w:val="clear" w:color="auto" w:fill="D9D9FF"/>
            <w:vAlign w:val="center"/>
          </w:tcPr>
          <w:p w:rsidR="003E4680" w:rsidRPr="00E64A61" w:rsidP="003E4680">
            <w:pPr>
              <w:jc w:val="center"/>
              <w:rPr>
                <w:rFonts w:asciiTheme="minorHAnsi" w:hAnsiTheme="minorHAnsi" w:cstheme="minorHAnsi"/>
                <w:b/>
                <w:sz w:val="16"/>
                <w:szCs w:val="16"/>
              </w:rPr>
            </w:pPr>
            <w:r w:rsidRPr="00E64A61">
              <w:rPr>
                <w:rFonts w:asciiTheme="minorHAnsi" w:hAnsiTheme="minorHAnsi" w:cstheme="minorHAnsi"/>
                <w:b/>
                <w:sz w:val="16"/>
                <w:szCs w:val="16"/>
              </w:rPr>
              <w:t>ERP (W)</w:t>
            </w:r>
          </w:p>
        </w:tc>
        <w:tc>
          <w:tcPr>
            <w:tcW w:w="1108" w:type="dxa"/>
            <w:shd w:val="clear" w:color="auto" w:fill="D9D9FF"/>
            <w:vAlign w:val="center"/>
          </w:tcPr>
          <w:p w:rsidR="003E4680" w:rsidRPr="00E64A61" w:rsidP="003E4680">
            <w:pPr>
              <w:jc w:val="center"/>
              <w:rPr>
                <w:rFonts w:asciiTheme="minorHAnsi" w:hAnsiTheme="minorHAnsi" w:cstheme="minorHAnsi"/>
                <w:b/>
                <w:sz w:val="16"/>
                <w:szCs w:val="16"/>
              </w:rPr>
            </w:pPr>
            <w:r w:rsidRPr="00E64A61">
              <w:rPr>
                <w:rFonts w:asciiTheme="minorHAnsi" w:hAnsiTheme="minorHAnsi" w:cstheme="minorHAnsi"/>
                <w:b/>
                <w:sz w:val="16"/>
                <w:szCs w:val="16"/>
              </w:rPr>
              <w:t>HAAT (m)</w:t>
            </w:r>
          </w:p>
        </w:tc>
      </w:tr>
      <w:tr w:rsidTr="003E4680">
        <w:tblPrEx>
          <w:tblW w:w="9630" w:type="dxa"/>
          <w:jc w:val="center"/>
          <w:tblLook w:val="04A0"/>
        </w:tblPrEx>
        <w:trPr>
          <w:gridAfter w:val="1"/>
          <w:wAfter w:w="27" w:type="dxa"/>
          <w:trHeight w:val="288"/>
          <w:jc w:val="center"/>
        </w:trPr>
        <w:tc>
          <w:tcPr>
            <w:tcW w:w="1394" w:type="dxa"/>
            <w:tcBorders>
              <w:bottom w:val="nil"/>
            </w:tcBorders>
            <w:vAlign w:val="center"/>
          </w:tcPr>
          <w:p w:rsidR="003E4680" w:rsidRPr="00E64A61" w:rsidP="003E4680">
            <w:pPr>
              <w:rPr>
                <w:rFonts w:asciiTheme="minorHAnsi" w:hAnsiTheme="minorHAnsi" w:cstheme="minorHAnsi"/>
                <w:b/>
                <w:sz w:val="16"/>
                <w:szCs w:val="16"/>
              </w:rPr>
            </w:pPr>
            <w:r w:rsidRPr="00E64A61">
              <w:rPr>
                <w:rFonts w:asciiTheme="minorHAnsi" w:hAnsiTheme="minorHAnsi" w:cstheme="minorHAnsi"/>
                <w:b/>
                <w:sz w:val="16"/>
                <w:szCs w:val="16"/>
              </w:rPr>
              <w:t>WQ</w:t>
            </w:r>
            <w:r>
              <w:rPr>
                <w:rFonts w:asciiTheme="minorHAnsi" w:hAnsiTheme="minorHAnsi" w:cstheme="minorHAnsi"/>
                <w:b/>
                <w:sz w:val="16"/>
                <w:szCs w:val="16"/>
              </w:rPr>
              <w:t>MS406</w:t>
            </w:r>
          </w:p>
        </w:tc>
        <w:tc>
          <w:tcPr>
            <w:tcW w:w="1752" w:type="dxa"/>
            <w:vAlign w:val="center"/>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Wittenberg</w:t>
            </w:r>
          </w:p>
        </w:tc>
        <w:tc>
          <w:tcPr>
            <w:tcW w:w="1259" w:type="dxa"/>
            <w:vAlign w:val="center"/>
          </w:tcPr>
          <w:p w:rsidR="003E4680" w:rsidRPr="00E64A61" w:rsidP="003E4680">
            <w:pPr>
              <w:jc w:val="center"/>
              <w:rPr>
                <w:rFonts w:asciiTheme="minorHAnsi" w:hAnsiTheme="minorHAnsi" w:cstheme="minorHAnsi"/>
                <w:sz w:val="16"/>
                <w:szCs w:val="16"/>
              </w:rPr>
            </w:pPr>
            <w:r w:rsidRPr="00E64A61">
              <w:rPr>
                <w:rFonts w:asciiTheme="minorHAnsi" w:hAnsiTheme="minorHAnsi" w:cstheme="minorHAnsi"/>
                <w:sz w:val="16"/>
                <w:szCs w:val="16"/>
              </w:rPr>
              <w:t>4</w:t>
            </w:r>
            <w:r>
              <w:rPr>
                <w:rFonts w:asciiTheme="minorHAnsi" w:hAnsiTheme="minorHAnsi" w:cstheme="minorHAnsi"/>
                <w:sz w:val="16"/>
                <w:szCs w:val="16"/>
              </w:rPr>
              <w:t>4</w:t>
            </w:r>
            <w:r w:rsidRPr="00E64A61">
              <w:rPr>
                <w:rFonts w:asciiTheme="minorHAnsi" w:hAnsiTheme="minorHAnsi" w:cstheme="minorHAnsi"/>
                <w:sz w:val="16"/>
                <w:szCs w:val="16"/>
              </w:rPr>
              <w:t>° 4</w:t>
            </w:r>
            <w:r>
              <w:rPr>
                <w:rFonts w:asciiTheme="minorHAnsi" w:hAnsiTheme="minorHAnsi" w:cstheme="minorHAnsi"/>
                <w:sz w:val="16"/>
                <w:szCs w:val="16"/>
              </w:rPr>
              <w:t>9</w:t>
            </w:r>
            <w:r w:rsidRPr="00E64A61">
              <w:rPr>
                <w:rFonts w:asciiTheme="minorHAnsi" w:hAnsiTheme="minorHAnsi" w:cstheme="minorHAnsi"/>
                <w:sz w:val="16"/>
                <w:szCs w:val="16"/>
              </w:rPr>
              <w:t xml:space="preserve">' </w:t>
            </w:r>
            <w:r>
              <w:rPr>
                <w:rFonts w:asciiTheme="minorHAnsi" w:hAnsiTheme="minorHAnsi" w:cstheme="minorHAnsi"/>
                <w:sz w:val="16"/>
                <w:szCs w:val="16"/>
              </w:rPr>
              <w:t>09.8</w:t>
            </w:r>
            <w:r w:rsidRPr="00E64A61">
              <w:rPr>
                <w:rFonts w:asciiTheme="minorHAnsi" w:hAnsiTheme="minorHAnsi" w:cstheme="minorHAnsi"/>
                <w:sz w:val="16"/>
                <w:szCs w:val="16"/>
              </w:rPr>
              <w:t>" N</w:t>
            </w:r>
          </w:p>
        </w:tc>
        <w:tc>
          <w:tcPr>
            <w:tcW w:w="1260"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8</w:t>
            </w:r>
            <w:r w:rsidRPr="00E64A61">
              <w:rPr>
                <w:rFonts w:asciiTheme="minorHAnsi" w:hAnsiTheme="minorHAnsi" w:cstheme="minorHAnsi"/>
                <w:color w:val="000000"/>
                <w:sz w:val="16"/>
                <w:szCs w:val="16"/>
              </w:rPr>
              <w:t xml:space="preserve">9° </w:t>
            </w:r>
            <w:r>
              <w:rPr>
                <w:rFonts w:asciiTheme="minorHAnsi" w:hAnsiTheme="minorHAnsi" w:cstheme="minorHAnsi"/>
                <w:color w:val="000000"/>
                <w:sz w:val="16"/>
                <w:szCs w:val="16"/>
              </w:rPr>
              <w:t>03</w:t>
            </w:r>
            <w:r w:rsidRPr="00E64A61">
              <w:rPr>
                <w:rFonts w:asciiTheme="minorHAnsi" w:hAnsiTheme="minorHAnsi" w:cstheme="minorHAnsi"/>
                <w:color w:val="000000"/>
                <w:sz w:val="16"/>
                <w:szCs w:val="16"/>
              </w:rPr>
              <w:t xml:space="preserve">' </w:t>
            </w:r>
            <w:r>
              <w:rPr>
                <w:rFonts w:asciiTheme="minorHAnsi" w:hAnsiTheme="minorHAnsi" w:cstheme="minorHAnsi"/>
                <w:color w:val="000000"/>
                <w:sz w:val="16"/>
                <w:szCs w:val="16"/>
              </w:rPr>
              <w:t>22.6</w:t>
            </w:r>
            <w:r w:rsidRPr="00E64A61">
              <w:rPr>
                <w:rFonts w:asciiTheme="minorHAnsi" w:hAnsiTheme="minorHAnsi" w:cstheme="minorHAnsi"/>
                <w:color w:val="000000"/>
                <w:sz w:val="16"/>
                <w:szCs w:val="16"/>
              </w:rPr>
              <w:t>" W</w:t>
            </w:r>
          </w:p>
        </w:tc>
        <w:tc>
          <w:tcPr>
            <w:tcW w:w="967"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371.0</w:t>
            </w:r>
          </w:p>
        </w:tc>
        <w:tc>
          <w:tcPr>
            <w:tcW w:w="1027"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85.3</w:t>
            </w:r>
          </w:p>
        </w:tc>
        <w:tc>
          <w:tcPr>
            <w:tcW w:w="836"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90</w:t>
            </w:r>
          </w:p>
        </w:tc>
        <w:tc>
          <w:tcPr>
            <w:tcW w:w="1108"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119.0</w:t>
            </w:r>
          </w:p>
        </w:tc>
      </w:tr>
      <w:tr w:rsidTr="003E4680">
        <w:tblPrEx>
          <w:tblW w:w="9630" w:type="dxa"/>
          <w:jc w:val="center"/>
          <w:tblLook w:val="04A0"/>
        </w:tblPrEx>
        <w:trPr>
          <w:gridAfter w:val="1"/>
          <w:wAfter w:w="27" w:type="dxa"/>
          <w:trHeight w:val="288"/>
          <w:jc w:val="center"/>
        </w:trPr>
        <w:tc>
          <w:tcPr>
            <w:tcW w:w="1394" w:type="dxa"/>
            <w:tcBorders>
              <w:top w:val="nil"/>
              <w:bottom w:val="single" w:sz="4" w:space="0" w:color="auto"/>
            </w:tcBorders>
            <w:vAlign w:val="center"/>
          </w:tcPr>
          <w:p w:rsidR="003E4680" w:rsidRPr="00E64A61" w:rsidP="003E4680">
            <w:pPr>
              <w:rPr>
                <w:rFonts w:asciiTheme="minorHAnsi" w:hAnsiTheme="minorHAnsi" w:cstheme="minorHAnsi"/>
                <w:b/>
                <w:sz w:val="16"/>
                <w:szCs w:val="16"/>
              </w:rPr>
            </w:pPr>
          </w:p>
        </w:tc>
        <w:tc>
          <w:tcPr>
            <w:tcW w:w="1752" w:type="dxa"/>
            <w:vAlign w:val="center"/>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West Kewanee</w:t>
            </w:r>
          </w:p>
        </w:tc>
        <w:tc>
          <w:tcPr>
            <w:tcW w:w="1259"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sz w:val="16"/>
                <w:szCs w:val="16"/>
              </w:rPr>
              <w:t>44° 28' 40.6</w:t>
            </w:r>
            <w:r w:rsidRPr="00E64A61">
              <w:rPr>
                <w:rFonts w:asciiTheme="minorHAnsi" w:hAnsiTheme="minorHAnsi" w:cstheme="minorHAnsi"/>
                <w:sz w:val="16"/>
                <w:szCs w:val="16"/>
              </w:rPr>
              <w:t>" N</w:t>
            </w:r>
          </w:p>
        </w:tc>
        <w:tc>
          <w:tcPr>
            <w:tcW w:w="1260"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87° 34' 45.8</w:t>
            </w:r>
            <w:r w:rsidRPr="00E64A61">
              <w:rPr>
                <w:rFonts w:asciiTheme="minorHAnsi" w:hAnsiTheme="minorHAnsi" w:cstheme="minorHAnsi"/>
                <w:color w:val="000000"/>
                <w:sz w:val="16"/>
                <w:szCs w:val="16"/>
              </w:rPr>
              <w:t>" W</w:t>
            </w:r>
          </w:p>
        </w:tc>
        <w:tc>
          <w:tcPr>
            <w:tcW w:w="967"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227.9</w:t>
            </w:r>
          </w:p>
        </w:tc>
        <w:tc>
          <w:tcPr>
            <w:tcW w:w="1027"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97.5</w:t>
            </w:r>
          </w:p>
        </w:tc>
        <w:tc>
          <w:tcPr>
            <w:tcW w:w="836"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124</w:t>
            </w:r>
          </w:p>
        </w:tc>
        <w:tc>
          <w:tcPr>
            <w:tcW w:w="1108"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110.0</w:t>
            </w:r>
          </w:p>
        </w:tc>
      </w:tr>
      <w:tr w:rsidTr="003E4680">
        <w:tblPrEx>
          <w:tblW w:w="9630" w:type="dxa"/>
          <w:jc w:val="center"/>
          <w:tblLook w:val="04A0"/>
        </w:tblPrEx>
        <w:trPr>
          <w:gridAfter w:val="1"/>
          <w:wAfter w:w="27" w:type="dxa"/>
          <w:trHeight w:val="288"/>
          <w:jc w:val="center"/>
        </w:trPr>
        <w:tc>
          <w:tcPr>
            <w:tcW w:w="1394" w:type="dxa"/>
            <w:tcBorders>
              <w:bottom w:val="nil"/>
            </w:tcBorders>
            <w:vAlign w:val="center"/>
          </w:tcPr>
          <w:p w:rsidR="003E4680" w:rsidRPr="00E64A61" w:rsidP="003E4680">
            <w:pPr>
              <w:rPr>
                <w:rFonts w:asciiTheme="minorHAnsi" w:hAnsiTheme="minorHAnsi" w:cstheme="minorHAnsi"/>
                <w:b/>
                <w:sz w:val="16"/>
                <w:szCs w:val="16"/>
              </w:rPr>
            </w:pPr>
            <w:r w:rsidRPr="00E64A61">
              <w:rPr>
                <w:rFonts w:asciiTheme="minorHAnsi" w:hAnsiTheme="minorHAnsi" w:cstheme="minorHAnsi"/>
                <w:b/>
                <w:sz w:val="16"/>
                <w:szCs w:val="16"/>
              </w:rPr>
              <w:t>WQ</w:t>
            </w:r>
            <w:r>
              <w:rPr>
                <w:rFonts w:asciiTheme="minorHAnsi" w:hAnsiTheme="minorHAnsi" w:cstheme="minorHAnsi"/>
                <w:b/>
                <w:sz w:val="16"/>
                <w:szCs w:val="16"/>
              </w:rPr>
              <w:t>MS407</w:t>
            </w:r>
          </w:p>
        </w:tc>
        <w:tc>
          <w:tcPr>
            <w:tcW w:w="1752" w:type="dxa"/>
            <w:vAlign w:val="center"/>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Marinette</w:t>
            </w:r>
          </w:p>
        </w:tc>
        <w:tc>
          <w:tcPr>
            <w:tcW w:w="1259" w:type="dxa"/>
            <w:vAlign w:val="center"/>
          </w:tcPr>
          <w:p w:rsidR="003E4680" w:rsidRPr="00E64A61" w:rsidP="003E4680">
            <w:pPr>
              <w:jc w:val="center"/>
              <w:rPr>
                <w:rFonts w:asciiTheme="minorHAnsi" w:hAnsiTheme="minorHAnsi" w:cstheme="minorHAnsi"/>
                <w:sz w:val="16"/>
                <w:szCs w:val="16"/>
              </w:rPr>
            </w:pPr>
            <w:r w:rsidRPr="00E64A61">
              <w:rPr>
                <w:rFonts w:asciiTheme="minorHAnsi" w:hAnsiTheme="minorHAnsi" w:cstheme="minorHAnsi"/>
                <w:color w:val="000000"/>
                <w:sz w:val="16"/>
                <w:szCs w:val="16"/>
              </w:rPr>
              <w:t>45° 0</w:t>
            </w:r>
            <w:r>
              <w:rPr>
                <w:rFonts w:asciiTheme="minorHAnsi" w:hAnsiTheme="minorHAnsi" w:cstheme="minorHAnsi"/>
                <w:color w:val="000000"/>
                <w:sz w:val="16"/>
                <w:szCs w:val="16"/>
              </w:rPr>
              <w:t>5</w:t>
            </w:r>
            <w:r w:rsidRPr="00E64A61">
              <w:rPr>
                <w:rFonts w:asciiTheme="minorHAnsi" w:hAnsiTheme="minorHAnsi" w:cstheme="minorHAnsi"/>
                <w:color w:val="000000"/>
                <w:sz w:val="16"/>
                <w:szCs w:val="16"/>
              </w:rPr>
              <w:t xml:space="preserve">' </w:t>
            </w:r>
            <w:r>
              <w:rPr>
                <w:rFonts w:asciiTheme="minorHAnsi" w:hAnsiTheme="minorHAnsi" w:cstheme="minorHAnsi"/>
                <w:color w:val="000000"/>
                <w:sz w:val="16"/>
                <w:szCs w:val="16"/>
              </w:rPr>
              <w:t>14.0</w:t>
            </w:r>
            <w:r w:rsidRPr="00E64A61">
              <w:rPr>
                <w:rFonts w:asciiTheme="minorHAnsi" w:hAnsiTheme="minorHAnsi" w:cstheme="minorHAnsi"/>
                <w:color w:val="000000"/>
                <w:sz w:val="16"/>
                <w:szCs w:val="16"/>
              </w:rPr>
              <w:t>" N</w:t>
            </w:r>
          </w:p>
        </w:tc>
        <w:tc>
          <w:tcPr>
            <w:tcW w:w="1260"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87</w:t>
            </w:r>
            <w:r w:rsidRPr="00E64A61">
              <w:rPr>
                <w:rFonts w:asciiTheme="minorHAnsi" w:hAnsiTheme="minorHAnsi" w:cstheme="minorHAnsi"/>
                <w:color w:val="000000"/>
                <w:sz w:val="16"/>
                <w:szCs w:val="16"/>
              </w:rPr>
              <w:t xml:space="preserve">° </w:t>
            </w:r>
            <w:r>
              <w:rPr>
                <w:rFonts w:asciiTheme="minorHAnsi" w:hAnsiTheme="minorHAnsi" w:cstheme="minorHAnsi"/>
                <w:color w:val="000000"/>
                <w:sz w:val="16"/>
                <w:szCs w:val="16"/>
              </w:rPr>
              <w:t>54</w:t>
            </w:r>
            <w:r w:rsidRPr="00E64A61">
              <w:rPr>
                <w:rFonts w:asciiTheme="minorHAnsi" w:hAnsiTheme="minorHAnsi" w:cstheme="minorHAnsi"/>
                <w:color w:val="000000"/>
                <w:sz w:val="16"/>
                <w:szCs w:val="16"/>
              </w:rPr>
              <w:t xml:space="preserve">' </w:t>
            </w:r>
            <w:r>
              <w:rPr>
                <w:rFonts w:asciiTheme="minorHAnsi" w:hAnsiTheme="minorHAnsi" w:cstheme="minorHAnsi"/>
                <w:color w:val="000000"/>
                <w:sz w:val="16"/>
                <w:szCs w:val="16"/>
              </w:rPr>
              <w:t>45.8</w:t>
            </w:r>
            <w:r w:rsidRPr="00E64A61">
              <w:rPr>
                <w:rFonts w:asciiTheme="minorHAnsi" w:hAnsiTheme="minorHAnsi" w:cstheme="minorHAnsi"/>
                <w:color w:val="000000"/>
                <w:sz w:val="16"/>
                <w:szCs w:val="16"/>
              </w:rPr>
              <w:t>" W</w:t>
            </w:r>
          </w:p>
        </w:tc>
        <w:tc>
          <w:tcPr>
            <w:tcW w:w="967"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224</w:t>
            </w:r>
            <w:r w:rsidRPr="00E64A61">
              <w:rPr>
                <w:rFonts w:asciiTheme="minorHAnsi" w:hAnsiTheme="minorHAnsi" w:cstheme="minorHAnsi"/>
                <w:color w:val="000000"/>
                <w:sz w:val="16"/>
                <w:szCs w:val="16"/>
              </w:rPr>
              <w:t>.8</w:t>
            </w:r>
          </w:p>
        </w:tc>
        <w:tc>
          <w:tcPr>
            <w:tcW w:w="1027"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91.4</w:t>
            </w:r>
          </w:p>
        </w:tc>
        <w:tc>
          <w:tcPr>
            <w:tcW w:w="836"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104</w:t>
            </w:r>
            <w:r w:rsidRPr="00E64A61">
              <w:rPr>
                <w:rFonts w:asciiTheme="minorHAnsi" w:hAnsiTheme="minorHAnsi" w:cstheme="minorHAnsi"/>
                <w:color w:val="000000"/>
                <w:sz w:val="16"/>
                <w:szCs w:val="16"/>
              </w:rPr>
              <w:t xml:space="preserve"> </w:t>
            </w:r>
          </w:p>
        </w:tc>
        <w:tc>
          <w:tcPr>
            <w:tcW w:w="1108" w:type="dxa"/>
            <w:vAlign w:val="center"/>
          </w:tcPr>
          <w:p w:rsidR="003E4680" w:rsidRPr="00E64A61" w:rsidP="003E4680">
            <w:pPr>
              <w:jc w:val="center"/>
              <w:rPr>
                <w:rFonts w:asciiTheme="minorHAnsi" w:hAnsiTheme="minorHAnsi" w:cstheme="minorHAnsi"/>
                <w:sz w:val="16"/>
                <w:szCs w:val="16"/>
              </w:rPr>
            </w:pPr>
            <w:r w:rsidRPr="00E64A61">
              <w:rPr>
                <w:rFonts w:asciiTheme="minorHAnsi" w:hAnsiTheme="minorHAnsi" w:cstheme="minorHAnsi"/>
                <w:color w:val="000000"/>
                <w:sz w:val="16"/>
                <w:szCs w:val="16"/>
              </w:rPr>
              <w:t>1</w:t>
            </w:r>
            <w:r>
              <w:rPr>
                <w:rFonts w:asciiTheme="minorHAnsi" w:hAnsiTheme="minorHAnsi" w:cstheme="minorHAnsi"/>
                <w:color w:val="000000"/>
                <w:sz w:val="16"/>
                <w:szCs w:val="16"/>
              </w:rPr>
              <w:t>10.9</w:t>
            </w:r>
          </w:p>
        </w:tc>
      </w:tr>
      <w:tr w:rsidTr="003E4680">
        <w:tblPrEx>
          <w:tblW w:w="9630" w:type="dxa"/>
          <w:jc w:val="center"/>
          <w:tblLook w:val="04A0"/>
        </w:tblPrEx>
        <w:trPr>
          <w:gridAfter w:val="1"/>
          <w:wAfter w:w="27" w:type="dxa"/>
          <w:trHeight w:val="288"/>
          <w:jc w:val="center"/>
        </w:trPr>
        <w:tc>
          <w:tcPr>
            <w:tcW w:w="1394" w:type="dxa"/>
            <w:tcBorders>
              <w:top w:val="nil"/>
              <w:bottom w:val="single" w:sz="4" w:space="0" w:color="auto"/>
            </w:tcBorders>
            <w:vAlign w:val="center"/>
          </w:tcPr>
          <w:p w:rsidR="003E4680" w:rsidRPr="00E64A61" w:rsidP="003E4680">
            <w:pPr>
              <w:rPr>
                <w:rFonts w:asciiTheme="minorHAnsi" w:hAnsiTheme="minorHAnsi" w:cstheme="minorHAnsi"/>
                <w:b/>
                <w:sz w:val="16"/>
                <w:szCs w:val="16"/>
              </w:rPr>
            </w:pPr>
          </w:p>
        </w:tc>
        <w:tc>
          <w:tcPr>
            <w:tcW w:w="1752" w:type="dxa"/>
            <w:vAlign w:val="center"/>
          </w:tcPr>
          <w:p w:rsidR="003E4680" w:rsidRPr="00E64A61" w:rsidP="003E4680">
            <w:pPr>
              <w:tabs>
                <w:tab w:val="left" w:pos="1291"/>
              </w:tabs>
              <w:rPr>
                <w:rFonts w:asciiTheme="minorHAnsi" w:hAnsiTheme="minorHAnsi" w:cstheme="minorHAnsi"/>
                <w:sz w:val="16"/>
                <w:szCs w:val="16"/>
              </w:rPr>
            </w:pPr>
            <w:r>
              <w:rPr>
                <w:rFonts w:asciiTheme="minorHAnsi" w:hAnsiTheme="minorHAnsi" w:cstheme="minorHAnsi"/>
                <w:sz w:val="16"/>
                <w:szCs w:val="16"/>
              </w:rPr>
              <w:t>Florence</w:t>
            </w:r>
          </w:p>
        </w:tc>
        <w:tc>
          <w:tcPr>
            <w:tcW w:w="1259" w:type="dxa"/>
            <w:vAlign w:val="center"/>
          </w:tcPr>
          <w:p w:rsidR="003E4680" w:rsidRPr="00E64A61" w:rsidP="003E4680">
            <w:pPr>
              <w:jc w:val="center"/>
              <w:rPr>
                <w:rFonts w:asciiTheme="minorHAnsi" w:hAnsiTheme="minorHAnsi" w:cstheme="minorHAnsi"/>
                <w:sz w:val="16"/>
                <w:szCs w:val="16"/>
              </w:rPr>
            </w:pPr>
            <w:r w:rsidRPr="00E64A61">
              <w:rPr>
                <w:rFonts w:asciiTheme="minorHAnsi" w:hAnsiTheme="minorHAnsi" w:cstheme="minorHAnsi"/>
                <w:color w:val="000000"/>
                <w:sz w:val="16"/>
                <w:szCs w:val="16"/>
              </w:rPr>
              <w:t xml:space="preserve">45° </w:t>
            </w:r>
            <w:r>
              <w:rPr>
                <w:rFonts w:asciiTheme="minorHAnsi" w:hAnsiTheme="minorHAnsi" w:cstheme="minorHAnsi"/>
                <w:color w:val="000000"/>
                <w:sz w:val="16"/>
                <w:szCs w:val="16"/>
              </w:rPr>
              <w:t>53</w:t>
            </w:r>
            <w:r w:rsidRPr="00E64A61">
              <w:rPr>
                <w:rFonts w:asciiTheme="minorHAnsi" w:hAnsiTheme="minorHAnsi" w:cstheme="minorHAnsi"/>
                <w:color w:val="000000"/>
                <w:sz w:val="16"/>
                <w:szCs w:val="16"/>
              </w:rPr>
              <w:t xml:space="preserve">' </w:t>
            </w:r>
            <w:r>
              <w:rPr>
                <w:rFonts w:asciiTheme="minorHAnsi" w:hAnsiTheme="minorHAnsi" w:cstheme="minorHAnsi"/>
                <w:color w:val="000000"/>
                <w:sz w:val="16"/>
                <w:szCs w:val="16"/>
              </w:rPr>
              <w:t>35.9</w:t>
            </w:r>
            <w:r w:rsidRPr="00E64A61">
              <w:rPr>
                <w:rFonts w:asciiTheme="minorHAnsi" w:hAnsiTheme="minorHAnsi" w:cstheme="minorHAnsi"/>
                <w:color w:val="000000"/>
                <w:sz w:val="16"/>
                <w:szCs w:val="16"/>
              </w:rPr>
              <w:t>" N</w:t>
            </w:r>
          </w:p>
        </w:tc>
        <w:tc>
          <w:tcPr>
            <w:tcW w:w="1260"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8</w:t>
            </w:r>
            <w:r w:rsidRPr="00E64A61">
              <w:rPr>
                <w:rFonts w:asciiTheme="minorHAnsi" w:hAnsiTheme="minorHAnsi" w:cstheme="minorHAnsi"/>
                <w:color w:val="000000"/>
                <w:sz w:val="16"/>
                <w:szCs w:val="16"/>
              </w:rPr>
              <w:t xml:space="preserve">8° </w:t>
            </w:r>
            <w:r>
              <w:rPr>
                <w:rFonts w:asciiTheme="minorHAnsi" w:hAnsiTheme="minorHAnsi" w:cstheme="minorHAnsi"/>
                <w:color w:val="000000"/>
                <w:sz w:val="16"/>
                <w:szCs w:val="16"/>
              </w:rPr>
              <w:t>17</w:t>
            </w:r>
            <w:r w:rsidRPr="00E64A61">
              <w:rPr>
                <w:rFonts w:asciiTheme="minorHAnsi" w:hAnsiTheme="minorHAnsi" w:cstheme="minorHAnsi"/>
                <w:color w:val="000000"/>
                <w:sz w:val="16"/>
                <w:szCs w:val="16"/>
              </w:rPr>
              <w:t xml:space="preserve">' </w:t>
            </w:r>
            <w:r>
              <w:rPr>
                <w:rFonts w:asciiTheme="minorHAnsi" w:hAnsiTheme="minorHAnsi" w:cstheme="minorHAnsi"/>
                <w:color w:val="000000"/>
                <w:sz w:val="16"/>
                <w:szCs w:val="16"/>
              </w:rPr>
              <w:t>48.2</w:t>
            </w:r>
            <w:r w:rsidRPr="00E64A61">
              <w:rPr>
                <w:rFonts w:asciiTheme="minorHAnsi" w:hAnsiTheme="minorHAnsi" w:cstheme="minorHAnsi"/>
                <w:color w:val="000000"/>
                <w:sz w:val="16"/>
                <w:szCs w:val="16"/>
              </w:rPr>
              <w:t>" W</w:t>
            </w:r>
          </w:p>
        </w:tc>
        <w:tc>
          <w:tcPr>
            <w:tcW w:w="967"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451.0</w:t>
            </w:r>
            <w:r w:rsidRPr="00E64A61">
              <w:rPr>
                <w:rFonts w:asciiTheme="minorHAnsi" w:hAnsiTheme="minorHAnsi" w:cstheme="minorHAnsi"/>
                <w:color w:val="000000"/>
                <w:sz w:val="16"/>
                <w:szCs w:val="16"/>
              </w:rPr>
              <w:t xml:space="preserve"> </w:t>
            </w:r>
          </w:p>
        </w:tc>
        <w:tc>
          <w:tcPr>
            <w:tcW w:w="1027"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67</w:t>
            </w:r>
          </w:p>
        </w:tc>
        <w:tc>
          <w:tcPr>
            <w:tcW w:w="836"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125</w:t>
            </w:r>
          </w:p>
        </w:tc>
        <w:tc>
          <w:tcPr>
            <w:tcW w:w="1108"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114.6</w:t>
            </w:r>
          </w:p>
        </w:tc>
      </w:tr>
      <w:tr w:rsidTr="003E4680">
        <w:tblPrEx>
          <w:tblW w:w="9630" w:type="dxa"/>
          <w:jc w:val="center"/>
          <w:tblLook w:val="04A0"/>
        </w:tblPrEx>
        <w:trPr>
          <w:gridAfter w:val="1"/>
          <w:wAfter w:w="27" w:type="dxa"/>
          <w:trHeight w:val="288"/>
          <w:jc w:val="center"/>
        </w:trPr>
        <w:tc>
          <w:tcPr>
            <w:tcW w:w="1394" w:type="dxa"/>
            <w:tcBorders>
              <w:bottom w:val="single" w:sz="4" w:space="0" w:color="auto"/>
            </w:tcBorders>
            <w:vAlign w:val="center"/>
          </w:tcPr>
          <w:p w:rsidR="003E4680" w:rsidRPr="00E64A61" w:rsidP="003E4680">
            <w:pPr>
              <w:rPr>
                <w:rFonts w:asciiTheme="minorHAnsi" w:hAnsiTheme="minorHAnsi" w:cstheme="minorHAnsi"/>
                <w:b/>
                <w:sz w:val="16"/>
                <w:szCs w:val="16"/>
              </w:rPr>
            </w:pPr>
            <w:r w:rsidRPr="00E64A61">
              <w:rPr>
                <w:rFonts w:asciiTheme="minorHAnsi" w:hAnsiTheme="minorHAnsi" w:cstheme="minorHAnsi"/>
                <w:b/>
                <w:sz w:val="16"/>
                <w:szCs w:val="16"/>
              </w:rPr>
              <w:t>WQM</w:t>
            </w:r>
            <w:r>
              <w:rPr>
                <w:rFonts w:asciiTheme="minorHAnsi" w:hAnsiTheme="minorHAnsi" w:cstheme="minorHAnsi"/>
                <w:b/>
                <w:sz w:val="16"/>
                <w:szCs w:val="16"/>
              </w:rPr>
              <w:t>S408</w:t>
            </w:r>
          </w:p>
        </w:tc>
        <w:tc>
          <w:tcPr>
            <w:tcW w:w="1752" w:type="dxa"/>
            <w:vAlign w:val="center"/>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Lakewood</w:t>
            </w:r>
          </w:p>
        </w:tc>
        <w:tc>
          <w:tcPr>
            <w:tcW w:w="1259" w:type="dxa"/>
            <w:vAlign w:val="center"/>
          </w:tcPr>
          <w:p w:rsidR="003E4680" w:rsidRPr="00E64A61" w:rsidP="003E4680">
            <w:pPr>
              <w:jc w:val="center"/>
              <w:rPr>
                <w:rFonts w:asciiTheme="minorHAnsi" w:hAnsiTheme="minorHAnsi" w:cstheme="minorHAnsi"/>
                <w:sz w:val="16"/>
                <w:szCs w:val="16"/>
              </w:rPr>
            </w:pPr>
            <w:r w:rsidRPr="00E64A61">
              <w:rPr>
                <w:rFonts w:asciiTheme="minorHAnsi" w:hAnsiTheme="minorHAnsi" w:cstheme="minorHAnsi"/>
                <w:color w:val="000000"/>
                <w:sz w:val="16"/>
                <w:szCs w:val="16"/>
              </w:rPr>
              <w:t xml:space="preserve">45° </w:t>
            </w:r>
            <w:r>
              <w:rPr>
                <w:rFonts w:asciiTheme="minorHAnsi" w:hAnsiTheme="minorHAnsi" w:cstheme="minorHAnsi"/>
                <w:color w:val="000000"/>
                <w:sz w:val="16"/>
                <w:szCs w:val="16"/>
              </w:rPr>
              <w:t>2</w:t>
            </w:r>
            <w:r w:rsidRPr="00E64A61">
              <w:rPr>
                <w:rFonts w:asciiTheme="minorHAnsi" w:hAnsiTheme="minorHAnsi" w:cstheme="minorHAnsi"/>
                <w:color w:val="000000"/>
                <w:sz w:val="16"/>
                <w:szCs w:val="16"/>
              </w:rPr>
              <w:t xml:space="preserve">4' </w:t>
            </w:r>
            <w:r>
              <w:rPr>
                <w:rFonts w:asciiTheme="minorHAnsi" w:hAnsiTheme="minorHAnsi" w:cstheme="minorHAnsi"/>
                <w:color w:val="000000"/>
                <w:sz w:val="16"/>
                <w:szCs w:val="16"/>
              </w:rPr>
              <w:t>15.7</w:t>
            </w:r>
            <w:r w:rsidRPr="00E64A61">
              <w:rPr>
                <w:rFonts w:asciiTheme="minorHAnsi" w:hAnsiTheme="minorHAnsi" w:cstheme="minorHAnsi"/>
                <w:color w:val="000000"/>
                <w:sz w:val="16"/>
                <w:szCs w:val="16"/>
              </w:rPr>
              <w:t>" N</w:t>
            </w:r>
          </w:p>
        </w:tc>
        <w:tc>
          <w:tcPr>
            <w:tcW w:w="1260"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88</w:t>
            </w:r>
            <w:r w:rsidRPr="00E64A61">
              <w:rPr>
                <w:rFonts w:asciiTheme="minorHAnsi" w:hAnsiTheme="minorHAnsi" w:cstheme="minorHAnsi"/>
                <w:color w:val="000000"/>
                <w:sz w:val="16"/>
                <w:szCs w:val="16"/>
              </w:rPr>
              <w:t xml:space="preserve">° </w:t>
            </w:r>
            <w:r>
              <w:rPr>
                <w:rFonts w:asciiTheme="minorHAnsi" w:hAnsiTheme="minorHAnsi" w:cstheme="minorHAnsi"/>
                <w:color w:val="000000"/>
                <w:sz w:val="16"/>
                <w:szCs w:val="16"/>
              </w:rPr>
              <w:t>21</w:t>
            </w:r>
            <w:r w:rsidRPr="00E64A61">
              <w:rPr>
                <w:rFonts w:asciiTheme="minorHAnsi" w:hAnsiTheme="minorHAnsi" w:cstheme="minorHAnsi"/>
                <w:color w:val="000000"/>
                <w:sz w:val="16"/>
                <w:szCs w:val="16"/>
              </w:rPr>
              <w:t xml:space="preserve">' </w:t>
            </w:r>
            <w:r>
              <w:rPr>
                <w:rFonts w:asciiTheme="minorHAnsi" w:hAnsiTheme="minorHAnsi" w:cstheme="minorHAnsi"/>
                <w:color w:val="000000"/>
                <w:sz w:val="16"/>
                <w:szCs w:val="16"/>
              </w:rPr>
              <w:t>11.7</w:t>
            </w:r>
            <w:r w:rsidRPr="00E64A61">
              <w:rPr>
                <w:rFonts w:asciiTheme="minorHAnsi" w:hAnsiTheme="minorHAnsi" w:cstheme="minorHAnsi"/>
                <w:color w:val="000000"/>
                <w:sz w:val="16"/>
                <w:szCs w:val="16"/>
              </w:rPr>
              <w:t>" W</w:t>
            </w:r>
          </w:p>
        </w:tc>
        <w:tc>
          <w:tcPr>
            <w:tcW w:w="967"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420.0</w:t>
            </w:r>
          </w:p>
        </w:tc>
        <w:tc>
          <w:tcPr>
            <w:tcW w:w="1027"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88.3</w:t>
            </w:r>
          </w:p>
        </w:tc>
        <w:tc>
          <w:tcPr>
            <w:tcW w:w="836"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100</w:t>
            </w:r>
          </w:p>
        </w:tc>
        <w:tc>
          <w:tcPr>
            <w:tcW w:w="1108"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150.9</w:t>
            </w:r>
          </w:p>
        </w:tc>
      </w:tr>
      <w:tr w:rsidTr="003E4680">
        <w:tblPrEx>
          <w:tblW w:w="9630" w:type="dxa"/>
          <w:jc w:val="center"/>
          <w:tblLook w:val="04A0"/>
        </w:tblPrEx>
        <w:trPr>
          <w:gridAfter w:val="1"/>
          <w:wAfter w:w="27" w:type="dxa"/>
          <w:trHeight w:val="288"/>
          <w:jc w:val="center"/>
        </w:trPr>
        <w:tc>
          <w:tcPr>
            <w:tcW w:w="1394" w:type="dxa"/>
            <w:tcBorders>
              <w:bottom w:val="nil"/>
            </w:tcBorders>
            <w:vAlign w:val="center"/>
          </w:tcPr>
          <w:p w:rsidR="003E4680" w:rsidRPr="00E64A61" w:rsidP="003E4680">
            <w:pPr>
              <w:rPr>
                <w:rFonts w:asciiTheme="minorHAnsi" w:hAnsiTheme="minorHAnsi" w:cstheme="minorHAnsi"/>
                <w:b/>
                <w:sz w:val="16"/>
                <w:szCs w:val="16"/>
              </w:rPr>
            </w:pPr>
            <w:r w:rsidRPr="00E64A61">
              <w:rPr>
                <w:rFonts w:asciiTheme="minorHAnsi" w:hAnsiTheme="minorHAnsi" w:cstheme="minorHAnsi"/>
                <w:b/>
                <w:sz w:val="16"/>
                <w:szCs w:val="16"/>
              </w:rPr>
              <w:t>WQ</w:t>
            </w:r>
            <w:r>
              <w:rPr>
                <w:rFonts w:asciiTheme="minorHAnsi" w:hAnsiTheme="minorHAnsi" w:cstheme="minorHAnsi"/>
                <w:b/>
                <w:sz w:val="16"/>
                <w:szCs w:val="16"/>
              </w:rPr>
              <w:t>MS409</w:t>
            </w:r>
          </w:p>
        </w:tc>
        <w:tc>
          <w:tcPr>
            <w:tcW w:w="1752" w:type="dxa"/>
            <w:vAlign w:val="center"/>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Fence</w:t>
            </w:r>
          </w:p>
        </w:tc>
        <w:tc>
          <w:tcPr>
            <w:tcW w:w="1259" w:type="dxa"/>
            <w:vAlign w:val="center"/>
          </w:tcPr>
          <w:p w:rsidR="003E4680" w:rsidRPr="00E64A61" w:rsidP="003E4680">
            <w:pPr>
              <w:jc w:val="center"/>
              <w:rPr>
                <w:rFonts w:asciiTheme="minorHAnsi" w:hAnsiTheme="minorHAnsi" w:cstheme="minorHAnsi"/>
                <w:sz w:val="16"/>
                <w:szCs w:val="16"/>
              </w:rPr>
            </w:pPr>
            <w:r w:rsidRPr="00E64A61">
              <w:rPr>
                <w:rFonts w:asciiTheme="minorHAnsi" w:hAnsiTheme="minorHAnsi" w:cstheme="minorHAnsi"/>
                <w:color w:val="000000"/>
                <w:sz w:val="16"/>
                <w:szCs w:val="16"/>
              </w:rPr>
              <w:t xml:space="preserve">45° </w:t>
            </w:r>
            <w:r>
              <w:rPr>
                <w:rFonts w:asciiTheme="minorHAnsi" w:hAnsiTheme="minorHAnsi" w:cstheme="minorHAnsi"/>
                <w:color w:val="000000"/>
                <w:sz w:val="16"/>
                <w:szCs w:val="16"/>
              </w:rPr>
              <w:t>4</w:t>
            </w:r>
            <w:r w:rsidRPr="00E64A61">
              <w:rPr>
                <w:rFonts w:asciiTheme="minorHAnsi" w:hAnsiTheme="minorHAnsi" w:cstheme="minorHAnsi"/>
                <w:color w:val="000000"/>
                <w:sz w:val="16"/>
                <w:szCs w:val="16"/>
              </w:rPr>
              <w:t xml:space="preserve">4' </w:t>
            </w:r>
            <w:r>
              <w:rPr>
                <w:rFonts w:asciiTheme="minorHAnsi" w:hAnsiTheme="minorHAnsi" w:cstheme="minorHAnsi"/>
                <w:color w:val="000000"/>
                <w:sz w:val="16"/>
                <w:szCs w:val="16"/>
              </w:rPr>
              <w:t>07.2</w:t>
            </w:r>
            <w:r w:rsidRPr="00E64A61">
              <w:rPr>
                <w:rFonts w:asciiTheme="minorHAnsi" w:hAnsiTheme="minorHAnsi" w:cstheme="minorHAnsi"/>
                <w:color w:val="000000"/>
                <w:sz w:val="16"/>
                <w:szCs w:val="16"/>
              </w:rPr>
              <w:t>" N</w:t>
            </w:r>
          </w:p>
        </w:tc>
        <w:tc>
          <w:tcPr>
            <w:tcW w:w="1260"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88</w:t>
            </w:r>
            <w:r w:rsidRPr="00E64A61">
              <w:rPr>
                <w:rFonts w:asciiTheme="minorHAnsi" w:hAnsiTheme="minorHAnsi" w:cstheme="minorHAnsi"/>
                <w:color w:val="000000"/>
                <w:sz w:val="16"/>
                <w:szCs w:val="16"/>
              </w:rPr>
              <w:t xml:space="preserve">° </w:t>
            </w:r>
            <w:r>
              <w:rPr>
                <w:rFonts w:asciiTheme="minorHAnsi" w:hAnsiTheme="minorHAnsi" w:cstheme="minorHAnsi"/>
                <w:color w:val="000000"/>
                <w:sz w:val="16"/>
                <w:szCs w:val="16"/>
              </w:rPr>
              <w:t>25</w:t>
            </w:r>
            <w:r w:rsidRPr="00E64A61">
              <w:rPr>
                <w:rFonts w:asciiTheme="minorHAnsi" w:hAnsiTheme="minorHAnsi" w:cstheme="minorHAnsi"/>
                <w:color w:val="000000"/>
                <w:sz w:val="16"/>
                <w:szCs w:val="16"/>
              </w:rPr>
              <w:t xml:space="preserve">' </w:t>
            </w:r>
            <w:r>
              <w:rPr>
                <w:rFonts w:asciiTheme="minorHAnsi" w:hAnsiTheme="minorHAnsi" w:cstheme="minorHAnsi"/>
                <w:color w:val="000000"/>
                <w:sz w:val="16"/>
                <w:szCs w:val="16"/>
              </w:rPr>
              <w:t>38.4</w:t>
            </w:r>
            <w:r w:rsidRPr="00E64A61">
              <w:rPr>
                <w:rFonts w:asciiTheme="minorHAnsi" w:hAnsiTheme="minorHAnsi" w:cstheme="minorHAnsi"/>
                <w:color w:val="000000"/>
                <w:sz w:val="16"/>
                <w:szCs w:val="16"/>
              </w:rPr>
              <w:t>" W</w:t>
            </w:r>
          </w:p>
        </w:tc>
        <w:tc>
          <w:tcPr>
            <w:tcW w:w="967"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476.0</w:t>
            </w:r>
          </w:p>
        </w:tc>
        <w:tc>
          <w:tcPr>
            <w:tcW w:w="1027"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120.4</w:t>
            </w:r>
          </w:p>
        </w:tc>
        <w:tc>
          <w:tcPr>
            <w:tcW w:w="836"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95</w:t>
            </w:r>
            <w:r w:rsidRPr="00E64A61">
              <w:rPr>
                <w:rFonts w:asciiTheme="minorHAnsi" w:hAnsiTheme="minorHAnsi" w:cstheme="minorHAnsi"/>
                <w:color w:val="000000"/>
                <w:sz w:val="16"/>
                <w:szCs w:val="16"/>
              </w:rPr>
              <w:t xml:space="preserve"> </w:t>
            </w:r>
          </w:p>
        </w:tc>
        <w:tc>
          <w:tcPr>
            <w:tcW w:w="1108"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156.8</w:t>
            </w:r>
          </w:p>
        </w:tc>
      </w:tr>
      <w:tr w:rsidTr="003E4680">
        <w:tblPrEx>
          <w:tblW w:w="9630" w:type="dxa"/>
          <w:jc w:val="center"/>
          <w:tblLook w:val="04A0"/>
        </w:tblPrEx>
        <w:trPr>
          <w:gridAfter w:val="1"/>
          <w:wAfter w:w="27" w:type="dxa"/>
          <w:trHeight w:val="288"/>
          <w:jc w:val="center"/>
        </w:trPr>
        <w:tc>
          <w:tcPr>
            <w:tcW w:w="1394" w:type="dxa"/>
            <w:tcBorders>
              <w:top w:val="nil"/>
              <w:bottom w:val="single" w:sz="4" w:space="0" w:color="auto"/>
            </w:tcBorders>
            <w:vAlign w:val="center"/>
          </w:tcPr>
          <w:p w:rsidR="003E4680" w:rsidRPr="00E64A61" w:rsidP="003E4680">
            <w:pPr>
              <w:rPr>
                <w:rFonts w:asciiTheme="minorHAnsi" w:hAnsiTheme="minorHAnsi" w:cstheme="minorHAnsi"/>
                <w:sz w:val="16"/>
                <w:szCs w:val="16"/>
              </w:rPr>
            </w:pPr>
          </w:p>
        </w:tc>
        <w:tc>
          <w:tcPr>
            <w:tcW w:w="1752" w:type="dxa"/>
            <w:vAlign w:val="center"/>
          </w:tcPr>
          <w:p w:rsidR="003E4680" w:rsidRPr="00E64A61" w:rsidP="003E4680">
            <w:pPr>
              <w:rPr>
                <w:rFonts w:asciiTheme="minorHAnsi" w:hAnsiTheme="minorHAnsi" w:cstheme="minorHAnsi"/>
                <w:sz w:val="16"/>
                <w:szCs w:val="16"/>
              </w:rPr>
            </w:pPr>
            <w:r w:rsidRPr="00E64A61">
              <w:rPr>
                <w:rFonts w:asciiTheme="minorHAnsi" w:hAnsiTheme="minorHAnsi" w:cstheme="minorHAnsi"/>
                <w:sz w:val="16"/>
                <w:szCs w:val="16"/>
              </w:rPr>
              <w:t>P</w:t>
            </w:r>
            <w:r>
              <w:rPr>
                <w:rFonts w:asciiTheme="minorHAnsi" w:hAnsiTheme="minorHAnsi" w:cstheme="minorHAnsi"/>
                <w:sz w:val="16"/>
                <w:szCs w:val="16"/>
              </w:rPr>
              <w:t>embine</w:t>
            </w:r>
          </w:p>
        </w:tc>
        <w:tc>
          <w:tcPr>
            <w:tcW w:w="1259" w:type="dxa"/>
            <w:vAlign w:val="center"/>
          </w:tcPr>
          <w:p w:rsidR="003E4680" w:rsidRPr="00E64A61" w:rsidP="003E4680">
            <w:pPr>
              <w:jc w:val="center"/>
              <w:rPr>
                <w:rFonts w:asciiTheme="minorHAnsi" w:hAnsiTheme="minorHAnsi" w:cstheme="minorHAnsi"/>
                <w:sz w:val="16"/>
                <w:szCs w:val="16"/>
              </w:rPr>
            </w:pPr>
            <w:r w:rsidRPr="00E64A61">
              <w:rPr>
                <w:rFonts w:asciiTheme="minorHAnsi" w:hAnsiTheme="minorHAnsi" w:cstheme="minorHAnsi"/>
                <w:color w:val="000000"/>
                <w:sz w:val="16"/>
                <w:szCs w:val="16"/>
              </w:rPr>
              <w:t xml:space="preserve">45° </w:t>
            </w:r>
            <w:r>
              <w:rPr>
                <w:rFonts w:asciiTheme="minorHAnsi" w:hAnsiTheme="minorHAnsi" w:cstheme="minorHAnsi"/>
                <w:color w:val="000000"/>
                <w:sz w:val="16"/>
                <w:szCs w:val="16"/>
              </w:rPr>
              <w:t>36</w:t>
            </w:r>
            <w:r w:rsidRPr="00E64A61">
              <w:rPr>
                <w:rFonts w:asciiTheme="minorHAnsi" w:hAnsiTheme="minorHAnsi" w:cstheme="minorHAnsi"/>
                <w:color w:val="000000"/>
                <w:sz w:val="16"/>
                <w:szCs w:val="16"/>
              </w:rPr>
              <w:t xml:space="preserve">' </w:t>
            </w:r>
            <w:r>
              <w:rPr>
                <w:rFonts w:asciiTheme="minorHAnsi" w:hAnsiTheme="minorHAnsi" w:cstheme="minorHAnsi"/>
                <w:color w:val="000000"/>
                <w:sz w:val="16"/>
                <w:szCs w:val="16"/>
              </w:rPr>
              <w:t>57.5</w:t>
            </w:r>
            <w:r w:rsidRPr="00E64A61">
              <w:rPr>
                <w:rFonts w:asciiTheme="minorHAnsi" w:hAnsiTheme="minorHAnsi" w:cstheme="minorHAnsi"/>
                <w:color w:val="000000"/>
                <w:sz w:val="16"/>
                <w:szCs w:val="16"/>
              </w:rPr>
              <w:t>" N</w:t>
            </w:r>
          </w:p>
        </w:tc>
        <w:tc>
          <w:tcPr>
            <w:tcW w:w="1260"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87</w:t>
            </w:r>
            <w:r w:rsidRPr="00E64A61">
              <w:rPr>
                <w:rFonts w:asciiTheme="minorHAnsi" w:hAnsiTheme="minorHAnsi" w:cstheme="minorHAnsi"/>
                <w:color w:val="000000"/>
                <w:sz w:val="16"/>
                <w:szCs w:val="16"/>
              </w:rPr>
              <w:t xml:space="preserve">° </w:t>
            </w:r>
            <w:r>
              <w:rPr>
                <w:rFonts w:asciiTheme="minorHAnsi" w:hAnsiTheme="minorHAnsi" w:cstheme="minorHAnsi"/>
                <w:color w:val="000000"/>
                <w:sz w:val="16"/>
                <w:szCs w:val="16"/>
              </w:rPr>
              <w:t>59</w:t>
            </w:r>
            <w:r w:rsidRPr="00E64A61">
              <w:rPr>
                <w:rFonts w:asciiTheme="minorHAnsi" w:hAnsiTheme="minorHAnsi" w:cstheme="minorHAnsi"/>
                <w:color w:val="000000"/>
                <w:sz w:val="16"/>
                <w:szCs w:val="16"/>
              </w:rPr>
              <w:t xml:space="preserve">' </w:t>
            </w:r>
            <w:r>
              <w:rPr>
                <w:rFonts w:asciiTheme="minorHAnsi" w:hAnsiTheme="minorHAnsi" w:cstheme="minorHAnsi"/>
                <w:color w:val="000000"/>
                <w:sz w:val="16"/>
                <w:szCs w:val="16"/>
              </w:rPr>
              <w:t>47.9</w:t>
            </w:r>
            <w:r w:rsidRPr="00E64A61">
              <w:rPr>
                <w:rFonts w:asciiTheme="minorHAnsi" w:hAnsiTheme="minorHAnsi" w:cstheme="minorHAnsi"/>
                <w:color w:val="000000"/>
                <w:sz w:val="16"/>
                <w:szCs w:val="16"/>
              </w:rPr>
              <w:t>" W</w:t>
            </w:r>
          </w:p>
        </w:tc>
        <w:tc>
          <w:tcPr>
            <w:tcW w:w="967"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296.0</w:t>
            </w:r>
          </w:p>
        </w:tc>
        <w:tc>
          <w:tcPr>
            <w:tcW w:w="1027"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85.3</w:t>
            </w:r>
          </w:p>
        </w:tc>
        <w:tc>
          <w:tcPr>
            <w:tcW w:w="836"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100</w:t>
            </w:r>
          </w:p>
        </w:tc>
        <w:tc>
          <w:tcPr>
            <w:tcW w:w="1108" w:type="dxa"/>
            <w:vAlign w:val="center"/>
          </w:tcPr>
          <w:p w:rsidR="003E4680" w:rsidRPr="00E64A61" w:rsidP="003E4680">
            <w:pPr>
              <w:jc w:val="center"/>
              <w:rPr>
                <w:rFonts w:asciiTheme="minorHAnsi" w:hAnsiTheme="minorHAnsi" w:cstheme="minorHAnsi"/>
                <w:sz w:val="16"/>
                <w:szCs w:val="16"/>
              </w:rPr>
            </w:pPr>
            <w:r>
              <w:rPr>
                <w:rFonts w:asciiTheme="minorHAnsi" w:hAnsiTheme="minorHAnsi" w:cstheme="minorHAnsi"/>
                <w:color w:val="000000"/>
                <w:sz w:val="16"/>
                <w:szCs w:val="16"/>
              </w:rPr>
              <w:t>82.6</w:t>
            </w:r>
          </w:p>
        </w:tc>
      </w:tr>
      <w:tr w:rsidTr="003E4680">
        <w:tblPrEx>
          <w:tblW w:w="9630" w:type="dxa"/>
          <w:jc w:val="center"/>
          <w:tblLook w:val="04A0"/>
        </w:tblPrEx>
        <w:trPr>
          <w:gridAfter w:val="1"/>
          <w:wAfter w:w="27" w:type="dxa"/>
          <w:trHeight w:val="288"/>
          <w:jc w:val="center"/>
        </w:trPr>
        <w:tc>
          <w:tcPr>
            <w:tcW w:w="1394" w:type="dxa"/>
            <w:tcBorders>
              <w:top w:val="single" w:sz="4" w:space="0" w:color="auto"/>
              <w:bottom w:val="single" w:sz="4" w:space="0" w:color="auto"/>
            </w:tcBorders>
            <w:vAlign w:val="center"/>
          </w:tcPr>
          <w:p w:rsidR="003E4680" w:rsidRPr="00E64A61" w:rsidP="003E4680">
            <w:pPr>
              <w:rPr>
                <w:rFonts w:asciiTheme="minorHAnsi" w:hAnsiTheme="minorHAnsi" w:cstheme="minorHAnsi"/>
                <w:sz w:val="16"/>
                <w:szCs w:val="16"/>
              </w:rPr>
            </w:pPr>
            <w:r w:rsidRPr="00E64A61">
              <w:rPr>
                <w:rFonts w:asciiTheme="minorHAnsi" w:hAnsiTheme="minorHAnsi" w:cstheme="minorHAnsi"/>
                <w:b/>
                <w:sz w:val="16"/>
                <w:szCs w:val="16"/>
              </w:rPr>
              <w:t>WQ</w:t>
            </w:r>
            <w:r>
              <w:rPr>
                <w:rFonts w:asciiTheme="minorHAnsi" w:hAnsiTheme="minorHAnsi" w:cstheme="minorHAnsi"/>
                <w:b/>
                <w:sz w:val="16"/>
                <w:szCs w:val="16"/>
              </w:rPr>
              <w:t>MS410</w:t>
            </w:r>
          </w:p>
        </w:tc>
        <w:tc>
          <w:tcPr>
            <w:tcW w:w="1752" w:type="dxa"/>
            <w:vAlign w:val="center"/>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Ellison Bay</w:t>
            </w:r>
            <w:r w:rsidRPr="00E64A61">
              <w:rPr>
                <w:rFonts w:asciiTheme="minorHAnsi" w:hAnsiTheme="minorHAnsi" w:cstheme="minorHAnsi"/>
                <w:sz w:val="16"/>
                <w:szCs w:val="16"/>
              </w:rPr>
              <w:t xml:space="preserve"> </w:t>
            </w:r>
          </w:p>
        </w:tc>
        <w:tc>
          <w:tcPr>
            <w:tcW w:w="1259" w:type="dxa"/>
            <w:vAlign w:val="center"/>
          </w:tcPr>
          <w:p w:rsidR="003E4680" w:rsidRPr="00E64A61" w:rsidP="003E4680">
            <w:pPr>
              <w:jc w:val="center"/>
              <w:rPr>
                <w:sz w:val="16"/>
                <w:szCs w:val="16"/>
              </w:rPr>
            </w:pPr>
            <w:r w:rsidRPr="00E64A61">
              <w:rPr>
                <w:rFonts w:ascii="Calibri" w:hAnsi="Calibri" w:cs="Calibri"/>
                <w:color w:val="000000"/>
                <w:sz w:val="16"/>
                <w:szCs w:val="16"/>
              </w:rPr>
              <w:t xml:space="preserve">45° </w:t>
            </w:r>
            <w:r>
              <w:rPr>
                <w:rFonts w:ascii="Calibri" w:hAnsi="Calibri" w:cs="Calibri"/>
                <w:color w:val="000000"/>
                <w:sz w:val="16"/>
                <w:szCs w:val="16"/>
              </w:rPr>
              <w:t>14</w:t>
            </w:r>
            <w:r w:rsidRPr="00E64A61">
              <w:rPr>
                <w:rFonts w:ascii="Calibri" w:hAnsi="Calibri" w:cs="Calibri"/>
                <w:color w:val="000000"/>
                <w:sz w:val="16"/>
                <w:szCs w:val="16"/>
              </w:rPr>
              <w:t xml:space="preserve">' </w:t>
            </w:r>
            <w:r>
              <w:rPr>
                <w:rFonts w:ascii="Calibri" w:hAnsi="Calibri" w:cs="Calibri"/>
                <w:color w:val="000000"/>
                <w:sz w:val="16"/>
                <w:szCs w:val="16"/>
              </w:rPr>
              <w:t>19.6</w:t>
            </w:r>
            <w:r w:rsidRPr="00E64A61">
              <w:rPr>
                <w:rFonts w:ascii="Calibri" w:hAnsi="Calibri" w:cs="Calibri"/>
                <w:color w:val="000000"/>
                <w:sz w:val="16"/>
                <w:szCs w:val="16"/>
              </w:rPr>
              <w:t>" N</w:t>
            </w:r>
          </w:p>
        </w:tc>
        <w:tc>
          <w:tcPr>
            <w:tcW w:w="1260" w:type="dxa"/>
            <w:vAlign w:val="center"/>
          </w:tcPr>
          <w:p w:rsidR="003E4680" w:rsidRPr="00E64A61" w:rsidP="003E4680">
            <w:pPr>
              <w:jc w:val="center"/>
              <w:rPr>
                <w:sz w:val="16"/>
                <w:szCs w:val="16"/>
              </w:rPr>
            </w:pPr>
            <w:r>
              <w:rPr>
                <w:rFonts w:ascii="Calibri" w:hAnsi="Calibri" w:cs="Calibri"/>
                <w:color w:val="000000"/>
                <w:sz w:val="16"/>
                <w:szCs w:val="16"/>
              </w:rPr>
              <w:t>87</w:t>
            </w:r>
            <w:r w:rsidRPr="00E64A61">
              <w:rPr>
                <w:rFonts w:ascii="Calibri" w:hAnsi="Calibri" w:cs="Calibri"/>
                <w:color w:val="000000"/>
                <w:sz w:val="16"/>
                <w:szCs w:val="16"/>
              </w:rPr>
              <w:t xml:space="preserve">° </w:t>
            </w:r>
            <w:r>
              <w:rPr>
                <w:rFonts w:ascii="Calibri" w:hAnsi="Calibri" w:cs="Calibri"/>
                <w:color w:val="000000"/>
                <w:sz w:val="16"/>
                <w:szCs w:val="16"/>
              </w:rPr>
              <w:t>05</w:t>
            </w:r>
            <w:r w:rsidRPr="00E64A61">
              <w:rPr>
                <w:rFonts w:ascii="Calibri" w:hAnsi="Calibri" w:cs="Calibri"/>
                <w:color w:val="000000"/>
                <w:sz w:val="16"/>
                <w:szCs w:val="16"/>
              </w:rPr>
              <w:t>' 2</w:t>
            </w:r>
            <w:r>
              <w:rPr>
                <w:rFonts w:ascii="Calibri" w:hAnsi="Calibri" w:cs="Calibri"/>
                <w:color w:val="000000"/>
                <w:sz w:val="16"/>
                <w:szCs w:val="16"/>
              </w:rPr>
              <w:t>7.6</w:t>
            </w:r>
            <w:r w:rsidRPr="00E64A61">
              <w:rPr>
                <w:rFonts w:ascii="Calibri" w:hAnsi="Calibri" w:cs="Calibri"/>
                <w:color w:val="000000"/>
                <w:sz w:val="16"/>
                <w:szCs w:val="16"/>
              </w:rPr>
              <w:t>" W</w:t>
            </w:r>
          </w:p>
        </w:tc>
        <w:tc>
          <w:tcPr>
            <w:tcW w:w="967" w:type="dxa"/>
            <w:vAlign w:val="center"/>
          </w:tcPr>
          <w:p w:rsidR="003E4680" w:rsidRPr="00E64A61" w:rsidP="003E4680">
            <w:pPr>
              <w:jc w:val="center"/>
              <w:rPr>
                <w:sz w:val="16"/>
                <w:szCs w:val="16"/>
              </w:rPr>
            </w:pPr>
            <w:r>
              <w:rPr>
                <w:rFonts w:ascii="Calibri" w:hAnsi="Calibri" w:cs="Calibri"/>
                <w:color w:val="000000"/>
                <w:sz w:val="16"/>
                <w:szCs w:val="16"/>
              </w:rPr>
              <w:t>237.4</w:t>
            </w:r>
          </w:p>
        </w:tc>
        <w:tc>
          <w:tcPr>
            <w:tcW w:w="1027" w:type="dxa"/>
            <w:vAlign w:val="center"/>
          </w:tcPr>
          <w:p w:rsidR="003E4680" w:rsidRPr="00E64A61" w:rsidP="003E4680">
            <w:pPr>
              <w:jc w:val="center"/>
              <w:rPr>
                <w:sz w:val="16"/>
                <w:szCs w:val="16"/>
              </w:rPr>
            </w:pPr>
            <w:r>
              <w:rPr>
                <w:rFonts w:ascii="Calibri" w:hAnsi="Calibri" w:cs="Calibri"/>
                <w:color w:val="000000"/>
                <w:sz w:val="16"/>
                <w:szCs w:val="16"/>
              </w:rPr>
              <w:t>103.6</w:t>
            </w:r>
          </w:p>
        </w:tc>
        <w:tc>
          <w:tcPr>
            <w:tcW w:w="836" w:type="dxa"/>
            <w:vAlign w:val="center"/>
          </w:tcPr>
          <w:p w:rsidR="003E4680" w:rsidRPr="00E64A61" w:rsidP="003E4680">
            <w:pPr>
              <w:jc w:val="center"/>
              <w:rPr>
                <w:sz w:val="16"/>
                <w:szCs w:val="16"/>
              </w:rPr>
            </w:pPr>
            <w:r>
              <w:rPr>
                <w:rFonts w:ascii="Calibri" w:hAnsi="Calibri" w:cs="Calibri"/>
                <w:color w:val="000000"/>
                <w:sz w:val="16"/>
                <w:szCs w:val="16"/>
              </w:rPr>
              <w:t>100</w:t>
            </w:r>
          </w:p>
        </w:tc>
        <w:tc>
          <w:tcPr>
            <w:tcW w:w="1108" w:type="dxa"/>
            <w:vAlign w:val="center"/>
          </w:tcPr>
          <w:p w:rsidR="003E4680" w:rsidRPr="00E64A61" w:rsidP="003E4680">
            <w:pPr>
              <w:jc w:val="center"/>
              <w:rPr>
                <w:sz w:val="16"/>
                <w:szCs w:val="16"/>
              </w:rPr>
            </w:pPr>
            <w:r>
              <w:rPr>
                <w:rFonts w:ascii="Calibri" w:hAnsi="Calibri" w:cs="Calibri"/>
                <w:color w:val="000000"/>
                <w:sz w:val="16"/>
                <w:szCs w:val="16"/>
              </w:rPr>
              <w:t>158.6</w:t>
            </w:r>
          </w:p>
        </w:tc>
      </w:tr>
      <w:tr w:rsidTr="003E4680">
        <w:tblPrEx>
          <w:tblW w:w="9630" w:type="dxa"/>
          <w:jc w:val="center"/>
          <w:tblLook w:val="04A0"/>
        </w:tblPrEx>
        <w:trPr>
          <w:gridAfter w:val="1"/>
          <w:wAfter w:w="27" w:type="dxa"/>
          <w:trHeight w:val="288"/>
          <w:jc w:val="center"/>
        </w:trPr>
        <w:tc>
          <w:tcPr>
            <w:tcW w:w="1394" w:type="dxa"/>
            <w:tcBorders>
              <w:top w:val="single" w:sz="4" w:space="0" w:color="auto"/>
              <w:bottom w:val="single" w:sz="4" w:space="0" w:color="auto"/>
            </w:tcBorders>
            <w:vAlign w:val="center"/>
          </w:tcPr>
          <w:p w:rsidR="003E4680" w:rsidRPr="00E64A61" w:rsidP="003E4680">
            <w:pPr>
              <w:rPr>
                <w:rFonts w:asciiTheme="minorHAnsi" w:hAnsiTheme="minorHAnsi" w:cstheme="minorHAnsi"/>
                <w:sz w:val="16"/>
                <w:szCs w:val="16"/>
              </w:rPr>
            </w:pPr>
            <w:r w:rsidRPr="00E64A61">
              <w:rPr>
                <w:rFonts w:asciiTheme="minorHAnsi" w:hAnsiTheme="minorHAnsi" w:cstheme="minorHAnsi"/>
                <w:b/>
                <w:sz w:val="16"/>
                <w:szCs w:val="16"/>
              </w:rPr>
              <w:t>WQ</w:t>
            </w:r>
            <w:r>
              <w:rPr>
                <w:rFonts w:asciiTheme="minorHAnsi" w:hAnsiTheme="minorHAnsi" w:cstheme="minorHAnsi"/>
                <w:b/>
                <w:sz w:val="16"/>
                <w:szCs w:val="16"/>
              </w:rPr>
              <w:t>MS412</w:t>
            </w:r>
          </w:p>
        </w:tc>
        <w:tc>
          <w:tcPr>
            <w:tcW w:w="1752" w:type="dxa"/>
            <w:vAlign w:val="center"/>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Bonduel</w:t>
            </w:r>
          </w:p>
        </w:tc>
        <w:tc>
          <w:tcPr>
            <w:tcW w:w="1259" w:type="dxa"/>
            <w:vAlign w:val="center"/>
          </w:tcPr>
          <w:p w:rsidR="003E4680" w:rsidRPr="00E64A61" w:rsidP="003E4680">
            <w:pPr>
              <w:jc w:val="center"/>
              <w:rPr>
                <w:sz w:val="16"/>
                <w:szCs w:val="16"/>
              </w:rPr>
            </w:pPr>
            <w:r w:rsidRPr="00E64A61">
              <w:rPr>
                <w:rFonts w:ascii="Calibri" w:hAnsi="Calibri" w:cs="Calibri"/>
                <w:color w:val="000000"/>
                <w:sz w:val="16"/>
                <w:szCs w:val="16"/>
              </w:rPr>
              <w:t>4</w:t>
            </w:r>
            <w:r>
              <w:rPr>
                <w:rFonts w:ascii="Calibri" w:hAnsi="Calibri" w:cs="Calibri"/>
                <w:color w:val="000000"/>
                <w:sz w:val="16"/>
                <w:szCs w:val="16"/>
              </w:rPr>
              <w:t>4</w:t>
            </w:r>
            <w:r w:rsidRPr="00E64A61">
              <w:rPr>
                <w:rFonts w:ascii="Calibri" w:hAnsi="Calibri" w:cs="Calibri"/>
                <w:color w:val="000000"/>
                <w:sz w:val="16"/>
                <w:szCs w:val="16"/>
              </w:rPr>
              <w:t xml:space="preserve">° </w:t>
            </w:r>
            <w:r>
              <w:rPr>
                <w:rFonts w:ascii="Calibri" w:hAnsi="Calibri" w:cs="Calibri"/>
                <w:color w:val="000000"/>
                <w:sz w:val="16"/>
                <w:szCs w:val="16"/>
              </w:rPr>
              <w:t>4</w:t>
            </w:r>
            <w:r w:rsidRPr="00E64A61">
              <w:rPr>
                <w:rFonts w:ascii="Calibri" w:hAnsi="Calibri" w:cs="Calibri"/>
                <w:color w:val="000000"/>
                <w:sz w:val="16"/>
                <w:szCs w:val="16"/>
              </w:rPr>
              <w:t xml:space="preserve">3' </w:t>
            </w:r>
            <w:r>
              <w:rPr>
                <w:rFonts w:ascii="Calibri" w:hAnsi="Calibri" w:cs="Calibri"/>
                <w:color w:val="000000"/>
                <w:sz w:val="16"/>
                <w:szCs w:val="16"/>
              </w:rPr>
              <w:t>04.5</w:t>
            </w:r>
            <w:r w:rsidRPr="00E64A61">
              <w:rPr>
                <w:rFonts w:ascii="Calibri" w:hAnsi="Calibri" w:cs="Calibri"/>
                <w:color w:val="000000"/>
                <w:sz w:val="16"/>
                <w:szCs w:val="16"/>
              </w:rPr>
              <w:t>" N</w:t>
            </w:r>
          </w:p>
        </w:tc>
        <w:tc>
          <w:tcPr>
            <w:tcW w:w="1260" w:type="dxa"/>
            <w:vAlign w:val="center"/>
          </w:tcPr>
          <w:p w:rsidR="003E4680" w:rsidRPr="00E64A61" w:rsidP="003E4680">
            <w:pPr>
              <w:jc w:val="center"/>
              <w:rPr>
                <w:sz w:val="16"/>
                <w:szCs w:val="16"/>
              </w:rPr>
            </w:pPr>
            <w:r>
              <w:rPr>
                <w:rFonts w:ascii="Calibri" w:hAnsi="Calibri" w:cs="Calibri"/>
                <w:color w:val="000000"/>
                <w:sz w:val="16"/>
                <w:szCs w:val="16"/>
              </w:rPr>
              <w:t>88</w:t>
            </w:r>
            <w:r w:rsidRPr="00E64A61">
              <w:rPr>
                <w:rFonts w:ascii="Calibri" w:hAnsi="Calibri" w:cs="Calibri"/>
                <w:color w:val="000000"/>
                <w:sz w:val="16"/>
                <w:szCs w:val="16"/>
              </w:rPr>
              <w:t xml:space="preserve">° </w:t>
            </w:r>
            <w:r>
              <w:rPr>
                <w:rFonts w:ascii="Calibri" w:hAnsi="Calibri" w:cs="Calibri"/>
                <w:color w:val="000000"/>
                <w:sz w:val="16"/>
                <w:szCs w:val="16"/>
              </w:rPr>
              <w:t>25</w:t>
            </w:r>
            <w:r w:rsidRPr="00E64A61">
              <w:rPr>
                <w:rFonts w:ascii="Calibri" w:hAnsi="Calibri" w:cs="Calibri"/>
                <w:color w:val="000000"/>
                <w:sz w:val="16"/>
                <w:szCs w:val="16"/>
              </w:rPr>
              <w:t xml:space="preserve">' </w:t>
            </w:r>
            <w:r>
              <w:rPr>
                <w:rFonts w:ascii="Calibri" w:hAnsi="Calibri" w:cs="Calibri"/>
                <w:color w:val="000000"/>
                <w:sz w:val="16"/>
                <w:szCs w:val="16"/>
              </w:rPr>
              <w:t>12.2</w:t>
            </w:r>
            <w:r w:rsidRPr="00E64A61">
              <w:rPr>
                <w:rFonts w:ascii="Calibri" w:hAnsi="Calibri" w:cs="Calibri"/>
                <w:color w:val="000000"/>
                <w:sz w:val="16"/>
                <w:szCs w:val="16"/>
              </w:rPr>
              <w:t>" W</w:t>
            </w:r>
          </w:p>
        </w:tc>
        <w:tc>
          <w:tcPr>
            <w:tcW w:w="967" w:type="dxa"/>
            <w:vAlign w:val="center"/>
          </w:tcPr>
          <w:p w:rsidR="003E4680" w:rsidRPr="00E64A61" w:rsidP="003E4680">
            <w:pPr>
              <w:jc w:val="center"/>
              <w:rPr>
                <w:sz w:val="16"/>
                <w:szCs w:val="16"/>
              </w:rPr>
            </w:pPr>
            <w:r>
              <w:rPr>
                <w:rFonts w:ascii="Calibri" w:hAnsi="Calibri" w:cs="Calibri"/>
                <w:color w:val="000000"/>
                <w:sz w:val="16"/>
                <w:szCs w:val="16"/>
              </w:rPr>
              <w:t>286.8</w:t>
            </w:r>
          </w:p>
        </w:tc>
        <w:tc>
          <w:tcPr>
            <w:tcW w:w="1027" w:type="dxa"/>
            <w:vAlign w:val="center"/>
          </w:tcPr>
          <w:p w:rsidR="003E4680" w:rsidRPr="00E64A61" w:rsidP="003E4680">
            <w:pPr>
              <w:jc w:val="center"/>
              <w:rPr>
                <w:sz w:val="16"/>
                <w:szCs w:val="16"/>
              </w:rPr>
            </w:pPr>
            <w:r>
              <w:rPr>
                <w:rFonts w:ascii="Calibri" w:hAnsi="Calibri" w:cs="Calibri"/>
                <w:color w:val="000000"/>
                <w:sz w:val="16"/>
                <w:szCs w:val="16"/>
              </w:rPr>
              <w:t>97.5</w:t>
            </w:r>
          </w:p>
        </w:tc>
        <w:tc>
          <w:tcPr>
            <w:tcW w:w="836" w:type="dxa"/>
            <w:vAlign w:val="center"/>
          </w:tcPr>
          <w:p w:rsidR="003E4680" w:rsidRPr="00E64A61" w:rsidP="003E4680">
            <w:pPr>
              <w:jc w:val="center"/>
              <w:rPr>
                <w:sz w:val="16"/>
                <w:szCs w:val="16"/>
              </w:rPr>
            </w:pPr>
            <w:r>
              <w:rPr>
                <w:rFonts w:ascii="Calibri" w:hAnsi="Calibri" w:cs="Calibri"/>
                <w:color w:val="000000"/>
                <w:sz w:val="16"/>
                <w:szCs w:val="16"/>
              </w:rPr>
              <w:t>100</w:t>
            </w:r>
          </w:p>
        </w:tc>
        <w:tc>
          <w:tcPr>
            <w:tcW w:w="1108" w:type="dxa"/>
            <w:vAlign w:val="center"/>
          </w:tcPr>
          <w:p w:rsidR="003E4680" w:rsidRPr="00E64A61" w:rsidP="003E4680">
            <w:pPr>
              <w:jc w:val="center"/>
              <w:rPr>
                <w:sz w:val="16"/>
                <w:szCs w:val="16"/>
              </w:rPr>
            </w:pPr>
            <w:r>
              <w:rPr>
                <w:rFonts w:ascii="Calibri" w:hAnsi="Calibri" w:cs="Calibri"/>
                <w:color w:val="000000"/>
                <w:sz w:val="16"/>
                <w:szCs w:val="16"/>
              </w:rPr>
              <w:t>126.1</w:t>
            </w:r>
          </w:p>
        </w:tc>
      </w:tr>
      <w:tr w:rsidTr="003E4680">
        <w:tblPrEx>
          <w:tblW w:w="9630" w:type="dxa"/>
          <w:jc w:val="center"/>
          <w:tblLook w:val="04A0"/>
        </w:tblPrEx>
        <w:trPr>
          <w:gridAfter w:val="1"/>
          <w:wAfter w:w="27" w:type="dxa"/>
          <w:trHeight w:val="288"/>
          <w:jc w:val="center"/>
        </w:trPr>
        <w:tc>
          <w:tcPr>
            <w:tcW w:w="1394" w:type="dxa"/>
            <w:tcBorders>
              <w:top w:val="single" w:sz="4" w:space="0" w:color="auto"/>
              <w:bottom w:val="single" w:sz="4" w:space="0" w:color="auto"/>
            </w:tcBorders>
            <w:vAlign w:val="center"/>
          </w:tcPr>
          <w:p w:rsidR="003E4680" w:rsidRPr="00E64A61" w:rsidP="003E4680">
            <w:pPr>
              <w:rPr>
                <w:rFonts w:asciiTheme="minorHAnsi" w:hAnsiTheme="minorHAnsi" w:cstheme="minorHAnsi"/>
                <w:sz w:val="16"/>
                <w:szCs w:val="16"/>
              </w:rPr>
            </w:pPr>
            <w:r w:rsidRPr="00E64A61">
              <w:rPr>
                <w:rFonts w:asciiTheme="minorHAnsi" w:hAnsiTheme="minorHAnsi" w:cstheme="minorHAnsi"/>
                <w:b/>
                <w:sz w:val="16"/>
                <w:szCs w:val="16"/>
              </w:rPr>
              <w:t>WQ</w:t>
            </w:r>
            <w:r>
              <w:rPr>
                <w:rFonts w:asciiTheme="minorHAnsi" w:hAnsiTheme="minorHAnsi" w:cstheme="minorHAnsi"/>
                <w:b/>
                <w:sz w:val="16"/>
                <w:szCs w:val="16"/>
              </w:rPr>
              <w:t>MS413</w:t>
            </w:r>
          </w:p>
        </w:tc>
        <w:tc>
          <w:tcPr>
            <w:tcW w:w="1752" w:type="dxa"/>
            <w:vAlign w:val="center"/>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Scandinavia</w:t>
            </w:r>
          </w:p>
        </w:tc>
        <w:tc>
          <w:tcPr>
            <w:tcW w:w="1259" w:type="dxa"/>
            <w:vAlign w:val="center"/>
          </w:tcPr>
          <w:p w:rsidR="003E4680" w:rsidRPr="00E64A61" w:rsidP="003E4680">
            <w:pPr>
              <w:jc w:val="center"/>
              <w:rPr>
                <w:sz w:val="16"/>
                <w:szCs w:val="16"/>
              </w:rPr>
            </w:pPr>
            <w:r w:rsidRPr="00E64A61">
              <w:rPr>
                <w:rFonts w:ascii="Calibri" w:hAnsi="Calibri" w:cs="Calibri"/>
                <w:color w:val="000000"/>
                <w:sz w:val="16"/>
                <w:szCs w:val="16"/>
              </w:rPr>
              <w:t>4</w:t>
            </w:r>
            <w:r>
              <w:rPr>
                <w:rFonts w:ascii="Calibri" w:hAnsi="Calibri" w:cs="Calibri"/>
                <w:color w:val="000000"/>
                <w:sz w:val="16"/>
                <w:szCs w:val="16"/>
              </w:rPr>
              <w:t>4</w:t>
            </w:r>
            <w:r w:rsidRPr="00E64A61">
              <w:rPr>
                <w:rFonts w:ascii="Calibri" w:hAnsi="Calibri" w:cs="Calibri"/>
                <w:color w:val="000000"/>
                <w:sz w:val="16"/>
                <w:szCs w:val="16"/>
              </w:rPr>
              <w:t xml:space="preserve">° </w:t>
            </w:r>
            <w:r>
              <w:rPr>
                <w:rFonts w:ascii="Calibri" w:hAnsi="Calibri" w:cs="Calibri"/>
                <w:color w:val="000000"/>
                <w:sz w:val="16"/>
                <w:szCs w:val="16"/>
              </w:rPr>
              <w:t>28</w:t>
            </w:r>
            <w:r w:rsidRPr="00E64A61">
              <w:rPr>
                <w:rFonts w:ascii="Calibri" w:hAnsi="Calibri" w:cs="Calibri"/>
                <w:color w:val="000000"/>
                <w:sz w:val="16"/>
                <w:szCs w:val="16"/>
              </w:rPr>
              <w:t xml:space="preserve">' </w:t>
            </w:r>
            <w:r>
              <w:rPr>
                <w:rFonts w:ascii="Calibri" w:hAnsi="Calibri" w:cs="Calibri"/>
                <w:color w:val="000000"/>
                <w:sz w:val="16"/>
                <w:szCs w:val="16"/>
              </w:rPr>
              <w:t>08.2</w:t>
            </w:r>
            <w:r w:rsidRPr="00E64A61">
              <w:rPr>
                <w:rFonts w:ascii="Calibri" w:hAnsi="Calibri" w:cs="Calibri"/>
                <w:color w:val="000000"/>
                <w:sz w:val="16"/>
                <w:szCs w:val="16"/>
              </w:rPr>
              <w:t>" N</w:t>
            </w:r>
          </w:p>
        </w:tc>
        <w:tc>
          <w:tcPr>
            <w:tcW w:w="1260" w:type="dxa"/>
            <w:vAlign w:val="center"/>
          </w:tcPr>
          <w:p w:rsidR="003E4680" w:rsidRPr="00E64A61" w:rsidP="003E4680">
            <w:pPr>
              <w:jc w:val="center"/>
              <w:rPr>
                <w:sz w:val="16"/>
                <w:szCs w:val="16"/>
              </w:rPr>
            </w:pPr>
            <w:r>
              <w:rPr>
                <w:rFonts w:ascii="Calibri" w:hAnsi="Calibri" w:cs="Calibri"/>
                <w:color w:val="000000"/>
                <w:sz w:val="16"/>
                <w:szCs w:val="16"/>
              </w:rPr>
              <w:t>89</w:t>
            </w:r>
            <w:r w:rsidRPr="00E64A61">
              <w:rPr>
                <w:rFonts w:ascii="Calibri" w:hAnsi="Calibri" w:cs="Calibri"/>
                <w:color w:val="000000"/>
                <w:sz w:val="16"/>
                <w:szCs w:val="16"/>
              </w:rPr>
              <w:t xml:space="preserve">° </w:t>
            </w:r>
            <w:r>
              <w:rPr>
                <w:rFonts w:ascii="Calibri" w:hAnsi="Calibri" w:cs="Calibri"/>
                <w:color w:val="000000"/>
                <w:sz w:val="16"/>
                <w:szCs w:val="16"/>
              </w:rPr>
              <w:t>10</w:t>
            </w:r>
            <w:r w:rsidRPr="00E64A61">
              <w:rPr>
                <w:rFonts w:ascii="Calibri" w:hAnsi="Calibri" w:cs="Calibri"/>
                <w:color w:val="000000"/>
                <w:sz w:val="16"/>
                <w:szCs w:val="16"/>
              </w:rPr>
              <w:t xml:space="preserve">' </w:t>
            </w:r>
            <w:r>
              <w:rPr>
                <w:rFonts w:ascii="Calibri" w:hAnsi="Calibri" w:cs="Calibri"/>
                <w:color w:val="000000"/>
                <w:sz w:val="16"/>
                <w:szCs w:val="16"/>
              </w:rPr>
              <w:t>05.4</w:t>
            </w:r>
            <w:r w:rsidRPr="00E64A61">
              <w:rPr>
                <w:rFonts w:ascii="Calibri" w:hAnsi="Calibri" w:cs="Calibri"/>
                <w:color w:val="000000"/>
                <w:sz w:val="16"/>
                <w:szCs w:val="16"/>
              </w:rPr>
              <w:t>" W</w:t>
            </w:r>
          </w:p>
        </w:tc>
        <w:tc>
          <w:tcPr>
            <w:tcW w:w="967" w:type="dxa"/>
            <w:vAlign w:val="center"/>
          </w:tcPr>
          <w:p w:rsidR="003E4680" w:rsidRPr="00E64A61" w:rsidP="003E4680">
            <w:pPr>
              <w:jc w:val="center"/>
              <w:rPr>
                <w:sz w:val="16"/>
                <w:szCs w:val="16"/>
              </w:rPr>
            </w:pPr>
            <w:r>
              <w:rPr>
                <w:rFonts w:ascii="Calibri" w:hAnsi="Calibri" w:cs="Calibri"/>
                <w:color w:val="000000"/>
                <w:sz w:val="16"/>
                <w:szCs w:val="16"/>
              </w:rPr>
              <w:t>352.5</w:t>
            </w:r>
          </w:p>
        </w:tc>
        <w:tc>
          <w:tcPr>
            <w:tcW w:w="1027" w:type="dxa"/>
            <w:vAlign w:val="center"/>
          </w:tcPr>
          <w:p w:rsidR="003E4680" w:rsidRPr="00E64A61" w:rsidP="003E4680">
            <w:pPr>
              <w:jc w:val="center"/>
              <w:rPr>
                <w:sz w:val="16"/>
                <w:szCs w:val="16"/>
              </w:rPr>
            </w:pPr>
            <w:r>
              <w:rPr>
                <w:rFonts w:ascii="Calibri" w:hAnsi="Calibri" w:cs="Calibri"/>
                <w:color w:val="000000"/>
                <w:sz w:val="16"/>
                <w:szCs w:val="16"/>
              </w:rPr>
              <w:t>85.3</w:t>
            </w:r>
          </w:p>
        </w:tc>
        <w:tc>
          <w:tcPr>
            <w:tcW w:w="836" w:type="dxa"/>
            <w:vAlign w:val="center"/>
          </w:tcPr>
          <w:p w:rsidR="003E4680" w:rsidRPr="00E64A61" w:rsidP="003E4680">
            <w:pPr>
              <w:jc w:val="center"/>
              <w:rPr>
                <w:sz w:val="16"/>
                <w:szCs w:val="16"/>
              </w:rPr>
            </w:pPr>
            <w:r>
              <w:rPr>
                <w:rFonts w:ascii="Calibri" w:hAnsi="Calibri" w:cs="Calibri"/>
                <w:color w:val="000000"/>
                <w:sz w:val="16"/>
                <w:szCs w:val="16"/>
              </w:rPr>
              <w:t>165</w:t>
            </w:r>
          </w:p>
        </w:tc>
        <w:tc>
          <w:tcPr>
            <w:tcW w:w="1108" w:type="dxa"/>
            <w:vAlign w:val="center"/>
          </w:tcPr>
          <w:p w:rsidR="003E4680" w:rsidRPr="00E64A61" w:rsidP="003E4680">
            <w:pPr>
              <w:jc w:val="center"/>
              <w:rPr>
                <w:sz w:val="16"/>
                <w:szCs w:val="16"/>
              </w:rPr>
            </w:pPr>
            <w:r>
              <w:rPr>
                <w:rFonts w:ascii="Calibri" w:hAnsi="Calibri" w:cs="Calibri"/>
                <w:color w:val="000000"/>
                <w:sz w:val="16"/>
                <w:szCs w:val="16"/>
              </w:rPr>
              <w:t>134.2</w:t>
            </w:r>
          </w:p>
        </w:tc>
      </w:tr>
      <w:tr w:rsidTr="003E4680">
        <w:tblPrEx>
          <w:tblW w:w="9630" w:type="dxa"/>
          <w:jc w:val="center"/>
          <w:tblLook w:val="04A0"/>
        </w:tblPrEx>
        <w:trPr>
          <w:gridAfter w:val="1"/>
          <w:wAfter w:w="27" w:type="dxa"/>
          <w:trHeight w:val="288"/>
          <w:jc w:val="center"/>
        </w:trPr>
        <w:tc>
          <w:tcPr>
            <w:tcW w:w="1394" w:type="dxa"/>
            <w:tcBorders>
              <w:top w:val="single" w:sz="4" w:space="0" w:color="auto"/>
              <w:bottom w:val="single" w:sz="4" w:space="0" w:color="auto"/>
            </w:tcBorders>
            <w:vAlign w:val="center"/>
          </w:tcPr>
          <w:p w:rsidR="003E4680" w:rsidRPr="00E64A61" w:rsidP="003E4680">
            <w:pPr>
              <w:rPr>
                <w:rFonts w:asciiTheme="minorHAnsi" w:hAnsiTheme="minorHAnsi" w:cstheme="minorHAnsi"/>
                <w:b/>
                <w:sz w:val="16"/>
                <w:szCs w:val="16"/>
              </w:rPr>
            </w:pPr>
            <w:r w:rsidRPr="00E64A61">
              <w:rPr>
                <w:rFonts w:asciiTheme="minorHAnsi" w:hAnsiTheme="minorHAnsi" w:cstheme="minorHAnsi"/>
                <w:b/>
                <w:sz w:val="16"/>
                <w:szCs w:val="16"/>
              </w:rPr>
              <w:t>WQ</w:t>
            </w:r>
            <w:r>
              <w:rPr>
                <w:rFonts w:asciiTheme="minorHAnsi" w:hAnsiTheme="minorHAnsi" w:cstheme="minorHAnsi"/>
                <w:b/>
                <w:sz w:val="16"/>
                <w:szCs w:val="16"/>
              </w:rPr>
              <w:t>MS417</w:t>
            </w:r>
          </w:p>
        </w:tc>
        <w:tc>
          <w:tcPr>
            <w:tcW w:w="1752" w:type="dxa"/>
            <w:vAlign w:val="center"/>
          </w:tcPr>
          <w:p w:rsidR="003E4680" w:rsidP="003E4680">
            <w:pPr>
              <w:rPr>
                <w:rFonts w:asciiTheme="minorHAnsi" w:hAnsiTheme="minorHAnsi" w:cstheme="minorHAnsi"/>
                <w:sz w:val="16"/>
                <w:szCs w:val="16"/>
              </w:rPr>
            </w:pPr>
            <w:r>
              <w:rPr>
                <w:rFonts w:asciiTheme="minorHAnsi" w:hAnsiTheme="minorHAnsi" w:cstheme="minorHAnsi"/>
                <w:sz w:val="16"/>
                <w:szCs w:val="16"/>
              </w:rPr>
              <w:t>Milton</w:t>
            </w:r>
          </w:p>
        </w:tc>
        <w:tc>
          <w:tcPr>
            <w:tcW w:w="1259" w:type="dxa"/>
            <w:vAlign w:val="center"/>
          </w:tcPr>
          <w:p w:rsidR="003E4680" w:rsidRPr="00E64A61" w:rsidP="003E4680">
            <w:pPr>
              <w:jc w:val="center"/>
              <w:rPr>
                <w:rFonts w:ascii="Calibri" w:hAnsi="Calibri" w:cs="Calibri"/>
                <w:color w:val="000000"/>
                <w:sz w:val="16"/>
                <w:szCs w:val="16"/>
              </w:rPr>
            </w:pPr>
            <w:r w:rsidRPr="00E64A61">
              <w:rPr>
                <w:rFonts w:ascii="Calibri" w:hAnsi="Calibri" w:cs="Calibri"/>
                <w:color w:val="000000"/>
                <w:sz w:val="16"/>
                <w:szCs w:val="16"/>
              </w:rPr>
              <w:t>4</w:t>
            </w:r>
            <w:r>
              <w:rPr>
                <w:rFonts w:ascii="Calibri" w:hAnsi="Calibri" w:cs="Calibri"/>
                <w:color w:val="000000"/>
                <w:sz w:val="16"/>
                <w:szCs w:val="16"/>
              </w:rPr>
              <w:t>2</w:t>
            </w:r>
            <w:r w:rsidRPr="00E64A61">
              <w:rPr>
                <w:rFonts w:ascii="Calibri" w:hAnsi="Calibri" w:cs="Calibri"/>
                <w:color w:val="000000"/>
                <w:sz w:val="16"/>
                <w:szCs w:val="16"/>
              </w:rPr>
              <w:t xml:space="preserve">° </w:t>
            </w:r>
            <w:r>
              <w:rPr>
                <w:rFonts w:ascii="Calibri" w:hAnsi="Calibri" w:cs="Calibri"/>
                <w:color w:val="000000"/>
                <w:sz w:val="16"/>
                <w:szCs w:val="16"/>
              </w:rPr>
              <w:t>46</w:t>
            </w:r>
            <w:r w:rsidRPr="00E64A61">
              <w:rPr>
                <w:rFonts w:ascii="Calibri" w:hAnsi="Calibri" w:cs="Calibri"/>
                <w:color w:val="000000"/>
                <w:sz w:val="16"/>
                <w:szCs w:val="16"/>
              </w:rPr>
              <w:t xml:space="preserve">' </w:t>
            </w:r>
            <w:r>
              <w:rPr>
                <w:rFonts w:ascii="Calibri" w:hAnsi="Calibri" w:cs="Calibri"/>
                <w:color w:val="000000"/>
                <w:sz w:val="16"/>
                <w:szCs w:val="16"/>
              </w:rPr>
              <w:t>25.2</w:t>
            </w:r>
            <w:r w:rsidRPr="00E64A61">
              <w:rPr>
                <w:rFonts w:ascii="Calibri" w:hAnsi="Calibri" w:cs="Calibri"/>
                <w:color w:val="000000"/>
                <w:sz w:val="16"/>
                <w:szCs w:val="16"/>
              </w:rPr>
              <w:t>" N</w:t>
            </w:r>
          </w:p>
        </w:tc>
        <w:tc>
          <w:tcPr>
            <w:tcW w:w="1260"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89</w:t>
            </w:r>
            <w:r w:rsidRPr="00E64A61">
              <w:rPr>
                <w:rFonts w:ascii="Calibri" w:hAnsi="Calibri" w:cs="Calibri"/>
                <w:color w:val="000000"/>
                <w:sz w:val="16"/>
                <w:szCs w:val="16"/>
              </w:rPr>
              <w:t xml:space="preserve">° </w:t>
            </w:r>
            <w:r>
              <w:rPr>
                <w:rFonts w:ascii="Calibri" w:hAnsi="Calibri" w:cs="Calibri"/>
                <w:color w:val="000000"/>
                <w:sz w:val="16"/>
                <w:szCs w:val="16"/>
              </w:rPr>
              <w:t>00</w:t>
            </w:r>
            <w:r w:rsidRPr="00E64A61">
              <w:rPr>
                <w:rFonts w:ascii="Calibri" w:hAnsi="Calibri" w:cs="Calibri"/>
                <w:color w:val="000000"/>
                <w:sz w:val="16"/>
                <w:szCs w:val="16"/>
              </w:rPr>
              <w:t xml:space="preserve">' </w:t>
            </w:r>
            <w:r>
              <w:rPr>
                <w:rFonts w:ascii="Calibri" w:hAnsi="Calibri" w:cs="Calibri"/>
                <w:color w:val="000000"/>
                <w:sz w:val="16"/>
                <w:szCs w:val="16"/>
              </w:rPr>
              <w:t>21.8</w:t>
            </w:r>
            <w:r w:rsidRPr="00E64A61">
              <w:rPr>
                <w:rFonts w:ascii="Calibri" w:hAnsi="Calibri" w:cs="Calibri"/>
                <w:color w:val="000000"/>
                <w:sz w:val="16"/>
                <w:szCs w:val="16"/>
              </w:rPr>
              <w:t>" W</w:t>
            </w:r>
          </w:p>
        </w:tc>
        <w:tc>
          <w:tcPr>
            <w:tcW w:w="967"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285.2</w:t>
            </w:r>
          </w:p>
        </w:tc>
        <w:tc>
          <w:tcPr>
            <w:tcW w:w="1027"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85.3</w:t>
            </w:r>
          </w:p>
        </w:tc>
        <w:tc>
          <w:tcPr>
            <w:tcW w:w="836"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125</w:t>
            </w:r>
          </w:p>
        </w:tc>
        <w:tc>
          <w:tcPr>
            <w:tcW w:w="1108"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105.1</w:t>
            </w:r>
          </w:p>
        </w:tc>
      </w:tr>
      <w:tr w:rsidTr="003E4680">
        <w:tblPrEx>
          <w:tblW w:w="9630" w:type="dxa"/>
          <w:jc w:val="center"/>
          <w:tblLook w:val="04A0"/>
        </w:tblPrEx>
        <w:trPr>
          <w:gridAfter w:val="1"/>
          <w:wAfter w:w="27" w:type="dxa"/>
          <w:trHeight w:val="288"/>
          <w:jc w:val="center"/>
        </w:trPr>
        <w:tc>
          <w:tcPr>
            <w:tcW w:w="1394" w:type="dxa"/>
            <w:tcBorders>
              <w:top w:val="single" w:sz="4" w:space="0" w:color="auto"/>
              <w:bottom w:val="single" w:sz="4" w:space="0" w:color="auto"/>
            </w:tcBorders>
            <w:vAlign w:val="center"/>
          </w:tcPr>
          <w:p w:rsidR="003E4680" w:rsidRPr="00E64A61" w:rsidP="003E4680">
            <w:pPr>
              <w:rPr>
                <w:rFonts w:asciiTheme="minorHAnsi" w:hAnsiTheme="minorHAnsi" w:cstheme="minorHAnsi"/>
                <w:b/>
                <w:sz w:val="16"/>
                <w:szCs w:val="16"/>
              </w:rPr>
            </w:pPr>
            <w:r w:rsidRPr="00E64A61">
              <w:rPr>
                <w:rFonts w:asciiTheme="minorHAnsi" w:hAnsiTheme="minorHAnsi" w:cstheme="minorHAnsi"/>
                <w:b/>
                <w:sz w:val="16"/>
                <w:szCs w:val="16"/>
              </w:rPr>
              <w:t>WQ</w:t>
            </w:r>
            <w:r>
              <w:rPr>
                <w:rFonts w:asciiTheme="minorHAnsi" w:hAnsiTheme="minorHAnsi" w:cstheme="minorHAnsi"/>
                <w:b/>
                <w:sz w:val="16"/>
                <w:szCs w:val="16"/>
              </w:rPr>
              <w:t>MS418</w:t>
            </w:r>
          </w:p>
        </w:tc>
        <w:tc>
          <w:tcPr>
            <w:tcW w:w="1752" w:type="dxa"/>
            <w:vAlign w:val="center"/>
          </w:tcPr>
          <w:p w:rsidR="003E4680" w:rsidP="003E4680">
            <w:pPr>
              <w:rPr>
                <w:rFonts w:asciiTheme="minorHAnsi" w:hAnsiTheme="minorHAnsi" w:cstheme="minorHAnsi"/>
                <w:sz w:val="16"/>
                <w:szCs w:val="16"/>
              </w:rPr>
            </w:pPr>
            <w:r>
              <w:rPr>
                <w:rFonts w:asciiTheme="minorHAnsi" w:hAnsiTheme="minorHAnsi" w:cstheme="minorHAnsi"/>
                <w:sz w:val="16"/>
                <w:szCs w:val="16"/>
              </w:rPr>
              <w:t>Kieler</w:t>
            </w:r>
          </w:p>
        </w:tc>
        <w:tc>
          <w:tcPr>
            <w:tcW w:w="1259" w:type="dxa"/>
            <w:vAlign w:val="center"/>
          </w:tcPr>
          <w:p w:rsidR="003E4680" w:rsidRPr="00E64A61" w:rsidP="003E4680">
            <w:pPr>
              <w:jc w:val="center"/>
              <w:rPr>
                <w:rFonts w:ascii="Calibri" w:hAnsi="Calibri" w:cs="Calibri"/>
                <w:color w:val="000000"/>
                <w:sz w:val="16"/>
                <w:szCs w:val="16"/>
              </w:rPr>
            </w:pPr>
            <w:r w:rsidRPr="00E64A61">
              <w:rPr>
                <w:rFonts w:ascii="Calibri" w:hAnsi="Calibri" w:cs="Calibri"/>
                <w:color w:val="000000"/>
                <w:sz w:val="16"/>
                <w:szCs w:val="16"/>
              </w:rPr>
              <w:t>4</w:t>
            </w:r>
            <w:r>
              <w:rPr>
                <w:rFonts w:ascii="Calibri" w:hAnsi="Calibri" w:cs="Calibri"/>
                <w:color w:val="000000"/>
                <w:sz w:val="16"/>
                <w:szCs w:val="16"/>
              </w:rPr>
              <w:t>2</w:t>
            </w:r>
            <w:r w:rsidRPr="00E64A61">
              <w:rPr>
                <w:rFonts w:ascii="Calibri" w:hAnsi="Calibri" w:cs="Calibri"/>
                <w:color w:val="000000"/>
                <w:sz w:val="16"/>
                <w:szCs w:val="16"/>
              </w:rPr>
              <w:t xml:space="preserve">° </w:t>
            </w:r>
            <w:r>
              <w:rPr>
                <w:rFonts w:ascii="Calibri" w:hAnsi="Calibri" w:cs="Calibri"/>
                <w:color w:val="000000"/>
                <w:sz w:val="16"/>
                <w:szCs w:val="16"/>
              </w:rPr>
              <w:t>36</w:t>
            </w:r>
            <w:r w:rsidRPr="00E64A61">
              <w:rPr>
                <w:rFonts w:ascii="Calibri" w:hAnsi="Calibri" w:cs="Calibri"/>
                <w:color w:val="000000"/>
                <w:sz w:val="16"/>
                <w:szCs w:val="16"/>
              </w:rPr>
              <w:t xml:space="preserve">' </w:t>
            </w:r>
            <w:r>
              <w:rPr>
                <w:rFonts w:ascii="Calibri" w:hAnsi="Calibri" w:cs="Calibri"/>
                <w:color w:val="000000"/>
                <w:sz w:val="16"/>
                <w:szCs w:val="16"/>
              </w:rPr>
              <w:t>04.5</w:t>
            </w:r>
            <w:r w:rsidRPr="00E64A61">
              <w:rPr>
                <w:rFonts w:ascii="Calibri" w:hAnsi="Calibri" w:cs="Calibri"/>
                <w:color w:val="000000"/>
                <w:sz w:val="16"/>
                <w:szCs w:val="16"/>
              </w:rPr>
              <w:t>" N</w:t>
            </w:r>
          </w:p>
        </w:tc>
        <w:tc>
          <w:tcPr>
            <w:tcW w:w="1260"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90</w:t>
            </w:r>
            <w:r w:rsidRPr="00E64A61">
              <w:rPr>
                <w:rFonts w:ascii="Calibri" w:hAnsi="Calibri" w:cs="Calibri"/>
                <w:color w:val="000000"/>
                <w:sz w:val="16"/>
                <w:szCs w:val="16"/>
              </w:rPr>
              <w:t xml:space="preserve">° </w:t>
            </w:r>
            <w:r>
              <w:rPr>
                <w:rFonts w:ascii="Calibri" w:hAnsi="Calibri" w:cs="Calibri"/>
                <w:color w:val="000000"/>
                <w:sz w:val="16"/>
                <w:szCs w:val="16"/>
              </w:rPr>
              <w:t>33</w:t>
            </w:r>
            <w:r w:rsidRPr="00E64A61">
              <w:rPr>
                <w:rFonts w:ascii="Calibri" w:hAnsi="Calibri" w:cs="Calibri"/>
                <w:color w:val="000000"/>
                <w:sz w:val="16"/>
                <w:szCs w:val="16"/>
              </w:rPr>
              <w:t xml:space="preserve">' </w:t>
            </w:r>
            <w:r>
              <w:rPr>
                <w:rFonts w:ascii="Calibri" w:hAnsi="Calibri" w:cs="Calibri"/>
                <w:color w:val="000000"/>
                <w:sz w:val="16"/>
                <w:szCs w:val="16"/>
              </w:rPr>
              <w:t>16.9</w:t>
            </w:r>
            <w:r w:rsidRPr="00E64A61">
              <w:rPr>
                <w:rFonts w:ascii="Calibri" w:hAnsi="Calibri" w:cs="Calibri"/>
                <w:color w:val="000000"/>
                <w:sz w:val="16"/>
                <w:szCs w:val="16"/>
              </w:rPr>
              <w:t>" W</w:t>
            </w:r>
          </w:p>
        </w:tc>
        <w:tc>
          <w:tcPr>
            <w:tcW w:w="967"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305.7</w:t>
            </w:r>
          </w:p>
        </w:tc>
        <w:tc>
          <w:tcPr>
            <w:tcW w:w="1027"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82.3</w:t>
            </w:r>
          </w:p>
        </w:tc>
        <w:tc>
          <w:tcPr>
            <w:tcW w:w="836"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107</w:t>
            </w:r>
          </w:p>
        </w:tc>
        <w:tc>
          <w:tcPr>
            <w:tcW w:w="1108"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126.0</w:t>
            </w:r>
          </w:p>
        </w:tc>
      </w:tr>
      <w:tr w:rsidTr="003E4680">
        <w:tblPrEx>
          <w:tblW w:w="9630" w:type="dxa"/>
          <w:jc w:val="center"/>
          <w:tblLook w:val="04A0"/>
        </w:tblPrEx>
        <w:trPr>
          <w:gridAfter w:val="1"/>
          <w:wAfter w:w="27" w:type="dxa"/>
          <w:trHeight w:val="288"/>
          <w:jc w:val="center"/>
        </w:trPr>
        <w:tc>
          <w:tcPr>
            <w:tcW w:w="1394" w:type="dxa"/>
            <w:tcBorders>
              <w:top w:val="single" w:sz="4" w:space="0" w:color="auto"/>
              <w:bottom w:val="single" w:sz="4" w:space="0" w:color="auto"/>
            </w:tcBorders>
            <w:vAlign w:val="center"/>
          </w:tcPr>
          <w:p w:rsidR="003E4680" w:rsidRPr="00E64A61" w:rsidP="003E4680">
            <w:pPr>
              <w:rPr>
                <w:rFonts w:asciiTheme="minorHAnsi" w:hAnsiTheme="minorHAnsi" w:cstheme="minorHAnsi"/>
                <w:b/>
                <w:sz w:val="16"/>
                <w:szCs w:val="16"/>
              </w:rPr>
            </w:pPr>
            <w:r w:rsidRPr="00E64A61">
              <w:rPr>
                <w:rFonts w:asciiTheme="minorHAnsi" w:hAnsiTheme="minorHAnsi" w:cstheme="minorHAnsi"/>
                <w:b/>
                <w:sz w:val="16"/>
                <w:szCs w:val="16"/>
              </w:rPr>
              <w:t>WQ</w:t>
            </w:r>
            <w:r>
              <w:rPr>
                <w:rFonts w:asciiTheme="minorHAnsi" w:hAnsiTheme="minorHAnsi" w:cstheme="minorHAnsi"/>
                <w:b/>
                <w:sz w:val="16"/>
                <w:szCs w:val="16"/>
              </w:rPr>
              <w:t>MS421</w:t>
            </w:r>
          </w:p>
        </w:tc>
        <w:tc>
          <w:tcPr>
            <w:tcW w:w="1752" w:type="dxa"/>
            <w:vAlign w:val="center"/>
          </w:tcPr>
          <w:p w:rsidR="003E4680" w:rsidP="003E4680">
            <w:pPr>
              <w:rPr>
                <w:rFonts w:asciiTheme="minorHAnsi" w:hAnsiTheme="minorHAnsi" w:cstheme="minorHAnsi"/>
                <w:sz w:val="16"/>
                <w:szCs w:val="16"/>
              </w:rPr>
            </w:pPr>
            <w:r>
              <w:rPr>
                <w:rFonts w:asciiTheme="minorHAnsi" w:hAnsiTheme="minorHAnsi" w:cstheme="minorHAnsi"/>
                <w:sz w:val="16"/>
                <w:szCs w:val="16"/>
              </w:rPr>
              <w:t>Pipestone</w:t>
            </w:r>
          </w:p>
        </w:tc>
        <w:tc>
          <w:tcPr>
            <w:tcW w:w="1259" w:type="dxa"/>
            <w:vAlign w:val="center"/>
          </w:tcPr>
          <w:p w:rsidR="003E4680" w:rsidRPr="00E64A61" w:rsidP="003E4680">
            <w:pPr>
              <w:jc w:val="center"/>
              <w:rPr>
                <w:rFonts w:ascii="Calibri" w:hAnsi="Calibri" w:cs="Calibri"/>
                <w:color w:val="000000"/>
                <w:sz w:val="16"/>
                <w:szCs w:val="16"/>
              </w:rPr>
            </w:pPr>
            <w:r w:rsidRPr="00E64A61">
              <w:rPr>
                <w:rFonts w:ascii="Calibri" w:hAnsi="Calibri" w:cs="Calibri"/>
                <w:color w:val="000000"/>
                <w:sz w:val="16"/>
                <w:szCs w:val="16"/>
              </w:rPr>
              <w:t>4</w:t>
            </w:r>
            <w:r>
              <w:rPr>
                <w:rFonts w:ascii="Calibri" w:hAnsi="Calibri" w:cs="Calibri"/>
                <w:color w:val="000000"/>
                <w:sz w:val="16"/>
                <w:szCs w:val="16"/>
              </w:rPr>
              <w:t>5</w:t>
            </w:r>
            <w:r w:rsidRPr="00E64A61">
              <w:rPr>
                <w:rFonts w:ascii="Calibri" w:hAnsi="Calibri" w:cs="Calibri"/>
                <w:color w:val="000000"/>
                <w:sz w:val="16"/>
                <w:szCs w:val="16"/>
              </w:rPr>
              <w:t xml:space="preserve">° </w:t>
            </w:r>
            <w:r>
              <w:rPr>
                <w:rFonts w:ascii="Calibri" w:hAnsi="Calibri" w:cs="Calibri"/>
                <w:color w:val="000000"/>
                <w:sz w:val="16"/>
                <w:szCs w:val="16"/>
              </w:rPr>
              <w:t>51</w:t>
            </w:r>
            <w:r w:rsidRPr="00E64A61">
              <w:rPr>
                <w:rFonts w:ascii="Calibri" w:hAnsi="Calibri" w:cs="Calibri"/>
                <w:color w:val="000000"/>
                <w:sz w:val="16"/>
                <w:szCs w:val="16"/>
              </w:rPr>
              <w:t xml:space="preserve">' </w:t>
            </w:r>
            <w:r>
              <w:rPr>
                <w:rFonts w:ascii="Calibri" w:hAnsi="Calibri" w:cs="Calibri"/>
                <w:color w:val="000000"/>
                <w:sz w:val="16"/>
                <w:szCs w:val="16"/>
              </w:rPr>
              <w:t>05.8</w:t>
            </w:r>
            <w:r w:rsidRPr="00E64A61">
              <w:rPr>
                <w:rFonts w:ascii="Calibri" w:hAnsi="Calibri" w:cs="Calibri"/>
                <w:color w:val="000000"/>
                <w:sz w:val="16"/>
                <w:szCs w:val="16"/>
              </w:rPr>
              <w:t>" N</w:t>
            </w:r>
          </w:p>
        </w:tc>
        <w:tc>
          <w:tcPr>
            <w:tcW w:w="1260"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91</w:t>
            </w:r>
            <w:r w:rsidRPr="00E64A61">
              <w:rPr>
                <w:rFonts w:ascii="Calibri" w:hAnsi="Calibri" w:cs="Calibri"/>
                <w:color w:val="000000"/>
                <w:sz w:val="16"/>
                <w:szCs w:val="16"/>
              </w:rPr>
              <w:t xml:space="preserve">° </w:t>
            </w:r>
            <w:r>
              <w:rPr>
                <w:rFonts w:ascii="Calibri" w:hAnsi="Calibri" w:cs="Calibri"/>
                <w:color w:val="000000"/>
                <w:sz w:val="16"/>
                <w:szCs w:val="16"/>
              </w:rPr>
              <w:t>12</w:t>
            </w:r>
            <w:r w:rsidRPr="00E64A61">
              <w:rPr>
                <w:rFonts w:ascii="Calibri" w:hAnsi="Calibri" w:cs="Calibri"/>
                <w:color w:val="000000"/>
                <w:sz w:val="16"/>
                <w:szCs w:val="16"/>
              </w:rPr>
              <w:t xml:space="preserve">' </w:t>
            </w:r>
            <w:r>
              <w:rPr>
                <w:rFonts w:ascii="Calibri" w:hAnsi="Calibri" w:cs="Calibri"/>
                <w:color w:val="000000"/>
                <w:sz w:val="16"/>
                <w:szCs w:val="16"/>
              </w:rPr>
              <w:t>14</w:t>
            </w:r>
            <w:r w:rsidRPr="00E64A61">
              <w:rPr>
                <w:rFonts w:ascii="Calibri" w:hAnsi="Calibri" w:cs="Calibri"/>
                <w:color w:val="000000"/>
                <w:sz w:val="16"/>
                <w:szCs w:val="16"/>
              </w:rPr>
              <w:t>"</w:t>
            </w:r>
            <w:r>
              <w:rPr>
                <w:rFonts w:ascii="Calibri" w:hAnsi="Calibri" w:cs="Calibri"/>
                <w:color w:val="000000"/>
                <w:sz w:val="16"/>
                <w:szCs w:val="16"/>
              </w:rPr>
              <w:t>.2</w:t>
            </w:r>
            <w:r w:rsidRPr="00E64A61">
              <w:rPr>
                <w:rFonts w:ascii="Calibri" w:hAnsi="Calibri" w:cs="Calibri"/>
                <w:color w:val="000000"/>
                <w:sz w:val="16"/>
                <w:szCs w:val="16"/>
              </w:rPr>
              <w:t xml:space="preserve"> W</w:t>
            </w:r>
          </w:p>
        </w:tc>
        <w:tc>
          <w:tcPr>
            <w:tcW w:w="967"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494.2</w:t>
            </w:r>
          </w:p>
        </w:tc>
        <w:tc>
          <w:tcPr>
            <w:tcW w:w="1027"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48.7</w:t>
            </w:r>
          </w:p>
        </w:tc>
        <w:tc>
          <w:tcPr>
            <w:tcW w:w="836"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125</w:t>
            </w:r>
          </w:p>
        </w:tc>
        <w:tc>
          <w:tcPr>
            <w:tcW w:w="1108"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131.8</w:t>
            </w:r>
          </w:p>
        </w:tc>
      </w:tr>
      <w:tr w:rsidTr="003E4680">
        <w:tblPrEx>
          <w:tblW w:w="9630" w:type="dxa"/>
          <w:jc w:val="center"/>
          <w:tblLook w:val="04A0"/>
        </w:tblPrEx>
        <w:trPr>
          <w:gridAfter w:val="1"/>
          <w:wAfter w:w="27" w:type="dxa"/>
          <w:trHeight w:val="288"/>
          <w:jc w:val="center"/>
        </w:trPr>
        <w:tc>
          <w:tcPr>
            <w:tcW w:w="1394" w:type="dxa"/>
            <w:tcBorders>
              <w:top w:val="single" w:sz="4" w:space="0" w:color="auto"/>
              <w:bottom w:val="single" w:sz="4" w:space="0" w:color="auto"/>
            </w:tcBorders>
            <w:vAlign w:val="center"/>
          </w:tcPr>
          <w:p w:rsidR="003E4680" w:rsidRPr="00E64A61" w:rsidP="003E4680">
            <w:pPr>
              <w:rPr>
                <w:rFonts w:asciiTheme="minorHAnsi" w:hAnsiTheme="minorHAnsi" w:cstheme="minorHAnsi"/>
                <w:b/>
                <w:sz w:val="16"/>
                <w:szCs w:val="16"/>
              </w:rPr>
            </w:pPr>
            <w:r w:rsidRPr="00E64A61">
              <w:rPr>
                <w:rFonts w:asciiTheme="minorHAnsi" w:hAnsiTheme="minorHAnsi" w:cstheme="minorHAnsi"/>
                <w:b/>
                <w:sz w:val="16"/>
                <w:szCs w:val="16"/>
              </w:rPr>
              <w:t>WQ</w:t>
            </w:r>
            <w:r>
              <w:rPr>
                <w:rFonts w:asciiTheme="minorHAnsi" w:hAnsiTheme="minorHAnsi" w:cstheme="minorHAnsi"/>
                <w:b/>
                <w:sz w:val="16"/>
                <w:szCs w:val="16"/>
              </w:rPr>
              <w:t>MS422</w:t>
            </w:r>
          </w:p>
        </w:tc>
        <w:tc>
          <w:tcPr>
            <w:tcW w:w="1752" w:type="dxa"/>
            <w:vAlign w:val="center"/>
          </w:tcPr>
          <w:p w:rsidR="003E4680" w:rsidP="003E4680">
            <w:pPr>
              <w:rPr>
                <w:rFonts w:asciiTheme="minorHAnsi" w:hAnsiTheme="minorHAnsi" w:cstheme="minorHAnsi"/>
                <w:sz w:val="16"/>
                <w:szCs w:val="16"/>
              </w:rPr>
            </w:pPr>
            <w:r>
              <w:rPr>
                <w:rFonts w:asciiTheme="minorHAnsi" w:hAnsiTheme="minorHAnsi" w:cstheme="minorHAnsi"/>
                <w:sz w:val="16"/>
                <w:szCs w:val="16"/>
              </w:rPr>
              <w:t>Squirrel Hill</w:t>
            </w:r>
          </w:p>
        </w:tc>
        <w:tc>
          <w:tcPr>
            <w:tcW w:w="1259" w:type="dxa"/>
            <w:vAlign w:val="center"/>
          </w:tcPr>
          <w:p w:rsidR="003E4680" w:rsidRPr="00E64A61" w:rsidP="003E4680">
            <w:pPr>
              <w:jc w:val="center"/>
              <w:rPr>
                <w:rFonts w:ascii="Calibri" w:hAnsi="Calibri" w:cs="Calibri"/>
                <w:color w:val="000000"/>
                <w:sz w:val="16"/>
                <w:szCs w:val="16"/>
              </w:rPr>
            </w:pPr>
            <w:r w:rsidRPr="00E64A61">
              <w:rPr>
                <w:rFonts w:ascii="Calibri" w:hAnsi="Calibri" w:cs="Calibri"/>
                <w:color w:val="000000"/>
                <w:sz w:val="16"/>
                <w:szCs w:val="16"/>
              </w:rPr>
              <w:t>4</w:t>
            </w:r>
            <w:r>
              <w:rPr>
                <w:rFonts w:ascii="Calibri" w:hAnsi="Calibri" w:cs="Calibri"/>
                <w:color w:val="000000"/>
                <w:sz w:val="16"/>
                <w:szCs w:val="16"/>
              </w:rPr>
              <w:t>5</w:t>
            </w:r>
            <w:r w:rsidRPr="00E64A61">
              <w:rPr>
                <w:rFonts w:ascii="Calibri" w:hAnsi="Calibri" w:cs="Calibri"/>
                <w:color w:val="000000"/>
                <w:sz w:val="16"/>
                <w:szCs w:val="16"/>
              </w:rPr>
              <w:t xml:space="preserve">° </w:t>
            </w:r>
            <w:r>
              <w:rPr>
                <w:rFonts w:ascii="Calibri" w:hAnsi="Calibri" w:cs="Calibri"/>
                <w:color w:val="000000"/>
                <w:sz w:val="16"/>
                <w:szCs w:val="16"/>
              </w:rPr>
              <w:t>49</w:t>
            </w:r>
            <w:r w:rsidRPr="00E64A61">
              <w:rPr>
                <w:rFonts w:ascii="Calibri" w:hAnsi="Calibri" w:cs="Calibri"/>
                <w:color w:val="000000"/>
                <w:sz w:val="16"/>
                <w:szCs w:val="16"/>
              </w:rPr>
              <w:t xml:space="preserve">' </w:t>
            </w:r>
            <w:r>
              <w:rPr>
                <w:rFonts w:ascii="Calibri" w:hAnsi="Calibri" w:cs="Calibri"/>
                <w:color w:val="000000"/>
                <w:sz w:val="16"/>
                <w:szCs w:val="16"/>
              </w:rPr>
              <w:t>32.5</w:t>
            </w:r>
            <w:r w:rsidRPr="00E64A61">
              <w:rPr>
                <w:rFonts w:ascii="Calibri" w:hAnsi="Calibri" w:cs="Calibri"/>
                <w:color w:val="000000"/>
                <w:sz w:val="16"/>
                <w:szCs w:val="16"/>
              </w:rPr>
              <w:t>" N</w:t>
            </w:r>
          </w:p>
        </w:tc>
        <w:tc>
          <w:tcPr>
            <w:tcW w:w="1260"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89</w:t>
            </w:r>
            <w:r w:rsidRPr="00E64A61">
              <w:rPr>
                <w:rFonts w:ascii="Calibri" w:hAnsi="Calibri" w:cs="Calibri"/>
                <w:color w:val="000000"/>
                <w:sz w:val="16"/>
                <w:szCs w:val="16"/>
              </w:rPr>
              <w:t xml:space="preserve">° </w:t>
            </w:r>
            <w:r>
              <w:rPr>
                <w:rFonts w:ascii="Calibri" w:hAnsi="Calibri" w:cs="Calibri"/>
                <w:color w:val="000000"/>
                <w:sz w:val="16"/>
                <w:szCs w:val="16"/>
              </w:rPr>
              <w:t>53</w:t>
            </w:r>
            <w:r w:rsidRPr="00E64A61">
              <w:rPr>
                <w:rFonts w:ascii="Calibri" w:hAnsi="Calibri" w:cs="Calibri"/>
                <w:color w:val="000000"/>
                <w:sz w:val="16"/>
                <w:szCs w:val="16"/>
              </w:rPr>
              <w:t xml:space="preserve">' </w:t>
            </w:r>
            <w:r>
              <w:rPr>
                <w:rFonts w:ascii="Calibri" w:hAnsi="Calibri" w:cs="Calibri"/>
                <w:color w:val="000000"/>
                <w:sz w:val="16"/>
                <w:szCs w:val="16"/>
              </w:rPr>
              <w:t>37.9</w:t>
            </w:r>
            <w:r w:rsidRPr="00E64A61">
              <w:rPr>
                <w:rFonts w:ascii="Calibri" w:hAnsi="Calibri" w:cs="Calibri"/>
                <w:color w:val="000000"/>
                <w:sz w:val="16"/>
                <w:szCs w:val="16"/>
              </w:rPr>
              <w:t>" W</w:t>
            </w:r>
          </w:p>
        </w:tc>
        <w:tc>
          <w:tcPr>
            <w:tcW w:w="967"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504.0</w:t>
            </w:r>
          </w:p>
        </w:tc>
        <w:tc>
          <w:tcPr>
            <w:tcW w:w="1027"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87.4</w:t>
            </w:r>
          </w:p>
        </w:tc>
        <w:tc>
          <w:tcPr>
            <w:tcW w:w="836"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105</w:t>
            </w:r>
          </w:p>
        </w:tc>
        <w:tc>
          <w:tcPr>
            <w:tcW w:w="1108"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108.7</w:t>
            </w:r>
          </w:p>
        </w:tc>
      </w:tr>
      <w:tr w:rsidTr="003E4680">
        <w:tblPrEx>
          <w:tblW w:w="9630" w:type="dxa"/>
          <w:jc w:val="center"/>
          <w:tblLook w:val="04A0"/>
        </w:tblPrEx>
        <w:trPr>
          <w:gridAfter w:val="1"/>
          <w:wAfter w:w="27" w:type="dxa"/>
          <w:trHeight w:val="288"/>
          <w:jc w:val="center"/>
        </w:trPr>
        <w:tc>
          <w:tcPr>
            <w:tcW w:w="1394" w:type="dxa"/>
            <w:tcBorders>
              <w:top w:val="single" w:sz="4" w:space="0" w:color="auto"/>
              <w:bottom w:val="single" w:sz="4" w:space="0" w:color="auto"/>
            </w:tcBorders>
            <w:vAlign w:val="center"/>
          </w:tcPr>
          <w:p w:rsidR="003E4680" w:rsidRPr="00E64A61" w:rsidP="003E4680">
            <w:pPr>
              <w:rPr>
                <w:rFonts w:asciiTheme="minorHAnsi" w:hAnsiTheme="minorHAnsi" w:cstheme="minorHAnsi"/>
                <w:b/>
                <w:sz w:val="16"/>
                <w:szCs w:val="16"/>
              </w:rPr>
            </w:pPr>
            <w:r w:rsidRPr="00E64A61">
              <w:rPr>
                <w:rFonts w:asciiTheme="minorHAnsi" w:hAnsiTheme="minorHAnsi" w:cstheme="minorHAnsi"/>
                <w:b/>
                <w:sz w:val="16"/>
                <w:szCs w:val="16"/>
              </w:rPr>
              <w:t>WQ</w:t>
            </w:r>
            <w:r>
              <w:rPr>
                <w:rFonts w:asciiTheme="minorHAnsi" w:hAnsiTheme="minorHAnsi" w:cstheme="minorHAnsi"/>
                <w:b/>
                <w:sz w:val="16"/>
                <w:szCs w:val="16"/>
              </w:rPr>
              <w:t>MS423</w:t>
            </w:r>
          </w:p>
        </w:tc>
        <w:tc>
          <w:tcPr>
            <w:tcW w:w="1752" w:type="dxa"/>
            <w:vAlign w:val="center"/>
          </w:tcPr>
          <w:p w:rsidR="003E4680" w:rsidP="003E4680">
            <w:pPr>
              <w:rPr>
                <w:rFonts w:asciiTheme="minorHAnsi" w:hAnsiTheme="minorHAnsi" w:cstheme="minorHAnsi"/>
                <w:sz w:val="16"/>
                <w:szCs w:val="16"/>
              </w:rPr>
            </w:pPr>
            <w:r>
              <w:rPr>
                <w:rFonts w:asciiTheme="minorHAnsi" w:hAnsiTheme="minorHAnsi" w:cstheme="minorHAnsi"/>
                <w:sz w:val="16"/>
                <w:szCs w:val="16"/>
              </w:rPr>
              <w:t>Neillsville</w:t>
            </w:r>
          </w:p>
        </w:tc>
        <w:tc>
          <w:tcPr>
            <w:tcW w:w="1259" w:type="dxa"/>
            <w:vAlign w:val="center"/>
          </w:tcPr>
          <w:p w:rsidR="003E4680" w:rsidRPr="00E64A61" w:rsidP="003E4680">
            <w:pPr>
              <w:jc w:val="center"/>
              <w:rPr>
                <w:rFonts w:ascii="Calibri" w:hAnsi="Calibri" w:cs="Calibri"/>
                <w:color w:val="000000"/>
                <w:sz w:val="16"/>
                <w:szCs w:val="16"/>
              </w:rPr>
            </w:pPr>
            <w:r w:rsidRPr="00E64A61">
              <w:rPr>
                <w:rFonts w:ascii="Calibri" w:hAnsi="Calibri" w:cs="Calibri"/>
                <w:color w:val="000000"/>
                <w:sz w:val="16"/>
                <w:szCs w:val="16"/>
              </w:rPr>
              <w:t>4</w:t>
            </w:r>
            <w:r>
              <w:rPr>
                <w:rFonts w:ascii="Calibri" w:hAnsi="Calibri" w:cs="Calibri"/>
                <w:color w:val="000000"/>
                <w:sz w:val="16"/>
                <w:szCs w:val="16"/>
              </w:rPr>
              <w:t>4</w:t>
            </w:r>
            <w:r w:rsidRPr="00E64A61">
              <w:rPr>
                <w:rFonts w:ascii="Calibri" w:hAnsi="Calibri" w:cs="Calibri"/>
                <w:color w:val="000000"/>
                <w:sz w:val="16"/>
                <w:szCs w:val="16"/>
              </w:rPr>
              <w:t xml:space="preserve">° </w:t>
            </w:r>
            <w:r>
              <w:rPr>
                <w:rFonts w:ascii="Calibri" w:hAnsi="Calibri" w:cs="Calibri"/>
                <w:color w:val="000000"/>
                <w:sz w:val="16"/>
                <w:szCs w:val="16"/>
              </w:rPr>
              <w:t>39</w:t>
            </w:r>
            <w:r w:rsidRPr="00E64A61">
              <w:rPr>
                <w:rFonts w:ascii="Calibri" w:hAnsi="Calibri" w:cs="Calibri"/>
                <w:color w:val="000000"/>
                <w:sz w:val="16"/>
                <w:szCs w:val="16"/>
              </w:rPr>
              <w:t xml:space="preserve">' </w:t>
            </w:r>
            <w:r>
              <w:rPr>
                <w:rFonts w:ascii="Calibri" w:hAnsi="Calibri" w:cs="Calibri"/>
                <w:color w:val="000000"/>
                <w:sz w:val="16"/>
                <w:szCs w:val="16"/>
              </w:rPr>
              <w:t>13.9</w:t>
            </w:r>
            <w:r w:rsidRPr="00E64A61">
              <w:rPr>
                <w:rFonts w:ascii="Calibri" w:hAnsi="Calibri" w:cs="Calibri"/>
                <w:color w:val="000000"/>
                <w:sz w:val="16"/>
                <w:szCs w:val="16"/>
              </w:rPr>
              <w:t>" N</w:t>
            </w:r>
          </w:p>
        </w:tc>
        <w:tc>
          <w:tcPr>
            <w:tcW w:w="1260"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90</w:t>
            </w:r>
            <w:r w:rsidRPr="00E64A61">
              <w:rPr>
                <w:rFonts w:ascii="Calibri" w:hAnsi="Calibri" w:cs="Calibri"/>
                <w:color w:val="000000"/>
                <w:sz w:val="16"/>
                <w:szCs w:val="16"/>
              </w:rPr>
              <w:t xml:space="preserve">° </w:t>
            </w:r>
            <w:r>
              <w:rPr>
                <w:rFonts w:ascii="Calibri" w:hAnsi="Calibri" w:cs="Calibri"/>
                <w:color w:val="000000"/>
                <w:sz w:val="16"/>
                <w:szCs w:val="16"/>
              </w:rPr>
              <w:t>40</w:t>
            </w:r>
            <w:r w:rsidRPr="00E64A61">
              <w:rPr>
                <w:rFonts w:ascii="Calibri" w:hAnsi="Calibri" w:cs="Calibri"/>
                <w:color w:val="000000"/>
                <w:sz w:val="16"/>
                <w:szCs w:val="16"/>
              </w:rPr>
              <w:t xml:space="preserve">' </w:t>
            </w:r>
            <w:r>
              <w:rPr>
                <w:rFonts w:ascii="Calibri" w:hAnsi="Calibri" w:cs="Calibri"/>
                <w:color w:val="000000"/>
                <w:sz w:val="16"/>
                <w:szCs w:val="16"/>
              </w:rPr>
              <w:t>32.0</w:t>
            </w:r>
            <w:r w:rsidRPr="00E64A61">
              <w:rPr>
                <w:rFonts w:ascii="Calibri" w:hAnsi="Calibri" w:cs="Calibri"/>
                <w:color w:val="000000"/>
                <w:sz w:val="16"/>
                <w:szCs w:val="16"/>
              </w:rPr>
              <w:t>" W</w:t>
            </w:r>
          </w:p>
        </w:tc>
        <w:tc>
          <w:tcPr>
            <w:tcW w:w="967"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364.2</w:t>
            </w:r>
          </w:p>
        </w:tc>
        <w:tc>
          <w:tcPr>
            <w:tcW w:w="1027"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85.3</w:t>
            </w:r>
          </w:p>
        </w:tc>
        <w:tc>
          <w:tcPr>
            <w:tcW w:w="836"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102.8</w:t>
            </w:r>
          </w:p>
        </w:tc>
        <w:tc>
          <w:tcPr>
            <w:tcW w:w="1108"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113.0</w:t>
            </w:r>
          </w:p>
        </w:tc>
      </w:tr>
      <w:tr w:rsidTr="003E4680">
        <w:tblPrEx>
          <w:tblW w:w="9630" w:type="dxa"/>
          <w:jc w:val="center"/>
          <w:tblLook w:val="04A0"/>
        </w:tblPrEx>
        <w:trPr>
          <w:gridAfter w:val="1"/>
          <w:wAfter w:w="27" w:type="dxa"/>
          <w:trHeight w:val="288"/>
          <w:jc w:val="center"/>
        </w:trPr>
        <w:tc>
          <w:tcPr>
            <w:tcW w:w="1394" w:type="dxa"/>
            <w:tcBorders>
              <w:top w:val="single" w:sz="4" w:space="0" w:color="auto"/>
              <w:bottom w:val="single" w:sz="4" w:space="0" w:color="auto"/>
            </w:tcBorders>
            <w:vAlign w:val="center"/>
          </w:tcPr>
          <w:p w:rsidR="003E4680" w:rsidRPr="00E64A61" w:rsidP="003E4680">
            <w:pPr>
              <w:rPr>
                <w:rFonts w:asciiTheme="minorHAnsi" w:hAnsiTheme="minorHAnsi" w:cstheme="minorHAnsi"/>
                <w:b/>
                <w:sz w:val="16"/>
                <w:szCs w:val="16"/>
              </w:rPr>
            </w:pPr>
            <w:r w:rsidRPr="00E64A61">
              <w:rPr>
                <w:rFonts w:asciiTheme="minorHAnsi" w:hAnsiTheme="minorHAnsi" w:cstheme="minorHAnsi"/>
                <w:b/>
                <w:sz w:val="16"/>
                <w:szCs w:val="16"/>
              </w:rPr>
              <w:t>WQ</w:t>
            </w:r>
            <w:r>
              <w:rPr>
                <w:rFonts w:asciiTheme="minorHAnsi" w:hAnsiTheme="minorHAnsi" w:cstheme="minorHAnsi"/>
                <w:b/>
                <w:sz w:val="16"/>
                <w:szCs w:val="16"/>
              </w:rPr>
              <w:t>MS424</w:t>
            </w:r>
          </w:p>
        </w:tc>
        <w:tc>
          <w:tcPr>
            <w:tcW w:w="1752" w:type="dxa"/>
            <w:vAlign w:val="center"/>
          </w:tcPr>
          <w:p w:rsidR="003E4680" w:rsidP="003E4680">
            <w:pPr>
              <w:rPr>
                <w:rFonts w:asciiTheme="minorHAnsi" w:hAnsiTheme="minorHAnsi" w:cstheme="minorHAnsi"/>
                <w:sz w:val="16"/>
                <w:szCs w:val="16"/>
              </w:rPr>
            </w:pPr>
            <w:r>
              <w:rPr>
                <w:rFonts w:asciiTheme="minorHAnsi" w:hAnsiTheme="minorHAnsi" w:cstheme="minorHAnsi"/>
                <w:sz w:val="16"/>
                <w:szCs w:val="16"/>
              </w:rPr>
              <w:t>Squirrel Hill</w:t>
            </w:r>
          </w:p>
        </w:tc>
        <w:tc>
          <w:tcPr>
            <w:tcW w:w="1259" w:type="dxa"/>
            <w:vAlign w:val="center"/>
          </w:tcPr>
          <w:p w:rsidR="003E4680" w:rsidRPr="00E64A61" w:rsidP="003E4680">
            <w:pPr>
              <w:jc w:val="center"/>
              <w:rPr>
                <w:rFonts w:ascii="Calibri" w:hAnsi="Calibri" w:cs="Calibri"/>
                <w:color w:val="000000"/>
                <w:sz w:val="16"/>
                <w:szCs w:val="16"/>
              </w:rPr>
            </w:pPr>
            <w:r w:rsidRPr="00E64A61">
              <w:rPr>
                <w:rFonts w:ascii="Calibri" w:hAnsi="Calibri" w:cs="Calibri"/>
                <w:color w:val="000000"/>
                <w:sz w:val="16"/>
                <w:szCs w:val="16"/>
              </w:rPr>
              <w:t>4</w:t>
            </w:r>
            <w:r>
              <w:rPr>
                <w:rFonts w:ascii="Calibri" w:hAnsi="Calibri" w:cs="Calibri"/>
                <w:color w:val="000000"/>
                <w:sz w:val="16"/>
                <w:szCs w:val="16"/>
              </w:rPr>
              <w:t>5</w:t>
            </w:r>
            <w:r w:rsidRPr="00E64A61">
              <w:rPr>
                <w:rFonts w:ascii="Calibri" w:hAnsi="Calibri" w:cs="Calibri"/>
                <w:color w:val="000000"/>
                <w:sz w:val="16"/>
                <w:szCs w:val="16"/>
              </w:rPr>
              <w:t xml:space="preserve">° </w:t>
            </w:r>
            <w:r>
              <w:rPr>
                <w:rFonts w:ascii="Calibri" w:hAnsi="Calibri" w:cs="Calibri"/>
                <w:color w:val="000000"/>
                <w:sz w:val="16"/>
                <w:szCs w:val="16"/>
              </w:rPr>
              <w:t>49</w:t>
            </w:r>
            <w:r w:rsidRPr="00E64A61">
              <w:rPr>
                <w:rFonts w:ascii="Calibri" w:hAnsi="Calibri" w:cs="Calibri"/>
                <w:color w:val="000000"/>
                <w:sz w:val="16"/>
                <w:szCs w:val="16"/>
              </w:rPr>
              <w:t xml:space="preserve">' </w:t>
            </w:r>
            <w:r>
              <w:rPr>
                <w:rFonts w:ascii="Calibri" w:hAnsi="Calibri" w:cs="Calibri"/>
                <w:color w:val="000000"/>
                <w:sz w:val="16"/>
                <w:szCs w:val="16"/>
              </w:rPr>
              <w:t>32.5</w:t>
            </w:r>
            <w:r w:rsidRPr="00E64A61">
              <w:rPr>
                <w:rFonts w:ascii="Calibri" w:hAnsi="Calibri" w:cs="Calibri"/>
                <w:color w:val="000000"/>
                <w:sz w:val="16"/>
                <w:szCs w:val="16"/>
              </w:rPr>
              <w:t>" N</w:t>
            </w:r>
          </w:p>
        </w:tc>
        <w:tc>
          <w:tcPr>
            <w:tcW w:w="1260"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89</w:t>
            </w:r>
            <w:r w:rsidRPr="00E64A61">
              <w:rPr>
                <w:rFonts w:ascii="Calibri" w:hAnsi="Calibri" w:cs="Calibri"/>
                <w:color w:val="000000"/>
                <w:sz w:val="16"/>
                <w:szCs w:val="16"/>
              </w:rPr>
              <w:t xml:space="preserve">° </w:t>
            </w:r>
            <w:r>
              <w:rPr>
                <w:rFonts w:ascii="Calibri" w:hAnsi="Calibri" w:cs="Calibri"/>
                <w:color w:val="000000"/>
                <w:sz w:val="16"/>
                <w:szCs w:val="16"/>
              </w:rPr>
              <w:t>53</w:t>
            </w:r>
            <w:r w:rsidRPr="00E64A61">
              <w:rPr>
                <w:rFonts w:ascii="Calibri" w:hAnsi="Calibri" w:cs="Calibri"/>
                <w:color w:val="000000"/>
                <w:sz w:val="16"/>
                <w:szCs w:val="16"/>
              </w:rPr>
              <w:t xml:space="preserve">' </w:t>
            </w:r>
            <w:r>
              <w:rPr>
                <w:rFonts w:ascii="Calibri" w:hAnsi="Calibri" w:cs="Calibri"/>
                <w:color w:val="000000"/>
                <w:sz w:val="16"/>
                <w:szCs w:val="16"/>
              </w:rPr>
              <w:t>37.9</w:t>
            </w:r>
            <w:r w:rsidRPr="00E64A61">
              <w:rPr>
                <w:rFonts w:ascii="Calibri" w:hAnsi="Calibri" w:cs="Calibri"/>
                <w:color w:val="000000"/>
                <w:sz w:val="16"/>
                <w:szCs w:val="16"/>
              </w:rPr>
              <w:t>" W</w:t>
            </w:r>
          </w:p>
        </w:tc>
        <w:tc>
          <w:tcPr>
            <w:tcW w:w="967"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504.0</w:t>
            </w:r>
          </w:p>
        </w:tc>
        <w:tc>
          <w:tcPr>
            <w:tcW w:w="1027"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87.4</w:t>
            </w:r>
          </w:p>
        </w:tc>
        <w:tc>
          <w:tcPr>
            <w:tcW w:w="836"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105</w:t>
            </w:r>
          </w:p>
        </w:tc>
        <w:tc>
          <w:tcPr>
            <w:tcW w:w="1108"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108.7</w:t>
            </w:r>
          </w:p>
        </w:tc>
      </w:tr>
      <w:tr w:rsidTr="003E4680">
        <w:tblPrEx>
          <w:tblW w:w="9630" w:type="dxa"/>
          <w:jc w:val="center"/>
          <w:tblLook w:val="04A0"/>
        </w:tblPrEx>
        <w:trPr>
          <w:gridAfter w:val="1"/>
          <w:wAfter w:w="27" w:type="dxa"/>
          <w:trHeight w:val="288"/>
          <w:jc w:val="center"/>
        </w:trPr>
        <w:tc>
          <w:tcPr>
            <w:tcW w:w="1394" w:type="dxa"/>
            <w:tcBorders>
              <w:top w:val="single" w:sz="4" w:space="0" w:color="auto"/>
            </w:tcBorders>
            <w:vAlign w:val="center"/>
          </w:tcPr>
          <w:p w:rsidR="003E4680" w:rsidRPr="00E64A61" w:rsidP="003E4680">
            <w:pPr>
              <w:rPr>
                <w:rFonts w:asciiTheme="minorHAnsi" w:hAnsiTheme="minorHAnsi" w:cstheme="minorHAnsi"/>
                <w:b/>
                <w:sz w:val="16"/>
                <w:szCs w:val="16"/>
              </w:rPr>
            </w:pPr>
            <w:r w:rsidRPr="00E64A61">
              <w:rPr>
                <w:rFonts w:asciiTheme="minorHAnsi" w:hAnsiTheme="minorHAnsi" w:cstheme="minorHAnsi"/>
                <w:b/>
                <w:sz w:val="16"/>
                <w:szCs w:val="16"/>
              </w:rPr>
              <w:t>WQ</w:t>
            </w:r>
            <w:r>
              <w:rPr>
                <w:rFonts w:asciiTheme="minorHAnsi" w:hAnsiTheme="minorHAnsi" w:cstheme="minorHAnsi"/>
                <w:b/>
                <w:sz w:val="16"/>
                <w:szCs w:val="16"/>
              </w:rPr>
              <w:t>MS425</w:t>
            </w:r>
          </w:p>
        </w:tc>
        <w:tc>
          <w:tcPr>
            <w:tcW w:w="1752" w:type="dxa"/>
            <w:vAlign w:val="center"/>
          </w:tcPr>
          <w:p w:rsidR="003E4680" w:rsidP="003E4680">
            <w:pPr>
              <w:rPr>
                <w:rFonts w:asciiTheme="minorHAnsi" w:hAnsiTheme="minorHAnsi" w:cstheme="minorHAnsi"/>
                <w:sz w:val="16"/>
                <w:szCs w:val="16"/>
              </w:rPr>
            </w:pPr>
            <w:r>
              <w:rPr>
                <w:rFonts w:asciiTheme="minorHAnsi" w:hAnsiTheme="minorHAnsi" w:cstheme="minorHAnsi"/>
                <w:sz w:val="16"/>
                <w:szCs w:val="16"/>
              </w:rPr>
              <w:t>Cary Mound</w:t>
            </w:r>
          </w:p>
        </w:tc>
        <w:tc>
          <w:tcPr>
            <w:tcW w:w="1259" w:type="dxa"/>
            <w:vAlign w:val="center"/>
          </w:tcPr>
          <w:p w:rsidR="003E4680" w:rsidRPr="00E64A61" w:rsidP="003E4680">
            <w:pPr>
              <w:jc w:val="center"/>
              <w:rPr>
                <w:rFonts w:ascii="Calibri" w:hAnsi="Calibri" w:cs="Calibri"/>
                <w:color w:val="000000"/>
                <w:sz w:val="16"/>
                <w:szCs w:val="16"/>
              </w:rPr>
            </w:pPr>
            <w:r w:rsidRPr="00E64A61">
              <w:rPr>
                <w:rFonts w:ascii="Calibri" w:hAnsi="Calibri" w:cs="Calibri"/>
                <w:color w:val="000000"/>
                <w:sz w:val="16"/>
                <w:szCs w:val="16"/>
              </w:rPr>
              <w:t>4</w:t>
            </w:r>
            <w:r>
              <w:rPr>
                <w:rFonts w:ascii="Calibri" w:hAnsi="Calibri" w:cs="Calibri"/>
                <w:color w:val="000000"/>
                <w:sz w:val="16"/>
                <w:szCs w:val="16"/>
              </w:rPr>
              <w:t>4</w:t>
            </w:r>
            <w:r w:rsidRPr="00E64A61">
              <w:rPr>
                <w:rFonts w:ascii="Calibri" w:hAnsi="Calibri" w:cs="Calibri"/>
                <w:color w:val="000000"/>
                <w:sz w:val="16"/>
                <w:szCs w:val="16"/>
              </w:rPr>
              <w:t xml:space="preserve">° </w:t>
            </w:r>
            <w:r>
              <w:rPr>
                <w:rFonts w:ascii="Calibri" w:hAnsi="Calibri" w:cs="Calibri"/>
                <w:color w:val="000000"/>
                <w:sz w:val="16"/>
                <w:szCs w:val="16"/>
              </w:rPr>
              <w:t>31</w:t>
            </w:r>
            <w:r w:rsidRPr="00E64A61">
              <w:rPr>
                <w:rFonts w:ascii="Calibri" w:hAnsi="Calibri" w:cs="Calibri"/>
                <w:color w:val="000000"/>
                <w:sz w:val="16"/>
                <w:szCs w:val="16"/>
              </w:rPr>
              <w:t xml:space="preserve">' </w:t>
            </w:r>
            <w:r>
              <w:rPr>
                <w:rFonts w:ascii="Calibri" w:hAnsi="Calibri" w:cs="Calibri"/>
                <w:color w:val="000000"/>
                <w:sz w:val="16"/>
                <w:szCs w:val="16"/>
              </w:rPr>
              <w:t>30.8</w:t>
            </w:r>
            <w:r w:rsidRPr="00E64A61">
              <w:rPr>
                <w:rFonts w:ascii="Calibri" w:hAnsi="Calibri" w:cs="Calibri"/>
                <w:color w:val="000000"/>
                <w:sz w:val="16"/>
                <w:szCs w:val="16"/>
              </w:rPr>
              <w:t>" N</w:t>
            </w:r>
          </w:p>
        </w:tc>
        <w:tc>
          <w:tcPr>
            <w:tcW w:w="1260"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90</w:t>
            </w:r>
            <w:r w:rsidRPr="00E64A61">
              <w:rPr>
                <w:rFonts w:ascii="Calibri" w:hAnsi="Calibri" w:cs="Calibri"/>
                <w:color w:val="000000"/>
                <w:sz w:val="16"/>
                <w:szCs w:val="16"/>
              </w:rPr>
              <w:t xml:space="preserve">° </w:t>
            </w:r>
            <w:r>
              <w:rPr>
                <w:rFonts w:ascii="Calibri" w:hAnsi="Calibri" w:cs="Calibri"/>
                <w:color w:val="000000"/>
                <w:sz w:val="16"/>
                <w:szCs w:val="16"/>
              </w:rPr>
              <w:t>12</w:t>
            </w:r>
            <w:r w:rsidRPr="00E64A61">
              <w:rPr>
                <w:rFonts w:ascii="Calibri" w:hAnsi="Calibri" w:cs="Calibri"/>
                <w:color w:val="000000"/>
                <w:sz w:val="16"/>
                <w:szCs w:val="16"/>
              </w:rPr>
              <w:t xml:space="preserve">' </w:t>
            </w:r>
            <w:r>
              <w:rPr>
                <w:rFonts w:ascii="Calibri" w:hAnsi="Calibri" w:cs="Calibri"/>
                <w:color w:val="000000"/>
                <w:sz w:val="16"/>
                <w:szCs w:val="16"/>
              </w:rPr>
              <w:t>58.9</w:t>
            </w:r>
            <w:r w:rsidRPr="00E64A61">
              <w:rPr>
                <w:rFonts w:ascii="Calibri" w:hAnsi="Calibri" w:cs="Calibri"/>
                <w:color w:val="000000"/>
                <w:sz w:val="16"/>
                <w:szCs w:val="16"/>
              </w:rPr>
              <w:t>" W</w:t>
            </w:r>
          </w:p>
        </w:tc>
        <w:tc>
          <w:tcPr>
            <w:tcW w:w="967"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385.6</w:t>
            </w:r>
          </w:p>
        </w:tc>
        <w:tc>
          <w:tcPr>
            <w:tcW w:w="1027"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82.3</w:t>
            </w:r>
          </w:p>
        </w:tc>
        <w:tc>
          <w:tcPr>
            <w:tcW w:w="836"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110</w:t>
            </w:r>
          </w:p>
        </w:tc>
        <w:tc>
          <w:tcPr>
            <w:tcW w:w="1108" w:type="dxa"/>
            <w:vAlign w:val="center"/>
          </w:tcPr>
          <w:p w:rsidR="003E4680" w:rsidP="003E4680">
            <w:pPr>
              <w:jc w:val="center"/>
              <w:rPr>
                <w:rFonts w:ascii="Calibri" w:hAnsi="Calibri" w:cs="Calibri"/>
                <w:color w:val="000000"/>
                <w:sz w:val="16"/>
                <w:szCs w:val="16"/>
              </w:rPr>
            </w:pPr>
            <w:r>
              <w:rPr>
                <w:rFonts w:ascii="Calibri" w:hAnsi="Calibri" w:cs="Calibri"/>
                <w:color w:val="000000"/>
                <w:sz w:val="16"/>
                <w:szCs w:val="16"/>
              </w:rPr>
              <w:t>125.1</w:t>
            </w:r>
          </w:p>
        </w:tc>
      </w:tr>
    </w:tbl>
    <w:p w:rsidR="003E4680" w:rsidRPr="00E64A61" w:rsidP="003E4680">
      <w:pPr>
        <w:rPr>
          <w:rFonts w:asciiTheme="minorHAnsi" w:hAnsiTheme="minorHAnsi" w:cstheme="minorHAnsi"/>
          <w:sz w:val="16"/>
          <w:szCs w:val="16"/>
        </w:rPr>
      </w:pPr>
    </w:p>
    <w:tbl>
      <w:tblPr>
        <w:tblStyle w:val="TableGrid"/>
        <w:tblW w:w="7015" w:type="dxa"/>
        <w:tblInd w:w="-5" w:type="dxa"/>
        <w:tblLook w:val="04A0"/>
      </w:tblPr>
      <w:tblGrid>
        <w:gridCol w:w="1834"/>
        <w:gridCol w:w="1305"/>
        <w:gridCol w:w="1292"/>
        <w:gridCol w:w="1276"/>
        <w:gridCol w:w="1308"/>
      </w:tblGrid>
      <w:tr w:rsidTr="003E4680">
        <w:tblPrEx>
          <w:tblW w:w="7015" w:type="dxa"/>
          <w:tblInd w:w="-5" w:type="dxa"/>
          <w:tblLook w:val="04A0"/>
        </w:tblPrEx>
        <w:trPr>
          <w:trHeight w:val="288"/>
          <w:tblHeader/>
        </w:trPr>
        <w:tc>
          <w:tcPr>
            <w:tcW w:w="7015" w:type="dxa"/>
            <w:gridSpan w:val="5"/>
            <w:tcBorders>
              <w:bottom w:val="single" w:sz="4" w:space="0" w:color="auto"/>
            </w:tcBorders>
            <w:vAlign w:val="bottom"/>
          </w:tcPr>
          <w:p w:rsidR="003E4680" w:rsidRPr="00E64A61" w:rsidP="003E4680">
            <w:pPr>
              <w:rPr>
                <w:rFonts w:asciiTheme="minorHAnsi" w:hAnsiTheme="minorHAnsi" w:cstheme="minorHAnsi"/>
                <w:sz w:val="16"/>
                <w:szCs w:val="16"/>
              </w:rPr>
            </w:pPr>
            <w:bookmarkStart w:id="19" w:name="_Hlk525723905"/>
            <w:r w:rsidRPr="00E64A61">
              <w:rPr>
                <w:rFonts w:asciiTheme="minorHAnsi" w:hAnsiTheme="minorHAnsi" w:cstheme="minorHAnsi"/>
                <w:sz w:val="16"/>
                <w:szCs w:val="16"/>
              </w:rPr>
              <w:t>Transmitter Radial Values – per Section 22.567(d)</w:t>
            </w:r>
          </w:p>
        </w:tc>
      </w:tr>
      <w:tr w:rsidTr="003E4680">
        <w:tblPrEx>
          <w:tblW w:w="7015" w:type="dxa"/>
          <w:tblInd w:w="-5" w:type="dxa"/>
          <w:tblLook w:val="04A0"/>
        </w:tblPrEx>
        <w:trPr>
          <w:trHeight w:val="288"/>
          <w:tblHeader/>
        </w:trPr>
        <w:tc>
          <w:tcPr>
            <w:tcW w:w="1834" w:type="dxa"/>
            <w:tcBorders>
              <w:bottom w:val="single" w:sz="4" w:space="0" w:color="auto"/>
            </w:tcBorders>
            <w:shd w:val="clear" w:color="auto" w:fill="D9D9FF"/>
            <w:vAlign w:val="center"/>
          </w:tcPr>
          <w:p w:rsidR="003E4680" w:rsidRPr="00E64A61" w:rsidP="003E4680">
            <w:pPr>
              <w:rPr>
                <w:rFonts w:asciiTheme="minorHAnsi" w:hAnsiTheme="minorHAnsi" w:cstheme="minorHAnsi"/>
                <w:b/>
                <w:sz w:val="16"/>
                <w:szCs w:val="16"/>
              </w:rPr>
            </w:pPr>
            <w:r w:rsidRPr="00E64A61">
              <w:rPr>
                <w:rFonts w:asciiTheme="minorHAnsi" w:hAnsiTheme="minorHAnsi" w:cstheme="minorHAnsi"/>
                <w:b/>
                <w:sz w:val="16"/>
                <w:szCs w:val="16"/>
              </w:rPr>
              <w:t>Location</w:t>
            </w:r>
          </w:p>
        </w:tc>
        <w:tc>
          <w:tcPr>
            <w:tcW w:w="1305" w:type="dxa"/>
            <w:shd w:val="clear" w:color="auto" w:fill="D9D9FF"/>
            <w:vAlign w:val="center"/>
          </w:tcPr>
          <w:p w:rsidR="003E4680" w:rsidRPr="00E64A61" w:rsidP="003E4680">
            <w:pPr>
              <w:jc w:val="center"/>
              <w:rPr>
                <w:rFonts w:asciiTheme="minorHAnsi" w:hAnsiTheme="minorHAnsi" w:cstheme="minorHAnsi"/>
                <w:b/>
                <w:sz w:val="16"/>
                <w:szCs w:val="16"/>
              </w:rPr>
            </w:pPr>
            <w:r w:rsidRPr="00E64A61">
              <w:rPr>
                <w:rFonts w:asciiTheme="minorHAnsi" w:hAnsiTheme="minorHAnsi" w:cstheme="minorHAnsi"/>
                <w:b/>
                <w:sz w:val="16"/>
                <w:szCs w:val="16"/>
              </w:rPr>
              <w:t>Azimuth</w:t>
            </w:r>
          </w:p>
        </w:tc>
        <w:tc>
          <w:tcPr>
            <w:tcW w:w="1292" w:type="dxa"/>
            <w:shd w:val="clear" w:color="auto" w:fill="D9D9FF"/>
            <w:vAlign w:val="center"/>
          </w:tcPr>
          <w:p w:rsidR="003E4680" w:rsidRPr="00E64A61" w:rsidP="003E4680">
            <w:pPr>
              <w:jc w:val="center"/>
              <w:rPr>
                <w:rFonts w:asciiTheme="minorHAnsi" w:hAnsiTheme="minorHAnsi" w:cstheme="minorHAnsi"/>
                <w:b/>
                <w:sz w:val="16"/>
                <w:szCs w:val="16"/>
              </w:rPr>
            </w:pPr>
            <w:r w:rsidRPr="00E64A61">
              <w:rPr>
                <w:rFonts w:asciiTheme="minorHAnsi" w:hAnsiTheme="minorHAnsi" w:cstheme="minorHAnsi"/>
                <w:b/>
                <w:sz w:val="16"/>
                <w:szCs w:val="16"/>
              </w:rPr>
              <w:t>HAAT (m)</w:t>
            </w:r>
          </w:p>
        </w:tc>
        <w:tc>
          <w:tcPr>
            <w:tcW w:w="1276" w:type="dxa"/>
            <w:shd w:val="clear" w:color="auto" w:fill="D9D9FF"/>
            <w:vAlign w:val="center"/>
          </w:tcPr>
          <w:p w:rsidR="003E4680" w:rsidRPr="00E64A61" w:rsidP="003E4680">
            <w:pPr>
              <w:jc w:val="center"/>
              <w:rPr>
                <w:rFonts w:asciiTheme="minorHAnsi" w:hAnsiTheme="minorHAnsi" w:cstheme="minorHAnsi"/>
                <w:b/>
                <w:sz w:val="16"/>
                <w:szCs w:val="16"/>
              </w:rPr>
            </w:pPr>
            <w:r w:rsidRPr="00E64A61">
              <w:rPr>
                <w:rFonts w:asciiTheme="minorHAnsi" w:hAnsiTheme="minorHAnsi" w:cstheme="minorHAnsi"/>
                <w:b/>
                <w:sz w:val="16"/>
                <w:szCs w:val="16"/>
              </w:rPr>
              <w:t>ERP (W)</w:t>
            </w:r>
          </w:p>
        </w:tc>
        <w:tc>
          <w:tcPr>
            <w:tcW w:w="1308" w:type="dxa"/>
            <w:shd w:val="clear" w:color="auto" w:fill="D9D9FF"/>
            <w:vAlign w:val="center"/>
          </w:tcPr>
          <w:p w:rsidR="003E4680" w:rsidRPr="00E64A61" w:rsidP="003E4680">
            <w:pPr>
              <w:jc w:val="center"/>
              <w:rPr>
                <w:rFonts w:asciiTheme="minorHAnsi" w:hAnsiTheme="minorHAnsi" w:cstheme="minorHAnsi"/>
                <w:b/>
                <w:sz w:val="16"/>
                <w:szCs w:val="16"/>
              </w:rPr>
            </w:pPr>
            <w:r w:rsidRPr="00E64A61">
              <w:rPr>
                <w:rFonts w:asciiTheme="minorHAnsi" w:hAnsiTheme="minorHAnsi" w:cstheme="minorHAnsi"/>
                <w:b/>
                <w:sz w:val="16"/>
                <w:szCs w:val="16"/>
              </w:rPr>
              <w:t>Distance (km)</w:t>
            </w:r>
          </w:p>
        </w:tc>
      </w:tr>
      <w:tr w:rsidTr="003E4680">
        <w:tblPrEx>
          <w:tblW w:w="7015" w:type="dxa"/>
          <w:tblInd w:w="-5" w:type="dxa"/>
          <w:tblLook w:val="04A0"/>
        </w:tblPrEx>
        <w:trPr>
          <w:trHeight w:val="288"/>
        </w:trPr>
        <w:tc>
          <w:tcPr>
            <w:tcW w:w="1834" w:type="dxa"/>
            <w:tcBorders>
              <w:bottom w:val="nil"/>
            </w:tcBorders>
            <w:vAlign w:val="center"/>
          </w:tcPr>
          <w:p w:rsidR="003E4680" w:rsidRPr="00E64A61" w:rsidP="003E4680">
            <w:pPr>
              <w:rPr>
                <w:rFonts w:asciiTheme="minorHAnsi" w:hAnsiTheme="minorHAnsi" w:cstheme="minorHAnsi"/>
                <w:sz w:val="16"/>
                <w:szCs w:val="16"/>
              </w:rPr>
            </w:pPr>
            <w:bookmarkEnd w:id="19"/>
            <w:r>
              <w:rPr>
                <w:rFonts w:asciiTheme="minorHAnsi" w:hAnsiTheme="minorHAnsi" w:cstheme="minorHAnsi"/>
                <w:sz w:val="16"/>
                <w:szCs w:val="16"/>
              </w:rPr>
              <w:t>Wittenberg</w:t>
            </w:r>
          </w:p>
        </w:tc>
        <w:tc>
          <w:tcPr>
            <w:tcW w:w="1305" w:type="dxa"/>
            <w:vAlign w:val="center"/>
          </w:tcPr>
          <w:p w:rsidR="003E4680" w:rsidRPr="00E64A61" w:rsidP="003E4680">
            <w:pPr>
              <w:jc w:val="center"/>
              <w:rPr>
                <w:rFonts w:asciiTheme="minorHAnsi" w:hAnsiTheme="minorHAnsi" w:cstheme="minorHAnsi"/>
                <w:color w:val="000000"/>
                <w:sz w:val="16"/>
                <w:szCs w:val="16"/>
              </w:rPr>
            </w:pPr>
            <w:r w:rsidRPr="00E64A61">
              <w:rPr>
                <w:rFonts w:asciiTheme="minorHAnsi" w:hAnsiTheme="minorHAnsi" w:cstheme="minorHAnsi"/>
                <w:color w:val="000000"/>
                <w:sz w:val="16"/>
                <w:szCs w:val="16"/>
              </w:rPr>
              <w:t>0</w:t>
            </w:r>
          </w:p>
        </w:tc>
        <w:tc>
          <w:tcPr>
            <w:tcW w:w="1292"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90.2</w:t>
            </w:r>
          </w:p>
        </w:tc>
        <w:tc>
          <w:tcPr>
            <w:tcW w:w="1276"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90</w:t>
            </w:r>
          </w:p>
        </w:tc>
        <w:tc>
          <w:tcPr>
            <w:tcW w:w="1308"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59.4</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theme="minorHAnsi"/>
                <w:color w:val="000000"/>
                <w:sz w:val="16"/>
                <w:szCs w:val="16"/>
              </w:rPr>
            </w:pPr>
            <w:r w:rsidRPr="00E64A61">
              <w:rPr>
                <w:rFonts w:asciiTheme="minorHAnsi" w:hAnsiTheme="minorHAnsi" w:cstheme="minorHAnsi"/>
                <w:color w:val="000000"/>
                <w:sz w:val="16"/>
                <w:szCs w:val="16"/>
              </w:rPr>
              <w:t>45</w:t>
            </w:r>
          </w:p>
        </w:tc>
        <w:tc>
          <w:tcPr>
            <w:tcW w:w="1292"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121.6</w:t>
            </w:r>
          </w:p>
        </w:tc>
        <w:tc>
          <w:tcPr>
            <w:tcW w:w="1276"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90</w:t>
            </w:r>
          </w:p>
        </w:tc>
        <w:tc>
          <w:tcPr>
            <w:tcW w:w="1308"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63.8</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theme="minorHAnsi"/>
                <w:color w:val="000000"/>
                <w:sz w:val="16"/>
                <w:szCs w:val="16"/>
              </w:rPr>
            </w:pPr>
            <w:r w:rsidRPr="00E64A61">
              <w:rPr>
                <w:rFonts w:asciiTheme="minorHAnsi" w:hAnsiTheme="minorHAnsi" w:cstheme="minorHAnsi"/>
                <w:color w:val="000000"/>
                <w:sz w:val="16"/>
                <w:szCs w:val="16"/>
              </w:rPr>
              <w:t>90</w:t>
            </w:r>
          </w:p>
        </w:tc>
        <w:tc>
          <w:tcPr>
            <w:tcW w:w="1292"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148.2</w:t>
            </w:r>
          </w:p>
        </w:tc>
        <w:tc>
          <w:tcPr>
            <w:tcW w:w="1276"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90</w:t>
            </w:r>
          </w:p>
        </w:tc>
        <w:tc>
          <w:tcPr>
            <w:tcW w:w="1308"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66.9</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theme="minorHAnsi"/>
                <w:color w:val="000000"/>
                <w:sz w:val="16"/>
                <w:szCs w:val="16"/>
              </w:rPr>
            </w:pPr>
            <w:r w:rsidRPr="00E64A61">
              <w:rPr>
                <w:rFonts w:asciiTheme="minorHAnsi" w:hAnsiTheme="minorHAnsi" w:cstheme="minorHAnsi"/>
                <w:color w:val="000000"/>
                <w:sz w:val="16"/>
                <w:szCs w:val="16"/>
              </w:rPr>
              <w:t>135</w:t>
            </w:r>
          </w:p>
        </w:tc>
        <w:tc>
          <w:tcPr>
            <w:tcW w:w="1292"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156.7</w:t>
            </w:r>
          </w:p>
        </w:tc>
        <w:tc>
          <w:tcPr>
            <w:tcW w:w="1276"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90</w:t>
            </w:r>
          </w:p>
        </w:tc>
        <w:tc>
          <w:tcPr>
            <w:tcW w:w="1308"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73.9</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theme="minorHAnsi"/>
                <w:color w:val="000000"/>
                <w:sz w:val="16"/>
                <w:szCs w:val="16"/>
              </w:rPr>
            </w:pPr>
            <w:r w:rsidRPr="00E64A61">
              <w:rPr>
                <w:rFonts w:asciiTheme="minorHAnsi" w:hAnsiTheme="minorHAnsi" w:cstheme="minorHAnsi"/>
                <w:color w:val="000000"/>
                <w:sz w:val="16"/>
                <w:szCs w:val="16"/>
              </w:rPr>
              <w:t>180</w:t>
            </w:r>
          </w:p>
        </w:tc>
        <w:tc>
          <w:tcPr>
            <w:tcW w:w="1292"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142.3</w:t>
            </w:r>
          </w:p>
        </w:tc>
        <w:tc>
          <w:tcPr>
            <w:tcW w:w="1276"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90</w:t>
            </w:r>
          </w:p>
        </w:tc>
        <w:tc>
          <w:tcPr>
            <w:tcW w:w="1308"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66.3</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theme="minorHAnsi"/>
                <w:color w:val="000000"/>
                <w:sz w:val="16"/>
                <w:szCs w:val="16"/>
              </w:rPr>
            </w:pPr>
            <w:r w:rsidRPr="00E64A61">
              <w:rPr>
                <w:rFonts w:asciiTheme="minorHAnsi" w:hAnsiTheme="minorHAnsi" w:cstheme="minorHAnsi"/>
                <w:color w:val="000000"/>
                <w:sz w:val="16"/>
                <w:szCs w:val="16"/>
              </w:rPr>
              <w:t>225</w:t>
            </w:r>
          </w:p>
        </w:tc>
        <w:tc>
          <w:tcPr>
            <w:tcW w:w="1292"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111.9</w:t>
            </w:r>
          </w:p>
        </w:tc>
        <w:tc>
          <w:tcPr>
            <w:tcW w:w="1276"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90</w:t>
            </w:r>
          </w:p>
        </w:tc>
        <w:tc>
          <w:tcPr>
            <w:tcW w:w="1308"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62.6</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theme="minorHAnsi"/>
                <w:color w:val="000000"/>
                <w:sz w:val="16"/>
                <w:szCs w:val="16"/>
              </w:rPr>
            </w:pPr>
            <w:r w:rsidRPr="00E64A61">
              <w:rPr>
                <w:rFonts w:asciiTheme="minorHAnsi" w:hAnsiTheme="minorHAnsi" w:cstheme="minorHAnsi"/>
                <w:color w:val="000000"/>
                <w:sz w:val="16"/>
                <w:szCs w:val="16"/>
              </w:rPr>
              <w:t>270</w:t>
            </w:r>
          </w:p>
        </w:tc>
        <w:tc>
          <w:tcPr>
            <w:tcW w:w="1292"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95.9</w:t>
            </w:r>
          </w:p>
        </w:tc>
        <w:tc>
          <w:tcPr>
            <w:tcW w:w="1276"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90</w:t>
            </w:r>
          </w:p>
        </w:tc>
        <w:tc>
          <w:tcPr>
            <w:tcW w:w="1308"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60.3</w:t>
            </w:r>
          </w:p>
        </w:tc>
      </w:tr>
      <w:tr w:rsidTr="003E4680">
        <w:tblPrEx>
          <w:tblW w:w="7015" w:type="dxa"/>
          <w:tblInd w:w="-5" w:type="dxa"/>
          <w:tblLook w:val="04A0"/>
        </w:tblPrEx>
        <w:trPr>
          <w:trHeight w:val="288"/>
        </w:trPr>
        <w:tc>
          <w:tcPr>
            <w:tcW w:w="1834" w:type="dxa"/>
            <w:tcBorders>
              <w:top w:val="nil"/>
              <w:bottom w:val="single" w:sz="4" w:space="0" w:color="auto"/>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theme="minorHAnsi"/>
                <w:color w:val="000000"/>
                <w:sz w:val="16"/>
                <w:szCs w:val="16"/>
              </w:rPr>
            </w:pPr>
            <w:r w:rsidRPr="00E64A61">
              <w:rPr>
                <w:rFonts w:asciiTheme="minorHAnsi" w:hAnsiTheme="minorHAnsi" w:cstheme="minorHAnsi"/>
                <w:color w:val="000000"/>
                <w:sz w:val="16"/>
                <w:szCs w:val="16"/>
              </w:rPr>
              <w:t>315</w:t>
            </w:r>
          </w:p>
        </w:tc>
        <w:tc>
          <w:tcPr>
            <w:tcW w:w="1292"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85.7</w:t>
            </w:r>
          </w:p>
        </w:tc>
        <w:tc>
          <w:tcPr>
            <w:tcW w:w="1276"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90</w:t>
            </w:r>
          </w:p>
        </w:tc>
        <w:tc>
          <w:tcPr>
            <w:tcW w:w="1308" w:type="dxa"/>
            <w:vAlign w:val="center"/>
          </w:tcPr>
          <w:p w:rsidR="003E4680" w:rsidRPr="00E64A61"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58.7</w:t>
            </w:r>
          </w:p>
        </w:tc>
      </w:tr>
      <w:tr w:rsidTr="003E4680">
        <w:tblPrEx>
          <w:tblW w:w="7015" w:type="dxa"/>
          <w:tblInd w:w="-5" w:type="dxa"/>
          <w:tblLook w:val="04A0"/>
        </w:tblPrEx>
        <w:trPr>
          <w:trHeight w:val="288"/>
        </w:trPr>
        <w:tc>
          <w:tcPr>
            <w:tcW w:w="1834" w:type="dxa"/>
            <w:tcBorders>
              <w:bottom w:val="nil"/>
            </w:tcBorders>
            <w:vAlign w:val="center"/>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West Kewanee</w:t>
            </w:r>
          </w:p>
        </w:tc>
        <w:tc>
          <w:tcPr>
            <w:tcW w:w="1305" w:type="dxa"/>
            <w:vAlign w:val="center"/>
          </w:tcPr>
          <w:p w:rsidR="003E4680" w:rsidRPr="00E64A61" w:rsidP="003E4680">
            <w:pPr>
              <w:jc w:val="center"/>
              <w:rPr>
                <w:rFonts w:ascii="Verdana" w:hAnsi="Verdana" w:cs="Calibri"/>
                <w:color w:val="000000"/>
                <w:sz w:val="16"/>
                <w:szCs w:val="16"/>
              </w:rPr>
            </w:pPr>
            <w:r w:rsidRPr="00E64A61">
              <w:rPr>
                <w:rFonts w:ascii="Verdana" w:hAnsi="Verdana" w:cs="Calibri"/>
                <w:color w:val="000000"/>
                <w:sz w:val="16"/>
                <w:szCs w:val="16"/>
              </w:rPr>
              <w:t>0</w:t>
            </w:r>
          </w:p>
        </w:tc>
        <w:tc>
          <w:tcPr>
            <w:tcW w:w="1292" w:type="dxa"/>
            <w:vAlign w:val="center"/>
          </w:tcPr>
          <w:p w:rsidR="003E4680" w:rsidRPr="00660A19"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104.9</w:t>
            </w:r>
          </w:p>
        </w:tc>
        <w:tc>
          <w:tcPr>
            <w:tcW w:w="1276" w:type="dxa"/>
            <w:vAlign w:val="center"/>
          </w:tcPr>
          <w:p w:rsidR="003E4680" w:rsidRPr="00660A19"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124</w:t>
            </w:r>
          </w:p>
        </w:tc>
        <w:tc>
          <w:tcPr>
            <w:tcW w:w="1308" w:type="dxa"/>
            <w:vAlign w:val="center"/>
          </w:tcPr>
          <w:p w:rsidR="003E4680" w:rsidRPr="00660A19"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65.5</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292"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121.2</w:t>
            </w:r>
          </w:p>
        </w:tc>
        <w:tc>
          <w:tcPr>
            <w:tcW w:w="1276"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124</w:t>
            </w:r>
          </w:p>
        </w:tc>
        <w:tc>
          <w:tcPr>
            <w:tcW w:w="1308"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67.8</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292"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142.3</w:t>
            </w:r>
          </w:p>
        </w:tc>
        <w:tc>
          <w:tcPr>
            <w:tcW w:w="1276"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124</w:t>
            </w:r>
          </w:p>
        </w:tc>
        <w:tc>
          <w:tcPr>
            <w:tcW w:w="1308"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70.4</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292"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137.1</w:t>
            </w:r>
          </w:p>
        </w:tc>
        <w:tc>
          <w:tcPr>
            <w:tcW w:w="1276"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124</w:t>
            </w:r>
          </w:p>
        </w:tc>
        <w:tc>
          <w:tcPr>
            <w:tcW w:w="1308"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69.8</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292"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101.3</w:t>
            </w:r>
          </w:p>
        </w:tc>
        <w:tc>
          <w:tcPr>
            <w:tcW w:w="1276"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124</w:t>
            </w:r>
          </w:p>
        </w:tc>
        <w:tc>
          <w:tcPr>
            <w:tcW w:w="1308"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64.9</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292"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93</w:t>
            </w:r>
          </w:p>
        </w:tc>
        <w:tc>
          <w:tcPr>
            <w:tcW w:w="1276"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124</w:t>
            </w:r>
          </w:p>
        </w:tc>
        <w:tc>
          <w:tcPr>
            <w:tcW w:w="1308"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63.6</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292"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76</w:t>
            </w:r>
          </w:p>
        </w:tc>
        <w:tc>
          <w:tcPr>
            <w:tcW w:w="1276"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124</w:t>
            </w:r>
          </w:p>
        </w:tc>
        <w:tc>
          <w:tcPr>
            <w:tcW w:w="1308"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60.6</w:t>
            </w:r>
          </w:p>
        </w:tc>
      </w:tr>
      <w:tr w:rsidTr="003E4680">
        <w:tblPrEx>
          <w:tblW w:w="7015" w:type="dxa"/>
          <w:tblInd w:w="-5" w:type="dxa"/>
          <w:tblLook w:val="04A0"/>
        </w:tblPrEx>
        <w:trPr>
          <w:trHeight w:val="288"/>
        </w:trPr>
        <w:tc>
          <w:tcPr>
            <w:tcW w:w="1834" w:type="dxa"/>
            <w:tcBorders>
              <w:top w:val="nil"/>
              <w:bottom w:val="single" w:sz="4" w:space="0" w:color="auto"/>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292"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100.1</w:t>
            </w:r>
          </w:p>
        </w:tc>
        <w:tc>
          <w:tcPr>
            <w:tcW w:w="1276"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124</w:t>
            </w:r>
          </w:p>
        </w:tc>
        <w:tc>
          <w:tcPr>
            <w:tcW w:w="1308" w:type="dxa"/>
            <w:vAlign w:val="center"/>
          </w:tcPr>
          <w:p w:rsidR="003E4680" w:rsidRPr="00626FAE" w:rsidP="003E4680">
            <w:pPr>
              <w:jc w:val="center"/>
              <w:rPr>
                <w:rFonts w:asciiTheme="minorHAnsi" w:hAnsiTheme="minorHAnsi" w:cstheme="minorHAnsi"/>
                <w:color w:val="000000"/>
                <w:sz w:val="16"/>
                <w:szCs w:val="16"/>
              </w:rPr>
            </w:pPr>
            <w:r>
              <w:rPr>
                <w:rFonts w:asciiTheme="minorHAnsi" w:hAnsiTheme="minorHAnsi" w:cstheme="minorHAnsi"/>
                <w:color w:val="000000"/>
                <w:sz w:val="16"/>
                <w:szCs w:val="16"/>
              </w:rPr>
              <w:t>64.7</w:t>
            </w:r>
          </w:p>
        </w:tc>
      </w:tr>
      <w:tr w:rsidTr="003E4680">
        <w:tblPrEx>
          <w:tblW w:w="7015" w:type="dxa"/>
          <w:tblInd w:w="-5" w:type="dxa"/>
          <w:tblLook w:val="04A0"/>
        </w:tblPrEx>
        <w:trPr>
          <w:trHeight w:val="288"/>
        </w:trPr>
        <w:tc>
          <w:tcPr>
            <w:tcW w:w="1834" w:type="dxa"/>
            <w:tcBorders>
              <w:bottom w:val="nil"/>
            </w:tcBorders>
            <w:vAlign w:val="center"/>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Marinette</w:t>
            </w: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110.5</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104</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64.1</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107.2</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104</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63.7</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115.6</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104</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64.8</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121.3</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104</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65.6</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106.8</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104</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63.6</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109.3</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104</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64.0</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100.8</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104</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62.7</w:t>
            </w:r>
          </w:p>
        </w:tc>
      </w:tr>
      <w:tr w:rsidTr="003E4680">
        <w:tblPrEx>
          <w:tblW w:w="7015" w:type="dxa"/>
          <w:tblInd w:w="-5" w:type="dxa"/>
          <w:tblLook w:val="04A0"/>
        </w:tblPrEx>
        <w:trPr>
          <w:trHeight w:val="288"/>
        </w:trPr>
        <w:tc>
          <w:tcPr>
            <w:tcW w:w="1834" w:type="dxa"/>
            <w:tcBorders>
              <w:top w:val="nil"/>
              <w:bottom w:val="single" w:sz="4" w:space="0" w:color="auto"/>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104.7</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104</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63.3</w:t>
            </w:r>
          </w:p>
        </w:tc>
      </w:tr>
      <w:tr w:rsidTr="003E4680">
        <w:tblPrEx>
          <w:tblW w:w="7015" w:type="dxa"/>
          <w:tblInd w:w="-5" w:type="dxa"/>
          <w:tblLook w:val="04A0"/>
        </w:tblPrEx>
        <w:trPr>
          <w:trHeight w:val="288"/>
        </w:trPr>
        <w:tc>
          <w:tcPr>
            <w:tcW w:w="1834" w:type="dxa"/>
            <w:tcBorders>
              <w:bottom w:val="nil"/>
            </w:tcBorders>
            <w:vAlign w:val="center"/>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Florence</w:t>
            </w: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112.1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66.6</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123.4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68.2</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137.8</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70.0</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150.6</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76.7</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108.7</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66.1</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99.6</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64.8</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95.6</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64.1</w:t>
            </w:r>
          </w:p>
        </w:tc>
      </w:tr>
      <w:tr w:rsidTr="003E4680">
        <w:tblPrEx>
          <w:tblW w:w="7015" w:type="dxa"/>
          <w:tblInd w:w="-5" w:type="dxa"/>
          <w:tblLook w:val="04A0"/>
        </w:tblPrEx>
        <w:trPr>
          <w:trHeight w:val="288"/>
        </w:trPr>
        <w:tc>
          <w:tcPr>
            <w:tcW w:w="1834" w:type="dxa"/>
            <w:tcBorders>
              <w:top w:val="nil"/>
              <w:bottom w:val="single" w:sz="4" w:space="0" w:color="auto"/>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104.7</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65.5</w:t>
            </w:r>
          </w:p>
        </w:tc>
      </w:tr>
      <w:tr w:rsidTr="003E4680">
        <w:tblPrEx>
          <w:tblW w:w="7015" w:type="dxa"/>
          <w:tblInd w:w="-5" w:type="dxa"/>
          <w:tblLook w:val="04A0"/>
        </w:tblPrEx>
        <w:trPr>
          <w:trHeight w:val="288"/>
        </w:trPr>
        <w:tc>
          <w:tcPr>
            <w:tcW w:w="1834" w:type="dxa"/>
            <w:tcBorders>
              <w:bottom w:val="nil"/>
            </w:tcBorders>
            <w:vAlign w:val="center"/>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Lakewood</w:t>
            </w: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121.5</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65.1</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159.4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75.3</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196.1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79.0</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209.1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80.1</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194.8</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78.8</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139.1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67.3</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81.9</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59.2</w:t>
            </w:r>
          </w:p>
        </w:tc>
      </w:tr>
      <w:tr w:rsidTr="003E4680">
        <w:tblPrEx>
          <w:tblW w:w="7015" w:type="dxa"/>
          <w:tblInd w:w="-5" w:type="dxa"/>
          <w:tblLook w:val="04A0"/>
        </w:tblPrEx>
        <w:trPr>
          <w:trHeight w:val="288"/>
        </w:trPr>
        <w:tc>
          <w:tcPr>
            <w:tcW w:w="1834" w:type="dxa"/>
            <w:tcBorders>
              <w:top w:val="nil"/>
              <w:bottom w:val="single" w:sz="4" w:space="0" w:color="auto"/>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101.1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62.3</w:t>
            </w:r>
          </w:p>
        </w:tc>
      </w:tr>
      <w:tr w:rsidTr="003E4680">
        <w:tblPrEx>
          <w:tblW w:w="7015" w:type="dxa"/>
          <w:tblInd w:w="-5" w:type="dxa"/>
          <w:tblLook w:val="04A0"/>
        </w:tblPrEx>
        <w:trPr>
          <w:trHeight w:val="288"/>
        </w:trPr>
        <w:tc>
          <w:tcPr>
            <w:tcW w:w="1834" w:type="dxa"/>
            <w:tcBorders>
              <w:bottom w:val="nil"/>
            </w:tcBorders>
            <w:vAlign w:val="center"/>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Fence</w:t>
            </w: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166.1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75.5</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173</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76.2</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169.8</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75.8</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164.6</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75.3</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149.9</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67.8</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138</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66.5</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144.4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67.2</w:t>
            </w:r>
          </w:p>
        </w:tc>
      </w:tr>
      <w:tr w:rsidTr="003E4680">
        <w:tblPrEx>
          <w:tblW w:w="7015" w:type="dxa"/>
          <w:tblInd w:w="-5" w:type="dxa"/>
          <w:tblLook w:val="04A0"/>
        </w:tblPrEx>
        <w:trPr>
          <w:trHeight w:val="288"/>
        </w:trPr>
        <w:tc>
          <w:tcPr>
            <w:tcW w:w="1834" w:type="dxa"/>
            <w:tcBorders>
              <w:top w:val="nil"/>
              <w:bottom w:val="single" w:sz="4" w:space="0" w:color="auto"/>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144.4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67.2</w:t>
            </w:r>
          </w:p>
        </w:tc>
      </w:tr>
      <w:tr w:rsidTr="003E4680">
        <w:tblPrEx>
          <w:tblW w:w="7015" w:type="dxa"/>
          <w:tblInd w:w="-5" w:type="dxa"/>
          <w:tblLook w:val="04A0"/>
        </w:tblPrEx>
        <w:trPr>
          <w:trHeight w:val="288"/>
        </w:trPr>
        <w:tc>
          <w:tcPr>
            <w:tcW w:w="1834" w:type="dxa"/>
            <w:tcBorders>
              <w:bottom w:val="nil"/>
            </w:tcBorders>
            <w:vAlign w:val="center"/>
          </w:tcPr>
          <w:p w:rsidR="003E4680" w:rsidRPr="00E64A61" w:rsidP="003E4680">
            <w:pPr>
              <w:rPr>
                <w:rFonts w:asciiTheme="minorHAnsi" w:hAnsiTheme="minorHAnsi" w:cstheme="minorHAnsi"/>
                <w:sz w:val="16"/>
                <w:szCs w:val="16"/>
              </w:rPr>
            </w:pPr>
            <w:r w:rsidRPr="00E64A61">
              <w:rPr>
                <w:rFonts w:asciiTheme="minorHAnsi" w:hAnsiTheme="minorHAnsi" w:cstheme="minorHAnsi"/>
                <w:sz w:val="16"/>
                <w:szCs w:val="16"/>
              </w:rPr>
              <w:t>P</w:t>
            </w:r>
            <w:r>
              <w:rPr>
                <w:rFonts w:asciiTheme="minorHAnsi" w:hAnsiTheme="minorHAnsi" w:cstheme="minorHAnsi"/>
                <w:sz w:val="16"/>
                <w:szCs w:val="16"/>
              </w:rPr>
              <w:t>embine</w:t>
            </w: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292" w:type="dxa"/>
            <w:tcBorders>
              <w:bottom w:val="single" w:sz="4" w:space="0" w:color="auto"/>
            </w:tcBorders>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64.7</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56.0</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tcBorders>
              <w:righ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292" w:type="dxa"/>
            <w:tcBorders>
              <w:top w:val="single" w:sz="4" w:space="0" w:color="auto"/>
              <w:left w:val="single" w:sz="4" w:space="0" w:color="auto"/>
              <w:bottom w:val="single" w:sz="4" w:space="0" w:color="auto"/>
              <w:right w:val="single" w:sz="4" w:space="0" w:color="auto"/>
            </w:tcBorders>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98.2</w:t>
            </w:r>
          </w:p>
        </w:tc>
        <w:tc>
          <w:tcPr>
            <w:tcW w:w="1276"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61.9</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292" w:type="dxa"/>
            <w:tcBorders>
              <w:top w:val="single" w:sz="4" w:space="0" w:color="auto"/>
            </w:tcBorders>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115.4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64.3</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113.1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64.0</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96.1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61.5</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73</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57.6</w:t>
            </w:r>
          </w:p>
        </w:tc>
      </w:tr>
      <w:tr w:rsidTr="003E4680">
        <w:tblPrEx>
          <w:tblW w:w="7015" w:type="dxa"/>
          <w:tblInd w:w="-5" w:type="dxa"/>
          <w:tblLook w:val="04A0"/>
        </w:tblPrEx>
        <w:trPr>
          <w:trHeight w:val="288"/>
        </w:trPr>
        <w:tc>
          <w:tcPr>
            <w:tcW w:w="1834" w:type="dxa"/>
            <w:tcBorders>
              <w:top w:val="nil"/>
              <w:bottom w:val="nil"/>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47.7</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52.0</w:t>
            </w:r>
          </w:p>
        </w:tc>
      </w:tr>
      <w:tr w:rsidTr="003E4680">
        <w:tblPrEx>
          <w:tblW w:w="7015" w:type="dxa"/>
          <w:tblInd w:w="-5" w:type="dxa"/>
          <w:tblLook w:val="04A0"/>
        </w:tblPrEx>
        <w:trPr>
          <w:trHeight w:val="288"/>
        </w:trPr>
        <w:tc>
          <w:tcPr>
            <w:tcW w:w="1834" w:type="dxa"/>
            <w:tcBorders>
              <w:top w:val="nil"/>
              <w:bottom w:val="single" w:sz="4" w:space="0" w:color="auto"/>
            </w:tcBorders>
            <w:vAlign w:val="center"/>
          </w:tcPr>
          <w:p w:rsidR="003E4680" w:rsidRPr="00E64A61" w:rsidP="003E4680">
            <w:pPr>
              <w:rPr>
                <w:rFonts w:asciiTheme="minorHAnsi" w:hAnsiTheme="minorHAnsi" w:cstheme="minorHAnsi"/>
                <w:sz w:val="16"/>
                <w:szCs w:val="16"/>
              </w:rPr>
            </w:pPr>
          </w:p>
        </w:tc>
        <w:tc>
          <w:tcPr>
            <w:tcW w:w="1305" w:type="dxa"/>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42.1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50.5</w:t>
            </w:r>
          </w:p>
        </w:tc>
      </w:tr>
      <w:tr w:rsidTr="003E4680">
        <w:tblPrEx>
          <w:tblW w:w="7015" w:type="dxa"/>
          <w:tblInd w:w="-5" w:type="dxa"/>
          <w:tblLook w:val="04A0"/>
        </w:tblPrEx>
        <w:trPr>
          <w:trHeight w:val="288"/>
        </w:trPr>
        <w:tc>
          <w:tcPr>
            <w:tcW w:w="1834" w:type="dxa"/>
            <w:tcBorders>
              <w:top w:val="single" w:sz="4" w:space="0" w:color="auto"/>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Ellison Bay</w:t>
            </w: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75.8</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155.7</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74.9</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160.7</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75.4</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160.4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75.4</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154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74.7</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150.2</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74.3</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75.8</w:t>
            </w:r>
          </w:p>
        </w:tc>
      </w:tr>
      <w:tr w:rsidTr="003E4680">
        <w:tblPrEx>
          <w:tblW w:w="7015" w:type="dxa"/>
          <w:tblInd w:w="-5" w:type="dxa"/>
          <w:tblLook w:val="04A0"/>
        </w:tblPrEx>
        <w:trPr>
          <w:trHeight w:val="288"/>
        </w:trPr>
        <w:tc>
          <w:tcPr>
            <w:tcW w:w="1834" w:type="dxa"/>
            <w:tcBorders>
              <w:top w:val="nil"/>
              <w:left w:val="single" w:sz="4" w:space="0" w:color="auto"/>
              <w:bottom w:val="single" w:sz="4" w:space="0" w:color="auto"/>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75.8</w:t>
            </w:r>
          </w:p>
        </w:tc>
      </w:tr>
      <w:tr w:rsidTr="003E4680">
        <w:tblPrEx>
          <w:tblW w:w="7015" w:type="dxa"/>
          <w:tblInd w:w="-5" w:type="dxa"/>
          <w:tblLook w:val="04A0"/>
        </w:tblPrEx>
        <w:trPr>
          <w:trHeight w:val="288"/>
        </w:trPr>
        <w:tc>
          <w:tcPr>
            <w:tcW w:w="1834" w:type="dxa"/>
            <w:tcBorders>
              <w:top w:val="single" w:sz="4" w:space="0" w:color="auto"/>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Bonduel</w:t>
            </w: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123.4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65.4</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122.3</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65.2</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139.1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67.3</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114.7</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64.2</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127.8</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65.9</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135</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66.8</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125.3</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65.6</w:t>
            </w:r>
          </w:p>
        </w:tc>
      </w:tr>
      <w:tr w:rsidTr="003E4680">
        <w:tblPrEx>
          <w:tblW w:w="7015" w:type="dxa"/>
          <w:tblInd w:w="-5" w:type="dxa"/>
          <w:tblLook w:val="04A0"/>
        </w:tblPrEx>
        <w:trPr>
          <w:trHeight w:val="288"/>
        </w:trPr>
        <w:tc>
          <w:tcPr>
            <w:tcW w:w="1834" w:type="dxa"/>
            <w:tcBorders>
              <w:top w:val="nil"/>
              <w:left w:val="single" w:sz="4" w:space="0" w:color="auto"/>
              <w:bottom w:val="single" w:sz="4" w:space="0" w:color="auto"/>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124.4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65.5</w:t>
            </w:r>
          </w:p>
        </w:tc>
      </w:tr>
      <w:tr w:rsidTr="003E4680">
        <w:tblPrEx>
          <w:tblW w:w="7015" w:type="dxa"/>
          <w:tblInd w:w="-5" w:type="dxa"/>
          <w:tblLook w:val="04A0"/>
        </w:tblPrEx>
        <w:trPr>
          <w:trHeight w:val="288"/>
        </w:trPr>
        <w:tc>
          <w:tcPr>
            <w:tcW w:w="1834" w:type="dxa"/>
            <w:tcBorders>
              <w:top w:val="single" w:sz="4" w:space="0" w:color="auto"/>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Scandinavia</w:t>
            </w: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130.1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72.8</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149</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75.2</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169.8</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81.9</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163.2</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81.2</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148.6</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75.2</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115.4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70.7</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111.4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70.1</w:t>
            </w:r>
          </w:p>
        </w:tc>
      </w:tr>
      <w:tr w:rsidTr="003E4680">
        <w:tblPrEx>
          <w:tblW w:w="7015" w:type="dxa"/>
          <w:tblInd w:w="-5" w:type="dxa"/>
          <w:tblLook w:val="04A0"/>
        </w:tblPrEx>
        <w:trPr>
          <w:trHeight w:val="288"/>
        </w:trPr>
        <w:tc>
          <w:tcPr>
            <w:tcW w:w="1834" w:type="dxa"/>
            <w:tcBorders>
              <w:top w:val="nil"/>
              <w:left w:val="single" w:sz="4" w:space="0" w:color="auto"/>
              <w:bottom w:val="single" w:sz="4" w:space="0" w:color="auto"/>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96.7</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165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67.8</w:t>
            </w:r>
          </w:p>
        </w:tc>
      </w:tr>
      <w:tr w:rsidTr="003E4680">
        <w:tblPrEx>
          <w:tblW w:w="7015" w:type="dxa"/>
          <w:tblInd w:w="-5" w:type="dxa"/>
          <w:tblLook w:val="04A0"/>
        </w:tblPrEx>
        <w:trPr>
          <w:trHeight w:val="288"/>
        </w:trPr>
        <w:tc>
          <w:tcPr>
            <w:tcW w:w="1834" w:type="dxa"/>
            <w:tcBorders>
              <w:top w:val="single" w:sz="4" w:space="0" w:color="auto"/>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Milton</w:t>
            </w: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121.2</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67.9</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113.1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66.8</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95.8</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64.2</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91.3</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63.4</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109.3</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66.2</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95.2</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64.1</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101.4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65.0</w:t>
            </w:r>
          </w:p>
        </w:tc>
      </w:tr>
      <w:tr w:rsidTr="003E4680">
        <w:tblPrEx>
          <w:tblW w:w="7015" w:type="dxa"/>
          <w:tblInd w:w="-5" w:type="dxa"/>
          <w:tblLook w:val="04A0"/>
        </w:tblPrEx>
        <w:trPr>
          <w:trHeight w:val="288"/>
        </w:trPr>
        <w:tc>
          <w:tcPr>
            <w:tcW w:w="1834" w:type="dxa"/>
            <w:tcBorders>
              <w:top w:val="nil"/>
              <w:left w:val="single" w:sz="4" w:space="0" w:color="auto"/>
              <w:bottom w:val="single" w:sz="4" w:space="0" w:color="auto"/>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111.4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66.5</w:t>
            </w:r>
          </w:p>
        </w:tc>
      </w:tr>
      <w:tr w:rsidTr="003E4680">
        <w:tblPrEx>
          <w:tblW w:w="7015" w:type="dxa"/>
          <w:tblInd w:w="-5" w:type="dxa"/>
          <w:tblLook w:val="04A0"/>
        </w:tblPrEx>
        <w:trPr>
          <w:trHeight w:val="288"/>
        </w:trPr>
        <w:tc>
          <w:tcPr>
            <w:tcW w:w="1834" w:type="dxa"/>
            <w:tcBorders>
              <w:top w:val="single" w:sz="4" w:space="0" w:color="auto"/>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Kieler</w:t>
            </w: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136.3</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107</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67.8</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97.4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107</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62.5</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93.7</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107</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62.0</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114.3</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107</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65.0</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121.3</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107</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65.9</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159.3</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107</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76.0</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141.7</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107</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68.4</w:t>
            </w:r>
          </w:p>
        </w:tc>
      </w:tr>
      <w:tr w:rsidTr="003E4680">
        <w:tblPrEx>
          <w:tblW w:w="7015" w:type="dxa"/>
          <w:tblInd w:w="-5" w:type="dxa"/>
          <w:tblLook w:val="04A0"/>
        </w:tblPrEx>
        <w:trPr>
          <w:trHeight w:val="288"/>
        </w:trPr>
        <w:tc>
          <w:tcPr>
            <w:tcW w:w="1834" w:type="dxa"/>
            <w:tcBorders>
              <w:top w:val="nil"/>
              <w:left w:val="single" w:sz="4" w:space="0" w:color="auto"/>
              <w:bottom w:val="single" w:sz="4" w:space="0" w:color="auto"/>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138.9</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107</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68.1</w:t>
            </w:r>
          </w:p>
        </w:tc>
      </w:tr>
      <w:tr w:rsidTr="003E4680">
        <w:tblPrEx>
          <w:tblW w:w="7015" w:type="dxa"/>
          <w:tblInd w:w="-5" w:type="dxa"/>
          <w:tblLook w:val="04A0"/>
        </w:tblPrEx>
        <w:trPr>
          <w:trHeight w:val="288"/>
        </w:trPr>
        <w:tc>
          <w:tcPr>
            <w:tcW w:w="1834" w:type="dxa"/>
            <w:tcBorders>
              <w:top w:val="single" w:sz="4" w:space="0" w:color="auto"/>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Pipestone</w:t>
            </w: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138.3</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70.1</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122.6</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68.1</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123.3</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68.2</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136</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69.8</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147.1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71.1</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134.4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69.6</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111.4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66.5</w:t>
            </w:r>
          </w:p>
        </w:tc>
      </w:tr>
      <w:tr w:rsidTr="003E4680">
        <w:tblPrEx>
          <w:tblW w:w="7015" w:type="dxa"/>
          <w:tblInd w:w="-5" w:type="dxa"/>
          <w:tblLook w:val="04A0"/>
        </w:tblPrEx>
        <w:trPr>
          <w:trHeight w:val="288"/>
        </w:trPr>
        <w:tc>
          <w:tcPr>
            <w:tcW w:w="1834" w:type="dxa"/>
            <w:tcBorders>
              <w:top w:val="nil"/>
              <w:left w:val="single" w:sz="4" w:space="0" w:color="auto"/>
              <w:bottom w:val="single" w:sz="4" w:space="0" w:color="auto"/>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133.5</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69.5</w:t>
            </w:r>
          </w:p>
        </w:tc>
      </w:tr>
      <w:tr w:rsidTr="003E4680">
        <w:tblPrEx>
          <w:tblW w:w="7015" w:type="dxa"/>
          <w:tblInd w:w="-5" w:type="dxa"/>
          <w:tblLook w:val="04A0"/>
        </w:tblPrEx>
        <w:trPr>
          <w:trHeight w:val="288"/>
        </w:trPr>
        <w:tc>
          <w:tcPr>
            <w:tcW w:w="1834" w:type="dxa"/>
            <w:tcBorders>
              <w:top w:val="single" w:sz="4" w:space="0" w:color="auto"/>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Squirrel Hill</w:t>
            </w: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110</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64.2</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106.4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63.7</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109.1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64.0</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112.9</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64.6</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121.5</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65.7</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107</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63.7</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102.6</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63.1</w:t>
            </w:r>
          </w:p>
        </w:tc>
      </w:tr>
      <w:tr w:rsidTr="003E4680">
        <w:tblPrEx>
          <w:tblW w:w="7015" w:type="dxa"/>
          <w:tblInd w:w="-5" w:type="dxa"/>
          <w:tblLook w:val="04A0"/>
        </w:tblPrEx>
        <w:trPr>
          <w:trHeight w:val="288"/>
        </w:trPr>
        <w:tc>
          <w:tcPr>
            <w:tcW w:w="1834" w:type="dxa"/>
            <w:tcBorders>
              <w:top w:val="nil"/>
              <w:left w:val="single" w:sz="4" w:space="0" w:color="auto"/>
              <w:bottom w:val="single" w:sz="4" w:space="0" w:color="auto"/>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108.8</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105</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64.0</w:t>
            </w:r>
          </w:p>
        </w:tc>
      </w:tr>
      <w:tr w:rsidTr="003E4680">
        <w:tblPrEx>
          <w:tblW w:w="7015" w:type="dxa"/>
          <w:tblInd w:w="-5" w:type="dxa"/>
          <w:tblLook w:val="04A0"/>
        </w:tblPrEx>
        <w:trPr>
          <w:trHeight w:val="288"/>
        </w:trPr>
        <w:tc>
          <w:tcPr>
            <w:tcW w:w="1834" w:type="dxa"/>
            <w:tcBorders>
              <w:top w:val="single" w:sz="4" w:space="0" w:color="auto"/>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Neillsville</w:t>
            </w: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102.8</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62.6</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92.9</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102.8</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61.4</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96.6</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102.8</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61.9</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102.8</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65.4</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130.2</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102.8</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66.5</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125</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102.8</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65.9</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117.6</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102.8</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64.9</w:t>
            </w:r>
          </w:p>
        </w:tc>
      </w:tr>
      <w:tr w:rsidTr="003E4680">
        <w:tblPrEx>
          <w:tblW w:w="7015" w:type="dxa"/>
          <w:tblInd w:w="-5" w:type="dxa"/>
          <w:tblLook w:val="04A0"/>
        </w:tblPrEx>
        <w:trPr>
          <w:trHeight w:val="288"/>
        </w:trPr>
        <w:tc>
          <w:tcPr>
            <w:tcW w:w="1834" w:type="dxa"/>
            <w:tcBorders>
              <w:top w:val="nil"/>
              <w:left w:val="single" w:sz="4" w:space="0" w:color="auto"/>
              <w:bottom w:val="single" w:sz="4" w:space="0" w:color="auto"/>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117.4</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102.8</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64.9</w:t>
            </w:r>
          </w:p>
        </w:tc>
      </w:tr>
      <w:tr w:rsidTr="003E4680">
        <w:tblPrEx>
          <w:tblW w:w="7015" w:type="dxa"/>
          <w:tblInd w:w="-5" w:type="dxa"/>
          <w:tblLook w:val="04A0"/>
        </w:tblPrEx>
        <w:trPr>
          <w:trHeight w:val="288"/>
        </w:trPr>
        <w:tc>
          <w:tcPr>
            <w:tcW w:w="1834" w:type="dxa"/>
            <w:tcBorders>
              <w:top w:val="single" w:sz="4" w:space="0" w:color="auto"/>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r>
              <w:rPr>
                <w:rFonts w:asciiTheme="minorHAnsi" w:hAnsiTheme="minorHAnsi" w:cstheme="minorHAnsi"/>
                <w:sz w:val="16"/>
                <w:szCs w:val="16"/>
              </w:rPr>
              <w:t>Cary Mound</w:t>
            </w: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95.1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62.5</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103.1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63.7</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114.3</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65.3</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144.9</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69.2</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150.2</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75.3</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149.1</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69.6</w:t>
            </w:r>
          </w:p>
        </w:tc>
      </w:tr>
      <w:tr w:rsidTr="003E4680">
        <w:tblPrEx>
          <w:tblW w:w="7015" w:type="dxa"/>
          <w:tblInd w:w="-5" w:type="dxa"/>
          <w:tblLook w:val="04A0"/>
        </w:tblPrEx>
        <w:trPr>
          <w:trHeight w:val="288"/>
        </w:trPr>
        <w:tc>
          <w:tcPr>
            <w:tcW w:w="1834" w:type="dxa"/>
            <w:tcBorders>
              <w:top w:val="nil"/>
              <w:left w:val="single" w:sz="4" w:space="0" w:color="auto"/>
              <w:bottom w:val="nil"/>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132.7</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67.7</w:t>
            </w:r>
          </w:p>
        </w:tc>
      </w:tr>
      <w:tr w:rsidTr="003E4680">
        <w:tblPrEx>
          <w:tblW w:w="7015" w:type="dxa"/>
          <w:tblInd w:w="-5" w:type="dxa"/>
          <w:tblLook w:val="04A0"/>
        </w:tblPrEx>
        <w:trPr>
          <w:trHeight w:val="288"/>
        </w:trPr>
        <w:tc>
          <w:tcPr>
            <w:tcW w:w="1834" w:type="dxa"/>
            <w:tcBorders>
              <w:top w:val="nil"/>
              <w:left w:val="single" w:sz="4" w:space="0" w:color="auto"/>
              <w:bottom w:val="single" w:sz="4" w:space="0" w:color="auto"/>
              <w:right w:val="single" w:sz="4" w:space="0" w:color="auto"/>
            </w:tcBorders>
          </w:tcPr>
          <w:p w:rsidR="003E4680" w:rsidRPr="00E64A61" w:rsidP="003E4680">
            <w:pPr>
              <w:rPr>
                <w:rFonts w:asciiTheme="minorHAnsi" w:hAnsiTheme="minorHAnsi" w:cstheme="minorHAnsi"/>
                <w:sz w:val="16"/>
                <w:szCs w:val="16"/>
              </w:rPr>
            </w:pPr>
          </w:p>
        </w:tc>
        <w:tc>
          <w:tcPr>
            <w:tcW w:w="1305" w:type="dxa"/>
            <w:tcBorders>
              <w:left w:val="single" w:sz="4" w:space="0" w:color="auto"/>
            </w:tcBorders>
            <w:vAlign w:val="center"/>
          </w:tcPr>
          <w:p w:rsidR="003E4680" w:rsidRPr="00E64A61" w:rsidP="003E4680">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292"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99.5</w:t>
            </w:r>
          </w:p>
        </w:tc>
        <w:tc>
          <w:tcPr>
            <w:tcW w:w="1276"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110</w:t>
            </w:r>
          </w:p>
        </w:tc>
        <w:tc>
          <w:tcPr>
            <w:tcW w:w="1308" w:type="dxa"/>
            <w:vAlign w:val="center"/>
          </w:tcPr>
          <w:p w:rsidR="003E4680" w:rsidRPr="00E64A61" w:rsidP="003E4680">
            <w:pPr>
              <w:jc w:val="center"/>
              <w:rPr>
                <w:rFonts w:asciiTheme="minorHAnsi" w:hAnsiTheme="minorHAnsi" w:cs="Calibri"/>
                <w:color w:val="000000"/>
                <w:sz w:val="16"/>
                <w:szCs w:val="16"/>
              </w:rPr>
            </w:pPr>
            <w:r>
              <w:rPr>
                <w:rFonts w:asciiTheme="minorHAnsi" w:hAnsiTheme="minorHAnsi" w:cs="Calibri"/>
                <w:color w:val="000000"/>
                <w:sz w:val="16"/>
                <w:szCs w:val="16"/>
              </w:rPr>
              <w:t>63.2</w:t>
            </w:r>
          </w:p>
        </w:tc>
      </w:tr>
    </w:tbl>
    <w:p w:rsidR="003E4680" w:rsidP="003E4680">
      <w:pPr>
        <w:rPr>
          <w:rFonts w:asciiTheme="minorHAnsi" w:hAnsiTheme="minorHAnsi" w:cstheme="minorHAnsi"/>
          <w:sz w:val="18"/>
          <w:szCs w:val="18"/>
        </w:rPr>
      </w:pPr>
    </w:p>
    <w:p w:rsidR="003E4680">
      <w:pPr>
        <w:widowControl/>
        <w:rPr>
          <w:u w:val="single"/>
        </w:rPr>
      </w:pPr>
    </w:p>
    <w:p w:rsidR="000A334C">
      <w:pPr>
        <w:widowControl/>
        <w:rPr>
          <w:u w:val="single"/>
        </w:rPr>
      </w:pPr>
      <w:r>
        <w:rPr>
          <w:u w:val="single"/>
        </w:rPr>
        <w:br w:type="page"/>
      </w:r>
    </w:p>
    <w:p w:rsidR="004B36DF">
      <w:pPr>
        <w:widowControl/>
        <w:rPr>
          <w:u w:val="single"/>
        </w:rPr>
      </w:pPr>
    </w:p>
    <w:p w:rsidR="004B36DF" w:rsidP="002E70EA">
      <w:pPr>
        <w:rPr>
          <w:u w:val="single"/>
        </w:rPr>
      </w:pPr>
      <w:r>
        <w:rPr>
          <w:u w:val="single"/>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381.75pt" o:oleicon="f" o:ole="">
            <v:imagedata r:id="rId5" o:title=""/>
          </v:shape>
          <o:OLEObject Type="Embed" ProgID="Acrobat.Document.11" ShapeID="_x0000_i1025" DrawAspect="Content" ObjectID="_1603609258" r:id="rId6"/>
        </w:object>
      </w:r>
    </w:p>
    <w:p w:rsidR="004B36DF">
      <w:pPr>
        <w:widowControl/>
        <w:rPr>
          <w:u w:val="single"/>
        </w:rPr>
      </w:pPr>
      <w:r>
        <w:rPr>
          <w:u w:val="single"/>
        </w:rPr>
        <w:br w:type="page"/>
      </w:r>
    </w:p>
    <w:p w:rsidR="004B36DF" w:rsidP="002E70EA">
      <w:pPr>
        <w:rPr>
          <w:u w:val="single"/>
        </w:rPr>
      </w:pPr>
      <w:r>
        <w:rPr>
          <w:u w:val="single"/>
        </w:rPr>
        <w:object>
          <v:shape id="_x0000_i1026" type="#_x0000_t75" style="width:492.75pt;height:381.75pt" o:oleicon="f" o:ole="">
            <v:imagedata r:id="rId7" o:title=""/>
          </v:shape>
          <o:OLEObject Type="Embed" ProgID="Acrobat.Document.11" ShapeID="_x0000_i1026" DrawAspect="Content" ObjectID="_1603609259" r:id="rId8"/>
        </w:object>
      </w:r>
    </w:p>
    <w:p w:rsidR="004B36DF">
      <w:pPr>
        <w:widowControl/>
        <w:rPr>
          <w:u w:val="single"/>
        </w:rPr>
      </w:pPr>
      <w:r>
        <w:rPr>
          <w:u w:val="single"/>
        </w:rPr>
        <w:br w:type="page"/>
      </w:r>
    </w:p>
    <w:p w:rsidR="004B36DF" w:rsidP="002E70EA">
      <w:pPr>
        <w:rPr>
          <w:u w:val="single"/>
        </w:rPr>
      </w:pPr>
      <w:r>
        <w:rPr>
          <w:u w:val="single"/>
        </w:rPr>
        <w:object>
          <v:shape id="_x0000_i1027" type="#_x0000_t75" style="width:493.5pt;height:381.75pt" o:oleicon="f" o:ole="">
            <v:imagedata r:id="rId9" o:title=""/>
          </v:shape>
          <o:OLEObject Type="Embed" ProgID="Acrobat.Document.11" ShapeID="_x0000_i1027" DrawAspect="Content" ObjectID="_1603609260" r:id="rId10"/>
        </w:object>
      </w:r>
    </w:p>
    <w:p w:rsidR="004B36DF">
      <w:pPr>
        <w:widowControl/>
        <w:rPr>
          <w:u w:val="single"/>
        </w:rPr>
      </w:pPr>
      <w:r>
        <w:rPr>
          <w:u w:val="single"/>
        </w:rPr>
        <w:br w:type="page"/>
      </w:r>
    </w:p>
    <w:p w:rsidR="004B36DF" w:rsidP="002E70EA">
      <w:pPr>
        <w:rPr>
          <w:u w:val="single"/>
        </w:rPr>
      </w:pPr>
      <w:r>
        <w:rPr>
          <w:u w:val="single"/>
        </w:rPr>
        <w:object>
          <v:shape id="_x0000_i1028" type="#_x0000_t75" style="width:493.5pt;height:381.75pt" o:oleicon="f" o:ole="">
            <v:imagedata r:id="rId11" o:title=""/>
          </v:shape>
          <o:OLEObject Type="Embed" ProgID="Acrobat.Document.11" ShapeID="_x0000_i1028" DrawAspect="Content" ObjectID="_1603609261" r:id="rId12"/>
        </w:object>
      </w:r>
    </w:p>
    <w:p w:rsidR="004B36DF">
      <w:pPr>
        <w:widowControl/>
        <w:rPr>
          <w:u w:val="single"/>
        </w:rPr>
      </w:pPr>
      <w:r>
        <w:rPr>
          <w:u w:val="single"/>
        </w:rPr>
        <w:br w:type="page"/>
      </w:r>
    </w:p>
    <w:p w:rsidR="004B36DF" w:rsidP="002E70EA">
      <w:pPr>
        <w:rPr>
          <w:u w:val="single"/>
        </w:rPr>
      </w:pPr>
      <w:r>
        <w:rPr>
          <w:u w:val="single"/>
        </w:rPr>
        <w:object>
          <v:shape id="_x0000_i1029" type="#_x0000_t75" style="width:493.5pt;height:381.75pt" o:oleicon="f" o:ole="">
            <v:imagedata r:id="rId13" o:title=""/>
          </v:shape>
          <o:OLEObject Type="Embed" ProgID="Acrobat.Document.11" ShapeID="_x0000_i1029" DrawAspect="Content" ObjectID="_1603609262" r:id="rId14"/>
        </w:object>
      </w:r>
    </w:p>
    <w:p w:rsidR="004B36DF">
      <w:pPr>
        <w:widowControl/>
        <w:rPr>
          <w:u w:val="single"/>
        </w:rPr>
      </w:pPr>
      <w:r>
        <w:rPr>
          <w:u w:val="single"/>
        </w:rPr>
        <w:br w:type="page"/>
      </w:r>
    </w:p>
    <w:p w:rsidR="004B36DF" w:rsidP="002E70EA">
      <w:pPr>
        <w:rPr>
          <w:u w:val="single"/>
        </w:rPr>
      </w:pPr>
      <w:r>
        <w:rPr>
          <w:u w:val="single"/>
        </w:rPr>
        <w:object>
          <v:shape id="_x0000_i1030" type="#_x0000_t75" style="width:493.5pt;height:381.75pt" o:oleicon="f" o:ole="">
            <v:imagedata r:id="rId15" o:title=""/>
          </v:shape>
          <o:OLEObject Type="Embed" ProgID="Acrobat.Document.11" ShapeID="_x0000_i1030" DrawAspect="Content" ObjectID="_1603609263" r:id="rId16"/>
        </w:object>
      </w:r>
    </w:p>
    <w:p w:rsidR="004B36DF">
      <w:pPr>
        <w:widowControl/>
        <w:rPr>
          <w:u w:val="single"/>
        </w:rPr>
      </w:pPr>
      <w:r>
        <w:rPr>
          <w:u w:val="single"/>
        </w:rPr>
        <w:br w:type="page"/>
      </w:r>
    </w:p>
    <w:p w:rsidR="004B36DF" w:rsidP="002E70EA">
      <w:pPr>
        <w:rPr>
          <w:u w:val="single"/>
        </w:rPr>
      </w:pPr>
      <w:r>
        <w:rPr>
          <w:u w:val="single"/>
        </w:rPr>
        <w:object>
          <v:shape id="_x0000_i1031" type="#_x0000_t75" style="width:493.5pt;height:381.75pt" o:oleicon="f" o:ole="">
            <v:imagedata r:id="rId17" o:title=""/>
          </v:shape>
          <o:OLEObject Type="Embed" ProgID="Acrobat.Document.11" ShapeID="_x0000_i1031" DrawAspect="Content" ObjectID="_1603609264" r:id="rId18"/>
        </w:object>
      </w:r>
    </w:p>
    <w:p w:rsidR="004B36DF">
      <w:pPr>
        <w:widowControl/>
        <w:rPr>
          <w:u w:val="single"/>
        </w:rPr>
      </w:pPr>
      <w:r>
        <w:rPr>
          <w:u w:val="single"/>
        </w:rPr>
        <w:br w:type="page"/>
      </w:r>
    </w:p>
    <w:p w:rsidR="004B36DF" w:rsidP="002E70EA">
      <w:pPr>
        <w:rPr>
          <w:u w:val="single"/>
        </w:rPr>
      </w:pPr>
      <w:r>
        <w:rPr>
          <w:u w:val="single"/>
        </w:rPr>
        <w:object>
          <v:shape id="_x0000_i1032" type="#_x0000_t75" style="width:493.5pt;height:381.75pt" o:oleicon="f" o:ole="">
            <v:imagedata r:id="rId19" o:title=""/>
          </v:shape>
          <o:OLEObject Type="Embed" ProgID="Acrobat.Document.11" ShapeID="_x0000_i1032" DrawAspect="Content" ObjectID="_1603609265" r:id="rId20"/>
        </w:object>
      </w:r>
    </w:p>
    <w:p w:rsidR="004B36DF">
      <w:pPr>
        <w:widowControl/>
        <w:rPr>
          <w:u w:val="single"/>
        </w:rPr>
      </w:pPr>
      <w:r>
        <w:rPr>
          <w:u w:val="single"/>
        </w:rPr>
        <w:br w:type="page"/>
      </w:r>
    </w:p>
    <w:p w:rsidR="004B36DF" w:rsidP="002E70EA">
      <w:pPr>
        <w:rPr>
          <w:u w:val="single"/>
        </w:rPr>
      </w:pPr>
      <w:r>
        <w:rPr>
          <w:u w:val="single"/>
        </w:rPr>
        <w:object>
          <v:shape id="_x0000_i1033" type="#_x0000_t75" style="width:493.5pt;height:381.75pt" o:oleicon="f" o:ole="">
            <v:imagedata r:id="rId21" o:title=""/>
          </v:shape>
          <o:OLEObject Type="Embed" ProgID="Acrobat.Document.11" ShapeID="_x0000_i1033" DrawAspect="Content" ObjectID="_1603609266" r:id="rId22"/>
        </w:object>
      </w:r>
    </w:p>
    <w:p w:rsidR="004B36DF">
      <w:pPr>
        <w:widowControl/>
        <w:rPr>
          <w:u w:val="single"/>
        </w:rPr>
      </w:pPr>
      <w:r>
        <w:rPr>
          <w:u w:val="single"/>
        </w:rPr>
        <w:br w:type="page"/>
      </w:r>
    </w:p>
    <w:p w:rsidR="004B36DF" w:rsidP="002E70EA">
      <w:pPr>
        <w:rPr>
          <w:u w:val="single"/>
        </w:rPr>
      </w:pPr>
      <w:r>
        <w:rPr>
          <w:u w:val="single"/>
        </w:rPr>
        <w:object>
          <v:shape id="_x0000_i1034" type="#_x0000_t75" style="width:493.5pt;height:381.75pt" o:oleicon="f" o:ole="">
            <v:imagedata r:id="rId23" o:title=""/>
          </v:shape>
          <o:OLEObject Type="Embed" ProgID="Acrobat.Document.11" ShapeID="_x0000_i1034" DrawAspect="Content" ObjectID="_1603609267" r:id="rId24"/>
        </w:object>
      </w:r>
    </w:p>
    <w:p w:rsidR="004B36DF">
      <w:pPr>
        <w:widowControl/>
        <w:rPr>
          <w:u w:val="single"/>
        </w:rPr>
      </w:pPr>
      <w:r>
        <w:rPr>
          <w:u w:val="single"/>
        </w:rPr>
        <w:br w:type="page"/>
      </w:r>
    </w:p>
    <w:p w:rsidR="004B36DF" w:rsidP="002E70EA">
      <w:pPr>
        <w:rPr>
          <w:u w:val="single"/>
        </w:rPr>
      </w:pPr>
      <w:r>
        <w:rPr>
          <w:u w:val="single"/>
        </w:rPr>
        <w:object>
          <v:shape id="_x0000_i1035" type="#_x0000_t75" style="width:493.5pt;height:381.75pt" o:oleicon="f" o:ole="">
            <v:imagedata r:id="rId25" o:title=""/>
          </v:shape>
          <o:OLEObject Type="Embed" ProgID="Acrobat.Document.11" ShapeID="_x0000_i1035" DrawAspect="Content" ObjectID="_1603609268" r:id="rId26"/>
        </w:object>
      </w:r>
    </w:p>
    <w:p w:rsidR="004B36DF">
      <w:pPr>
        <w:widowControl/>
        <w:rPr>
          <w:u w:val="single"/>
        </w:rPr>
      </w:pPr>
      <w:r>
        <w:rPr>
          <w:u w:val="single"/>
        </w:rPr>
        <w:br w:type="page"/>
      </w:r>
    </w:p>
    <w:p w:rsidR="004B36DF" w:rsidP="002E70EA">
      <w:pPr>
        <w:rPr>
          <w:u w:val="single"/>
        </w:rPr>
      </w:pPr>
      <w:r>
        <w:rPr>
          <w:u w:val="single"/>
        </w:rPr>
        <w:object>
          <v:shape id="_x0000_i1036" type="#_x0000_t75" style="width:493.5pt;height:381.75pt" o:oleicon="f" o:ole="">
            <v:imagedata r:id="rId27" o:title=""/>
          </v:shape>
          <o:OLEObject Type="Embed" ProgID="Acrobat.Document.11" ShapeID="_x0000_i1036" DrawAspect="Content" ObjectID="_1603609269" r:id="rId28"/>
        </w:object>
      </w:r>
    </w:p>
    <w:p w:rsidR="004B36DF">
      <w:pPr>
        <w:widowControl/>
        <w:rPr>
          <w:u w:val="single"/>
        </w:rPr>
      </w:pPr>
      <w:r>
        <w:rPr>
          <w:u w:val="single"/>
        </w:rPr>
        <w:br w:type="page"/>
      </w:r>
    </w:p>
    <w:p w:rsidR="004B36DF" w:rsidP="002E70EA">
      <w:pPr>
        <w:rPr>
          <w:u w:val="single"/>
        </w:rPr>
      </w:pPr>
      <w:r>
        <w:rPr>
          <w:u w:val="single"/>
        </w:rPr>
        <w:object>
          <v:shape id="_x0000_i1037" type="#_x0000_t75" style="width:493.5pt;height:381.75pt" o:oleicon="f" o:ole="">
            <v:imagedata r:id="rId29" o:title=""/>
          </v:shape>
          <o:OLEObject Type="Embed" ProgID="Acrobat.Document.11" ShapeID="_x0000_i1037" DrawAspect="Content" ObjectID="_1603609270" r:id="rId30"/>
        </w:object>
      </w:r>
    </w:p>
    <w:p w:rsidR="004B36DF">
      <w:pPr>
        <w:widowControl/>
        <w:rPr>
          <w:u w:val="single"/>
        </w:rPr>
      </w:pPr>
      <w:r>
        <w:rPr>
          <w:u w:val="single"/>
        </w:rPr>
        <w:br w:type="page"/>
      </w:r>
    </w:p>
    <w:p w:rsidR="005D133D" w:rsidRPr="002E70EA" w:rsidP="002E70EA">
      <w:pPr>
        <w:rPr>
          <w:u w:val="single"/>
        </w:rPr>
      </w:pPr>
      <w:r>
        <w:rPr>
          <w:u w:val="single"/>
        </w:rPr>
        <w:object>
          <v:shape id="_x0000_i1038" type="#_x0000_t75" style="width:493.5pt;height:381.75pt" o:oleicon="f" o:ole="">
            <v:imagedata r:id="rId31" o:title=""/>
          </v:shape>
          <o:OLEObject Type="Embed" ProgID="Acrobat.Document.11" ShapeID="_x0000_i1038" DrawAspect="Content" ObjectID="_1603609271" r:id="rId32"/>
        </w:object>
      </w:r>
    </w:p>
    <w:sectPr w:rsidSect="00C41275">
      <w:headerReference w:type="even" r:id="rId33"/>
      <w:headerReference w:type="default" r:id="rId34"/>
      <w:footerReference w:type="even" r:id="rId35"/>
      <w:footerReference w:type="default" r:id="rId36"/>
      <w:headerReference w:type="first" r:id="rId37"/>
      <w:footerReference w:type="first" r:id="rId38"/>
      <w:pgSz w:w="12240" w:h="15840" w:code="1"/>
      <w:pgMar w:top="1440" w:right="1440" w:bottom="720" w:left="1440" w:header="720" w:footer="720" w:gutter="0"/>
      <w:pgNumType w:start="1"/>
      <w:cols w:space="720"/>
      <w:noEndnote/>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C2832">
    <w:pPr>
      <w:pStyle w:val="Footer"/>
      <w:framePr w:wrap="around" w:vAnchor="text" w:hAnchor="margin" w:xAlign="center" w:y="1"/>
    </w:pPr>
    <w:r>
      <w:fldChar w:fldCharType="begin"/>
    </w:r>
    <w:r>
      <w:instrText xml:space="preserve">PAGE  </w:instrText>
    </w:r>
    <w:r>
      <w:fldChar w:fldCharType="separate"/>
    </w:r>
    <w:r>
      <w:fldChar w:fldCharType="end"/>
    </w:r>
  </w:p>
  <w:p w:rsidR="006C28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C2832">
    <w:pPr>
      <w:pStyle w:val="Footer"/>
      <w:framePr w:wrap="around" w:vAnchor="text" w:hAnchor="margin" w:xAlign="center" w:y="1"/>
    </w:pPr>
  </w:p>
  <w:p w:rsidR="006C2832" w:rsidP="00C41275">
    <w:pPr>
      <w:pStyle w:val="Footer"/>
      <w:framePr w:wrap="around" w:vAnchor="text" w:hAnchor="margin" w:xAlign="center" w:y="1"/>
      <w:jc w:val="center"/>
    </w:pPr>
    <w:r>
      <w:fldChar w:fldCharType="begin"/>
    </w:r>
    <w:r>
      <w:instrText xml:space="preserve">PAGE  </w:instrText>
    </w:r>
    <w:r>
      <w:fldChar w:fldCharType="separate"/>
    </w:r>
    <w:r>
      <w:rPr>
        <w:noProof/>
      </w:rPr>
      <w:t>10</w:t>
    </w:r>
    <w:r>
      <w:fldChar w:fldCharType="end"/>
    </w:r>
  </w:p>
  <w:p w:rsidR="006C283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C2832">
    <w:pPr>
      <w:pStyle w:val="Footer"/>
      <w:tabs>
        <w:tab w:val="clear"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11F93">
      <w:r>
        <w:separator/>
      </w:r>
    </w:p>
  </w:footnote>
  <w:footnote w:type="continuationSeparator" w:id="1">
    <w:p w:rsidR="00D11F93">
      <w:pPr>
        <w:rPr>
          <w:sz w:val="20"/>
        </w:rPr>
      </w:pPr>
      <w:r>
        <w:rPr>
          <w:sz w:val="20"/>
        </w:rPr>
        <w:t xml:space="preserve">(Continued from previous page)  </w:t>
      </w:r>
      <w:r>
        <w:rPr>
          <w:sz w:val="20"/>
        </w:rPr>
        <w:separator/>
      </w:r>
    </w:p>
  </w:footnote>
  <w:footnote w:type="continuationNotice" w:id="2">
    <w:p w:rsidR="00D11F93">
      <w:pPr>
        <w:rPr>
          <w:sz w:val="20"/>
        </w:rPr>
      </w:pPr>
      <w:r>
        <w:rPr>
          <w:sz w:val="20"/>
        </w:rPr>
        <w:t>(continued….)</w:t>
      </w:r>
    </w:p>
  </w:footnote>
  <w:footnote w:id="3">
    <w:p w:rsidR="006C2832" w:rsidP="0046753E">
      <w:pPr>
        <w:pStyle w:val="FootnoteText"/>
      </w:pPr>
      <w:r>
        <w:rPr>
          <w:rStyle w:val="FootnoteReference"/>
        </w:rPr>
        <w:footnoteRef/>
      </w:r>
      <w:r>
        <w:t xml:space="preserve"> Petition for Reconsideration (filed Feb. 6, 2018) (Petition for Reconsideration) (regarding call signs </w:t>
      </w:r>
      <w:r w:rsidRPr="000E0A3B">
        <w:t>WQMS4</w:t>
      </w:r>
      <w:r>
        <w:t>0</w:t>
      </w:r>
      <w:r w:rsidRPr="000E0A3B">
        <w:t>6, WQMS4</w:t>
      </w:r>
      <w:r>
        <w:t>0</w:t>
      </w:r>
      <w:r w:rsidRPr="000E0A3B">
        <w:t>7, WQMS4</w:t>
      </w:r>
      <w:r>
        <w:t>0</w:t>
      </w:r>
      <w:r w:rsidRPr="000E0A3B">
        <w:t>8, WQMS4</w:t>
      </w:r>
      <w:r>
        <w:t>0</w:t>
      </w:r>
      <w:r w:rsidRPr="000E0A3B">
        <w:t>9, WQMS41</w:t>
      </w:r>
      <w:r>
        <w:t>0</w:t>
      </w:r>
      <w:r w:rsidRPr="000E0A3B">
        <w:t>, WQMS412, WQMS413, WQMS417, WQMS418, WQMS42</w:t>
      </w:r>
      <w:r>
        <w:t>0</w:t>
      </w:r>
      <w:r w:rsidRPr="000E0A3B">
        <w:t>, WQMS421, WQ</w:t>
      </w:r>
      <w:r>
        <w:t>MS422, WQMS423, WQMS424, WQMS425</w:t>
      </w:r>
      <w:r w:rsidRPr="000E0A3B">
        <w:t>, WQMS442, WQMS445, WQMS448, WQMS45</w:t>
      </w:r>
      <w:r>
        <w:t>0, WQMS453, WQMS454, WQMS455, WQMS456, WQMS45</w:t>
      </w:r>
      <w:r w:rsidRPr="000E0A3B">
        <w:t>7, and WQMS458</w:t>
      </w:r>
      <w:r>
        <w:t>).  The deadline for filing construction notifications is found at Section 22.503(k) of the Commission’s rules.</w:t>
      </w:r>
    </w:p>
  </w:footnote>
  <w:footnote w:id="4">
    <w:p w:rsidR="006C2832" w:rsidRPr="000E0A3B" w:rsidP="0046753E">
      <w:pPr>
        <w:pStyle w:val="FootnoteText"/>
      </w:pPr>
      <w:r>
        <w:rPr>
          <w:rStyle w:val="FootnoteReference"/>
        </w:rPr>
        <w:footnoteRef/>
      </w:r>
      <w:r>
        <w:t xml:space="preserve"> </w:t>
      </w:r>
      <w:r>
        <w:rPr>
          <w:i/>
        </w:rPr>
        <w:t xml:space="preserve">Id. </w:t>
      </w:r>
      <w:r>
        <w:t>at 3.</w:t>
      </w:r>
    </w:p>
  </w:footnote>
  <w:footnote w:id="5">
    <w:p w:rsidR="006C2832" w:rsidP="003F5C77">
      <w:pPr>
        <w:pStyle w:val="FootnoteText"/>
      </w:pPr>
      <w:r>
        <w:rPr>
          <w:rStyle w:val="FootnoteReference"/>
        </w:rPr>
        <w:footnoteRef/>
      </w:r>
      <w:r>
        <w:t xml:space="preserve"> 47 CFR § 22.503(k).</w:t>
      </w:r>
    </w:p>
  </w:footnote>
  <w:footnote w:id="6">
    <w:p w:rsidR="006C2832" w:rsidRPr="00E47B14" w:rsidP="003F5C77">
      <w:pPr>
        <w:pStyle w:val="FootnoteText"/>
        <w:rPr>
          <w:i/>
        </w:rPr>
      </w:pPr>
      <w:r>
        <w:rPr>
          <w:rStyle w:val="FootnoteReference"/>
        </w:rPr>
        <w:footnoteRef/>
      </w:r>
      <w:r>
        <w:t xml:space="preserve"> </w:t>
      </w:r>
      <w:r>
        <w:rPr>
          <w:i/>
        </w:rPr>
        <w:t xml:space="preserve">Id. </w:t>
      </w:r>
      <w:r>
        <w:t>§ 22.503(k)(1).</w:t>
      </w:r>
      <w:r>
        <w:rPr>
          <w:i/>
        </w:rPr>
        <w:t xml:space="preserve"> </w:t>
      </w:r>
    </w:p>
  </w:footnote>
  <w:footnote w:id="7">
    <w:p w:rsidR="006C2832">
      <w:pPr>
        <w:pStyle w:val="FootnoteText"/>
      </w:pPr>
      <w:r>
        <w:rPr>
          <w:rStyle w:val="FootnoteReference"/>
        </w:rPr>
        <w:footnoteRef/>
      </w:r>
      <w:r>
        <w:t xml:space="preserve"> </w:t>
      </w:r>
      <w:r>
        <w:rPr>
          <w:i/>
        </w:rPr>
        <w:t>Id.</w:t>
      </w:r>
      <w:r w:rsidRPr="00AC41A5">
        <w:t xml:space="preserve"> </w:t>
      </w:r>
      <w:r>
        <w:t>§ 22.503(k)(3).</w:t>
      </w:r>
    </w:p>
  </w:footnote>
  <w:footnote w:id="8">
    <w:p w:rsidR="006C2832" w:rsidRPr="002246B5">
      <w:pPr>
        <w:pStyle w:val="FootnoteText"/>
        <w:rPr>
          <w:i/>
        </w:rPr>
      </w:pPr>
      <w:r>
        <w:rPr>
          <w:rStyle w:val="FootnoteReference"/>
        </w:rPr>
        <w:footnoteRef/>
      </w:r>
      <w:r>
        <w:t xml:space="preserve"> </w:t>
      </w:r>
      <w:r>
        <w:rPr>
          <w:i/>
        </w:rPr>
        <w:t>Id.</w:t>
      </w:r>
      <w:r w:rsidRPr="00AC41A5">
        <w:t xml:space="preserve"> </w:t>
      </w:r>
      <w:r>
        <w:t>§ 22.503(k).</w:t>
      </w:r>
    </w:p>
  </w:footnote>
  <w:footnote w:id="9">
    <w:p w:rsidR="006C2832" w:rsidP="004A151A">
      <w:pPr>
        <w:pStyle w:val="FootnoteText"/>
      </w:pPr>
      <w:r>
        <w:rPr>
          <w:rStyle w:val="FootnoteReference"/>
        </w:rPr>
        <w:footnoteRef/>
      </w:r>
      <w:r>
        <w:t xml:space="preserve"> </w:t>
      </w:r>
      <w:r w:rsidRPr="000D1CDE">
        <w:t>Guidance on Compliance with Constr</w:t>
      </w:r>
      <w:r>
        <w:t>uction</w:t>
      </w:r>
      <w:r w:rsidRPr="000D1CDE">
        <w:t xml:space="preserve"> Requirements for Auction 95 Paging &amp; Radiotelephone Serv. Licenses</w:t>
      </w:r>
      <w:r>
        <w:t xml:space="preserve">, </w:t>
      </w:r>
      <w:r>
        <w:rPr>
          <w:i/>
        </w:rPr>
        <w:t>Public Notice</w:t>
      </w:r>
      <w:r w:rsidRPr="00220890">
        <w:t xml:space="preserve">, 31 </w:t>
      </w:r>
      <w:r>
        <w:t>FCC</w:t>
      </w:r>
      <w:r w:rsidRPr="00220890">
        <w:t xml:space="preserve"> Rcd. 11664, 11665 (</w:t>
      </w:r>
      <w:r>
        <w:t xml:space="preserve">WTB </w:t>
      </w:r>
      <w:r w:rsidRPr="00220890">
        <w:t>2016)</w:t>
      </w:r>
      <w:r>
        <w:t xml:space="preserve"> (</w:t>
      </w:r>
      <w:r w:rsidRPr="005416A6">
        <w:rPr>
          <w:i/>
        </w:rPr>
        <w:t>Auction 95</w:t>
      </w:r>
      <w:r>
        <w:rPr>
          <w:i/>
        </w:rPr>
        <w:t xml:space="preserve"> Guidance</w:t>
      </w:r>
      <w:r w:rsidRPr="005416A6">
        <w:rPr>
          <w:i/>
        </w:rPr>
        <w:t xml:space="preserve"> Public Notice</w:t>
      </w:r>
      <w:r w:rsidRPr="00220890">
        <w:t>)</w:t>
      </w:r>
      <w:r>
        <w:t xml:space="preserve">, </w:t>
      </w:r>
      <w:r w:rsidRPr="002F0E93">
        <w:rPr>
          <w:i/>
        </w:rPr>
        <w:t>citing</w:t>
      </w:r>
      <w:r w:rsidRPr="002F0E93">
        <w:t xml:space="preserve"> ATT: J</w:t>
      </w:r>
      <w:r>
        <w:t>eff</w:t>
      </w:r>
      <w:r w:rsidRPr="002F0E93">
        <w:t xml:space="preserve"> S</w:t>
      </w:r>
      <w:r>
        <w:t>ohn</w:t>
      </w:r>
      <w:r w:rsidRPr="002F0E93">
        <w:t xml:space="preserve">, </w:t>
      </w:r>
      <w:r w:rsidRPr="002F0E93">
        <w:rPr>
          <w:i/>
        </w:rPr>
        <w:t>Letter</w:t>
      </w:r>
      <w:r>
        <w:t>, 27 FCC Rcd 5864, 5865 (WTB</w:t>
      </w:r>
      <w:r w:rsidRPr="002F0E93">
        <w:t xml:space="preserve"> 2012)</w:t>
      </w:r>
      <w:r>
        <w:t>,</w:t>
      </w:r>
      <w:r w:rsidRPr="002F0E93">
        <w:t xml:space="preserve"> Cingular Interactive, L.P., Showing of Substantial Service Pursuant to Section 90.665(c), File No.</w:t>
      </w:r>
      <w:r>
        <w:t xml:space="preserve"> </w:t>
      </w:r>
      <w:r w:rsidRPr="002F0E93">
        <w:t xml:space="preserve">0000226552, </w:t>
      </w:r>
      <w:r w:rsidRPr="002F0E93">
        <w:rPr>
          <w:i/>
        </w:rPr>
        <w:t>Order</w:t>
      </w:r>
      <w:r w:rsidRPr="002F0E93">
        <w:t xml:space="preserve">, 16 </w:t>
      </w:r>
      <w:r>
        <w:t>FCC Rcd 19200, 19203 (WTB 2001)</w:t>
      </w:r>
      <w:r w:rsidRPr="002F0E93">
        <w:t>.</w:t>
      </w:r>
    </w:p>
  </w:footnote>
  <w:footnote w:id="10">
    <w:p w:rsidR="006C2832" w:rsidRPr="000D0D68" w:rsidP="00291205">
      <w:pPr>
        <w:pStyle w:val="FootnoteText"/>
      </w:pPr>
      <w:r>
        <w:rPr>
          <w:rStyle w:val="FootnoteReference"/>
        </w:rPr>
        <w:footnoteRef/>
      </w:r>
      <w:r>
        <w:t xml:space="preserve"> </w:t>
      </w:r>
      <w:r>
        <w:rPr>
          <w:i/>
        </w:rPr>
        <w:t xml:space="preserve">See </w:t>
      </w:r>
      <w:r>
        <w:rPr>
          <w:snapToGrid w:val="0"/>
        </w:rPr>
        <w:t>47 CFR § 1.928 (Commission rules on frequency coordination with Canada) and</w:t>
      </w:r>
      <w:r>
        <w:rPr>
          <w:i/>
        </w:rPr>
        <w:t xml:space="preserve"> </w:t>
      </w:r>
      <w:r>
        <w:t>47 CFR § 90.7 (definition of Line A).</w:t>
      </w:r>
    </w:p>
  </w:footnote>
  <w:footnote w:id="11">
    <w:p w:rsidR="006C2832" w:rsidRPr="00674A21" w:rsidP="00291205">
      <w:pPr>
        <w:pStyle w:val="FootnoteText"/>
      </w:pPr>
      <w:r>
        <w:rPr>
          <w:rStyle w:val="FootnoteReference"/>
        </w:rPr>
        <w:footnoteRef/>
      </w:r>
      <w:r>
        <w:t xml:space="preserve"> 47 CFR §§ 1.928(e), 90.7.</w:t>
      </w:r>
    </w:p>
  </w:footnote>
  <w:footnote w:id="12">
    <w:p w:rsidR="006C2832" w:rsidP="00291205">
      <w:pPr>
        <w:pStyle w:val="FootnoteText"/>
      </w:pPr>
      <w:r>
        <w:rPr>
          <w:rStyle w:val="FootnoteReference"/>
        </w:rPr>
        <w:footnoteRef/>
      </w:r>
      <w:r>
        <w:t xml:space="preserve"> </w:t>
      </w:r>
      <w:r w:rsidRPr="005416A6">
        <w:rPr>
          <w:i/>
        </w:rPr>
        <w:t xml:space="preserve">Auction 95 </w:t>
      </w:r>
      <w:r>
        <w:rPr>
          <w:i/>
        </w:rPr>
        <w:t xml:space="preserve">Guidance </w:t>
      </w:r>
      <w:r w:rsidRPr="005416A6">
        <w:rPr>
          <w:i/>
        </w:rPr>
        <w:t>Public Notice</w:t>
      </w:r>
      <w:r w:rsidRPr="00220890">
        <w:t xml:space="preserve">, 31 </w:t>
      </w:r>
      <w:r>
        <w:t>FCC</w:t>
      </w:r>
      <w:r w:rsidRPr="00220890">
        <w:t xml:space="preserve"> Rcd </w:t>
      </w:r>
      <w:r>
        <w:t>at 11665.</w:t>
      </w:r>
      <w:r>
        <w:rPr>
          <w:i/>
        </w:rPr>
        <w:t xml:space="preserve"> </w:t>
      </w:r>
    </w:p>
  </w:footnote>
  <w:footnote w:id="13">
    <w:p w:rsidR="006C2832" w:rsidP="001D4260">
      <w:pPr>
        <w:pStyle w:val="FootnoteText"/>
      </w:pPr>
      <w:r>
        <w:rPr>
          <w:rStyle w:val="FootnoteReference"/>
        </w:rPr>
        <w:footnoteRef/>
      </w:r>
      <w:r>
        <w:t xml:space="preserve"> </w:t>
      </w:r>
      <w:r w:rsidRPr="009A7190">
        <w:rPr>
          <w:i/>
        </w:rPr>
        <w:t>See</w:t>
      </w:r>
      <w:r w:rsidRPr="009A7190">
        <w:t xml:space="preserve"> </w:t>
      </w:r>
      <w:r w:rsidRPr="009A7190">
        <w:rPr>
          <w:i/>
        </w:rPr>
        <w:t>Wireless Telecommunications Bureau Grants Lower &amp; Upper Paging Bands Licenses</w:t>
      </w:r>
      <w:r w:rsidRPr="009A7190">
        <w:t>, Public Notice, 25 FCC Rcd 15324 (2010).</w:t>
      </w:r>
    </w:p>
  </w:footnote>
  <w:footnote w:id="14">
    <w:p w:rsidR="006C2832">
      <w:pPr>
        <w:pStyle w:val="FootnoteText"/>
      </w:pPr>
      <w:r>
        <w:rPr>
          <w:rStyle w:val="FootnoteReference"/>
        </w:rPr>
        <w:footnoteRef/>
      </w:r>
      <w:r>
        <w:t xml:space="preserve"> </w:t>
      </w:r>
      <w:r>
        <w:rPr>
          <w:i/>
        </w:rPr>
        <w:t>Id.</w:t>
      </w:r>
    </w:p>
  </w:footnote>
  <w:footnote w:id="15">
    <w:p w:rsidR="006C2832" w:rsidRPr="004A151A" w:rsidP="004A151A">
      <w:pPr>
        <w:pStyle w:val="FootnoteText"/>
      </w:pPr>
      <w:r>
        <w:rPr>
          <w:rStyle w:val="FootnoteReference"/>
        </w:rPr>
        <w:footnoteRef/>
      </w:r>
      <w:r>
        <w:t xml:space="preserve"> </w:t>
      </w:r>
      <w:r w:rsidRPr="004A151A">
        <w:t>Letter from Division of State Patrol, Bureau of Public Security and Communications, Wisconsin Department of Transportation to Federal Communications Commission, File No. 0005987269 (Oct. 28, 2013).</w:t>
      </w:r>
    </w:p>
  </w:footnote>
  <w:footnote w:id="16">
    <w:p w:rsidR="006C2832" w:rsidRPr="004E4756">
      <w:pPr>
        <w:pStyle w:val="FootnoteText"/>
      </w:pPr>
      <w:r>
        <w:rPr>
          <w:rStyle w:val="FootnoteReference"/>
        </w:rPr>
        <w:footnoteRef/>
      </w:r>
      <w:r>
        <w:t xml:space="preserve"> </w:t>
      </w:r>
      <w:r>
        <w:rPr>
          <w:i/>
        </w:rPr>
        <w:t>See, e.g.</w:t>
      </w:r>
      <w:r>
        <w:t xml:space="preserve">, Letter from Carl </w:t>
      </w:r>
      <w:r>
        <w:t>Guse</w:t>
      </w:r>
      <w:r>
        <w:t>, WISCOM System Manager Wisconsin State Patrol, WISCOM Network Operations Center, to Federal Communications Commission</w:t>
      </w:r>
      <w:r w:rsidRPr="004A151A">
        <w:t xml:space="preserve">, </w:t>
      </w:r>
      <w:r>
        <w:t xml:space="preserve">File No. </w:t>
      </w:r>
      <w:r w:rsidRPr="004E4756">
        <w:t>0005987269</w:t>
      </w:r>
      <w:r>
        <w:t xml:space="preserve"> (Dec. 11, 2013).</w:t>
      </w:r>
    </w:p>
  </w:footnote>
  <w:footnote w:id="17">
    <w:p w:rsidR="006C2832">
      <w:pPr>
        <w:pStyle w:val="FootnoteText"/>
      </w:pPr>
      <w:r>
        <w:rPr>
          <w:rStyle w:val="FootnoteReference"/>
        </w:rPr>
        <w:footnoteRef/>
      </w:r>
      <w:r>
        <w:t xml:space="preserve"> Petition for Reconsideration (filed Jan. 8, 2016). </w:t>
      </w:r>
    </w:p>
  </w:footnote>
  <w:footnote w:id="18">
    <w:p w:rsidR="006C2832" w:rsidRPr="002D2419">
      <w:pPr>
        <w:pStyle w:val="FootnoteText"/>
      </w:pPr>
      <w:r>
        <w:rPr>
          <w:rStyle w:val="FootnoteReference"/>
        </w:rPr>
        <w:footnoteRef/>
      </w:r>
      <w:r>
        <w:t xml:space="preserve"> Petition for Reconsideration – Additional Information (filed May 14, 2016). </w:t>
      </w:r>
      <w:r w:rsidR="0086767B">
        <w:t xml:space="preserve"> The State has since completed </w:t>
      </w:r>
      <w:r w:rsidR="00D476D3">
        <w:t>Canadian coordination</w:t>
      </w:r>
      <w:r w:rsidR="00114AC1">
        <w:t xml:space="preserve"> for the site</w:t>
      </w:r>
      <w:r w:rsidR="00D476D3">
        <w:t xml:space="preserve">.  </w:t>
      </w:r>
      <w:r w:rsidR="00D476D3">
        <w:rPr>
          <w:i/>
        </w:rPr>
        <w:t>See</w:t>
      </w:r>
      <w:r w:rsidR="002D2419">
        <w:t xml:space="preserve"> ULS File No. </w:t>
      </w:r>
      <w:r w:rsidRPr="00704276" w:rsidR="00704276">
        <w:t>0008285129</w:t>
      </w:r>
      <w:r w:rsidR="00704276">
        <w:t xml:space="preserve"> (Call Sign WQMS407).</w:t>
      </w:r>
    </w:p>
  </w:footnote>
  <w:footnote w:id="19">
    <w:p w:rsidR="006C2832" w:rsidRPr="00417F2F">
      <w:pPr>
        <w:pStyle w:val="FootnoteText"/>
        <w:rPr>
          <w:b/>
        </w:rPr>
      </w:pPr>
      <w:r>
        <w:rPr>
          <w:rStyle w:val="FootnoteReference"/>
        </w:rPr>
        <w:footnoteRef/>
      </w:r>
      <w:r>
        <w:t xml:space="preserve"> Letter from Keith Harper, Associate Chief, Mobility Division, Wireless Telecommunications Bureau to James Westover, Statewide Frequency Coordinator, State of Wisconsin (July 25, 2016).</w:t>
      </w:r>
    </w:p>
  </w:footnote>
  <w:footnote w:id="20">
    <w:p w:rsidR="006C2832" w:rsidRPr="001A473A">
      <w:pPr>
        <w:pStyle w:val="FootnoteText"/>
      </w:pPr>
      <w:r>
        <w:rPr>
          <w:rStyle w:val="FootnoteReference"/>
        </w:rPr>
        <w:footnoteRef/>
      </w:r>
      <w:r>
        <w:t xml:space="preserve"> </w:t>
      </w:r>
      <w:r w:rsidRPr="00DA4171">
        <w:rPr>
          <w:i/>
        </w:rPr>
        <w:t>Id</w:t>
      </w:r>
      <w:r>
        <w:t>.</w:t>
      </w:r>
      <w:r w:rsidRPr="00D9633D">
        <w:rPr>
          <w:i/>
        </w:rPr>
        <w:t xml:space="preserve"> </w:t>
      </w:r>
      <w:r w:rsidRPr="001A473A">
        <w:t>at 2.</w:t>
      </w:r>
    </w:p>
  </w:footnote>
  <w:footnote w:id="21">
    <w:p w:rsidR="006C2832">
      <w:pPr>
        <w:pStyle w:val="FootnoteText"/>
      </w:pPr>
      <w:r>
        <w:rPr>
          <w:rStyle w:val="FootnoteReference"/>
        </w:rPr>
        <w:footnoteRef/>
      </w:r>
      <w:r>
        <w:t xml:space="preserve"> State of Wisconsin – Request for Extension of Build-Out Notification, File No. </w:t>
      </w:r>
      <w:r w:rsidRPr="00BB53F8">
        <w:t>0007838029</w:t>
      </w:r>
      <w:r>
        <w:t xml:space="preserve"> (June 30, 2017).</w:t>
      </w:r>
    </w:p>
  </w:footnote>
  <w:footnote w:id="22">
    <w:p w:rsidR="006C2832" w:rsidP="00176D58">
      <w:pPr>
        <w:pStyle w:val="FootnoteText"/>
      </w:pPr>
      <w:r>
        <w:rPr>
          <w:rStyle w:val="FootnoteReference"/>
        </w:rPr>
        <w:footnoteRef/>
      </w:r>
      <w:r>
        <w:t xml:space="preserve"> Letter from Roger Noel, Chief, Mobility Division, Wireless Telecommunications Bureau to James Westover,</w:t>
      </w:r>
      <w:r w:rsidRPr="00176D58">
        <w:t xml:space="preserve"> </w:t>
      </w:r>
      <w:r>
        <w:t xml:space="preserve">Statewide Frequency Coordinator, State of Wisconsin (Jan. 5, 2018). </w:t>
      </w:r>
    </w:p>
  </w:footnote>
  <w:footnote w:id="23">
    <w:p w:rsidR="006C2832">
      <w:pPr>
        <w:pStyle w:val="FootnoteText"/>
      </w:pPr>
      <w:r>
        <w:rPr>
          <w:rStyle w:val="FootnoteReference"/>
        </w:rPr>
        <w:footnoteRef/>
      </w:r>
      <w:r>
        <w:t xml:space="preserve"> Petition for Reconsideration at 2.</w:t>
      </w:r>
    </w:p>
  </w:footnote>
  <w:footnote w:id="24">
    <w:p w:rsidR="006C2832">
      <w:pPr>
        <w:pStyle w:val="FootnoteText"/>
      </w:pPr>
      <w:r>
        <w:rPr>
          <w:rStyle w:val="FootnoteReference"/>
        </w:rPr>
        <w:footnoteRef/>
      </w:r>
      <w:r>
        <w:t xml:space="preserve"> Petition for Reconsideration at 2. </w:t>
      </w:r>
    </w:p>
  </w:footnote>
  <w:footnote w:id="25">
    <w:p w:rsidR="006C2832">
      <w:pPr>
        <w:pStyle w:val="FootnoteText"/>
      </w:pPr>
      <w:r>
        <w:rPr>
          <w:rStyle w:val="FootnoteReference"/>
        </w:rPr>
        <w:footnoteRef/>
      </w:r>
      <w:r>
        <w:t xml:space="preserve"> Petition for Reconsideration at 3.</w:t>
      </w:r>
    </w:p>
  </w:footnote>
  <w:footnote w:id="26">
    <w:p w:rsidR="006C2832">
      <w:pPr>
        <w:pStyle w:val="FootnoteText"/>
      </w:pPr>
      <w:r>
        <w:rPr>
          <w:rStyle w:val="FootnoteReference"/>
        </w:rPr>
        <w:footnoteRef/>
      </w:r>
      <w:r>
        <w:t xml:space="preserve"> Petition for Reconsideration at 2.</w:t>
      </w:r>
    </w:p>
  </w:footnote>
  <w:footnote w:id="27">
    <w:p w:rsidR="006C2832">
      <w:pPr>
        <w:pStyle w:val="FootnoteText"/>
      </w:pPr>
      <w:r>
        <w:rPr>
          <w:rStyle w:val="FootnoteReference"/>
        </w:rPr>
        <w:footnoteRef/>
      </w:r>
      <w:r>
        <w:t xml:space="preserve"> Petition for Reconsideration at 3.</w:t>
      </w:r>
    </w:p>
  </w:footnote>
  <w:footnote w:id="28">
    <w:p w:rsidR="006C2832" w:rsidP="00794F82">
      <w:pPr>
        <w:pStyle w:val="FootnoteText"/>
      </w:pPr>
      <w:r>
        <w:rPr>
          <w:rStyle w:val="FootnoteReference"/>
        </w:rPr>
        <w:footnoteRef/>
      </w:r>
      <w:r>
        <w:t xml:space="preserve"> 47 CFR § 1.925(b)(3)(</w:t>
      </w:r>
      <w:r>
        <w:t>i</w:t>
      </w:r>
      <w:r>
        <w:t xml:space="preserve">)-(ii).  </w:t>
      </w:r>
    </w:p>
  </w:footnote>
  <w:footnote w:id="29">
    <w:p w:rsidR="006C2832" w:rsidP="00794F82">
      <w:pPr>
        <w:pStyle w:val="FootnoteText"/>
      </w:pPr>
      <w:r>
        <w:rPr>
          <w:rStyle w:val="FootnoteReference"/>
        </w:rPr>
        <w:footnoteRef/>
      </w:r>
      <w:r>
        <w:t xml:space="preserve"> 47 CFR § 1.3 (“Any provision of the rules may be waived by the Commission on its own motion or on petition if good cause therefor is shown.”); </w:t>
      </w:r>
      <w:r>
        <w:rPr>
          <w:i/>
        </w:rPr>
        <w:t xml:space="preserve">see also </w:t>
      </w:r>
      <w:r w:rsidRPr="00C0416D">
        <w:rPr>
          <w:i/>
        </w:rPr>
        <w:t>Northeast Cellular Telephone Co. v. FCC</w:t>
      </w:r>
      <w:r>
        <w:t>, 897 F.2d 1164, 1166 (D.C. Cir. 1990).</w:t>
      </w:r>
    </w:p>
  </w:footnote>
  <w:footnote w:id="30">
    <w:p w:rsidR="006C2832" w:rsidRPr="000B0340" w:rsidP="006068BD">
      <w:pPr>
        <w:pStyle w:val="FootnoteText"/>
      </w:pPr>
      <w:r>
        <w:rPr>
          <w:rStyle w:val="FootnoteReference"/>
        </w:rPr>
        <w:footnoteRef/>
      </w:r>
      <w:r>
        <w:t xml:space="preserve"> </w:t>
      </w:r>
      <w:r>
        <w:rPr>
          <w:i/>
        </w:rPr>
        <w:t xml:space="preserve">See supra </w:t>
      </w:r>
      <w:r w:rsidRPr="000B0340">
        <w:t>n</w:t>
      </w:r>
      <w:r>
        <w:t>. 9.</w:t>
      </w:r>
    </w:p>
  </w:footnote>
  <w:footnote w:id="31">
    <w:p w:rsidR="006C2832" w:rsidRPr="00302DE5" w:rsidP="0013668D">
      <w:pPr>
        <w:pStyle w:val="FootnoteText"/>
      </w:pPr>
      <w:r>
        <w:rPr>
          <w:rStyle w:val="FootnoteReference"/>
        </w:rPr>
        <w:footnoteRef/>
      </w:r>
      <w:r>
        <w:t xml:space="preserve"> Letter from Maj. </w:t>
      </w:r>
      <w:r w:rsidRPr="00302DE5">
        <w:t>Timothy Huibregtse</w:t>
      </w:r>
      <w:r>
        <w:t>, Director, Wisconsin State Patrol, Bureau of Support Services, to Keith D. Harper, Associate Chief, Mobility Division, Wireless Telecommunications Bureau (July 16, 2018), at 1.</w:t>
      </w:r>
    </w:p>
  </w:footnote>
  <w:footnote w:id="32">
    <w:p w:rsidR="006C2832" w:rsidRPr="00BB53F8">
      <w:pPr>
        <w:pStyle w:val="FootnoteText"/>
        <w:rPr>
          <w:caps/>
        </w:rPr>
      </w:pPr>
      <w:r>
        <w:rPr>
          <w:rStyle w:val="FootnoteReference"/>
        </w:rPr>
        <w:footnoteRef/>
      </w:r>
      <w:r>
        <w:t xml:space="preserve"> 47 CFR </w:t>
      </w:r>
      <w:r>
        <w:rPr>
          <w:caps/>
        </w:rPr>
        <w:t>§ 22.531.</w:t>
      </w:r>
    </w:p>
  </w:footnote>
  <w:footnote w:id="33">
    <w:p w:rsidR="006C2832">
      <w:pPr>
        <w:pStyle w:val="FootnoteText"/>
      </w:pPr>
      <w:r>
        <w:rPr>
          <w:rStyle w:val="FootnoteReference"/>
        </w:rPr>
        <w:footnoteRef/>
      </w:r>
      <w:r>
        <w:t xml:space="preserve"> </w:t>
      </w:r>
      <w:r>
        <w:rPr>
          <w:i/>
        </w:rPr>
        <w:t xml:space="preserve">See </w:t>
      </w:r>
      <w:r>
        <w:t xml:space="preserve">Letter from Maj. </w:t>
      </w:r>
      <w:r w:rsidRPr="00302DE5">
        <w:t>Timothy Huibregtse</w:t>
      </w:r>
      <w:r>
        <w:t>, Director, Wisconsin State Patrol, Bureau of Support Services, to Keith D. Harper, Associate Chief, Mobility Division, Wireless Telecommunications Bureau (July 16, 2018).</w:t>
      </w:r>
    </w:p>
  </w:footnote>
  <w:footnote w:id="34">
    <w:p w:rsidR="006C2832" w:rsidRPr="003651E8" w:rsidP="006068BD">
      <w:pPr>
        <w:pStyle w:val="FootnoteText"/>
      </w:pPr>
      <w:r>
        <w:rPr>
          <w:rStyle w:val="FootnoteReference"/>
        </w:rPr>
        <w:footnoteRef/>
      </w:r>
      <w:r>
        <w:t xml:space="preserve"> </w:t>
      </w:r>
      <w:r>
        <w:rPr>
          <w:i/>
        </w:rPr>
        <w:t>See</w:t>
      </w:r>
      <w:r>
        <w:t xml:space="preserve"> Petition for Reconsideration at 3 (stating “</w:t>
      </w:r>
      <w:r w:rsidRPr="003651E8">
        <w:t>we are using the spectrum to provide substantial service to the population in the affected Economic Areas even though perhaps it doesn’t appear so based on the old Part 22 build-out requirements.</w:t>
      </w:r>
      <w:r>
        <w:t>”)</w:t>
      </w:r>
    </w:p>
  </w:footnote>
  <w:footnote w:id="35">
    <w:p w:rsidR="006C2832" w:rsidRPr="00D162A2" w:rsidP="00D162A2">
      <w:pPr>
        <w:pStyle w:val="FootnoteText"/>
      </w:pPr>
      <w:r w:rsidRPr="00D162A2">
        <w:rPr>
          <w:rStyle w:val="FootnoteReference"/>
          <w:sz w:val="20"/>
        </w:rPr>
        <w:footnoteRef/>
      </w:r>
      <w:r w:rsidRPr="00D162A2">
        <w:t xml:space="preserve"> </w:t>
      </w:r>
      <w:r w:rsidRPr="00D162A2">
        <w:rPr>
          <w:i/>
        </w:rPr>
        <w:t>See</w:t>
      </w:r>
      <w:r w:rsidRPr="00D162A2">
        <w:t xml:space="preserve"> </w:t>
      </w:r>
      <w:r>
        <w:t xml:space="preserve">ULS File Nos. 0007838020, 0007838021, 0007838022, 0007838023, 0007838024, 0007838025, 0007838026, 0007838027, 0007838028, 0007838029, 000783 8030, 0007838031, 0007838032, 0007838033, 0007838034, 00078380235, 0007838036, 0007838037, 0007838038, 0007838039, 0007838040, 0007838041, 0007838042, 0007838043, and 0007838044 (filed June 30, 2017) </w:t>
      </w:r>
      <w:r w:rsidRPr="00D162A2">
        <w:t>(</w:t>
      </w:r>
      <w:r>
        <w:t xml:space="preserve">stating </w:t>
      </w:r>
      <w:r w:rsidRPr="00D162A2">
        <w:t>“</w:t>
      </w:r>
      <w:r>
        <w:t>[t]</w:t>
      </w:r>
      <w:r w:rsidRPr="00D162A2">
        <w:t>he State is not seeking an extension to complete construction but is simply asking for additional time to report the construction . . . .”)</w:t>
      </w:r>
    </w:p>
  </w:footnote>
  <w:footnote w:id="36">
    <w:p w:rsidR="006C2832">
      <w:pPr>
        <w:pStyle w:val="FootnoteText"/>
      </w:pPr>
      <w:r>
        <w:rPr>
          <w:rStyle w:val="FootnoteReference"/>
        </w:rPr>
        <w:footnoteRef/>
      </w:r>
      <w:r>
        <w:t xml:space="preserve"> 47 CFR § 22.503(k).</w:t>
      </w:r>
    </w:p>
  </w:footnote>
  <w:footnote w:id="37">
    <w:p w:rsidR="006C2832" w:rsidRPr="00464523">
      <w:pPr>
        <w:pStyle w:val="FootnoteText"/>
        <w:rPr>
          <w:i/>
        </w:rPr>
      </w:pPr>
      <w:r>
        <w:rPr>
          <w:rStyle w:val="FootnoteReference"/>
        </w:rPr>
        <w:footnoteRef/>
      </w:r>
      <w:r>
        <w:t xml:space="preserve"> </w:t>
      </w:r>
      <w:r>
        <w:rPr>
          <w:i/>
        </w:rPr>
        <w:t>See</w:t>
      </w:r>
      <w:r>
        <w:t xml:space="preserve">, </w:t>
      </w:r>
      <w:r>
        <w:rPr>
          <w:i/>
        </w:rPr>
        <w:t>e.g.</w:t>
      </w:r>
      <w:r>
        <w:t xml:space="preserve">, </w:t>
      </w:r>
      <w:r>
        <w:rPr>
          <w:i/>
        </w:rPr>
        <w:t>State of Maine – MS CommN</w:t>
      </w:r>
      <w:r w:rsidRPr="00AC41A5">
        <w:rPr>
          <w:i/>
        </w:rPr>
        <w:t>et Project</w:t>
      </w:r>
      <w:r w:rsidRPr="00AC41A5">
        <w:t>, Order and Proposed Order of Modification</w:t>
      </w:r>
      <w:r>
        <w:t xml:space="preserve">, </w:t>
      </w:r>
      <w:r w:rsidRPr="006908BB">
        <w:t xml:space="preserve">DA </w:t>
      </w:r>
      <w:r>
        <w:t>18-1077</w:t>
      </w:r>
      <w:r w:rsidRPr="006908BB">
        <w:t xml:space="preserve"> (</w:t>
      </w:r>
      <w:r>
        <w:t xml:space="preserve">WTB Oct. 22, 2018) (finding continued operation and interoperability of statewide public safety network is in the public interest); </w:t>
      </w:r>
      <w:r w:rsidRPr="00AC41A5">
        <w:rPr>
          <w:i/>
        </w:rPr>
        <w:t xml:space="preserve">State of Maine – </w:t>
      </w:r>
      <w:r w:rsidRPr="00AC41A5">
        <w:rPr>
          <w:i/>
        </w:rPr>
        <w:t>MSCommNet</w:t>
      </w:r>
      <w:r w:rsidRPr="00AC41A5">
        <w:rPr>
          <w:i/>
        </w:rPr>
        <w:t xml:space="preserve"> Project, Request for Waiver of Sections 90.35(b)(2)(ii) and 90.187(d) of the Commission’s Rules</w:t>
      </w:r>
      <w:r>
        <w:rPr>
          <w:i/>
        </w:rPr>
        <w:t xml:space="preserve">, </w:t>
      </w:r>
      <w:r w:rsidRPr="00AC41A5">
        <w:t>Order</w:t>
      </w:r>
      <w:r>
        <w:t xml:space="preserve">, </w:t>
      </w:r>
      <w:r w:rsidRPr="000147F1">
        <w:t>29 FCC Rcd 7398</w:t>
      </w:r>
      <w:r>
        <w:t xml:space="preserve"> (PSHSB 2014) (finding waivers to assist completion of a</w:t>
      </w:r>
      <w:r w:rsidRPr="000147F1">
        <w:t xml:space="preserve"> statewide public safety radio communications network</w:t>
      </w:r>
      <w:r>
        <w:t xml:space="preserve"> were</w:t>
      </w:r>
      <w:r w:rsidRPr="000147F1">
        <w:t xml:space="preserve"> in the public interest because </w:t>
      </w:r>
      <w:r>
        <w:t>the network would</w:t>
      </w:r>
      <w:r w:rsidRPr="000147F1">
        <w:t xml:space="preserve"> facilitate interoperability between federal, state and local public safety officials</w:t>
      </w:r>
      <w:r>
        <w:t xml:space="preserve">.)  </w:t>
      </w:r>
    </w:p>
  </w:footnote>
  <w:footnote w:id="38">
    <w:p w:rsidR="006C2832">
      <w:pPr>
        <w:pStyle w:val="FootnoteText"/>
      </w:pPr>
      <w:r>
        <w:rPr>
          <w:rStyle w:val="FootnoteReference"/>
        </w:rPr>
        <w:footnoteRef/>
      </w:r>
      <w:r>
        <w:t xml:space="preserve"> We note that Wisconsin was obligated to identify and seek the rule waivers necessary to enable it to incorporate its paging licenses into its system.  Licensees may not determine for themselves the Commission rules with which they must comply. </w:t>
      </w:r>
      <w:r w:rsidRPr="008A5307">
        <w:t xml:space="preserve"> </w:t>
      </w:r>
      <w:r>
        <w:t>Accordingly, o</w:t>
      </w:r>
      <w:r w:rsidRPr="008A5307">
        <w:t>ur decision herein is without prejudice to further Commission inquiry into th</w:t>
      </w:r>
      <w:r>
        <w:t>is matter</w:t>
      </w:r>
      <w:r w:rsidRPr="008A5307">
        <w:t xml:space="preserve"> and referral for enforcement action, if warranted.</w:t>
      </w:r>
    </w:p>
  </w:footnote>
  <w:footnote w:id="39">
    <w:p w:rsidR="006C2832" w:rsidP="008722F7">
      <w:pPr>
        <w:pStyle w:val="FootnoteText"/>
      </w:pPr>
      <w:r>
        <w:rPr>
          <w:rStyle w:val="FootnoteReference"/>
        </w:rPr>
        <w:footnoteRef/>
      </w:r>
      <w:r>
        <w:t xml:space="preserve"> </w:t>
      </w:r>
      <w:r w:rsidRPr="008722F7">
        <w:t>See</w:t>
      </w:r>
      <w:r>
        <w:t xml:space="preserve"> </w:t>
      </w:r>
      <w:r w:rsidRPr="008722F7">
        <w:t>47 U.S.C. §§ 154(</w:t>
      </w:r>
      <w:r w:rsidRPr="008722F7">
        <w:t>i</w:t>
      </w:r>
      <w:r w:rsidRPr="008722F7">
        <w:t xml:space="preserve">), 214(a), 303(r); </w:t>
      </w:r>
      <w:r w:rsidRPr="008722F7">
        <w:rPr>
          <w:i/>
        </w:rPr>
        <w:t xml:space="preserve">see also </w:t>
      </w:r>
      <w:r w:rsidRPr="008722F7">
        <w:rPr>
          <w:i/>
        </w:rPr>
        <w:t>In</w:t>
      </w:r>
      <w:r w:rsidRPr="008722F7">
        <w:rPr>
          <w:i/>
        </w:rPr>
        <w:t xml:space="preserve"> re GTE Corp</w:t>
      </w:r>
      <w:r>
        <w:t>., 16 FCC Rcd</w:t>
      </w:r>
      <w:r w:rsidRPr="008722F7">
        <w:t xml:space="preserve"> 15957, 15960 (2001)</w:t>
      </w:r>
      <w:r>
        <w:t>.</w:t>
      </w:r>
    </w:p>
  </w:footnote>
  <w:footnote w:id="40">
    <w:p w:rsidR="006C2832" w:rsidP="00900AA1">
      <w:pPr>
        <w:pStyle w:val="FootnoteText"/>
      </w:pPr>
      <w:r>
        <w:rPr>
          <w:rStyle w:val="FootnoteReference"/>
        </w:rPr>
        <w:footnoteRef/>
      </w:r>
      <w:r>
        <w:t xml:space="preserve"> 47 CFR § 22.561.</w:t>
      </w:r>
    </w:p>
  </w:footnote>
  <w:footnote w:id="41">
    <w:p w:rsidR="006C2832">
      <w:pPr>
        <w:pStyle w:val="FootnoteText"/>
      </w:pPr>
      <w:r>
        <w:rPr>
          <w:rStyle w:val="FootnoteReference"/>
        </w:rPr>
        <w:footnoteRef/>
      </w:r>
      <w:r>
        <w:t xml:space="preserve"> We understand that Wisconsin uses channel “offsets,” an intentional slight shift of a broadcast channel with an alternate center frequency that resides within the authorized channel block.  The offset causes Wisconsin to exceed the bandwidth edge, which could cause spectrally adjacent channel interference.  </w:t>
      </w:r>
    </w:p>
  </w:footnote>
  <w:footnote w:id="42">
    <w:p w:rsidR="006C2832">
      <w:pPr>
        <w:pStyle w:val="FootnoteText"/>
      </w:pPr>
      <w:r>
        <w:rPr>
          <w:rStyle w:val="FootnoteReference"/>
        </w:rPr>
        <w:footnoteRef/>
      </w:r>
      <w:r>
        <w:t xml:space="preserve"> 47 CFR § 22.503(h), (</w:t>
      </w:r>
      <w:r>
        <w:t>i</w:t>
      </w:r>
      <w:r>
        <w:t>).</w:t>
      </w:r>
    </w:p>
  </w:footnote>
  <w:footnote w:id="43">
    <w:p w:rsidR="006C2832">
      <w:pPr>
        <w:pStyle w:val="FootnoteText"/>
      </w:pPr>
      <w:r>
        <w:rPr>
          <w:rStyle w:val="FootnoteReference"/>
        </w:rPr>
        <w:footnoteRef/>
      </w:r>
      <w:r>
        <w:t xml:space="preserve"> </w:t>
      </w:r>
      <w:r w:rsidRPr="00A818E9">
        <w:t>47 U.S.C. § 316(a)(1).</w:t>
      </w:r>
    </w:p>
  </w:footnote>
  <w:footnote w:id="44">
    <w:p w:rsidR="006C2832">
      <w:pPr>
        <w:pStyle w:val="FootnoteText"/>
      </w:pPr>
      <w:r>
        <w:rPr>
          <w:rStyle w:val="FootnoteReference"/>
        </w:rPr>
        <w:footnoteRef/>
      </w:r>
      <w:r>
        <w:t xml:space="preserve"> </w:t>
      </w:r>
      <w:r w:rsidRPr="00A818E9">
        <w:rPr>
          <w:i/>
        </w:rPr>
        <w:t xml:space="preserve">California Metro Mobile </w:t>
      </w:r>
      <w:r w:rsidRPr="00A818E9">
        <w:rPr>
          <w:bCs/>
          <w:i/>
        </w:rPr>
        <w:t>Communications</w:t>
      </w:r>
      <w:r w:rsidRPr="00A818E9">
        <w:rPr>
          <w:i/>
        </w:rPr>
        <w:t xml:space="preserve"> v. FCC, </w:t>
      </w:r>
      <w:r w:rsidRPr="00A818E9">
        <w:t>365 F.3d 38, 45 (D.C. Cir. 2004)</w:t>
      </w:r>
      <w:r>
        <w:t xml:space="preserve">; </w:t>
      </w:r>
      <w:r>
        <w:rPr>
          <w:i/>
        </w:rPr>
        <w:t>s</w:t>
      </w:r>
      <w:r w:rsidRPr="00A818E9">
        <w:rPr>
          <w:i/>
        </w:rPr>
        <w:t>ee</w:t>
      </w:r>
      <w:r>
        <w:rPr>
          <w:i/>
        </w:rPr>
        <w:t xml:space="preserve"> also</w:t>
      </w:r>
      <w:r w:rsidRPr="00A818E9">
        <w:rPr>
          <w:i/>
        </w:rPr>
        <w:t xml:space="preserve"> </w:t>
      </w:r>
      <w:r w:rsidRPr="00A818E9">
        <w:t>Establishing Rules and Policies for the Use of Spectrum for Mobile Satellite Services in the Upper and Lower L-Band,</w:t>
      </w:r>
      <w:r w:rsidRPr="00A818E9">
        <w:rPr>
          <w:i/>
        </w:rPr>
        <w:t xml:space="preserve"> Report and Order, </w:t>
      </w:r>
      <w:r w:rsidRPr="00A818E9">
        <w:t>IB Docket 96-132, FCC 02-24, 17 FCC Rcd 2704, 2714</w:t>
      </w:r>
      <w:r>
        <w:t>,</w:t>
      </w:r>
      <w:r w:rsidRPr="00A818E9">
        <w:t xml:space="preserve"> ¶</w:t>
      </w:r>
      <w:r>
        <w:t xml:space="preserve"> </w:t>
      </w:r>
      <w:r w:rsidRPr="00A818E9">
        <w:t xml:space="preserve">25 (2002) (citing </w:t>
      </w:r>
      <w:r w:rsidRPr="00A818E9">
        <w:rPr>
          <w:i/>
          <w:iCs/>
        </w:rPr>
        <w:t>Rainbow Broadcasting Co. v. FCC</w:t>
      </w:r>
      <w:r w:rsidRPr="00A818E9">
        <w:t>, 949 F.2d 405 (D.C. Cir. 1991)) (“the Commission is afforded significant latitude when it exercises its Section 316 authority”) (subsequent history omitted).</w:t>
      </w:r>
    </w:p>
  </w:footnote>
  <w:footnote w:id="45">
    <w:p w:rsidR="006C2832" w:rsidRPr="00A818E9" w:rsidP="007D491B">
      <w:pPr>
        <w:pStyle w:val="FootnoteText"/>
      </w:pPr>
      <w:r w:rsidRPr="00A818E9">
        <w:rPr>
          <w:rStyle w:val="FootnoteReference"/>
        </w:rPr>
        <w:footnoteRef/>
      </w:r>
      <w:r w:rsidRPr="00A818E9">
        <w:t xml:space="preserve"> 47 U.S.C. § 151.  </w:t>
      </w:r>
    </w:p>
  </w:footnote>
  <w:footnote w:id="46">
    <w:p w:rsidR="006C2832">
      <w:pPr>
        <w:pStyle w:val="FootnoteText"/>
      </w:pPr>
      <w:r>
        <w:rPr>
          <w:rStyle w:val="FootnoteReference"/>
        </w:rPr>
        <w:footnoteRef/>
      </w:r>
      <w:r>
        <w:t xml:space="preserve"> Call signs </w:t>
      </w:r>
      <w:r w:rsidRPr="006542CE">
        <w:t xml:space="preserve">WQMS406, WQMS407, WQMS408, WQMS409, WQMS410, WQMS412, WQMS413, WQMS417, WQMS418, WQMS421, WQMS422, WQMS423, WQMS424, </w:t>
      </w:r>
      <w:r>
        <w:t xml:space="preserve">and </w:t>
      </w:r>
      <w:r w:rsidRPr="006542CE">
        <w:t>WQMS425</w:t>
      </w:r>
      <w:r>
        <w:t>.</w:t>
      </w:r>
    </w:p>
  </w:footnote>
  <w:footnote w:id="47">
    <w:p w:rsidR="006C2832">
      <w:pPr>
        <w:pStyle w:val="FootnoteText"/>
      </w:pPr>
      <w:r>
        <w:rPr>
          <w:rStyle w:val="FootnoteReference"/>
        </w:rPr>
        <w:footnoteRef/>
      </w:r>
      <w:r>
        <w:t xml:space="preserve"> 47 CFR </w:t>
      </w:r>
      <w:r w:rsidRPr="00A818E9">
        <w:t>§</w:t>
      </w:r>
      <w:r>
        <w:t xml:space="preserve"> 22.567(d).</w:t>
      </w:r>
    </w:p>
  </w:footnote>
  <w:footnote w:id="48">
    <w:p w:rsidR="006C2832" w:rsidRPr="00A818E9" w:rsidP="00FC7414">
      <w:pPr>
        <w:pStyle w:val="FootnoteText"/>
      </w:pPr>
      <w:r w:rsidRPr="00A818E9">
        <w:rPr>
          <w:rStyle w:val="FootnoteReference"/>
        </w:rPr>
        <w:footnoteRef/>
      </w:r>
      <w:r w:rsidRPr="00A818E9">
        <w:t xml:space="preserve"> 47 U.S.C. § 316(a)(1).  </w:t>
      </w:r>
    </w:p>
  </w:footnote>
  <w:footnote w:id="49">
    <w:p w:rsidR="006C2832" w:rsidRPr="00A818E9" w:rsidP="00FC7414">
      <w:pPr>
        <w:pStyle w:val="FootnoteText"/>
      </w:pPr>
      <w:r w:rsidRPr="00A818E9">
        <w:rPr>
          <w:rStyle w:val="FootnoteReference"/>
        </w:rPr>
        <w:footnoteRef/>
      </w:r>
      <w:r w:rsidRPr="00A818E9">
        <w:t xml:space="preserve"> 47 U.S.C. § 316(a)(3).  </w:t>
      </w:r>
    </w:p>
  </w:footnote>
  <w:footnote w:id="50">
    <w:p w:rsidR="006C2832" w:rsidRPr="00A818E9" w:rsidP="00FC7414">
      <w:pPr>
        <w:pStyle w:val="FootnoteText"/>
      </w:pPr>
      <w:r w:rsidRPr="00A818E9">
        <w:rPr>
          <w:rStyle w:val="FootnoteReference"/>
        </w:rPr>
        <w:footnoteRef/>
      </w:r>
      <w:r w:rsidRPr="00A818E9">
        <w:t xml:space="preserve"> 47 U.S.C. § 309(d).  </w:t>
      </w:r>
      <w:r w:rsidRPr="00A818E9">
        <w:rPr>
          <w:i/>
        </w:rPr>
        <w:t>See also</w:t>
      </w:r>
      <w:r w:rsidRPr="00A818E9">
        <w:t xml:space="preserve"> 47 CFR § 1.939 (petitions to deny).</w:t>
      </w:r>
    </w:p>
  </w:footnote>
  <w:footnote w:id="51">
    <w:p w:rsidR="006C2832">
      <w:pPr>
        <w:pStyle w:val="FootnoteText"/>
      </w:pPr>
      <w:r>
        <w:rPr>
          <w:rStyle w:val="FootnoteReference"/>
        </w:rPr>
        <w:footnoteRef/>
      </w:r>
      <w:r>
        <w:t xml:space="preserve"> The technical information used was provided in Wisconsin’s Petition for Reconsideration</w:t>
      </w:r>
      <w:r w:rsidRPr="00FA6CCD">
        <w:t xml:space="preserve">, filed with each license on </w:t>
      </w:r>
      <w:r>
        <w:t xml:space="preserve">January 8, </w:t>
      </w:r>
      <w:r w:rsidRPr="00FA6CCD">
        <w:t>2016</w:t>
      </w:r>
      <w:r>
        <w:t xml:space="preserve">, </w:t>
      </w:r>
      <w:r w:rsidRPr="00FA6CCD">
        <w:t xml:space="preserve">and alternative showings provided via email to </w:t>
      </w:r>
      <w:r>
        <w:t>Commission</w:t>
      </w:r>
      <w:r w:rsidRPr="00FA6CCD">
        <w:t xml:space="preserve"> staff on </w:t>
      </w:r>
      <w:r>
        <w:t>July 16, 2</w:t>
      </w:r>
      <w:r w:rsidRPr="00660A19">
        <w:t>018</w:t>
      </w:r>
      <w:r w:rsidRPr="00FA6CCD">
        <w:t>.</w:t>
      </w:r>
    </w:p>
  </w:footnote>
  <w:footnote w:id="52">
    <w:p w:rsidR="006C2832" w:rsidP="003E4680">
      <w:pPr>
        <w:pStyle w:val="FootnoteText"/>
      </w:pPr>
      <w:r>
        <w:rPr>
          <w:rStyle w:val="FootnoteReference"/>
        </w:rPr>
        <w:footnoteRef/>
      </w:r>
      <w:r>
        <w:t xml:space="preserve"> Latitude/Longitude coordinates, elevation and HAAT information were updated by Commission staff after technical review of information provided by State of Wisconsin.    </w:t>
      </w:r>
    </w:p>
  </w:footnote>
  <w:footnote w:id="53">
    <w:p w:rsidR="006C2832" w:rsidP="003E4680">
      <w:pPr>
        <w:pStyle w:val="FootnoteText"/>
      </w:pPr>
      <w:r>
        <w:rPr>
          <w:rStyle w:val="FootnoteReference"/>
        </w:rPr>
        <w:footnoteRef/>
      </w:r>
      <w:r>
        <w:t xml:space="preserve"> </w:t>
      </w:r>
      <w:r w:rsidRPr="00660A19">
        <w:t>The output power</w:t>
      </w:r>
      <w:r>
        <w:t xml:space="preserve"> and HAAT data provided by Wisconsin</w:t>
      </w:r>
      <w:r w:rsidRPr="00660A19">
        <w:t xml:space="preserve"> were averaged values; the individual radial power and HAAT values were derived using </w:t>
      </w:r>
      <w:r w:rsidRPr="00812A61">
        <w:t>these averaged values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141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C2832" w:rsidRPr="001B14EA">
    <w:pPr>
      <w:pStyle w:val="Header"/>
      <w:rPr>
        <w:spacing w:val="-2"/>
      </w:rPr>
    </w:pPr>
    <w:r>
      <w:tab/>
      <w:t>Federal Co</w:t>
    </w:r>
    <w:r w:rsidR="00214194">
      <w:t>mmunications Commission</w:t>
    </w:r>
    <w:r w:rsidR="00214194">
      <w:tab/>
      <w:t>DA 18-1139</w:t>
    </w:r>
  </w:p>
  <w:p w:rsidR="006C2832">
    <w:pPr>
      <w:tabs>
        <w:tab w:val="left" w:pos="-720"/>
      </w:tabs>
      <w:suppressAutoHyphens/>
      <w:spacing w:line="19" w:lineRule="exact"/>
      <w:rPr>
        <w:spacing w:val="-2"/>
      </w:rPr>
    </w:pPr>
  </w:p>
  <w:p w:rsidR="006C2832">
    <w:pPr>
      <w:spacing w:after="389" w:line="100" w:lineRule="exact"/>
      <w:rPr>
        <w:sz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C2832">
    <w:pPr>
      <w:pStyle w:val="Header"/>
    </w:pPr>
    <w:r>
      <w:tab/>
      <w:t>Federal Communications Commission</w:t>
    </w:r>
    <w:r>
      <w:tab/>
    </w:r>
    <w:r>
      <w:rPr>
        <w:spacing w:val="-2"/>
      </w:rPr>
      <w:t>DA 18-</w:t>
    </w:r>
    <w:r w:rsidR="009D7B60">
      <w:t>1139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7497D73"/>
    <w:multiLevelType w:val="hybridMultilevel"/>
    <w:tmpl w:val="DCC86654"/>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
    <w:nsid w:val="23F40A0F"/>
    <w:multiLevelType w:val="singleLevel"/>
    <w:tmpl w:val="3244DD0A"/>
    <w:lvl w:ilvl="0">
      <w:start w:val="1"/>
      <w:numFmt w:val="bullet"/>
      <w:pStyle w:val="Bullet"/>
      <w:lvlText w:val=""/>
      <w:lvlJc w:val="left"/>
      <w:pPr>
        <w:tabs>
          <w:tab w:val="num" w:pos="360"/>
        </w:tabs>
        <w:ind w:left="360" w:hanging="360"/>
      </w:pPr>
      <w:rPr>
        <w:rFonts w:ascii="Symbol" w:hAnsi="Symbol" w:hint="default"/>
      </w:rPr>
    </w:lvl>
  </w:abstractNum>
  <w:abstractNum w:abstractNumId="2">
    <w:nsid w:val="27E06CBB"/>
    <w:multiLevelType w:val="multilevel"/>
    <w:tmpl w:val="E9DA15C0"/>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
    <w:nsid w:val="4ABB3C47"/>
    <w:multiLevelType w:val="hybridMultilevel"/>
    <w:tmpl w:val="BCE4EB3C"/>
    <w:lvl w:ilvl="0">
      <w:start w:val="1"/>
      <w:numFmt w:val="decimal"/>
      <w:lvlText w:val="%1."/>
      <w:lvlJc w:val="left"/>
      <w:pPr>
        <w:ind w:left="1170" w:hanging="360"/>
      </w:pPr>
      <w:rPr>
        <w:rFonts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
    <w:nsid w:val="61182925"/>
    <w:multiLevelType w:val="singleLevel"/>
    <w:tmpl w:val="A9EE9842"/>
    <w:lvl w:ilvl="0">
      <w:start w:val="1"/>
      <w:numFmt w:val="decimal"/>
      <w:lvlText w:val="%1."/>
      <w:lvlJc w:val="left"/>
      <w:pPr>
        <w:tabs>
          <w:tab w:val="num" w:pos="1080"/>
        </w:tabs>
        <w:ind w:left="0" w:firstLine="720"/>
      </w:pPr>
    </w:lvl>
  </w:abstractNum>
  <w:num w:numId="1">
    <w:abstractNumId w:val="1"/>
  </w:num>
  <w:num w:numId="2">
    <w:abstractNumId w:val="2"/>
  </w:num>
  <w:num w:numId="3">
    <w:abstractNumId w:val="3"/>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bordersDoNotSurroundHeader/>
  <w:bordersDoNotSurroundFooter/>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Formatting/>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endnote reference" w:uiPriority="99"/>
    <w:lsdException w:name="endnote text" w:uiPriority="99"/>
    <w:lsdException w:name="Title" w:qFormat="1"/>
    <w:lsdException w:name="Subtitle" w:qFormat="1"/>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snapToGrid w:val="0"/>
      <w:kern w:val="28"/>
      <w:sz w:val="22"/>
    </w:rPr>
  </w:style>
  <w:style w:type="paragraph" w:styleId="Heading1">
    <w:name w:val="heading 1"/>
    <w:basedOn w:val="Normal"/>
    <w:next w:val="ParaNum"/>
    <w:qFormat/>
    <w:pPr>
      <w:keepNext/>
      <w:numPr>
        <w:numId w:val="2"/>
      </w:numPr>
      <w:suppressAutoHyphens/>
      <w:spacing w:after="120"/>
      <w:outlineLvl w:val="0"/>
    </w:pPr>
    <w:rPr>
      <w:rFonts w:ascii="Times New Roman Bold" w:hAnsi="Times New Roman Bold"/>
      <w:b/>
      <w:caps/>
    </w:rPr>
  </w:style>
  <w:style w:type="paragraph" w:styleId="Heading2">
    <w:name w:val="heading 2"/>
    <w:basedOn w:val="Normal"/>
    <w:next w:val="ParaNum"/>
    <w:autoRedefine/>
    <w:qFormat/>
    <w:rsid w:val="00417F2F"/>
    <w:pPr>
      <w:keepNext/>
      <w:numPr>
        <w:ilvl w:val="1"/>
        <w:numId w:val="2"/>
      </w:numPr>
      <w:spacing w:after="120"/>
      <w:outlineLvl w:val="1"/>
    </w:pPr>
    <w:rPr>
      <w:b/>
    </w:rPr>
  </w:style>
  <w:style w:type="paragraph" w:styleId="Heading3">
    <w:name w:val="heading 3"/>
    <w:basedOn w:val="Normal"/>
    <w:next w:val="ParaNum"/>
    <w:qFormat/>
    <w:pPr>
      <w:keepNext/>
      <w:numPr>
        <w:ilvl w:val="2"/>
        <w:numId w:val="2"/>
      </w:numPr>
      <w:tabs>
        <w:tab w:val="left" w:pos="2160"/>
      </w:tabs>
      <w:spacing w:after="120"/>
      <w:outlineLvl w:val="2"/>
    </w:pPr>
    <w:rPr>
      <w:b/>
    </w:rPr>
  </w:style>
  <w:style w:type="paragraph" w:styleId="Heading4">
    <w:name w:val="heading 4"/>
    <w:basedOn w:val="Normal"/>
    <w:next w:val="ParaNum"/>
    <w:qFormat/>
    <w:pPr>
      <w:keepNext/>
      <w:numPr>
        <w:ilvl w:val="3"/>
        <w:numId w:val="2"/>
      </w:numPr>
      <w:tabs>
        <w:tab w:val="left" w:pos="2880"/>
      </w:tabs>
      <w:spacing w:after="120"/>
      <w:outlineLvl w:val="3"/>
    </w:pPr>
    <w:rPr>
      <w:b/>
    </w:rPr>
  </w:style>
  <w:style w:type="paragraph" w:styleId="Heading5">
    <w:name w:val="heading 5"/>
    <w:basedOn w:val="Normal"/>
    <w:next w:val="ParaNum"/>
    <w:qFormat/>
    <w:pPr>
      <w:keepNext/>
      <w:numPr>
        <w:ilvl w:val="4"/>
        <w:numId w:val="2"/>
      </w:numPr>
      <w:tabs>
        <w:tab w:val="left" w:pos="3600"/>
      </w:tabs>
      <w:suppressAutoHyphens/>
      <w:spacing w:after="120"/>
      <w:outlineLvl w:val="4"/>
    </w:pPr>
    <w:rPr>
      <w:b/>
    </w:rPr>
  </w:style>
  <w:style w:type="paragraph" w:styleId="Heading6">
    <w:name w:val="heading 6"/>
    <w:basedOn w:val="Normal"/>
    <w:next w:val="ParaNum"/>
    <w:qFormat/>
    <w:pPr>
      <w:numPr>
        <w:ilvl w:val="5"/>
        <w:numId w:val="2"/>
      </w:numPr>
      <w:tabs>
        <w:tab w:val="left" w:pos="4320"/>
      </w:tabs>
      <w:spacing w:after="120"/>
      <w:outlineLvl w:val="5"/>
    </w:pPr>
    <w:rPr>
      <w:b/>
    </w:rPr>
  </w:style>
  <w:style w:type="paragraph" w:styleId="Heading7">
    <w:name w:val="heading 7"/>
    <w:basedOn w:val="Normal"/>
    <w:next w:val="ParaNum"/>
    <w:qFormat/>
    <w:pPr>
      <w:numPr>
        <w:ilvl w:val="6"/>
        <w:numId w:val="2"/>
      </w:numPr>
      <w:tabs>
        <w:tab w:val="left" w:pos="5040"/>
      </w:tabs>
      <w:spacing w:after="120"/>
      <w:ind w:left="5040" w:hanging="720"/>
      <w:outlineLvl w:val="6"/>
    </w:pPr>
    <w:rPr>
      <w:b/>
    </w:rPr>
  </w:style>
  <w:style w:type="paragraph" w:styleId="Heading8">
    <w:name w:val="heading 8"/>
    <w:basedOn w:val="Normal"/>
    <w:next w:val="ParaNum"/>
    <w:qFormat/>
    <w:pPr>
      <w:numPr>
        <w:ilvl w:val="7"/>
        <w:numId w:val="2"/>
      </w:numPr>
      <w:tabs>
        <w:tab w:val="clear" w:pos="5400"/>
        <w:tab w:val="left" w:pos="5760"/>
      </w:tabs>
      <w:spacing w:after="120"/>
      <w:ind w:left="5760" w:hanging="720"/>
      <w:outlineLvl w:val="7"/>
    </w:pPr>
    <w:rPr>
      <w:b/>
    </w:rPr>
  </w:style>
  <w:style w:type="paragraph" w:styleId="Heading9">
    <w:name w:val="heading 9"/>
    <w:basedOn w:val="Normal"/>
    <w:next w:val="ParaNum"/>
    <w:qFormat/>
    <w:pPr>
      <w:numPr>
        <w:ilvl w:val="8"/>
        <w:numId w:val="2"/>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autoRedefine/>
    <w:rsid w:val="003651E8"/>
    <w:pPr>
      <w:widowControl/>
      <w:spacing w:after="120"/>
    </w:pPr>
    <w:rPr>
      <w:color w:val="000000"/>
      <w:szCs w:val="22"/>
    </w:rPr>
  </w:style>
  <w:style w:type="paragraph" w:styleId="EndnoteText">
    <w:name w:val="endnote text"/>
    <w:basedOn w:val="Normal"/>
    <w:link w:val="EndnoteTextChar"/>
    <w:uiPriority w:val="99"/>
    <w:semiHidden/>
    <w:rPr>
      <w:sz w:val="20"/>
    </w:rPr>
  </w:style>
  <w:style w:type="character" w:styleId="EndnoteReference">
    <w:name w:val="endnote reference"/>
    <w:uiPriority w:val="99"/>
    <w:semiHidden/>
    <w:rPr>
      <w:vertAlign w:val="superscript"/>
    </w:rPr>
  </w:style>
  <w:style w:type="paragraph" w:styleId="FootnoteText">
    <w:name w:val="footnote text"/>
    <w:aliases w:val="ALTS FOOTNOTE,Footnote Text Char,Footnote Text Char Char1 Char Char Char,Footnote Text Char1 Char1,Footnote Text Char2,Footnote Text Char2 Char Char Char1,Footnote Text Char2 Char Char1 Char Char Char,Footnote Text Char3 Char Char1,f,fn,ft"/>
    <w:link w:val="FootnoteTextChar1"/>
    <w:uiPriority w:val="99"/>
    <w:pPr>
      <w:spacing w:after="120"/>
    </w:pPr>
  </w:style>
  <w:style w:type="character" w:styleId="FootnoteReference">
    <w:name w:val="footnote reference"/>
    <w:aliases w:val="(NECG) Footnote Reference,Appel note de bas de p,FR,Footnote Reference/,Style 12,Style 124,Style 13,Style 17,Style 3,Style 4,Style 6,fr,o"/>
    <w:uiPriority w:val="99"/>
    <w:rPr>
      <w:rFonts w:ascii="Times New Roman" w:hAnsi="Times New Roman"/>
      <w:dstrike w:val="0"/>
      <w:color w:val="auto"/>
      <w:sz w:val="22"/>
      <w:vertAlign w:val="superscript"/>
    </w:rPr>
  </w:style>
  <w:style w:type="paragraph" w:styleId="TOC1">
    <w:name w:val="toc 1"/>
    <w:basedOn w:val="Normal"/>
    <w:next w:val="Normal"/>
    <w:semiHidden/>
    <w:pPr>
      <w:tabs>
        <w:tab w:val="left" w:pos="360"/>
        <w:tab w:val="right" w:leader="dot" w:pos="9360"/>
      </w:tabs>
      <w:suppressAutoHyphens/>
      <w:ind w:left="360" w:right="720" w:hanging="360"/>
    </w:pPr>
    <w:rPr>
      <w:caps/>
      <w:noProof/>
    </w:rPr>
  </w:style>
  <w:style w:type="paragraph" w:styleId="TOC2">
    <w:name w:val="toc 2"/>
    <w:basedOn w:val="Normal"/>
    <w:next w:val="Normal"/>
    <w:semiHidden/>
    <w:pPr>
      <w:tabs>
        <w:tab w:val="left" w:pos="720"/>
        <w:tab w:val="right" w:leader="dot" w:pos="9360"/>
      </w:tabs>
      <w:suppressAutoHyphens/>
      <w:ind w:left="720" w:right="720" w:hanging="360"/>
    </w:pPr>
    <w:rPr>
      <w:noProof/>
    </w:rPr>
  </w:style>
  <w:style w:type="paragraph" w:styleId="TOC3">
    <w:name w:val="toc 3"/>
    <w:basedOn w:val="Normal"/>
    <w:next w:val="Normal"/>
    <w:semiHidden/>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pPr>
      <w:tabs>
        <w:tab w:val="left" w:pos="2160"/>
        <w:tab w:val="right" w:leader="dot" w:pos="9360"/>
      </w:tabs>
      <w:suppressAutoHyphens/>
      <w:ind w:left="2160" w:hanging="360"/>
    </w:pPr>
    <w:rPr>
      <w:noProof/>
    </w:rPr>
  </w:style>
  <w:style w:type="paragraph" w:styleId="TOC7">
    <w:name w:val="toc 7"/>
    <w:basedOn w:val="Normal"/>
    <w:next w:val="Normal"/>
    <w:autoRedefine/>
    <w:semiHidden/>
    <w:pPr>
      <w:tabs>
        <w:tab w:val="left" w:pos="2520"/>
        <w:tab w:val="right" w:leader="dot" w:pos="9360"/>
      </w:tabs>
      <w:suppressAutoHyphens/>
      <w:ind w:left="2520" w:hanging="360"/>
    </w:pPr>
    <w:rPr>
      <w:noProof/>
    </w:rPr>
  </w:style>
  <w:style w:type="paragraph" w:styleId="TOC8">
    <w:name w:val="toc 8"/>
    <w:basedOn w:val="Normal"/>
    <w:next w:val="Normal"/>
    <w:autoRedefine/>
    <w:semiHidden/>
    <w:pPr>
      <w:tabs>
        <w:tab w:val="left" w:pos="2880"/>
        <w:tab w:val="right" w:leader="dot" w:pos="9360"/>
      </w:tabs>
      <w:suppressAutoHyphens/>
      <w:ind w:left="2880" w:hanging="360"/>
    </w:pPr>
    <w:rPr>
      <w:noProof/>
    </w:rPr>
  </w:style>
  <w:style w:type="paragraph" w:styleId="TOC9">
    <w:name w:val="toc 9"/>
    <w:basedOn w:val="Normal"/>
    <w:next w:val="Normal"/>
    <w:autoRedefine/>
    <w:semiHidden/>
    <w:pPr>
      <w:tabs>
        <w:tab w:val="left" w:pos="3240"/>
        <w:tab w:val="right" w:leader="dot" w:pos="9360"/>
      </w:tabs>
      <w:suppressAutoHyphens/>
      <w:ind w:left="3240" w:hanging="360"/>
    </w:pPr>
    <w:rPr>
      <w:noProof/>
    </w:rPr>
  </w:style>
  <w:style w:type="paragraph" w:styleId="TOAHeading">
    <w:name w:val="toa heading"/>
    <w:basedOn w:val="Normal"/>
    <w:next w:val="Normal"/>
    <w:semiHidden/>
    <w:pPr>
      <w:tabs>
        <w:tab w:val="right" w:pos="9360"/>
      </w:tabs>
      <w:suppressAutoHyphens/>
    </w:pPr>
  </w:style>
  <w:style w:type="character" w:customStyle="1" w:styleId="EquationCaption">
    <w:name w:val="_Equation Caption"/>
  </w:style>
  <w:style w:type="paragraph" w:styleId="Header">
    <w:name w:val="header"/>
    <w:basedOn w:val="Normal"/>
    <w:autoRedefine/>
    <w:pPr>
      <w:pBdr>
        <w:bottom w:val="single" w:sz="12" w:space="1" w:color="auto"/>
      </w:pBdr>
      <w:tabs>
        <w:tab w:val="center" w:pos="4680"/>
        <w:tab w:val="right" w:pos="9360"/>
      </w:tabs>
      <w:jc w:val="right"/>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240"/>
      <w:ind w:left="1440" w:right="1440"/>
    </w:pPr>
  </w:style>
  <w:style w:type="paragraph" w:customStyle="1" w:styleId="Paratitle">
    <w:name w:val="Para title"/>
    <w:basedOn w:val="Normal"/>
    <w:pPr>
      <w:tabs>
        <w:tab w:val="center" w:pos="9270"/>
      </w:tabs>
      <w:spacing w:after="240"/>
    </w:pPr>
    <w:rPr>
      <w:spacing w:val="-2"/>
    </w:rPr>
  </w:style>
  <w:style w:type="paragraph" w:customStyle="1" w:styleId="Bullet">
    <w:name w:val="Bullet"/>
    <w:basedOn w:val="Normal"/>
    <w:pPr>
      <w:numPr>
        <w:numId w:val="1"/>
      </w:numPr>
      <w:tabs>
        <w:tab w:val="clear" w:pos="360"/>
        <w:tab w:val="left" w:pos="2160"/>
      </w:tabs>
      <w:spacing w:after="220"/>
      <w:ind w:left="2160" w:hanging="720"/>
    </w:pPr>
  </w:style>
  <w:style w:type="paragraph" w:customStyle="1" w:styleId="TableFormat">
    <w:name w:val="TableFormat"/>
    <w:basedOn w:val="Bullet"/>
    <w:pPr>
      <w:numPr>
        <w:numId w:val="0"/>
      </w:numPr>
      <w:tabs>
        <w:tab w:val="clear" w:pos="2160"/>
        <w:tab w:val="left" w:pos="5040"/>
      </w:tabs>
      <w:ind w:left="5040" w:hanging="3600"/>
    </w:pPr>
  </w:style>
  <w:style w:type="paragraph" w:customStyle="1" w:styleId="TOCTitle">
    <w:name w:val="TOC Title"/>
    <w:basedOn w:val="Normal"/>
    <w:pPr>
      <w:spacing w:before="240" w:after="240"/>
      <w:jc w:val="center"/>
    </w:pPr>
    <w:rPr>
      <w:rFonts w:ascii="Times New Roman Bold" w:hAnsi="Times New Roman Bold"/>
      <w:b/>
      <w:caps/>
      <w:spacing w:val="-2"/>
    </w:rPr>
  </w:style>
  <w:style w:type="paragraph" w:customStyle="1" w:styleId="StyleBoldCentered">
    <w:name w:val="Style Bold Centered"/>
    <w:basedOn w:val="Normal"/>
    <w:pPr>
      <w:jc w:val="center"/>
    </w:pPr>
    <w:rPr>
      <w:rFonts w:ascii="Times New Roman Bold" w:hAnsi="Times New Roman Bold"/>
      <w:b/>
      <w:bCs/>
      <w:caps/>
      <w:szCs w:val="22"/>
    </w:rPr>
  </w:style>
  <w:style w:type="character" w:styleId="Hyperlink">
    <w:name w:val="Hyperlink"/>
    <w:rPr>
      <w:color w:val="0000FF"/>
      <w:u w:val="single"/>
    </w:rPr>
  </w:style>
  <w:style w:type="character" w:customStyle="1" w:styleId="documentbody1">
    <w:name w:val="documentbody1"/>
    <w:rPr>
      <w:rFonts w:ascii="Verdana" w:hAnsi="Verdana" w:hint="default"/>
      <w:sz w:val="19"/>
      <w:szCs w:val="19"/>
    </w:rPr>
  </w:style>
  <w:style w:type="character" w:customStyle="1" w:styleId="FootnoteTextChar1">
    <w:name w:val="Footnote Text Char1"/>
    <w:aliases w:val="ALTS FOOTNOTE Char,Footnote Text Char Char,Footnote Text Char Char1 Char Char Char Char,Footnote Text Char1 Char1 Char,Footnote Text Char2 Char,Footnote Text Char2 Char Char Char1 Char,Footnote Text Char3 Char Char1 Char,fn Char"/>
    <w:link w:val="FootnoteText"/>
    <w:rPr>
      <w:lang w:val="en-US" w:eastAsia="en-US" w:bidi="ar-SA"/>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Normal"/>
    <w:qFormat/>
    <w:rsid w:val="00BE06B5"/>
    <w:rPr>
      <w:b/>
      <w:bCs/>
      <w:sz w:val="20"/>
    </w:rPr>
  </w:style>
  <w:style w:type="character" w:styleId="FollowedHyperlink">
    <w:name w:val="FollowedHyperlink"/>
    <w:rsid w:val="008B611A"/>
    <w:rPr>
      <w:color w:val="800080"/>
      <w:u w:val="single"/>
    </w:rPr>
  </w:style>
  <w:style w:type="character" w:styleId="CommentReference">
    <w:name w:val="annotation reference"/>
    <w:semiHidden/>
    <w:rsid w:val="00DB5F38"/>
    <w:rPr>
      <w:sz w:val="16"/>
      <w:szCs w:val="16"/>
    </w:rPr>
  </w:style>
  <w:style w:type="paragraph" w:styleId="CommentText">
    <w:name w:val="annotation text"/>
    <w:basedOn w:val="Normal"/>
    <w:semiHidden/>
    <w:rsid w:val="00DB5F38"/>
    <w:rPr>
      <w:sz w:val="20"/>
    </w:rPr>
  </w:style>
  <w:style w:type="paragraph" w:styleId="CommentSubject">
    <w:name w:val="annotation subject"/>
    <w:basedOn w:val="CommentText"/>
    <w:next w:val="CommentText"/>
    <w:semiHidden/>
    <w:rsid w:val="00DB5F38"/>
    <w:rPr>
      <w:b/>
      <w:bCs/>
    </w:rPr>
  </w:style>
  <w:style w:type="table" w:styleId="TableGrid">
    <w:name w:val="Table Grid"/>
    <w:basedOn w:val="TableNormal"/>
    <w:uiPriority w:val="39"/>
    <w:rsid w:val="007C2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074C"/>
    <w:pPr>
      <w:widowControl/>
      <w:spacing w:after="160" w:line="259" w:lineRule="auto"/>
      <w:ind w:left="720" w:hanging="360"/>
      <w:contextualSpacing/>
    </w:pPr>
    <w:rPr>
      <w:rFonts w:ascii="Calibri" w:eastAsia="Calibri" w:hAnsi="Calibri"/>
      <w:snapToGrid/>
      <w:kern w:val="0"/>
      <w:szCs w:val="22"/>
    </w:rPr>
  </w:style>
  <w:style w:type="character" w:customStyle="1" w:styleId="UnresolvedMention">
    <w:name w:val="Unresolved Mention"/>
    <w:uiPriority w:val="99"/>
    <w:semiHidden/>
    <w:unhideWhenUsed/>
    <w:rsid w:val="001D4260"/>
    <w:rPr>
      <w:color w:val="808080"/>
      <w:shd w:val="clear" w:color="auto" w:fill="E6E6E6"/>
    </w:rPr>
  </w:style>
  <w:style w:type="paragraph" w:styleId="Revision">
    <w:name w:val="Revision"/>
    <w:hidden/>
    <w:uiPriority w:val="99"/>
    <w:semiHidden/>
    <w:rsid w:val="00B819CD"/>
    <w:rPr>
      <w:snapToGrid w:val="0"/>
      <w:kern w:val="28"/>
      <w:sz w:val="22"/>
    </w:rPr>
  </w:style>
  <w:style w:type="character" w:customStyle="1" w:styleId="apple-converted-space">
    <w:name w:val="apple-converted-space"/>
    <w:rsid w:val="00AB3EF0"/>
  </w:style>
  <w:style w:type="character" w:styleId="Emphasis">
    <w:name w:val="Emphasis"/>
    <w:uiPriority w:val="20"/>
    <w:qFormat/>
    <w:rsid w:val="00AB3EF0"/>
    <w:rPr>
      <w:i/>
      <w:iCs/>
    </w:rPr>
  </w:style>
  <w:style w:type="paragraph" w:customStyle="1" w:styleId="Default">
    <w:name w:val="Default"/>
    <w:rsid w:val="00E0202B"/>
    <w:pPr>
      <w:autoSpaceDE w:val="0"/>
      <w:autoSpaceDN w:val="0"/>
      <w:adjustRightInd w:val="0"/>
    </w:pPr>
    <w:rPr>
      <w:rFonts w:ascii="Arial" w:hAnsi="Arial" w:cs="Arial"/>
      <w:color w:val="000000"/>
      <w:sz w:val="24"/>
      <w:szCs w:val="24"/>
    </w:rPr>
  </w:style>
  <w:style w:type="character" w:customStyle="1" w:styleId="BalloonTextChar">
    <w:name w:val="Balloon Text Char"/>
    <w:basedOn w:val="DefaultParagraphFont"/>
    <w:link w:val="BalloonText"/>
    <w:uiPriority w:val="99"/>
    <w:semiHidden/>
    <w:rsid w:val="003E4680"/>
    <w:rPr>
      <w:rFonts w:ascii="Tahoma" w:hAnsi="Tahoma" w:cs="Tahoma"/>
      <w:snapToGrid w:val="0"/>
      <w:kern w:val="28"/>
      <w:sz w:val="16"/>
      <w:szCs w:val="16"/>
    </w:rPr>
  </w:style>
  <w:style w:type="character" w:customStyle="1" w:styleId="EndnoteTextChar">
    <w:name w:val="Endnote Text Char"/>
    <w:basedOn w:val="DefaultParagraphFont"/>
    <w:link w:val="EndnoteText"/>
    <w:uiPriority w:val="99"/>
    <w:semiHidden/>
    <w:rsid w:val="003E4680"/>
    <w:rPr>
      <w:snapToGrid w:val="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oleObject" Target="embeddings/oleObject3.bin" /><Relationship Id="rId11" Type="http://schemas.openxmlformats.org/officeDocument/2006/relationships/image" Target="media/image4.emf" /><Relationship Id="rId12" Type="http://schemas.openxmlformats.org/officeDocument/2006/relationships/oleObject" Target="embeddings/oleObject4.bin" /><Relationship Id="rId13" Type="http://schemas.openxmlformats.org/officeDocument/2006/relationships/image" Target="media/image5.emf" /><Relationship Id="rId14" Type="http://schemas.openxmlformats.org/officeDocument/2006/relationships/oleObject" Target="embeddings/oleObject5.bin" /><Relationship Id="rId15" Type="http://schemas.openxmlformats.org/officeDocument/2006/relationships/image" Target="media/image6.emf" /><Relationship Id="rId16" Type="http://schemas.openxmlformats.org/officeDocument/2006/relationships/oleObject" Target="embeddings/oleObject6.bin" /><Relationship Id="rId17" Type="http://schemas.openxmlformats.org/officeDocument/2006/relationships/image" Target="media/image7.emf" /><Relationship Id="rId18" Type="http://schemas.openxmlformats.org/officeDocument/2006/relationships/oleObject" Target="embeddings/oleObject7.bin" /><Relationship Id="rId19" Type="http://schemas.openxmlformats.org/officeDocument/2006/relationships/image" Target="media/image8.emf" /><Relationship Id="rId2" Type="http://schemas.openxmlformats.org/officeDocument/2006/relationships/settings" Target="settings.xml" /><Relationship Id="rId20" Type="http://schemas.openxmlformats.org/officeDocument/2006/relationships/oleObject" Target="embeddings/oleObject8.bin" /><Relationship Id="rId21" Type="http://schemas.openxmlformats.org/officeDocument/2006/relationships/image" Target="media/image9.emf" /><Relationship Id="rId22" Type="http://schemas.openxmlformats.org/officeDocument/2006/relationships/oleObject" Target="embeddings/oleObject9.bin" /><Relationship Id="rId23" Type="http://schemas.openxmlformats.org/officeDocument/2006/relationships/image" Target="media/image10.emf" /><Relationship Id="rId24" Type="http://schemas.openxmlformats.org/officeDocument/2006/relationships/oleObject" Target="embeddings/oleObject10.bin" /><Relationship Id="rId25" Type="http://schemas.openxmlformats.org/officeDocument/2006/relationships/image" Target="media/image11.emf" /><Relationship Id="rId26" Type="http://schemas.openxmlformats.org/officeDocument/2006/relationships/oleObject" Target="embeddings/oleObject11.bin" /><Relationship Id="rId27" Type="http://schemas.openxmlformats.org/officeDocument/2006/relationships/image" Target="media/image12.emf" /><Relationship Id="rId28" Type="http://schemas.openxmlformats.org/officeDocument/2006/relationships/oleObject" Target="embeddings/oleObject12.bin" /><Relationship Id="rId29" Type="http://schemas.openxmlformats.org/officeDocument/2006/relationships/image" Target="media/image13.emf" /><Relationship Id="rId3" Type="http://schemas.openxmlformats.org/officeDocument/2006/relationships/webSettings" Target="webSettings.xml" /><Relationship Id="rId30" Type="http://schemas.openxmlformats.org/officeDocument/2006/relationships/oleObject" Target="embeddings/oleObject13.bin" /><Relationship Id="rId31" Type="http://schemas.openxmlformats.org/officeDocument/2006/relationships/image" Target="media/image14.emf" /><Relationship Id="rId32" Type="http://schemas.openxmlformats.org/officeDocument/2006/relationships/oleObject" Target="embeddings/oleObject14.bin" /><Relationship Id="rId33" Type="http://schemas.openxmlformats.org/officeDocument/2006/relationships/header" Target="header1.xml" /><Relationship Id="rId34" Type="http://schemas.openxmlformats.org/officeDocument/2006/relationships/header" Target="header2.xml" /><Relationship Id="rId35" Type="http://schemas.openxmlformats.org/officeDocument/2006/relationships/footer" Target="footer1.xml" /><Relationship Id="rId36" Type="http://schemas.openxmlformats.org/officeDocument/2006/relationships/footer" Target="footer2.xml" /><Relationship Id="rId37" Type="http://schemas.openxmlformats.org/officeDocument/2006/relationships/header" Target="header3.xml" /><Relationship Id="rId38" Type="http://schemas.openxmlformats.org/officeDocument/2006/relationships/footer" Target="footer3.xml" /><Relationship Id="rId39" Type="http://schemas.openxmlformats.org/officeDocument/2006/relationships/theme" Target="theme/theme1.xml" /><Relationship Id="rId4" Type="http://schemas.openxmlformats.org/officeDocument/2006/relationships/fontTable" Target="fontTable.xml"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image" Target="media/image1.emf" /><Relationship Id="rId6" Type="http://schemas.openxmlformats.org/officeDocument/2006/relationships/oleObject" Target="embeddings/oleObject1.bin" /><Relationship Id="rId7" Type="http://schemas.openxmlformats.org/officeDocument/2006/relationships/image" Target="media/image2.emf" /><Relationship Id="rId8" Type="http://schemas.openxmlformats.org/officeDocument/2006/relationships/oleObject" Target="embeddings/oleObject2.bin" /><Relationship Id="rId9" Type="http://schemas.openxmlformats.org/officeDocument/2006/relationships/image" Target="media/image3.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