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rsidSect="002B6478">
          <w:footerReference w:type="default" r:id="rId5"/>
          <w:headerReference w:type="first" r:id="rId6"/>
          <w:pgSz w:w="12240" w:h="15840" w:code="1"/>
          <w:pgMar w:top="1440" w:right="1440" w:bottom="720" w:left="1440" w:header="720" w:footer="720" w:gutter="0"/>
          <w:cols w:space="720"/>
          <w:titlePg/>
        </w:sectPr>
      </w:pPr>
      <w:r>
        <w:t>T-MOBILE</w:t>
      </w:r>
    </w:p>
    <w:p w:rsidR="00602577" w:rsidRPr="007665F9">
      <w:pPr>
        <w:jc w:val="right"/>
        <w:rPr>
          <w:b/>
          <w:szCs w:val="22"/>
        </w:rPr>
      </w:pPr>
      <w:r>
        <w:rPr>
          <w:b/>
          <w:szCs w:val="22"/>
        </w:rPr>
        <w:t>DA 1</w:t>
      </w:r>
      <w:r w:rsidR="00AC13FB">
        <w:rPr>
          <w:b/>
          <w:szCs w:val="22"/>
        </w:rPr>
        <w:t>8</w:t>
      </w:r>
      <w:r w:rsidRPr="007665F9" w:rsidR="007665F9">
        <w:rPr>
          <w:b/>
          <w:szCs w:val="22"/>
        </w:rPr>
        <w:t>-</w:t>
      </w:r>
      <w:r w:rsidR="00484130">
        <w:rPr>
          <w:b/>
          <w:szCs w:val="22"/>
        </w:rPr>
        <w:t>1155</w:t>
      </w:r>
    </w:p>
    <w:p w:rsidR="00602577" w:rsidRPr="007665F9">
      <w:pPr>
        <w:spacing w:before="60"/>
        <w:jc w:val="right"/>
        <w:rPr>
          <w:b/>
          <w:szCs w:val="22"/>
        </w:rPr>
      </w:pPr>
      <w:r w:rsidRPr="007665F9">
        <w:rPr>
          <w:b/>
          <w:szCs w:val="22"/>
        </w:rPr>
        <w:t xml:space="preserve">Released:  </w:t>
      </w:r>
      <w:r w:rsidR="00EE2822">
        <w:rPr>
          <w:b/>
          <w:szCs w:val="22"/>
        </w:rPr>
        <w:t>November 13</w:t>
      </w:r>
      <w:r w:rsidR="00AC13FB">
        <w:rPr>
          <w:b/>
          <w:szCs w:val="22"/>
        </w:rPr>
        <w:t>, 2018</w:t>
      </w:r>
    </w:p>
    <w:p w:rsidR="00602577">
      <w:pPr>
        <w:jc w:val="right"/>
        <w:rPr>
          <w:sz w:val="24"/>
        </w:rPr>
      </w:pPr>
    </w:p>
    <w:p w:rsidR="00297F68" w:rsidP="00EA279B">
      <w:pPr>
        <w:jc w:val="center"/>
        <w:rPr>
          <w:b/>
          <w:sz w:val="24"/>
        </w:rPr>
      </w:pPr>
      <w:r>
        <w:rPr>
          <w:b/>
          <w:sz w:val="24"/>
        </w:rPr>
        <w:t>COMMISSION ANNOUNCES RECEIP</w:t>
      </w:r>
      <w:r>
        <w:rPr>
          <w:b/>
          <w:sz w:val="24"/>
        </w:rPr>
        <w:t>T OF SUPPLEMENTAL ANALYSIS FROM</w:t>
      </w:r>
    </w:p>
    <w:p w:rsidR="00EA279B" w:rsidRPr="00B60CA0" w:rsidP="00EA279B">
      <w:pPr>
        <w:jc w:val="center"/>
        <w:rPr>
          <w:b/>
          <w:sz w:val="24"/>
        </w:rPr>
      </w:pPr>
      <w:r>
        <w:rPr>
          <w:b/>
          <w:sz w:val="24"/>
        </w:rPr>
        <w:t>T-MOBILE</w:t>
      </w:r>
      <w:r>
        <w:rPr>
          <w:b/>
          <w:sz w:val="24"/>
        </w:rPr>
        <w:t>; ESTABLISHES COMMENT DEADLINE</w:t>
      </w:r>
    </w:p>
    <w:p w:rsidR="00EA279B" w:rsidRPr="008D0038" w:rsidP="00EA279B">
      <w:pPr>
        <w:jc w:val="center"/>
        <w:rPr>
          <w:b/>
          <w:szCs w:val="22"/>
        </w:rPr>
      </w:pPr>
    </w:p>
    <w:p w:rsidR="00EA279B" w:rsidRPr="008D0038" w:rsidP="00EA279B">
      <w:pPr>
        <w:spacing w:after="240"/>
        <w:jc w:val="center"/>
        <w:rPr>
          <w:szCs w:val="22"/>
        </w:rPr>
      </w:pPr>
      <w:r w:rsidRPr="008D0038">
        <w:rPr>
          <w:b/>
          <w:szCs w:val="22"/>
        </w:rPr>
        <w:t>WT Docket No. 18-197</w:t>
      </w:r>
    </w:p>
    <w:p w:rsidR="00EA279B" w:rsidRPr="008D0038" w:rsidP="00EA279B">
      <w:pPr>
        <w:rPr>
          <w:b/>
          <w:szCs w:val="22"/>
        </w:rPr>
      </w:pPr>
      <w:r>
        <w:rPr>
          <w:b/>
          <w:szCs w:val="22"/>
        </w:rPr>
        <w:t>Comments Due:  December 4, 2018</w:t>
      </w:r>
    </w:p>
    <w:p w:rsidR="00EA279B" w:rsidP="00EA279B">
      <w:pPr>
        <w:pStyle w:val="Heading1"/>
        <w:numPr>
          <w:ilvl w:val="0"/>
          <w:numId w:val="0"/>
        </w:numPr>
        <w:spacing w:after="120"/>
        <w:ind w:left="720"/>
      </w:pPr>
    </w:p>
    <w:p w:rsidR="00EA279B" w:rsidRPr="007F703B" w:rsidP="00EA279B">
      <w:pPr>
        <w:spacing w:after="120"/>
        <w:ind w:firstLine="720"/>
      </w:pPr>
      <w:r>
        <w:t xml:space="preserve">Pending before the Commission are </w:t>
      </w:r>
      <w:r w:rsidRPr="007F703B">
        <w:t xml:space="preserve">applications </w:t>
      </w:r>
      <w:r>
        <w:t xml:space="preserve">filed by </w:t>
      </w:r>
      <w:r w:rsidRPr="007F703B">
        <w:t>T-Mobile US, Inc. (T-Mobile), and Sprint Corporation (Sprint, and together with T-Mobile, the Applicants) seeking Commission consent to the transfer of control of licenses and authorizations from Sprint to T-Mobile.  On July 18, 2018, the Commission accepted the applications for filing and established a pleading cyc</w:t>
      </w:r>
      <w:r>
        <w:t>le for the proposed transaction.</w:t>
      </w:r>
      <w:r>
        <w:rPr>
          <w:rStyle w:val="FootnoteReference"/>
        </w:rPr>
        <w:footnoteReference w:id="2"/>
      </w:r>
      <w:r w:rsidRPr="007F703B">
        <w:t xml:space="preserve">  Following the submission of new </w:t>
      </w:r>
      <w:r>
        <w:t xml:space="preserve">economic and engineering </w:t>
      </w:r>
      <w:r w:rsidRPr="007F703B">
        <w:t>modeling by the Applicants</w:t>
      </w:r>
      <w:r>
        <w:t xml:space="preserve"> in September 2018, </w:t>
      </w:r>
      <w:r w:rsidR="00F47CC3">
        <w:t>the Commission paused its informal 180-day clock</w:t>
      </w:r>
      <w:r>
        <w:rPr>
          <w:vertAlign w:val="superscript"/>
        </w:rPr>
        <w:footnoteReference w:id="3"/>
      </w:r>
      <w:r>
        <w:t xml:space="preserve"> and extended the deadline for replies to </w:t>
      </w:r>
      <w:r w:rsidRPr="007F703B">
        <w:t>October 31, 2018.</w:t>
      </w:r>
      <w:r>
        <w:rPr>
          <w:rStyle w:val="FootnoteReference"/>
        </w:rPr>
        <w:footnoteReference w:id="4"/>
      </w:r>
      <w:r w:rsidRPr="007F703B">
        <w:t xml:space="preserve">  </w:t>
      </w:r>
    </w:p>
    <w:p w:rsidR="00EA279B" w:rsidP="00EA279B">
      <w:pPr>
        <w:spacing w:after="120"/>
        <w:ind w:firstLine="720"/>
      </w:pPr>
      <w:r w:rsidRPr="007F703B">
        <w:t>On November 6, 2018, the Applicants filed a new</w:t>
      </w:r>
      <w:r>
        <w:t xml:space="preserve"> econometric</w:t>
      </w:r>
      <w:r w:rsidRPr="007F703B">
        <w:t xml:space="preserve"> stud</w:t>
      </w:r>
      <w:r>
        <w:t>y with the Commission.  The new study describes itself as a “merger simulation offer[</w:t>
      </w:r>
      <w:r>
        <w:t>ing</w:t>
      </w:r>
      <w:r>
        <w:t>] an economically coherent framework, grounded in detailed industry data, for understanding the competitive significance of the proposed merger.”</w:t>
      </w:r>
      <w:r>
        <w:rPr>
          <w:rStyle w:val="FootnoteReference"/>
        </w:rPr>
        <w:footnoteReference w:id="5"/>
      </w:r>
      <w:r>
        <w:t xml:space="preserve">  The analysis represents a substantial body of new material on economic issues central to the review of the proposed transaction.  It relies on a newly submitted data set and new methodologies to reach conclusions about the specific effects of the transaction not previously in the record.  </w:t>
      </w:r>
    </w:p>
    <w:p w:rsidR="00EA279B" w:rsidP="00EA279B">
      <w:pPr>
        <w:spacing w:after="120"/>
        <w:ind w:firstLine="720"/>
      </w:pPr>
      <w:r>
        <w:t>When applicants have made substantial new submissions in support of their transactions after their initial applications, the Commission has typically paused its 180-day informal time clock to allow for staff and third-party review and has sought additional comment from the public.</w:t>
      </w:r>
      <w:r>
        <w:rPr>
          <w:rStyle w:val="FootnoteReference"/>
        </w:rPr>
        <w:footnoteReference w:id="6"/>
      </w:r>
      <w:r>
        <w:t xml:space="preserve">  Doing so ensures </w:t>
      </w:r>
      <w:r>
        <w:t xml:space="preserve">that the public interest in a speedy review is balanced with the public interest in careful analysis and the need for third parties to comment on material information submitted by the applicants.    </w:t>
      </w:r>
    </w:p>
    <w:p w:rsidR="00EA279B" w:rsidP="00EA279B">
      <w:pPr>
        <w:spacing w:after="120"/>
        <w:ind w:firstLine="720"/>
      </w:pPr>
      <w:r>
        <w:t xml:space="preserve">The Commission therefore seeks comment on the Applicants’ new econometric study.  Comments should be limited to the new study and not repeat arguments previously raised.  </w:t>
      </w:r>
      <w:r>
        <w:rPr>
          <w:szCs w:val="22"/>
        </w:rPr>
        <w:t xml:space="preserve">Interested parties must file comments by no later than </w:t>
      </w:r>
      <w:r w:rsidRPr="00D26BE4">
        <w:rPr>
          <w:b/>
          <w:szCs w:val="22"/>
        </w:rPr>
        <w:t>December 4, 2018</w:t>
      </w:r>
      <w:r>
        <w:rPr>
          <w:szCs w:val="22"/>
        </w:rPr>
        <w:t xml:space="preserve">.  All filings should refer to WT Docket No. 18-197.  </w:t>
      </w:r>
      <w:r>
        <w:t xml:space="preserve">Absent further significant new record submissions by the Applicants, the informal 180-day clock will resume on December 4, 2018, at day 55. </w:t>
      </w:r>
    </w:p>
    <w:p w:rsidR="00EA279B" w:rsidP="00EA279B">
      <w:pPr>
        <w:spacing w:after="120"/>
        <w:ind w:firstLine="720"/>
        <w:rPr>
          <w:szCs w:val="22"/>
        </w:rPr>
      </w:pPr>
      <w:r>
        <w:rPr>
          <w:szCs w:val="22"/>
        </w:rPr>
        <w:t>Under the Commission’s current procedures for the submission of filings and other documents,</w:t>
      </w:r>
      <w:r>
        <w:rPr>
          <w:rStyle w:val="FootnoteReference"/>
          <w:sz w:val="20"/>
        </w:rPr>
        <w:footnoteReference w:id="7"/>
      </w:r>
      <w:r>
        <w:rPr>
          <w:szCs w:val="22"/>
        </w:rPr>
        <w:t xml:space="preserve"> non-confidential submissions in this matter may be filed electronically through the Commission’s Electronic Comment Filing System (ECFS) or by hand delivery to the Commission.  Confidential submissions must also follow the procedures set forth in the Protective Order in this proceeding.</w:t>
      </w:r>
      <w:r>
        <w:rPr>
          <w:rStyle w:val="FootnoteReference"/>
          <w:szCs w:val="22"/>
        </w:rPr>
        <w:footnoteReference w:id="8"/>
      </w:r>
    </w:p>
    <w:p w:rsidR="00EA279B" w:rsidP="00EA279B">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Pr>
          <w:rStyle w:val="FootnoteReference"/>
          <w:sz w:val="20"/>
        </w:rPr>
        <w:footnoteReference w:id="9"/>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EA279B" w:rsidP="00EA279B">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w:t>
      </w:r>
      <w:r>
        <w:t>9050 Junction Drive, Annapolis Junction, MD 20701</w:t>
      </w:r>
      <w:r>
        <w:rPr>
          <w:rFonts w:cs="TmsRmn"/>
          <w:color w:val="000000"/>
          <w:szCs w:val="22"/>
        </w:rPr>
        <w:t>.  U.S. Postal Service first-class, Express, and Priority mail should be addressed to 445 12th Street, SW, Washington, DC 20554.  All filings must be addressed to the Commission’s Secretary, Office of the Secretary, Federal Communications Commission.</w:t>
      </w:r>
    </w:p>
    <w:p w:rsidR="00EA279B" w:rsidRPr="0044459B" w:rsidP="00EA279B">
      <w:pPr>
        <w:spacing w:after="120"/>
        <w:ind w:firstLine="720"/>
        <w:rPr>
          <w:szCs w:val="22"/>
        </w:rPr>
      </w:pPr>
      <w:r>
        <w:rPr>
          <w:color w:val="000000"/>
          <w:szCs w:val="22"/>
        </w:rPr>
        <w:t xml:space="preserve">One copy of each pleading, </w:t>
      </w:r>
      <w:r>
        <w:rPr>
          <w:i/>
          <w:color w:val="000000"/>
          <w:szCs w:val="22"/>
        </w:rPr>
        <w:t xml:space="preserve">ex </w:t>
      </w:r>
      <w:r>
        <w:rPr>
          <w:i/>
          <w:color w:val="000000"/>
          <w:szCs w:val="22"/>
        </w:rPr>
        <w:t>parte</w:t>
      </w:r>
      <w:r>
        <w:rPr>
          <w:color w:val="000000"/>
          <w:szCs w:val="22"/>
        </w:rPr>
        <w:t xml:space="preserve"> submission, or other filing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Kathy Harris, </w:t>
      </w:r>
      <w:r>
        <w:rPr>
          <w:szCs w:val="22"/>
        </w:rPr>
        <w:t xml:space="preserve">Mobility Division, </w:t>
      </w:r>
      <w:r>
        <w:rPr>
          <w:rFonts w:cs="TmsRmn"/>
          <w:szCs w:val="22"/>
        </w:rPr>
        <w:t>Wireless Telecommunications Bureau, at kathy.harris@fcc.gov or (202) 418-2643 (facsimile);</w:t>
      </w:r>
      <w:r>
        <w:rPr>
          <w:szCs w:val="22"/>
        </w:rPr>
        <w:t xml:space="preserve"> (2) Linda Ray, Broadband Division, Wireless Telecommunications Bureau, at </w:t>
      </w:r>
      <w:r w:rsidRPr="0044459B">
        <w:rPr>
          <w:szCs w:val="22"/>
        </w:rPr>
        <w:t>linda.ray@fcc.gov</w:t>
      </w:r>
      <w:r>
        <w:rPr>
          <w:szCs w:val="22"/>
        </w:rPr>
        <w:t xml:space="preserve"> or (202) 418-7247 (facsimile); (3)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418-0787 (facsimile); </w:t>
      </w:r>
      <w:r>
        <w:rPr>
          <w:color w:val="000000"/>
          <w:szCs w:val="22"/>
        </w:rPr>
        <w:t xml:space="preserve">(4) Jim Bird, Office of General Counsel, at TransactionTeam@fcc.gov or (202) 418-1234 (facsimile); and (5) David Krech, Telecommunications and Analysis Division, International Bureau, at </w:t>
      </w:r>
      <w:r w:rsidRPr="0044459B">
        <w:rPr>
          <w:color w:val="000000"/>
          <w:szCs w:val="22"/>
        </w:rPr>
        <w:t>david.krech@fcc.gov</w:t>
      </w:r>
      <w:r>
        <w:rPr>
          <w:color w:val="000000"/>
          <w:szCs w:val="22"/>
        </w:rPr>
        <w:t xml:space="preserve"> or (202) 418-2824 (facsimile)</w:t>
      </w:r>
      <w:r>
        <w:rPr>
          <w:szCs w:val="22"/>
        </w:rPr>
        <w:t>.  Any submission emailed to these individuals should include in the subject line of the email</w:t>
      </w:r>
      <w:r>
        <w:rPr>
          <w:szCs w:val="22"/>
        </w:rPr>
        <w:t>:  (</w:t>
      </w:r>
      <w:r>
        <w:rPr>
          <w:szCs w:val="22"/>
        </w:rPr>
        <w:t xml:space="preserve">1) WT Docket No. 18-197; (2) the name of the submitting party; and (3) a brief description or title identifying the type of document being submitted (e.g., WT Docket No. 18-197, Widget Corp., Notice of </w:t>
      </w:r>
      <w:r>
        <w:rPr>
          <w:i/>
          <w:szCs w:val="22"/>
        </w:rPr>
        <w:t xml:space="preserve">Ex </w:t>
      </w:r>
      <w:r>
        <w:rPr>
          <w:i/>
          <w:szCs w:val="22"/>
        </w:rPr>
        <w:t>Parte</w:t>
      </w:r>
      <w:r>
        <w:rPr>
          <w:szCs w:val="22"/>
        </w:rPr>
        <w:t xml:space="preserve"> Communications).</w:t>
      </w:r>
    </w:p>
    <w:p w:rsidR="00EA279B" w:rsidP="00EA279B">
      <w:pPr>
        <w:spacing w:after="120"/>
        <w:ind w:firstLine="720"/>
        <w:rPr>
          <w:color w:val="000000"/>
          <w:szCs w:val="22"/>
        </w:rPr>
      </w:pPr>
      <w:r>
        <w:rPr>
          <w:color w:val="000000"/>
          <w:szCs w:val="22"/>
        </w:rPr>
        <w:t xml:space="preserve">The application and any associated documents are available for public inspection and copying during normal reference room hours at the following Commission office:  FCC Reference Information </w:t>
      </w:r>
      <w:r>
        <w:rPr>
          <w:color w:val="000000"/>
          <w:szCs w:val="22"/>
        </w:rPr>
        <w:t>Center, 445 12th Street, SW, Room CY-A257, Washington, DC 20554.  The exhibits and declarations associated with the proposed transaction are available electronically through ECFS, which may be accessed on the Commission’s Internet website.  The applications in addition are available electronically through ULS, which also may be accessed on the Commission’s Internet website.  Additional information regarding the proposed transaction will be available on the FCC’s Office of General Counsel’s T</w:t>
      </w:r>
      <w:r>
        <w:rPr>
          <w:color w:val="000000"/>
          <w:szCs w:val="22"/>
        </w:rPr>
        <w:noBreakHyphen/>
        <w:t xml:space="preserve">Mobile/Sprint website, </w:t>
      </w:r>
      <w:r w:rsidRPr="00566D28">
        <w:rPr>
          <w:szCs w:val="22"/>
        </w:rPr>
        <w:t>https://www.fcc.gov/transaction/t-mobile-sprint</w:t>
      </w:r>
      <w:r>
        <w:rPr>
          <w:color w:val="000000"/>
          <w:szCs w:val="22"/>
        </w:rPr>
        <w:t>, which will contain an unofficial listing and electronic copies of materials in this matter.</w:t>
      </w:r>
    </w:p>
    <w:p w:rsidR="00EA279B" w:rsidP="00EA279B">
      <w:pPr>
        <w:spacing w:after="120"/>
        <w:ind w:firstLine="720"/>
      </w:pP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EA279B" w:rsidP="00EA279B">
      <w:pPr>
        <w:spacing w:after="120"/>
        <w:ind w:firstLine="720"/>
        <w:rPr>
          <w:szCs w:val="22"/>
        </w:rPr>
      </w:pPr>
      <w:r>
        <w:rPr>
          <w:szCs w:val="22"/>
        </w:rPr>
        <w:t>For further information, send an email to T-MobileSprintTransaction@fcc.gov.</w:t>
      </w:r>
    </w:p>
    <w:p w:rsidR="00EA279B" w:rsidRPr="00BF7452" w:rsidP="00EA279B">
      <w:pPr>
        <w:spacing w:after="120"/>
        <w:jc w:val="center"/>
        <w:rPr>
          <w:b/>
          <w:szCs w:val="22"/>
        </w:rPr>
      </w:pPr>
      <w:r>
        <w:rPr>
          <w:b/>
          <w:szCs w:val="22"/>
        </w:rPr>
        <w:t>-FCC-</w:t>
      </w:r>
    </w:p>
    <w:p w:rsidR="00BF7452" w:rsidRPr="00BF7452" w:rsidP="00EA279B">
      <w:pPr>
        <w:jc w:val="center"/>
        <w:rPr>
          <w:b/>
          <w:szCs w:val="22"/>
        </w:rPr>
      </w:pPr>
    </w:p>
    <w:sectPr w:rsidSect="006C79CB">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9CB" w:rsidP="006C79CB">
    <w:pPr>
      <w:pStyle w:val="Footer"/>
      <w:jc w:val="center"/>
    </w:pPr>
    <w:r>
      <w:fldChar w:fldCharType="begin"/>
    </w:r>
    <w:r>
      <w:instrText xml:space="preserve"> PAGE   \* MERGEFORMAT </w:instrText>
    </w:r>
    <w:r>
      <w:fldChar w:fldCharType="separate"/>
    </w:r>
    <w:r w:rsidR="00C314D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5F9">
      <w:r>
        <w:separator/>
      </w:r>
    </w:p>
  </w:footnote>
  <w:footnote w:type="continuationSeparator" w:id="1">
    <w:p w:rsidR="007665F9">
      <w:r>
        <w:continuationSeparator/>
      </w:r>
    </w:p>
  </w:footnote>
  <w:footnote w:id="2">
    <w:p w:rsidR="00EA279B" w:rsidP="00F47CC3">
      <w:pPr>
        <w:pStyle w:val="FootnoteText"/>
        <w:tabs>
          <w:tab w:val="clear" w:pos="720"/>
        </w:tabs>
      </w:pPr>
      <w:r>
        <w:rPr>
          <w:rStyle w:val="FootnoteReference"/>
        </w:rPr>
        <w:footnoteRef/>
      </w:r>
      <w:r>
        <w:t xml:space="preserve"> </w:t>
      </w:r>
      <w:r w:rsidRPr="00ED76A9">
        <w:rPr>
          <w:i/>
          <w:iCs/>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Pr="00ED76A9">
        <w:t>, WT Docket No. 18-197, Public Notice, DA 18</w:t>
      </w:r>
      <w:r w:rsidRPr="00ED76A9">
        <w:noBreakHyphen/>
        <w:t>740 (WTB Jul. 18, 2018)</w:t>
      </w:r>
      <w:r>
        <w:t xml:space="preserve"> (</w:t>
      </w:r>
      <w:r>
        <w:rPr>
          <w:i/>
        </w:rPr>
        <w:t>Public Notice</w:t>
      </w:r>
      <w:r>
        <w:t>)</w:t>
      </w:r>
      <w:r w:rsidRPr="00ED76A9">
        <w:t>.</w:t>
      </w:r>
    </w:p>
  </w:footnote>
  <w:footnote w:id="3">
    <w:p w:rsidR="00EA279B" w:rsidRPr="00D3429C" w:rsidP="00F47CC3">
      <w:pPr>
        <w:pStyle w:val="FootnoteText"/>
        <w:tabs>
          <w:tab w:val="clear" w:pos="720"/>
        </w:tabs>
      </w:pPr>
      <w:r>
        <w:rPr>
          <w:rStyle w:val="FootnoteReference"/>
        </w:rPr>
        <w:footnoteRef/>
      </w:r>
      <w:r>
        <w:t xml:space="preserve"> </w:t>
      </w:r>
      <w:r w:rsidRPr="00ED76A9">
        <w:rPr>
          <w:i/>
        </w:rPr>
        <w:t>See</w:t>
      </w:r>
      <w:r w:rsidRPr="00ED76A9">
        <w:t xml:space="preserve"> Letter from David B. Lawrence, Director, T-Mobile/Sprint Transaction Task Force, and Donald K. Stockdale, Jr., Chief, Wireless Telecommunications Bureau, to Kathleen O’Brien Ham, T-Mobile US, Inc., and </w:t>
      </w:r>
      <w:r w:rsidRPr="00ED76A9">
        <w:t>Vonya</w:t>
      </w:r>
      <w:r w:rsidRPr="00ED76A9">
        <w:t xml:space="preserve"> B. McCann, Sprint Corporation (Sept. 11, 2018).</w:t>
      </w:r>
    </w:p>
  </w:footnote>
  <w:footnote w:id="4">
    <w:p w:rsidR="00EA279B" w:rsidP="00F47CC3">
      <w:pPr>
        <w:pStyle w:val="FootnoteText"/>
        <w:tabs>
          <w:tab w:val="clear" w:pos="720"/>
        </w:tabs>
      </w:pPr>
      <w:r>
        <w:rPr>
          <w:rStyle w:val="FootnoteReference"/>
        </w:rPr>
        <w:footnoteRef/>
      </w:r>
      <w:r>
        <w:t xml:space="preserve"> </w:t>
      </w:r>
      <w:bookmarkStart w:id="1" w:name="_Hlk529463055"/>
      <w:r>
        <w:rPr>
          <w:i/>
          <w:iCs/>
        </w:rPr>
        <w:t>Applications of T</w:t>
      </w:r>
      <w:r w:rsidRPr="00ED76A9">
        <w:rPr>
          <w:i/>
          <w:iCs/>
        </w:rPr>
        <w:t xml:space="preserve">-Mobile US, Inc., and Sprint Corporation </w:t>
      </w:r>
      <w:r>
        <w:rPr>
          <w:i/>
          <w:iCs/>
        </w:rPr>
        <w:t xml:space="preserve">for </w:t>
      </w:r>
      <w:r w:rsidRPr="00ED76A9">
        <w:rPr>
          <w:i/>
          <w:iCs/>
        </w:rPr>
        <w:t>Consent to Tran</w:t>
      </w:r>
      <w:r>
        <w:rPr>
          <w:i/>
          <w:iCs/>
        </w:rPr>
        <w:t xml:space="preserve">sfer of Control of the Licenses and Authorization, </w:t>
      </w:r>
      <w:r w:rsidRPr="00ED76A9">
        <w:t xml:space="preserve">WT Docket No. 18-197, </w:t>
      </w:r>
      <w:bookmarkEnd w:id="1"/>
      <w:r w:rsidRPr="00ED76A9">
        <w:t>Public Notice, DA 18</w:t>
      </w:r>
      <w:r w:rsidRPr="00ED76A9">
        <w:noBreakHyphen/>
      </w:r>
      <w:r>
        <w:t>1012</w:t>
      </w:r>
      <w:r w:rsidRPr="00ED76A9">
        <w:t xml:space="preserve"> (WTB </w:t>
      </w:r>
      <w:r>
        <w:t>Oct. 2,</w:t>
      </w:r>
      <w:r w:rsidRPr="00ED76A9">
        <w:t xml:space="preserve"> 2018</w:t>
      </w:r>
      <w:r>
        <w:t>).</w:t>
      </w:r>
    </w:p>
  </w:footnote>
  <w:footnote w:id="5">
    <w:p w:rsidR="00EA279B" w:rsidP="00F47CC3">
      <w:pPr>
        <w:pStyle w:val="FootnoteText"/>
        <w:tabs>
          <w:tab w:val="clear" w:pos="720"/>
        </w:tabs>
      </w:pPr>
      <w:r>
        <w:rPr>
          <w:rStyle w:val="FootnoteReference"/>
        </w:rPr>
        <w:footnoteRef/>
      </w:r>
      <w:r>
        <w:t xml:space="preserve"> </w:t>
      </w:r>
      <w:r w:rsidRPr="009428E2">
        <w:t xml:space="preserve">Economic Analysis of the Proposed T-Mobile/Sprint Merger, </w:t>
      </w:r>
      <w:r>
        <w:t xml:space="preserve">by T-Mobile US, Inc., </w:t>
      </w:r>
      <w:r w:rsidRPr="009428E2">
        <w:t xml:space="preserve">WT Docket No. 18-197, at i (filed Nov. </w:t>
      </w:r>
      <w:r w:rsidR="00B07F12">
        <w:t>6</w:t>
      </w:r>
      <w:bookmarkStart w:id="2" w:name="_GoBack"/>
      <w:bookmarkEnd w:id="2"/>
      <w:r w:rsidRPr="009428E2">
        <w:t xml:space="preserve">, 2018).  </w:t>
      </w:r>
    </w:p>
  </w:footnote>
  <w:footnote w:id="6">
    <w:p w:rsidR="00EA279B" w:rsidRPr="00F7716E" w:rsidP="00EA279B">
      <w:pPr>
        <w:pStyle w:val="FootnoteText"/>
        <w:rPr>
          <w:iCs/>
        </w:rPr>
      </w:pPr>
      <w:r>
        <w:rPr>
          <w:rStyle w:val="FootnoteReference"/>
        </w:rPr>
        <w:footnoteRef/>
      </w:r>
      <w:r w:rsidRPr="00F04A9E">
        <w:rPr>
          <w:i/>
          <w:iCs/>
        </w:rPr>
        <w:t xml:space="preserve"> See</w:t>
      </w:r>
      <w:r>
        <w:rPr>
          <w:i/>
          <w:iCs/>
        </w:rPr>
        <w:t xml:space="preserve">, e.g., </w:t>
      </w:r>
      <w:r w:rsidRPr="00F04A9E">
        <w:rPr>
          <w:i/>
          <w:iCs/>
        </w:rPr>
        <w:t>Commission Announces Extension of Time to File Replies To Responses And Oppositions For Its Review Of Applications of Comcast Corporation, Time Warner Cable, Inc., Charter Communications, Inc.,</w:t>
      </w:r>
      <w:r>
        <w:rPr>
          <w:iCs/>
        </w:rPr>
        <w:t xml:space="preserve"> MB Docket No. 14-57, Public Notice, </w:t>
      </w:r>
      <w:r w:rsidRPr="00F04A9E">
        <w:rPr>
          <w:iCs/>
        </w:rPr>
        <w:t xml:space="preserve">29 FCC </w:t>
      </w:r>
      <w:r w:rsidRPr="00F04A9E">
        <w:rPr>
          <w:iCs/>
        </w:rPr>
        <w:t>Rcd</w:t>
      </w:r>
      <w:r w:rsidRPr="00F04A9E">
        <w:rPr>
          <w:iCs/>
        </w:rPr>
        <w:t xml:space="preserve"> 11773</w:t>
      </w:r>
      <w:r>
        <w:rPr>
          <w:iCs/>
        </w:rPr>
        <w:t xml:space="preserve"> (MB 2014); Letter from Rick Kaplan, Chief, Wireless Telecommunications Bureau, to Richard L. Rosen, Counsel for AT&amp;T Inc., WT Docket No. 11-65 (July 20, 2011), </w:t>
      </w:r>
      <w:r>
        <w:fldChar w:fldCharType="begin"/>
      </w:r>
      <w:r>
        <w:instrText xml:space="preserve"> HYPERLINK "https://docs.fcc.gov/public/attachments/DOC-308512A1.pdf" </w:instrText>
      </w:r>
      <w:r>
        <w:fldChar w:fldCharType="separate"/>
      </w:r>
      <w:r w:rsidRPr="00FA7F8D">
        <w:rPr>
          <w:rStyle w:val="Hyperlink"/>
          <w:iCs/>
        </w:rPr>
        <w:t>https://docs.fcc.gov/public/attachments/DOC-308512A1.pdf</w:t>
      </w:r>
      <w:r>
        <w:fldChar w:fldCharType="end"/>
      </w:r>
      <w:r>
        <w:rPr>
          <w:iCs/>
        </w:rPr>
        <w:t xml:space="preserve">; </w:t>
      </w:r>
      <w:r w:rsidRPr="00F7716E">
        <w:rPr>
          <w:i/>
          <w:iCs/>
        </w:rPr>
        <w:t>Applications of Comcast Corporation, General Electric Company and NBC Universal, Inc. For Consent to Assign Licenses or Transfer Control of Licensees</w:t>
      </w:r>
      <w:r>
        <w:rPr>
          <w:iCs/>
        </w:rPr>
        <w:t xml:space="preserve">, Order, </w:t>
      </w:r>
      <w:r w:rsidRPr="00F7716E">
        <w:rPr>
          <w:iCs/>
        </w:rPr>
        <w:t xml:space="preserve">25 FCC </w:t>
      </w:r>
      <w:r w:rsidRPr="00F7716E">
        <w:rPr>
          <w:iCs/>
        </w:rPr>
        <w:t>Rcd</w:t>
      </w:r>
      <w:r w:rsidRPr="00F7716E">
        <w:rPr>
          <w:iCs/>
        </w:rPr>
        <w:t xml:space="preserve"> 3802</w:t>
      </w:r>
      <w:r>
        <w:rPr>
          <w:iCs/>
        </w:rPr>
        <w:t xml:space="preserve"> (MB 2010).</w:t>
      </w:r>
    </w:p>
  </w:footnote>
  <w:footnote w:id="7">
    <w:p w:rsidR="00EA279B" w:rsidRPr="00337322" w:rsidP="00EA279B">
      <w:pPr>
        <w:pStyle w:val="FootnoteText"/>
      </w:pPr>
      <w:r w:rsidRPr="00337322">
        <w:rPr>
          <w:rStyle w:val="FootnoteReference"/>
        </w:rPr>
        <w:footnoteRef/>
      </w:r>
      <w:r w:rsidRPr="00337322">
        <w:t xml:space="preserve"> </w:t>
      </w:r>
      <w:bookmarkStart w:id="3" w:name="SR;2766"/>
      <w:bookmarkEnd w:id="3"/>
      <w:r w:rsidRPr="00337322">
        <w:rPr>
          <w:bCs/>
          <w:i/>
        </w:rPr>
        <w:t>FCC</w:t>
      </w:r>
      <w:r w:rsidRPr="00337322">
        <w:rPr>
          <w:i/>
        </w:rPr>
        <w:t xml:space="preserve"> </w:t>
      </w:r>
      <w:r w:rsidRPr="00337322">
        <w:rPr>
          <w:bCs/>
          <w:i/>
        </w:rPr>
        <w:t>Announces</w:t>
      </w:r>
      <w:r w:rsidRPr="00337322">
        <w:rPr>
          <w:i/>
        </w:rPr>
        <w:t xml:space="preserve"> </w:t>
      </w:r>
      <w:r w:rsidRPr="00337322">
        <w:rPr>
          <w:bCs/>
          <w:i/>
        </w:rPr>
        <w:t>Change</w:t>
      </w:r>
      <w:r w:rsidRPr="00337322">
        <w:rPr>
          <w:i/>
        </w:rPr>
        <w:t xml:space="preserve"> in </w:t>
      </w:r>
      <w:r w:rsidRPr="00337322">
        <w:rPr>
          <w:bCs/>
          <w:i/>
        </w:rPr>
        <w:t>Filing</w:t>
      </w:r>
      <w:r w:rsidRPr="00337322">
        <w:rPr>
          <w:i/>
        </w:rPr>
        <w:t xml:space="preserve"> </w:t>
      </w:r>
      <w:r w:rsidRPr="00337322">
        <w:rPr>
          <w:bCs/>
          <w:i/>
        </w:rPr>
        <w:t>Location</w:t>
      </w:r>
      <w:r w:rsidRPr="00337322">
        <w:rPr>
          <w:i/>
        </w:rPr>
        <w:t xml:space="preserve"> for </w:t>
      </w:r>
      <w:r w:rsidRPr="00337322">
        <w:rPr>
          <w:bCs/>
          <w:i/>
        </w:rPr>
        <w:t>Paper</w:t>
      </w:r>
      <w:r w:rsidRPr="00337322">
        <w:rPr>
          <w:i/>
        </w:rPr>
        <w:t xml:space="preserve"> </w:t>
      </w:r>
      <w:r w:rsidRPr="00337322">
        <w:rPr>
          <w:bCs/>
          <w:i/>
        </w:rPr>
        <w:t>Documents</w:t>
      </w:r>
      <w:r w:rsidRPr="00337322">
        <w:t xml:space="preserve">, </w:t>
      </w:r>
      <w:r w:rsidRPr="00337322">
        <w:rPr>
          <w:iCs/>
        </w:rPr>
        <w:t>Public Notice</w:t>
      </w:r>
      <w:r w:rsidRPr="00337322">
        <w:t xml:space="preserve">, 24 FCC </w:t>
      </w:r>
      <w:r w:rsidRPr="00337322">
        <w:t>Rcd</w:t>
      </w:r>
      <w:r w:rsidRPr="00337322">
        <w:t xml:space="preserve"> 14312 (2009).</w:t>
      </w:r>
    </w:p>
  </w:footnote>
  <w:footnote w:id="8">
    <w:p w:rsidR="00EA279B" w:rsidP="00EA279B">
      <w:pPr>
        <w:pStyle w:val="FootnoteText"/>
        <w:tabs>
          <w:tab w:val="clear" w:pos="720"/>
        </w:tabs>
      </w:pPr>
      <w:r>
        <w:rPr>
          <w:rStyle w:val="FootnoteReference"/>
        </w:rPr>
        <w:footnoteRef/>
      </w:r>
      <w:r>
        <w:t xml:space="preserve"> </w:t>
      </w:r>
      <w:r>
        <w:rPr>
          <w:i/>
          <w:iCs/>
        </w:rPr>
        <w:t>Applications of T</w:t>
      </w:r>
      <w:r w:rsidRPr="00ED76A9">
        <w:rPr>
          <w:i/>
          <w:iCs/>
        </w:rPr>
        <w:t xml:space="preserve">-Mobile US, Inc., and Sprint Corporation </w:t>
      </w:r>
      <w:r>
        <w:rPr>
          <w:i/>
          <w:iCs/>
        </w:rPr>
        <w:t xml:space="preserve">for </w:t>
      </w:r>
      <w:r w:rsidRPr="00ED76A9">
        <w:rPr>
          <w:i/>
          <w:iCs/>
        </w:rPr>
        <w:t>Consent to Tran</w:t>
      </w:r>
      <w:r>
        <w:rPr>
          <w:i/>
          <w:iCs/>
        </w:rPr>
        <w:t xml:space="preserve">sfer of Control of the Licenses and Authorization, </w:t>
      </w:r>
      <w:r w:rsidRPr="00ED76A9">
        <w:t xml:space="preserve">WT Docket No. 18-197, </w:t>
      </w:r>
      <w:r>
        <w:t xml:space="preserve">Protective Order, </w:t>
      </w:r>
      <w:r w:rsidRPr="00ED76A9">
        <w:t>DA 18</w:t>
      </w:r>
      <w:r w:rsidRPr="00ED76A9">
        <w:noBreakHyphen/>
      </w:r>
      <w:r>
        <w:t>624</w:t>
      </w:r>
      <w:r w:rsidRPr="00ED76A9">
        <w:t xml:space="preserve"> (WTB </w:t>
      </w:r>
      <w:r>
        <w:t>June 15,</w:t>
      </w:r>
      <w:r w:rsidRPr="00ED76A9">
        <w:t xml:space="preserve"> 2018</w:t>
      </w:r>
      <w:r>
        <w:t>).</w:t>
      </w:r>
    </w:p>
  </w:footnote>
  <w:footnote w:id="9">
    <w:p w:rsidR="00EA279B" w:rsidRPr="004D6A82" w:rsidP="00EA279B">
      <w:pPr>
        <w:pStyle w:val="FootnoteText"/>
      </w:pPr>
      <w:r w:rsidRPr="004D6A82">
        <w:rPr>
          <w:rStyle w:val="FootnoteReference"/>
        </w:rPr>
        <w:footnoteRef/>
      </w:r>
      <w:r w:rsidRPr="004D6A82">
        <w:t xml:space="preserve"> </w:t>
      </w:r>
      <w:r w:rsidRPr="004D6A82">
        <w:rPr>
          <w:i/>
        </w:rPr>
        <w:t>Electronic Filing of Documents in Rulemaking Proceedings</w:t>
      </w:r>
      <w:r w:rsidRPr="004D6A82">
        <w:t xml:space="preserve">, Report and Order, 13 FCC </w:t>
      </w:r>
      <w:r w:rsidRPr="004D6A82">
        <w:t>Rcd</w:t>
      </w:r>
      <w:r w:rsidRPr="004D6A82">
        <w:t xml:space="preserve">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731"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7693"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80.15pt;height:50.4pt;margin-top:57.65pt;margin-left:-5.3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E72D84" w:rsidR="00E72D84">
      <w:rPr>
        <w:rFonts w:ascii="News Gothic MT" w:hAnsi="News Gothic MT"/>
        <w:b/>
        <w:kern w:val="28"/>
        <w:sz w:val="24"/>
        <w:szCs w:val="24"/>
      </w:rPr>
      <w:t xml:space="preserve"> </w:t>
    </w:r>
    <w:r w:rsidRPr="007B00E4" w:rsidR="000D5731">
      <w:rPr>
        <w:rFonts w:ascii="News Gothic MT" w:hAnsi="News Gothic MT"/>
        <w:b/>
        <w:kern w:val="28"/>
        <w:position w:val="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1789"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70.2pt;height:43.2pt;margin-top:10.45pt;margin-left:301.3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433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5.7pt,54.9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D39CAA58"/>
    <w:lvl w:ilvl="0">
      <w:start w:val="1"/>
      <w:numFmt w:val="bullet"/>
      <w:lvlText w:val=""/>
      <w:lvlJc w:val="left"/>
      <w:pPr>
        <w:tabs>
          <w:tab w:val="num" w:pos="576"/>
        </w:tabs>
        <w:ind w:left="576" w:hanging="288"/>
      </w:pPr>
      <w:rPr>
        <w:rFonts w:ascii="Symbol" w:hAnsi="Symbol" w:hint="default"/>
        <w:color w:val="auto"/>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_0"/>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 w:type="paragraph" w:styleId="CommentSubject">
    <w:name w:val="annotation subject"/>
    <w:basedOn w:val="CommentText"/>
    <w:next w:val="CommentText"/>
    <w:link w:val="CommentSubjectChar"/>
    <w:uiPriority w:val="99"/>
    <w:semiHidden/>
    <w:unhideWhenUsed/>
    <w:rsid w:val="006E570F"/>
    <w:rPr>
      <w:b/>
      <w:bCs/>
    </w:rPr>
  </w:style>
  <w:style w:type="character" w:customStyle="1" w:styleId="CommentSubjectChar">
    <w:name w:val="Comment Subject Char"/>
    <w:basedOn w:val="CommentTextChar"/>
    <w:link w:val="CommentSubject"/>
    <w:uiPriority w:val="99"/>
    <w:semiHidden/>
    <w:rsid w:val="006E5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