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18257F">
      <w:pPr>
        <w:spacing w:after="0" w:line="240" w:lineRule="auto"/>
        <w:jc w:val="center"/>
        <w:rPr>
          <w:b/>
        </w:rPr>
      </w:pPr>
      <w:r w:rsidRPr="0070224F">
        <w:rPr>
          <w:rFonts w:ascii="Times New Roman Bold" w:hAnsi="Times New Roman Bold"/>
          <w:b/>
        </w:rPr>
        <w:t>Before</w:t>
      </w:r>
      <w:r>
        <w:rPr>
          <w:b/>
        </w:rPr>
        <w:t xml:space="preserve"> </w:t>
      </w:r>
      <w:r w:rsidRPr="0018257F">
        <w:rPr>
          <w:rFonts w:ascii="Times New Roman" w:hAnsi="Times New Roman"/>
          <w:b/>
        </w:rPr>
        <w:t>the</w:t>
      </w:r>
      <w:bookmarkStart w:id="0" w:name="_GoBack"/>
      <w:bookmarkEnd w:id="0"/>
    </w:p>
    <w:p w:rsidR="00921803" w:rsidP="00262E95">
      <w:pPr>
        <w:pStyle w:val="StyleBoldCentered"/>
      </w:pPr>
      <w:r>
        <w:t>F</w:t>
      </w:r>
      <w:r>
        <w:rPr>
          <w:caps w:val="0"/>
        </w:rPr>
        <w:t>ederal Communications Commission</w:t>
      </w:r>
    </w:p>
    <w:p w:rsidR="004C2EE3" w:rsidP="004F65C0">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2C384A" w:rsidRPr="00AF5C58" w:rsidP="00E12E4F">
            <w:pPr>
              <w:spacing w:after="0"/>
              <w:ind w:right="-18"/>
              <w:rPr>
                <w:rFonts w:ascii="Times New Roman" w:hAnsi="Times New Roman" w:cs="Times New Roman"/>
              </w:rPr>
            </w:pPr>
            <w:r w:rsidRPr="00AF5C58">
              <w:rPr>
                <w:rFonts w:ascii="Times New Roman" w:hAnsi="Times New Roman" w:cs="Times New Roman"/>
              </w:rPr>
              <w:t>In the Matter of</w:t>
            </w:r>
          </w:p>
          <w:p w:rsidR="002C384A" w:rsidRPr="00AF5C58" w:rsidP="00E12E4F">
            <w:pPr>
              <w:spacing w:after="0"/>
              <w:ind w:right="-18"/>
              <w:rPr>
                <w:rFonts w:ascii="Times New Roman" w:hAnsi="Times New Roman" w:cs="Times New Roman"/>
              </w:rPr>
            </w:pPr>
          </w:p>
          <w:p w:rsidR="002C384A" w:rsidRPr="00AF5C58" w:rsidP="00E12E4F">
            <w:pPr>
              <w:spacing w:after="0"/>
              <w:ind w:right="-18"/>
              <w:rPr>
                <w:rFonts w:ascii="Times New Roman" w:hAnsi="Times New Roman" w:cs="Times New Roman"/>
              </w:rPr>
            </w:pPr>
            <w:r w:rsidRPr="00AF5C58">
              <w:rPr>
                <w:rFonts w:ascii="Times New Roman" w:hAnsi="Times New Roman" w:cs="Times New Roman"/>
              </w:rPr>
              <w:t>Rules and Regulations Implementing the Telephone Consumer Protection Act of 1991</w:t>
            </w:r>
          </w:p>
          <w:p w:rsidR="002C384A" w:rsidRPr="00AF5C58" w:rsidP="00E12E4F">
            <w:pPr>
              <w:spacing w:after="0"/>
              <w:ind w:right="-18"/>
              <w:rPr>
                <w:rFonts w:ascii="Times New Roman" w:hAnsi="Times New Roman" w:cs="Times New Roman"/>
              </w:rPr>
            </w:pPr>
          </w:p>
          <w:p w:rsidR="002C384A" w:rsidRPr="00AF5C58" w:rsidP="00E12E4F">
            <w:pPr>
              <w:spacing w:after="0"/>
              <w:ind w:right="-18"/>
              <w:rPr>
                <w:rFonts w:ascii="Times New Roman" w:hAnsi="Times New Roman" w:cs="Times New Roman"/>
              </w:rPr>
            </w:pPr>
            <w:r w:rsidRPr="00AF5C58">
              <w:rPr>
                <w:rFonts w:ascii="Times New Roman" w:hAnsi="Times New Roman" w:cs="Times New Roman"/>
              </w:rPr>
              <w:t>Junk Fax Prevention Act of 2005</w:t>
            </w:r>
          </w:p>
          <w:p w:rsidR="002C384A" w:rsidRPr="00AF5C58" w:rsidP="00E12E4F">
            <w:pPr>
              <w:spacing w:after="0"/>
              <w:ind w:right="-18"/>
              <w:rPr>
                <w:rFonts w:ascii="Times New Roman" w:hAnsi="Times New Roman" w:cs="Times New Roman"/>
              </w:rPr>
            </w:pPr>
          </w:p>
          <w:p w:rsidR="002C384A" w:rsidRPr="00AF5C58" w:rsidP="00E12E4F">
            <w:pPr>
              <w:tabs>
                <w:tab w:val="center" w:pos="4680"/>
              </w:tabs>
              <w:suppressAutoHyphens/>
              <w:spacing w:after="0"/>
              <w:rPr>
                <w:rFonts w:ascii="Times New Roman" w:hAnsi="Times New Roman" w:cs="Times New Roman"/>
                <w:spacing w:val="-2"/>
              </w:rPr>
            </w:pPr>
            <w:r w:rsidRPr="00AF5C58">
              <w:rPr>
                <w:rFonts w:ascii="Times New Roman" w:hAnsi="Times New Roman" w:cs="Times New Roman"/>
              </w:rPr>
              <w:t xml:space="preserve">Petitions for Reconsideration and/or Declaratory Ruling and Retroactive Waiver of 47 </w:t>
            </w:r>
            <w:r w:rsidR="00273938">
              <w:rPr>
                <w:rFonts w:ascii="Times New Roman" w:hAnsi="Times New Roman" w:cs="Times New Roman"/>
              </w:rPr>
              <w:t>CFR</w:t>
            </w:r>
            <w:r w:rsidRPr="00AF5C58">
              <w:rPr>
                <w:rFonts w:ascii="Times New Roman" w:hAnsi="Times New Roman" w:cs="Times New Roman"/>
              </w:rPr>
              <w:t xml:space="preserve"> § 64.1200(a)(4)(iv) Regarding the Commission’s Opt-Out Notice Requirement for Faxes Sent with the Recipient’s Prior Express Permission</w:t>
            </w:r>
          </w:p>
        </w:tc>
        <w:tc>
          <w:tcPr>
            <w:tcW w:w="630" w:type="dxa"/>
          </w:tcPr>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2C384A" w:rsidRPr="002618A8" w:rsidP="00E12E4F">
            <w:pPr>
              <w:spacing w:after="0"/>
              <w:rPr>
                <w:rFonts w:ascii="Times New Roman" w:hAnsi="Times New Roman" w:cs="Times New Roman"/>
                <w:b/>
                <w:bCs/>
              </w:rPr>
            </w:pPr>
            <w:r w:rsidRPr="002618A8">
              <w:rPr>
                <w:rFonts w:ascii="Times New Roman" w:hAnsi="Times New Roman" w:cs="Times New Roman"/>
                <w:b/>
                <w:bCs/>
              </w:rPr>
              <w:t>)</w:t>
            </w:r>
          </w:p>
          <w:p w:rsidR="00E12E4F" w:rsidP="00E12E4F">
            <w:pPr>
              <w:spacing w:after="0"/>
              <w:rPr>
                <w:rFonts w:ascii="Times New Roman" w:hAnsi="Times New Roman" w:cs="Times New Roman"/>
                <w:b/>
                <w:bCs/>
              </w:rPr>
            </w:pPr>
            <w:r w:rsidRPr="002618A8">
              <w:rPr>
                <w:rFonts w:ascii="Times New Roman" w:hAnsi="Times New Roman" w:cs="Times New Roman"/>
                <w:b/>
                <w:bCs/>
              </w:rPr>
              <w:t>)</w:t>
            </w:r>
          </w:p>
          <w:p w:rsidR="006B2A5C" w:rsidRPr="002618A8" w:rsidP="00E12E4F">
            <w:pPr>
              <w:spacing w:after="0"/>
              <w:rPr>
                <w:rFonts w:ascii="Times New Roman" w:hAnsi="Times New Roman" w:cs="Times New Roman"/>
                <w:b/>
                <w:bCs/>
              </w:rPr>
            </w:pPr>
          </w:p>
        </w:tc>
        <w:tc>
          <w:tcPr>
            <w:tcW w:w="4248" w:type="dxa"/>
          </w:tcPr>
          <w:p w:rsidR="002C384A" w:rsidRPr="00AF5C58" w:rsidP="00E12E4F">
            <w:pPr>
              <w:spacing w:after="0"/>
              <w:rPr>
                <w:rFonts w:ascii="Times New Roman" w:hAnsi="Times New Roman" w:cs="Times New Roman"/>
              </w:rPr>
            </w:pPr>
          </w:p>
          <w:p w:rsidR="002C384A" w:rsidRPr="00AF5C58" w:rsidP="00E12E4F">
            <w:pPr>
              <w:spacing w:after="0"/>
              <w:jc w:val="right"/>
              <w:rPr>
                <w:rFonts w:ascii="Times New Roman" w:hAnsi="Times New Roman" w:cs="Times New Roman"/>
              </w:rPr>
            </w:pPr>
          </w:p>
          <w:p w:rsidR="002C384A" w:rsidRPr="00AF5C58" w:rsidP="00E12E4F">
            <w:pPr>
              <w:spacing w:after="0"/>
              <w:rPr>
                <w:rFonts w:ascii="Times New Roman" w:hAnsi="Times New Roman" w:cs="Times New Roman"/>
              </w:rPr>
            </w:pPr>
            <w:r w:rsidRPr="00AF5C58">
              <w:rPr>
                <w:rFonts w:ascii="Times New Roman" w:hAnsi="Times New Roman" w:cs="Times New Roman"/>
              </w:rPr>
              <w:t>CG Docket No. 02-278</w:t>
            </w:r>
          </w:p>
          <w:p w:rsidR="002C384A" w:rsidRPr="00AF5C58" w:rsidP="00E12E4F">
            <w:pPr>
              <w:spacing w:after="0"/>
              <w:rPr>
                <w:rFonts w:ascii="Times New Roman" w:hAnsi="Times New Roman" w:cs="Times New Roman"/>
              </w:rPr>
            </w:pPr>
          </w:p>
          <w:p w:rsidR="002C384A" w:rsidRPr="00AF5C58" w:rsidP="00E12E4F">
            <w:pPr>
              <w:spacing w:after="0"/>
              <w:rPr>
                <w:rFonts w:ascii="Times New Roman" w:hAnsi="Times New Roman" w:cs="Times New Roman"/>
              </w:rPr>
            </w:pPr>
          </w:p>
          <w:p w:rsidR="002C384A" w:rsidRPr="00AF5C58" w:rsidP="00E12E4F">
            <w:pPr>
              <w:spacing w:after="0"/>
              <w:rPr>
                <w:rFonts w:ascii="Times New Roman" w:hAnsi="Times New Roman" w:cs="Times New Roman"/>
              </w:rPr>
            </w:pPr>
            <w:r w:rsidRPr="00AF5C58">
              <w:rPr>
                <w:rFonts w:ascii="Times New Roman" w:hAnsi="Times New Roman" w:cs="Times New Roman"/>
              </w:rPr>
              <w:t>CG Docket No. 05-338</w:t>
            </w:r>
          </w:p>
          <w:p w:rsidR="002C384A" w:rsidRPr="00AF5C58" w:rsidP="00E12E4F">
            <w:pPr>
              <w:tabs>
                <w:tab w:val="center" w:pos="4680"/>
              </w:tabs>
              <w:suppressAutoHyphens/>
              <w:spacing w:after="0"/>
              <w:rPr>
                <w:rFonts w:ascii="Times New Roman" w:hAnsi="Times New Roman" w:cs="Times New Roman"/>
                <w:spacing w:val="-2"/>
              </w:rPr>
            </w:pPr>
          </w:p>
        </w:tc>
      </w:tr>
    </w:tbl>
    <w:p w:rsidR="00841AB1" w:rsidRPr="00AF5C58" w:rsidP="00F021FA">
      <w:pPr>
        <w:pStyle w:val="StyleBoldCentered"/>
        <w:rPr>
          <w:rFonts w:ascii="Times New Roman" w:hAnsi="Times New Roman"/>
        </w:rPr>
      </w:pPr>
      <w:r w:rsidRPr="00AF5C58">
        <w:rPr>
          <w:rFonts w:ascii="Times New Roman" w:hAnsi="Times New Roman"/>
        </w:rPr>
        <w:t>ORDER</w:t>
      </w:r>
    </w:p>
    <w:p w:rsidR="004C2EE3" w:rsidRPr="00AF5C58">
      <w:pPr>
        <w:tabs>
          <w:tab w:val="left" w:pos="-720"/>
        </w:tabs>
        <w:suppressAutoHyphens/>
        <w:spacing w:line="227" w:lineRule="auto"/>
        <w:rPr>
          <w:rFonts w:ascii="Times New Roman" w:hAnsi="Times New Roman" w:cs="Times New Roman"/>
          <w:spacing w:val="-2"/>
        </w:rPr>
      </w:pPr>
    </w:p>
    <w:p w:rsidR="004C2EE3" w:rsidRPr="0018257F" w:rsidP="0018257F">
      <w:pPr>
        <w:tabs>
          <w:tab w:val="left" w:pos="720"/>
          <w:tab w:val="right" w:pos="9360"/>
        </w:tabs>
        <w:suppressAutoHyphens/>
        <w:spacing w:after="0" w:line="240" w:lineRule="auto"/>
        <w:rPr>
          <w:rFonts w:ascii="Times New Roman" w:hAnsi="Times New Roman"/>
          <w:b/>
          <w:spacing w:val="-2"/>
        </w:rPr>
      </w:pPr>
      <w:r w:rsidRPr="00AF5C58">
        <w:rPr>
          <w:rFonts w:ascii="Times New Roman" w:hAnsi="Times New Roman" w:cs="Times New Roman"/>
          <w:b/>
          <w:spacing w:val="-2"/>
        </w:rPr>
        <w:t xml:space="preserve">Adopted:  </w:t>
      </w:r>
      <w:r w:rsidR="0044026E">
        <w:rPr>
          <w:rFonts w:ascii="Times New Roman" w:hAnsi="Times New Roman" w:cs="Times New Roman"/>
          <w:b/>
          <w:spacing w:val="-2"/>
        </w:rPr>
        <w:t>November 14, 2018</w:t>
      </w:r>
      <w:r w:rsidRPr="00AF5C58">
        <w:rPr>
          <w:rFonts w:ascii="Times New Roman" w:hAnsi="Times New Roman" w:cs="Times New Roman"/>
          <w:b/>
          <w:spacing w:val="-2"/>
        </w:rPr>
        <w:tab/>
      </w:r>
      <w:r w:rsidRPr="00AF5C58" w:rsidR="00822CE0">
        <w:rPr>
          <w:rFonts w:ascii="Times New Roman" w:hAnsi="Times New Roman" w:cs="Times New Roman"/>
          <w:b/>
          <w:spacing w:val="-2"/>
        </w:rPr>
        <w:t>Released</w:t>
      </w:r>
      <w:r w:rsidRPr="00AF5C58">
        <w:rPr>
          <w:rFonts w:ascii="Times New Roman" w:hAnsi="Times New Roman" w:cs="Times New Roman"/>
          <w:b/>
          <w:spacing w:val="-2"/>
        </w:rPr>
        <w:t>:</w:t>
      </w:r>
      <w:r w:rsidRPr="00AF5C58" w:rsidR="00822CE0">
        <w:rPr>
          <w:rFonts w:ascii="Times New Roman" w:hAnsi="Times New Roman" w:cs="Times New Roman"/>
          <w:b/>
          <w:spacing w:val="-2"/>
        </w:rPr>
        <w:t xml:space="preserve"> </w:t>
      </w:r>
      <w:r w:rsidRPr="00AF5C58">
        <w:rPr>
          <w:rFonts w:ascii="Times New Roman" w:hAnsi="Times New Roman" w:cs="Times New Roman"/>
          <w:b/>
          <w:spacing w:val="-2"/>
        </w:rPr>
        <w:t xml:space="preserve"> </w:t>
      </w:r>
      <w:r w:rsidR="0044026E">
        <w:rPr>
          <w:rFonts w:ascii="Times New Roman" w:hAnsi="Times New Roman" w:cs="Times New Roman"/>
          <w:b/>
          <w:spacing w:val="-2"/>
        </w:rPr>
        <w:t>November 14, 2018</w:t>
      </w:r>
    </w:p>
    <w:p w:rsidR="00262E95" w:rsidRPr="0018257F" w:rsidP="0018257F">
      <w:pPr>
        <w:tabs>
          <w:tab w:val="left" w:pos="720"/>
          <w:tab w:val="right" w:pos="9360"/>
        </w:tabs>
        <w:suppressAutoHyphens/>
        <w:spacing w:after="0" w:line="240" w:lineRule="auto"/>
        <w:rPr>
          <w:rFonts w:ascii="Times New Roman" w:hAnsi="Times New Roman"/>
          <w:spacing w:val="-2"/>
        </w:rPr>
      </w:pPr>
    </w:p>
    <w:p w:rsidR="004C2EE3" w:rsidP="0018257F">
      <w:pPr>
        <w:spacing w:after="0" w:line="240" w:lineRule="auto"/>
        <w:rPr>
          <w:rFonts w:ascii="Times New Roman" w:hAnsi="Times New Roman" w:cs="Times New Roman"/>
          <w:spacing w:val="-2"/>
        </w:rPr>
      </w:pPr>
      <w:r w:rsidRPr="00AF5C58">
        <w:rPr>
          <w:rFonts w:ascii="Times New Roman" w:hAnsi="Times New Roman" w:cs="Times New Roman"/>
        </w:rPr>
        <w:t xml:space="preserve">By </w:t>
      </w:r>
      <w:r w:rsidRPr="00AF5C58" w:rsidR="004E4A22">
        <w:rPr>
          <w:rFonts w:ascii="Times New Roman" w:hAnsi="Times New Roman" w:cs="Times New Roman"/>
        </w:rPr>
        <w:t>the</w:t>
      </w:r>
      <w:r w:rsidRPr="00AF5C58" w:rsidR="002A2D2E">
        <w:rPr>
          <w:rFonts w:ascii="Times New Roman" w:hAnsi="Times New Roman" w:cs="Times New Roman"/>
        </w:rPr>
        <w:t xml:space="preserve"> </w:t>
      </w:r>
      <w:r w:rsidRPr="00AF5C58" w:rsidR="002C384A">
        <w:rPr>
          <w:rFonts w:ascii="Times New Roman" w:hAnsi="Times New Roman" w:cs="Times New Roman"/>
          <w:spacing w:val="-2"/>
        </w:rPr>
        <w:t>Chief, Consumer and Governmental Affairs Bureau</w:t>
      </w:r>
      <w:r w:rsidRPr="00AF5C58">
        <w:rPr>
          <w:rFonts w:ascii="Times New Roman" w:hAnsi="Times New Roman" w:cs="Times New Roman"/>
          <w:spacing w:val="-2"/>
        </w:rPr>
        <w:t>:</w:t>
      </w:r>
    </w:p>
    <w:p w:rsidR="00262E95" w:rsidRPr="00AF5C58" w:rsidP="00BD5C74">
      <w:pPr>
        <w:spacing w:after="0" w:line="240" w:lineRule="auto"/>
        <w:rPr>
          <w:rFonts w:ascii="Times New Roman" w:hAnsi="Times New Roman" w:cs="Times New Roman"/>
          <w:spacing w:val="-2"/>
        </w:rPr>
      </w:pPr>
    </w:p>
    <w:p w:rsidR="002C00E8" w:rsidRPr="0018257F" w:rsidP="0018257F">
      <w:pPr>
        <w:pStyle w:val="Heading1"/>
        <w:spacing w:after="0"/>
      </w:pPr>
      <w:r>
        <w:t>INTRODUCTION</w:t>
      </w:r>
    </w:p>
    <w:p w:rsidR="00262E95" w:rsidRPr="004F65C0" w:rsidP="00BD5C74">
      <w:pPr>
        <w:pStyle w:val="ParaNum"/>
        <w:numPr>
          <w:ilvl w:val="0"/>
          <w:numId w:val="0"/>
        </w:numPr>
        <w:spacing w:after="0"/>
        <w:ind w:left="720"/>
      </w:pPr>
    </w:p>
    <w:p w:rsidR="00A0608C" w:rsidP="0018257F">
      <w:pPr>
        <w:pStyle w:val="ParaNum"/>
        <w:spacing w:after="0"/>
      </w:pPr>
      <w:r>
        <w:t xml:space="preserve">In this </w:t>
      </w:r>
      <w:r w:rsidRPr="00E12E4F" w:rsidR="007D30EA">
        <w:rPr>
          <w:i/>
        </w:rPr>
        <w:t>O</w:t>
      </w:r>
      <w:r w:rsidRPr="00E12E4F">
        <w:rPr>
          <w:i/>
        </w:rPr>
        <w:t>rder</w:t>
      </w:r>
      <w:r w:rsidR="009E4708">
        <w:t>,</w:t>
      </w:r>
      <w:r>
        <w:t xml:space="preserve"> we </w:t>
      </w:r>
      <w:r w:rsidR="0093304D">
        <w:t xml:space="preserve">eliminate </w:t>
      </w:r>
      <w:r>
        <w:t xml:space="preserve">the </w:t>
      </w:r>
      <w:r w:rsidR="00E12E4F">
        <w:t xml:space="preserve">Commission’s </w:t>
      </w:r>
      <w:r>
        <w:t xml:space="preserve">rule requiring opt-out notices on faxes sent with the recipients’ </w:t>
      </w:r>
      <w:r w:rsidR="00531C76">
        <w:t xml:space="preserve">prior </w:t>
      </w:r>
      <w:r>
        <w:t>permission or consent.</w:t>
      </w:r>
      <w:r>
        <w:rPr>
          <w:rStyle w:val="FootnoteReference"/>
        </w:rPr>
        <w:footnoteReference w:id="3"/>
      </w:r>
      <w:r>
        <w:t xml:space="preserve">  </w:t>
      </w:r>
      <w:r w:rsidR="0093304D">
        <w:t>We take t</w:t>
      </w:r>
      <w:r w:rsidR="00E12E4F">
        <w:t xml:space="preserve">his action in response to the decision of the Court of Appeals </w:t>
      </w:r>
      <w:r w:rsidR="002D5A28">
        <w:t xml:space="preserve">for </w:t>
      </w:r>
      <w:r w:rsidR="00E12E4F">
        <w:t>the D.C. Circuit finding that the rule “is unlawful to the extent that it requires opt out notices on solicited faxes.”</w:t>
      </w:r>
      <w:r>
        <w:rPr>
          <w:rStyle w:val="FootnoteReference"/>
        </w:rPr>
        <w:footnoteReference w:id="4"/>
      </w:r>
      <w:r w:rsidR="00E12E4F">
        <w:t xml:space="preserve">  </w:t>
      </w:r>
      <w:r w:rsidR="0093304D">
        <w:t>W</w:t>
      </w:r>
      <w:r w:rsidR="00B85388">
        <w:t xml:space="preserve">e </w:t>
      </w:r>
      <w:r w:rsidR="00AA25D6">
        <w:t>also</w:t>
      </w:r>
      <w:r w:rsidR="00531C76">
        <w:t xml:space="preserve"> dismiss as moot </w:t>
      </w:r>
      <w:r w:rsidR="00250F5C">
        <w:t xml:space="preserve">ten </w:t>
      </w:r>
      <w:r w:rsidR="00531C76">
        <w:t xml:space="preserve">pending petitions for retroactive waiver of the rule and two petitions for reconsideration of orders enforcing the </w:t>
      </w:r>
      <w:r w:rsidR="00AA25D6">
        <w:t>rule</w:t>
      </w:r>
      <w:r w:rsidR="00531C76">
        <w:t>.</w:t>
      </w:r>
    </w:p>
    <w:p w:rsidR="00262E95" w:rsidP="00BD5C74">
      <w:pPr>
        <w:pStyle w:val="ParaNum"/>
        <w:numPr>
          <w:ilvl w:val="0"/>
          <w:numId w:val="0"/>
        </w:numPr>
        <w:spacing w:after="0"/>
        <w:ind w:left="720"/>
      </w:pPr>
    </w:p>
    <w:p w:rsidR="00257BBA" w:rsidP="0018257F">
      <w:pPr>
        <w:pStyle w:val="Heading1"/>
        <w:spacing w:after="0"/>
      </w:pPr>
      <w:r>
        <w:t>Background</w:t>
      </w:r>
    </w:p>
    <w:p w:rsidR="00BD5C74" w:rsidRPr="00BD5C74" w:rsidP="00BD5C74">
      <w:pPr>
        <w:pStyle w:val="ParaNum"/>
        <w:numPr>
          <w:ilvl w:val="0"/>
          <w:numId w:val="0"/>
        </w:numPr>
        <w:spacing w:after="0"/>
        <w:ind w:left="720"/>
      </w:pPr>
    </w:p>
    <w:p w:rsidR="00F54DD3" w:rsidP="00BD5C74">
      <w:pPr>
        <w:keepNext/>
        <w:numPr>
          <w:ilvl w:val="1"/>
          <w:numId w:val="3"/>
        </w:numPr>
        <w:tabs>
          <w:tab w:val="num" w:pos="720"/>
          <w:tab w:val="clear" w:pos="1440"/>
        </w:tabs>
        <w:spacing w:after="0" w:line="240" w:lineRule="auto"/>
        <w:outlineLvl w:val="1"/>
        <w:rPr>
          <w:rFonts w:ascii="Times New Roman" w:eastAsia="Calibri" w:hAnsi="Times New Roman" w:cs="Times New Roman"/>
          <w:b/>
        </w:rPr>
      </w:pPr>
      <w:r>
        <w:rPr>
          <w:rFonts w:ascii="Times New Roman" w:eastAsia="Calibri" w:hAnsi="Times New Roman" w:cs="Times New Roman"/>
          <w:b/>
        </w:rPr>
        <w:t>T</w:t>
      </w:r>
      <w:r>
        <w:rPr>
          <w:rFonts w:ascii="Times New Roman" w:eastAsia="Calibri" w:hAnsi="Times New Roman" w:cs="Times New Roman"/>
          <w:b/>
        </w:rPr>
        <w:t>he Telephone Consumer Protection Act</w:t>
      </w:r>
    </w:p>
    <w:p w:rsidR="00262E95" w:rsidRPr="00AF5C58" w:rsidP="0018257F">
      <w:pPr>
        <w:keepNext/>
        <w:spacing w:after="0" w:line="240" w:lineRule="auto"/>
        <w:ind w:left="1440"/>
        <w:outlineLvl w:val="1"/>
        <w:rPr>
          <w:rFonts w:ascii="Times New Roman" w:eastAsia="Calibri" w:hAnsi="Times New Roman" w:cs="Times New Roman"/>
          <w:b/>
        </w:rPr>
      </w:pPr>
    </w:p>
    <w:p w:rsidR="00257BBA" w:rsidRPr="00BD5C74" w:rsidP="0018257F">
      <w:pPr>
        <w:pStyle w:val="ParaNum"/>
        <w:spacing w:after="0"/>
      </w:pPr>
      <w:r w:rsidRPr="00257BBA">
        <w:rPr>
          <w:rFonts w:eastAsia="Calibri"/>
          <w:snapToGrid/>
          <w:kern w:val="0"/>
          <w:szCs w:val="22"/>
        </w:rPr>
        <w:t>In 1991, Congress enacted the Telephone Consumer Protection Act (TCPA).</w:t>
      </w:r>
      <w:r>
        <w:rPr>
          <w:rFonts w:eastAsia="Calibri"/>
          <w:snapToGrid/>
          <w:vertAlign w:val="superscript"/>
        </w:rPr>
        <w:footnoteReference w:id="5"/>
      </w:r>
      <w:r w:rsidRPr="00257BBA">
        <w:rPr>
          <w:rFonts w:eastAsia="Calibri"/>
          <w:snapToGrid/>
          <w:kern w:val="0"/>
          <w:szCs w:val="22"/>
        </w:rPr>
        <w:t xml:space="preserve">  In relevant part, the TCPA prohibits the use of any telephone facsimile (fax) machine, computer, or other device to send an “unsolicited advertisement” to a telephone fax machine.</w:t>
      </w:r>
      <w:r>
        <w:rPr>
          <w:rFonts w:eastAsia="Calibri"/>
          <w:snapToGrid/>
          <w:vertAlign w:val="superscript"/>
        </w:rPr>
        <w:footnoteReference w:id="6"/>
      </w:r>
      <w:r w:rsidRPr="00257BBA">
        <w:rPr>
          <w:rFonts w:eastAsia="Calibri"/>
          <w:snapToGrid/>
          <w:kern w:val="0"/>
          <w:szCs w:val="22"/>
        </w:rPr>
        <w:t xml:space="preserve">  In 1992, the Commission adopted rules </w:t>
      </w:r>
      <w:r w:rsidRPr="00257BBA">
        <w:rPr>
          <w:rFonts w:eastAsia="Calibri"/>
          <w:snapToGrid/>
          <w:kern w:val="0"/>
          <w:szCs w:val="22"/>
        </w:rPr>
        <w:t>implementing the TCPA, including restrictions on the transmission of unsolicited fax ads.</w:t>
      </w:r>
      <w:r>
        <w:rPr>
          <w:rFonts w:eastAsia="Calibri"/>
          <w:snapToGrid/>
          <w:vertAlign w:val="superscript"/>
        </w:rPr>
        <w:footnoteReference w:id="7"/>
      </w:r>
    </w:p>
    <w:p w:rsidR="0093304D" w:rsidRPr="00257BBA" w:rsidP="00BD5C74">
      <w:pPr>
        <w:pStyle w:val="ParaNum"/>
        <w:numPr>
          <w:ilvl w:val="0"/>
          <w:numId w:val="0"/>
        </w:numPr>
        <w:spacing w:after="0"/>
        <w:ind w:left="720"/>
      </w:pPr>
    </w:p>
    <w:p w:rsidR="00257BBA" w:rsidRPr="00257BBA" w:rsidP="00257BBA">
      <w:pPr>
        <w:pStyle w:val="ParaNum"/>
      </w:pPr>
      <w:r w:rsidRPr="00257BBA">
        <w:rPr>
          <w:rFonts w:eastAsia="Calibri"/>
          <w:snapToGrid/>
          <w:kern w:val="0"/>
          <w:szCs w:val="22"/>
        </w:rPr>
        <w:t>In 2005, Congress enacted the Junk Fax Prevention Act, which amended the fax advertising provisions of the TCPA.</w:t>
      </w:r>
      <w:r>
        <w:rPr>
          <w:rFonts w:eastAsia="Calibri"/>
          <w:snapToGrid/>
          <w:vertAlign w:val="superscript"/>
        </w:rPr>
        <w:footnoteReference w:id="8"/>
      </w:r>
      <w:r w:rsidRPr="00257BBA">
        <w:rPr>
          <w:rFonts w:eastAsia="Calibri"/>
          <w:snapToGrid/>
          <w:kern w:val="0"/>
          <w:szCs w:val="22"/>
        </w:rPr>
        <w:t xml:space="preserve">  Among other things, the law:  (1) codified an established business relationship (EBR) exemption to the prohibition on sending unsolicited fax ads;</w:t>
      </w:r>
      <w:r>
        <w:rPr>
          <w:rFonts w:eastAsia="Calibri"/>
          <w:snapToGrid/>
          <w:vertAlign w:val="superscript"/>
        </w:rPr>
        <w:footnoteReference w:id="9"/>
      </w:r>
      <w:r w:rsidRPr="00257BBA">
        <w:rPr>
          <w:rFonts w:eastAsia="Calibri"/>
          <w:snapToGrid/>
          <w:kern w:val="0"/>
          <w:szCs w:val="22"/>
        </w:rPr>
        <w:t xml:space="preserve"> (2) provided a definition of EBR to be used in the context of unsolicited fax ads;</w:t>
      </w:r>
      <w:r>
        <w:rPr>
          <w:rFonts w:eastAsia="Calibri"/>
          <w:snapToGrid/>
          <w:vertAlign w:val="superscript"/>
        </w:rPr>
        <w:footnoteReference w:id="10"/>
      </w:r>
      <w:r w:rsidRPr="00257BBA">
        <w:rPr>
          <w:rFonts w:eastAsia="Calibri"/>
          <w:snapToGrid/>
          <w:kern w:val="0"/>
          <w:szCs w:val="22"/>
        </w:rPr>
        <w:t xml:space="preserve"> (3) required the sender of an unsolicited fax ad to provide specified notice and contact information on the fax that allows recipients to “opt out” of any future fax transmissions from the sender;</w:t>
      </w:r>
      <w:r>
        <w:rPr>
          <w:rFonts w:eastAsia="Calibri"/>
          <w:snapToGrid/>
          <w:vertAlign w:val="superscript"/>
        </w:rPr>
        <w:footnoteReference w:id="11"/>
      </w:r>
      <w:r w:rsidRPr="00257BBA">
        <w:rPr>
          <w:rFonts w:eastAsia="Calibri"/>
          <w:snapToGrid/>
          <w:kern w:val="0"/>
          <w:szCs w:val="22"/>
        </w:rPr>
        <w:t xml:space="preserve"> and (4) specified the circumstances under which a request to “opt out” complies with the Act.</w:t>
      </w:r>
      <w:r>
        <w:rPr>
          <w:rFonts w:eastAsia="Calibri"/>
          <w:snapToGrid/>
          <w:vertAlign w:val="superscript"/>
        </w:rPr>
        <w:footnoteReference w:id="12"/>
      </w:r>
      <w:r w:rsidRPr="00257BBA">
        <w:rPr>
          <w:rFonts w:eastAsia="Calibri"/>
          <w:snapToGrid/>
          <w:kern w:val="0"/>
          <w:szCs w:val="22"/>
        </w:rPr>
        <w:t xml:space="preserve">  </w:t>
      </w:r>
    </w:p>
    <w:p w:rsidR="00257BBA" w:rsidRPr="00257BBA" w:rsidP="00257BBA">
      <w:pPr>
        <w:pStyle w:val="ParaNum"/>
        <w:tabs>
          <w:tab w:val="num" w:pos="1440"/>
        </w:tabs>
      </w:pPr>
      <w:r w:rsidRPr="00257BBA">
        <w:rPr>
          <w:rFonts w:eastAsia="Calibri"/>
          <w:snapToGrid/>
          <w:kern w:val="0"/>
          <w:szCs w:val="22"/>
        </w:rPr>
        <w:t xml:space="preserve">In 2006, the Commission adopted the </w:t>
      </w:r>
      <w:r w:rsidRPr="00257BBA">
        <w:rPr>
          <w:rFonts w:eastAsia="Calibri"/>
          <w:i/>
          <w:iCs/>
          <w:snapToGrid/>
          <w:kern w:val="0"/>
          <w:szCs w:val="22"/>
        </w:rPr>
        <w:t>Junk Fax Order</w:t>
      </w:r>
      <w:r w:rsidRPr="00257BBA">
        <w:rPr>
          <w:rFonts w:eastAsia="Calibri"/>
          <w:snapToGrid/>
          <w:kern w:val="0"/>
          <w:szCs w:val="22"/>
        </w:rPr>
        <w:t xml:space="preserve"> amending the rules concerning fax transmissions as required by the Junk Fax Prevention Act and addressing certain issues raised in petitions for reconsideration.</w:t>
      </w:r>
      <w:r>
        <w:rPr>
          <w:rFonts w:eastAsia="Calibri"/>
          <w:snapToGrid/>
          <w:vertAlign w:val="superscript"/>
        </w:rPr>
        <w:footnoteReference w:id="13"/>
      </w:r>
      <w:r w:rsidRPr="00257BBA">
        <w:rPr>
          <w:rFonts w:eastAsia="Calibri"/>
          <w:snapToGrid/>
          <w:kern w:val="0"/>
          <w:szCs w:val="22"/>
        </w:rPr>
        <w:t xml:space="preserve">  As part of th</w:t>
      </w:r>
      <w:r w:rsidR="00AA25D6">
        <w:rPr>
          <w:rFonts w:eastAsia="Calibri"/>
          <w:snapToGrid/>
          <w:kern w:val="0"/>
          <w:szCs w:val="22"/>
        </w:rPr>
        <w:t xml:space="preserve">e </w:t>
      </w:r>
      <w:r w:rsidRPr="00AA25D6" w:rsidR="00AA25D6">
        <w:rPr>
          <w:rFonts w:eastAsia="Calibri"/>
          <w:i/>
          <w:snapToGrid/>
          <w:kern w:val="0"/>
          <w:szCs w:val="22"/>
        </w:rPr>
        <w:t>Junk Fax</w:t>
      </w:r>
      <w:r w:rsidRPr="00AA25D6">
        <w:rPr>
          <w:rFonts w:eastAsia="Calibri"/>
          <w:i/>
          <w:snapToGrid/>
          <w:kern w:val="0"/>
          <w:szCs w:val="22"/>
        </w:rPr>
        <w:t xml:space="preserve"> Order</w:t>
      </w:r>
      <w:r w:rsidRPr="00257BBA">
        <w:rPr>
          <w:rFonts w:eastAsia="Calibri"/>
          <w:snapToGrid/>
          <w:kern w:val="0"/>
          <w:szCs w:val="22"/>
        </w:rPr>
        <w:t xml:space="preserve">, the Commission adopted </w:t>
      </w:r>
      <w:r w:rsidR="007D30EA">
        <w:rPr>
          <w:rFonts w:eastAsia="Calibri"/>
          <w:snapToGrid/>
          <w:kern w:val="0"/>
          <w:szCs w:val="22"/>
        </w:rPr>
        <w:t xml:space="preserve">the </w:t>
      </w:r>
      <w:r w:rsidRPr="002618A8" w:rsidR="007D30EA">
        <w:rPr>
          <w:rFonts w:eastAsia="Calibri"/>
          <w:snapToGrid/>
          <w:kern w:val="0"/>
          <w:szCs w:val="22"/>
        </w:rPr>
        <w:t>2006 Solicited Fax Rule</w:t>
      </w:r>
      <w:r w:rsidRPr="00257BBA">
        <w:rPr>
          <w:rFonts w:eastAsia="Calibri"/>
          <w:snapToGrid/>
          <w:kern w:val="0"/>
          <w:szCs w:val="22"/>
        </w:rPr>
        <w:t xml:space="preserve"> </w:t>
      </w:r>
      <w:r w:rsidR="007D30EA">
        <w:rPr>
          <w:rFonts w:eastAsia="Calibri"/>
          <w:snapToGrid/>
          <w:kern w:val="0"/>
          <w:szCs w:val="22"/>
        </w:rPr>
        <w:t>requiring that fax</w:t>
      </w:r>
      <w:r w:rsidRPr="00257BBA">
        <w:rPr>
          <w:rFonts w:eastAsia="Calibri"/>
          <w:snapToGrid/>
          <w:kern w:val="0"/>
          <w:szCs w:val="22"/>
        </w:rPr>
        <w:t xml:space="preserve"> advertisement</w:t>
      </w:r>
      <w:r w:rsidR="007D30EA">
        <w:rPr>
          <w:rFonts w:eastAsia="Calibri"/>
          <w:snapToGrid/>
          <w:kern w:val="0"/>
          <w:szCs w:val="22"/>
        </w:rPr>
        <w:t>s</w:t>
      </w:r>
      <w:r w:rsidRPr="00257BBA">
        <w:rPr>
          <w:rFonts w:eastAsia="Calibri"/>
          <w:snapToGrid/>
          <w:kern w:val="0"/>
          <w:szCs w:val="22"/>
        </w:rPr>
        <w:t xml:space="preserve"> “sent to a recipient that has provided prior express invitation or permission to the sender must include an opt-out notice.”</w:t>
      </w:r>
      <w:r>
        <w:rPr>
          <w:rFonts w:eastAsia="Calibri"/>
          <w:snapToGrid/>
          <w:vertAlign w:val="superscript"/>
        </w:rPr>
        <w:footnoteReference w:id="14"/>
      </w:r>
      <w:r w:rsidRPr="00257BBA">
        <w:rPr>
          <w:rFonts w:eastAsia="Calibri"/>
          <w:snapToGrid/>
          <w:kern w:val="0"/>
          <w:szCs w:val="22"/>
        </w:rPr>
        <w:t xml:space="preserve">  </w:t>
      </w:r>
    </w:p>
    <w:p w:rsidR="00257BBA" w:rsidRPr="00AF5C58" w:rsidP="004F65C0">
      <w:pPr>
        <w:keepNext/>
        <w:numPr>
          <w:ilvl w:val="1"/>
          <w:numId w:val="3"/>
        </w:numPr>
        <w:tabs>
          <w:tab w:val="num" w:pos="720"/>
          <w:tab w:val="clear" w:pos="1440"/>
        </w:tabs>
        <w:spacing w:after="220"/>
        <w:outlineLvl w:val="1"/>
        <w:rPr>
          <w:rFonts w:ascii="Times New Roman" w:eastAsia="Calibri" w:hAnsi="Times New Roman" w:cs="Times New Roman"/>
          <w:b/>
        </w:rPr>
      </w:pPr>
      <w:r w:rsidRPr="00AF5C58">
        <w:rPr>
          <w:rFonts w:ascii="Times New Roman" w:eastAsia="Calibri" w:hAnsi="Times New Roman" w:cs="Times New Roman"/>
          <w:b/>
        </w:rPr>
        <w:t>The Anda Proceeding</w:t>
      </w:r>
    </w:p>
    <w:p w:rsidR="00257BBA" w:rsidRPr="00257BBA" w:rsidP="004F65C0">
      <w:pPr>
        <w:pStyle w:val="ParaNum"/>
        <w:rPr>
          <w:rFonts w:eastAsia="Calibri"/>
        </w:rPr>
      </w:pPr>
      <w:r w:rsidRPr="00257BBA">
        <w:rPr>
          <w:rFonts w:eastAsia="Calibri"/>
          <w:snapToGrid/>
          <w:kern w:val="0"/>
          <w:szCs w:val="22"/>
        </w:rPr>
        <w:t xml:space="preserve">In 2010, Anda, Inc. (Anda) sought a declaratory ruling on the </w:t>
      </w:r>
      <w:r w:rsidR="0042768D">
        <w:rPr>
          <w:rFonts w:eastAsia="Calibri"/>
          <w:snapToGrid/>
          <w:kern w:val="0"/>
          <w:szCs w:val="22"/>
        </w:rPr>
        <w:t>2006 Solicited Fax Rule</w:t>
      </w:r>
      <w:r w:rsidRPr="00257BBA">
        <w:rPr>
          <w:rFonts w:eastAsia="Calibri"/>
          <w:snapToGrid/>
          <w:kern w:val="0"/>
          <w:szCs w:val="22"/>
        </w:rPr>
        <w:t xml:space="preserve"> as applied to fax ads sent with recipient consent.  Specifically, Anda asked the Commission to find:  (1) </w:t>
      </w:r>
      <w:r w:rsidR="0083309C">
        <w:rPr>
          <w:rFonts w:eastAsia="Calibri"/>
          <w:snapToGrid/>
          <w:kern w:val="0"/>
          <w:szCs w:val="22"/>
        </w:rPr>
        <w:t xml:space="preserve">that </w:t>
      </w:r>
      <w:r w:rsidRPr="00257BBA">
        <w:rPr>
          <w:rFonts w:eastAsia="Calibri"/>
          <w:snapToGrid/>
          <w:kern w:val="0"/>
          <w:szCs w:val="22"/>
        </w:rPr>
        <w:t>it lacked any authority to adopt a rule requiring an opt-out notice on fax ads sent with the recipient</w:t>
      </w:r>
      <w:r w:rsidR="0044793C">
        <w:rPr>
          <w:rFonts w:eastAsia="Calibri"/>
          <w:snapToGrid/>
          <w:kern w:val="0"/>
          <w:szCs w:val="22"/>
        </w:rPr>
        <w:t>’s</w:t>
      </w:r>
      <w:r w:rsidRPr="00257BBA">
        <w:rPr>
          <w:rFonts w:eastAsia="Calibri"/>
          <w:snapToGrid/>
          <w:kern w:val="0"/>
          <w:szCs w:val="22"/>
        </w:rPr>
        <w:t xml:space="preserve"> consent; or (2) in the alternative, </w:t>
      </w:r>
      <w:r w:rsidR="0083309C">
        <w:rPr>
          <w:rFonts w:eastAsia="Calibri"/>
          <w:snapToGrid/>
          <w:kern w:val="0"/>
          <w:szCs w:val="22"/>
        </w:rPr>
        <w:t xml:space="preserve">that </w:t>
      </w:r>
      <w:r w:rsidR="00AA25D6">
        <w:rPr>
          <w:rFonts w:eastAsia="Calibri"/>
          <w:snapToGrid/>
          <w:kern w:val="0"/>
          <w:szCs w:val="22"/>
        </w:rPr>
        <w:t>S</w:t>
      </w:r>
      <w:r w:rsidRPr="00257BBA">
        <w:rPr>
          <w:rFonts w:eastAsia="Calibri"/>
          <w:snapToGrid/>
          <w:kern w:val="0"/>
          <w:szCs w:val="22"/>
        </w:rPr>
        <w:t>ection 227(b) of the Act is not the statutory basis for the rule.</w:t>
      </w:r>
      <w:r>
        <w:rPr>
          <w:rFonts w:eastAsia="Calibri"/>
          <w:snapToGrid/>
          <w:vertAlign w:val="superscript"/>
        </w:rPr>
        <w:footnoteReference w:id="15"/>
      </w:r>
      <w:r w:rsidRPr="00257BBA">
        <w:rPr>
          <w:rFonts w:eastAsia="Calibri"/>
          <w:snapToGrid/>
          <w:kern w:val="0"/>
          <w:szCs w:val="22"/>
        </w:rPr>
        <w:t xml:space="preserve">  In 2012, the </w:t>
      </w:r>
      <w:r w:rsidR="002A0066">
        <w:rPr>
          <w:rFonts w:eastAsia="Calibri"/>
          <w:snapToGrid/>
          <w:kern w:val="0"/>
          <w:szCs w:val="22"/>
        </w:rPr>
        <w:t xml:space="preserve">Consumer and Governmental Affairs </w:t>
      </w:r>
      <w:r w:rsidRPr="00257BBA">
        <w:rPr>
          <w:rFonts w:eastAsia="Calibri"/>
          <w:snapToGrid/>
          <w:kern w:val="0"/>
          <w:szCs w:val="22"/>
        </w:rPr>
        <w:t xml:space="preserve">Bureau </w:t>
      </w:r>
      <w:r w:rsidR="002A0066">
        <w:rPr>
          <w:rFonts w:eastAsia="Calibri"/>
          <w:snapToGrid/>
          <w:kern w:val="0"/>
          <w:szCs w:val="22"/>
        </w:rPr>
        <w:t xml:space="preserve">(CGB or Bureau) </w:t>
      </w:r>
      <w:r w:rsidRPr="00257BBA">
        <w:rPr>
          <w:rFonts w:eastAsia="Calibri"/>
          <w:snapToGrid/>
          <w:kern w:val="0"/>
          <w:szCs w:val="22"/>
        </w:rPr>
        <w:t>dismissed Anda’s petition</w:t>
      </w:r>
      <w:r w:rsidR="0083309C">
        <w:rPr>
          <w:rFonts w:eastAsia="Calibri"/>
          <w:snapToGrid/>
          <w:kern w:val="0"/>
          <w:szCs w:val="22"/>
        </w:rPr>
        <w:t>,</w:t>
      </w:r>
      <w:r>
        <w:rPr>
          <w:rFonts w:eastAsia="Calibri"/>
          <w:snapToGrid/>
          <w:sz w:val="24"/>
          <w:vertAlign w:val="superscript"/>
        </w:rPr>
        <w:footnoteReference w:id="16"/>
      </w:r>
      <w:r w:rsidRPr="00257BBA">
        <w:rPr>
          <w:rFonts w:eastAsia="Calibri"/>
          <w:snapToGrid/>
          <w:kern w:val="0"/>
          <w:szCs w:val="22"/>
        </w:rPr>
        <w:t xml:space="preserve"> finding that the Commission had the authority to adopt the rule and </w:t>
      </w:r>
      <w:r w:rsidR="0083309C">
        <w:rPr>
          <w:rFonts w:eastAsia="Calibri"/>
          <w:snapToGrid/>
          <w:kern w:val="0"/>
          <w:szCs w:val="22"/>
        </w:rPr>
        <w:t xml:space="preserve">that </w:t>
      </w:r>
      <w:r w:rsidR="00AA25D6">
        <w:rPr>
          <w:rFonts w:eastAsia="Calibri"/>
          <w:snapToGrid/>
          <w:kern w:val="0"/>
          <w:szCs w:val="22"/>
        </w:rPr>
        <w:t>S</w:t>
      </w:r>
      <w:r w:rsidRPr="00257BBA">
        <w:rPr>
          <w:rFonts w:eastAsia="Calibri"/>
          <w:snapToGrid/>
          <w:kern w:val="0"/>
          <w:szCs w:val="22"/>
        </w:rPr>
        <w:t xml:space="preserve">ection 227(b) </w:t>
      </w:r>
      <w:r w:rsidR="0083309C">
        <w:rPr>
          <w:rFonts w:eastAsia="Calibri"/>
          <w:snapToGrid/>
          <w:kern w:val="0"/>
          <w:szCs w:val="22"/>
        </w:rPr>
        <w:t xml:space="preserve">had been cited as </w:t>
      </w:r>
      <w:r w:rsidRPr="00257BBA">
        <w:rPr>
          <w:rFonts w:eastAsia="Calibri"/>
          <w:snapToGrid/>
          <w:kern w:val="0"/>
          <w:szCs w:val="22"/>
        </w:rPr>
        <w:t>authority</w:t>
      </w:r>
      <w:r w:rsidR="0083309C">
        <w:rPr>
          <w:rFonts w:eastAsia="Calibri"/>
          <w:snapToGrid/>
          <w:kern w:val="0"/>
          <w:szCs w:val="22"/>
        </w:rPr>
        <w:t xml:space="preserve"> for adopting the rule</w:t>
      </w:r>
      <w:r w:rsidRPr="00257BBA">
        <w:rPr>
          <w:rFonts w:eastAsia="Calibri"/>
          <w:snapToGrid/>
          <w:kern w:val="0"/>
          <w:szCs w:val="22"/>
        </w:rPr>
        <w:t>.</w:t>
      </w:r>
      <w:r>
        <w:rPr>
          <w:rFonts w:eastAsia="Calibri"/>
          <w:snapToGrid/>
          <w:sz w:val="24"/>
          <w:vertAlign w:val="superscript"/>
        </w:rPr>
        <w:footnoteReference w:id="17"/>
      </w:r>
      <w:r w:rsidRPr="00257BBA">
        <w:rPr>
          <w:rFonts w:eastAsia="Calibri"/>
          <w:snapToGrid/>
          <w:kern w:val="0"/>
          <w:szCs w:val="22"/>
        </w:rPr>
        <w:t xml:space="preserve">  The Bureau also found that the Commission had clearly set forth the rule’s requirement and found no controversy to terminate or uncertainty to remove.</w:t>
      </w:r>
      <w:r>
        <w:rPr>
          <w:rFonts w:eastAsia="Calibri"/>
          <w:snapToGrid/>
          <w:sz w:val="24"/>
          <w:vertAlign w:val="superscript"/>
        </w:rPr>
        <w:footnoteReference w:id="18"/>
      </w:r>
    </w:p>
    <w:p w:rsidR="00257BBA" w:rsidRPr="00E91699" w:rsidP="00E91699">
      <w:pPr>
        <w:pStyle w:val="ParaNum"/>
        <w:rPr>
          <w:rFonts w:eastAsia="Calibri"/>
        </w:rPr>
      </w:pPr>
      <w:r w:rsidRPr="00257BBA">
        <w:rPr>
          <w:rFonts w:eastAsia="Calibri"/>
          <w:snapToGrid/>
          <w:kern w:val="0"/>
          <w:szCs w:val="22"/>
        </w:rPr>
        <w:t xml:space="preserve">Anda sought </w:t>
      </w:r>
      <w:r w:rsidR="00D219C8">
        <w:rPr>
          <w:rFonts w:eastAsia="Calibri"/>
          <w:snapToGrid/>
          <w:kern w:val="0"/>
          <w:szCs w:val="22"/>
        </w:rPr>
        <w:t>Commission</w:t>
      </w:r>
      <w:r w:rsidRPr="00257BBA" w:rsidR="00D219C8">
        <w:rPr>
          <w:rFonts w:eastAsia="Calibri"/>
          <w:snapToGrid/>
          <w:kern w:val="0"/>
          <w:szCs w:val="22"/>
        </w:rPr>
        <w:t xml:space="preserve"> </w:t>
      </w:r>
      <w:r w:rsidRPr="00257BBA">
        <w:rPr>
          <w:rFonts w:eastAsia="Calibri"/>
          <w:snapToGrid/>
          <w:kern w:val="0"/>
          <w:szCs w:val="22"/>
        </w:rPr>
        <w:t>review of the Bureau decision, reiterating its earlier arguments that the Commission lacked authority to adopt the rule or, alternatively, that the TCPA was not the basis for the rule.</w:t>
      </w:r>
      <w:r>
        <w:rPr>
          <w:rFonts w:eastAsia="Calibri"/>
          <w:snapToGrid/>
          <w:sz w:val="24"/>
          <w:vertAlign w:val="superscript"/>
        </w:rPr>
        <w:footnoteReference w:id="19"/>
      </w:r>
      <w:r w:rsidRPr="00257BBA">
        <w:rPr>
          <w:rFonts w:eastAsia="Calibri"/>
          <w:snapToGrid/>
          <w:kern w:val="0"/>
          <w:szCs w:val="22"/>
        </w:rPr>
        <w:t xml:space="preserve">  </w:t>
      </w:r>
      <w:r w:rsidR="00FA4466">
        <w:rPr>
          <w:rFonts w:eastAsia="Calibri"/>
          <w:snapToGrid/>
          <w:kern w:val="0"/>
          <w:szCs w:val="22"/>
        </w:rPr>
        <w:t>In 2014, t</w:t>
      </w:r>
      <w:r w:rsidR="00E91699">
        <w:rPr>
          <w:rFonts w:eastAsia="Calibri"/>
          <w:snapToGrid/>
          <w:kern w:val="0"/>
          <w:szCs w:val="22"/>
        </w:rPr>
        <w:t xml:space="preserve">he </w:t>
      </w:r>
      <w:r w:rsidRPr="00E91699">
        <w:rPr>
          <w:rFonts w:eastAsia="Calibri"/>
          <w:snapToGrid/>
          <w:kern w:val="0"/>
          <w:szCs w:val="22"/>
        </w:rPr>
        <w:t>Commission denied Anda’s Application for Review</w:t>
      </w:r>
      <w:r w:rsidR="00884195">
        <w:rPr>
          <w:rFonts w:eastAsia="Calibri"/>
          <w:snapToGrid/>
          <w:kern w:val="0"/>
          <w:szCs w:val="22"/>
        </w:rPr>
        <w:t xml:space="preserve"> but </w:t>
      </w:r>
      <w:r w:rsidRPr="00E91699" w:rsidR="00430BA2">
        <w:rPr>
          <w:rFonts w:eastAsia="Calibri"/>
          <w:snapToGrid/>
          <w:kern w:val="0"/>
          <w:szCs w:val="22"/>
        </w:rPr>
        <w:t>grant</w:t>
      </w:r>
      <w:r w:rsidR="00430BA2">
        <w:rPr>
          <w:rFonts w:eastAsia="Calibri"/>
          <w:snapToGrid/>
          <w:kern w:val="0"/>
          <w:szCs w:val="22"/>
        </w:rPr>
        <w:t>ed</w:t>
      </w:r>
      <w:r w:rsidRPr="00E91699" w:rsidR="00430BA2">
        <w:rPr>
          <w:rFonts w:eastAsia="Calibri"/>
          <w:snapToGrid/>
          <w:kern w:val="0"/>
          <w:szCs w:val="22"/>
        </w:rPr>
        <w:t xml:space="preserve"> </w:t>
      </w:r>
      <w:r w:rsidRPr="00E91699">
        <w:rPr>
          <w:rFonts w:eastAsia="Calibri"/>
          <w:snapToGrid/>
          <w:kern w:val="0"/>
          <w:szCs w:val="22"/>
        </w:rPr>
        <w:t>limited retroactive waivers to petitioners</w:t>
      </w:r>
      <w:r>
        <w:rPr>
          <w:rFonts w:eastAsia="Calibri"/>
          <w:snapToGrid/>
          <w:sz w:val="24"/>
          <w:vertAlign w:val="superscript"/>
        </w:rPr>
        <w:footnoteReference w:id="20"/>
      </w:r>
      <w:r w:rsidRPr="00E91699">
        <w:rPr>
          <w:rFonts w:eastAsia="Calibri"/>
          <w:snapToGrid/>
          <w:kern w:val="0"/>
          <w:szCs w:val="22"/>
        </w:rPr>
        <w:t xml:space="preserve"> </w:t>
      </w:r>
      <w:r w:rsidR="0072049C">
        <w:rPr>
          <w:rFonts w:eastAsia="Calibri"/>
          <w:snapToGrid/>
          <w:kern w:val="0"/>
          <w:szCs w:val="22"/>
        </w:rPr>
        <w:t>in light of record evidence that</w:t>
      </w:r>
      <w:r w:rsidR="00430BA2">
        <w:rPr>
          <w:rFonts w:eastAsia="Calibri"/>
          <w:snapToGrid/>
          <w:kern w:val="0"/>
          <w:szCs w:val="22"/>
        </w:rPr>
        <w:t xml:space="preserve"> a</w:t>
      </w:r>
      <w:r w:rsidR="0072049C">
        <w:rPr>
          <w:rFonts w:eastAsia="Calibri"/>
          <w:snapToGrid/>
          <w:kern w:val="0"/>
          <w:szCs w:val="22"/>
        </w:rPr>
        <w:t xml:space="preserve"> </w:t>
      </w:r>
      <w:r w:rsidRPr="00E91699">
        <w:rPr>
          <w:rFonts w:eastAsia="Calibri"/>
          <w:snapToGrid/>
          <w:kern w:val="0"/>
          <w:szCs w:val="22"/>
        </w:rPr>
        <w:t xml:space="preserve">footnote in the </w:t>
      </w:r>
      <w:r w:rsidRPr="00E91699">
        <w:rPr>
          <w:rFonts w:eastAsia="Calibri"/>
          <w:i/>
          <w:snapToGrid/>
          <w:kern w:val="0"/>
          <w:szCs w:val="22"/>
        </w:rPr>
        <w:t>Junk Fax Order</w:t>
      </w:r>
      <w:r w:rsidRPr="00E91699">
        <w:rPr>
          <w:rFonts w:eastAsia="Calibri"/>
          <w:snapToGrid/>
          <w:kern w:val="0"/>
          <w:szCs w:val="22"/>
        </w:rPr>
        <w:t xml:space="preserve"> caused confusion regarding the applicability of the opt-out notice requirement to </w:t>
      </w:r>
      <w:r w:rsidR="0072049C">
        <w:rPr>
          <w:rFonts w:eastAsia="Calibri"/>
          <w:snapToGrid/>
          <w:kern w:val="0"/>
          <w:szCs w:val="22"/>
        </w:rPr>
        <w:t xml:space="preserve">solicited </w:t>
      </w:r>
      <w:r w:rsidRPr="00E91699">
        <w:rPr>
          <w:rFonts w:eastAsia="Calibri"/>
          <w:snapToGrid/>
          <w:kern w:val="0"/>
          <w:szCs w:val="22"/>
        </w:rPr>
        <w:t>faxes</w:t>
      </w:r>
      <w:r w:rsidRPr="005C6B31">
        <w:rPr>
          <w:rFonts w:eastAsia="Calibri"/>
          <w:snapToGrid/>
          <w:kern w:val="0"/>
          <w:szCs w:val="22"/>
        </w:rPr>
        <w:t>.</w:t>
      </w:r>
      <w:r>
        <w:rPr>
          <w:rFonts w:eastAsia="Calibri"/>
          <w:snapToGrid/>
          <w:sz w:val="24"/>
          <w:vertAlign w:val="superscript"/>
        </w:rPr>
        <w:footnoteReference w:id="21"/>
      </w:r>
      <w:r w:rsidRPr="00E91699">
        <w:rPr>
          <w:rFonts w:eastAsia="Calibri"/>
          <w:snapToGrid/>
          <w:kern w:val="0"/>
          <w:szCs w:val="22"/>
        </w:rPr>
        <w:t xml:space="preserve">    </w:t>
      </w:r>
    </w:p>
    <w:p w:rsidR="001D41F4" w:rsidRPr="001D41F4" w:rsidP="00B6255B">
      <w:pPr>
        <w:pStyle w:val="ParaNum"/>
      </w:pPr>
      <w:r>
        <w:t xml:space="preserve">The </w:t>
      </w:r>
      <w:r w:rsidRPr="00430BA2">
        <w:t xml:space="preserve">Commission </w:t>
      </w:r>
      <w:r>
        <w:t xml:space="preserve">has ruled on </w:t>
      </w:r>
      <w:r w:rsidRPr="009163A4" w:rsidR="00CA4027">
        <w:rPr>
          <w:rFonts w:eastAsia="Calibri"/>
          <w:snapToGrid/>
          <w:kern w:val="0"/>
          <w:szCs w:val="22"/>
        </w:rPr>
        <w:t>16</w:t>
      </w:r>
      <w:r w:rsidR="00B6255B">
        <w:rPr>
          <w:rFonts w:eastAsia="Calibri"/>
          <w:snapToGrid/>
          <w:kern w:val="0"/>
          <w:szCs w:val="22"/>
        </w:rPr>
        <w:t>3</w:t>
      </w:r>
      <w:r w:rsidRPr="009163A4" w:rsidR="000D7D5C">
        <w:rPr>
          <w:rFonts w:eastAsia="Calibri"/>
          <w:snapToGrid/>
          <w:kern w:val="0"/>
          <w:szCs w:val="22"/>
        </w:rPr>
        <w:t xml:space="preserve"> petitions seeking waiver of the rule.</w:t>
      </w:r>
      <w:r>
        <w:rPr>
          <w:rStyle w:val="FootnoteReference"/>
          <w:rFonts w:eastAsia="Calibri"/>
          <w:snapToGrid/>
          <w:kern w:val="0"/>
          <w:szCs w:val="22"/>
        </w:rPr>
        <w:footnoteReference w:id="22"/>
      </w:r>
      <w:r w:rsidRPr="009163A4" w:rsidR="000D7D5C">
        <w:rPr>
          <w:rFonts w:eastAsia="Calibri"/>
          <w:snapToGrid/>
          <w:kern w:val="0"/>
          <w:szCs w:val="22"/>
        </w:rPr>
        <w:t xml:space="preserve">  </w:t>
      </w:r>
      <w:r w:rsidRPr="009163A4" w:rsidR="00796943">
        <w:rPr>
          <w:rFonts w:eastAsia="Calibri"/>
          <w:snapToGrid/>
          <w:kern w:val="0"/>
          <w:szCs w:val="22"/>
        </w:rPr>
        <w:t xml:space="preserve">Of the petitions for retroactive waiver filed, </w:t>
      </w:r>
      <w:r w:rsidRPr="009163A4" w:rsidR="004F10FB">
        <w:rPr>
          <w:rFonts w:eastAsia="Calibri"/>
          <w:snapToGrid/>
          <w:kern w:val="0"/>
          <w:szCs w:val="22"/>
        </w:rPr>
        <w:t xml:space="preserve">144 petitions </w:t>
      </w:r>
      <w:r w:rsidRPr="009163A4" w:rsidR="00DD597F">
        <w:rPr>
          <w:rFonts w:eastAsia="Calibri"/>
          <w:snapToGrid/>
          <w:kern w:val="0"/>
          <w:szCs w:val="22"/>
        </w:rPr>
        <w:t xml:space="preserve">were </w:t>
      </w:r>
      <w:r w:rsidRPr="009163A4" w:rsidR="004F10FB">
        <w:rPr>
          <w:rFonts w:eastAsia="Calibri"/>
          <w:snapToGrid/>
          <w:kern w:val="0"/>
          <w:szCs w:val="22"/>
        </w:rPr>
        <w:t xml:space="preserve">granted and nine </w:t>
      </w:r>
      <w:r w:rsidRPr="009163A4" w:rsidR="00DD597F">
        <w:rPr>
          <w:rFonts w:eastAsia="Calibri"/>
          <w:snapToGrid/>
          <w:kern w:val="0"/>
          <w:szCs w:val="22"/>
        </w:rPr>
        <w:t>were</w:t>
      </w:r>
      <w:r w:rsidRPr="009163A4" w:rsidR="004F10FB">
        <w:rPr>
          <w:rFonts w:eastAsia="Calibri"/>
          <w:snapToGrid/>
          <w:kern w:val="0"/>
          <w:szCs w:val="22"/>
        </w:rPr>
        <w:t xml:space="preserve"> denied.</w:t>
      </w:r>
      <w:r w:rsidR="009163A4">
        <w:t xml:space="preserve">  </w:t>
      </w:r>
      <w:r w:rsidR="005C01D3">
        <w:t>Ten</w:t>
      </w:r>
      <w:r w:rsidR="000D7D5C">
        <w:t xml:space="preserve"> petitions </w:t>
      </w:r>
      <w:r w:rsidR="00DD597F">
        <w:t xml:space="preserve">for retroactive waiver </w:t>
      </w:r>
      <w:r w:rsidR="000D7D5C">
        <w:t>remain pending before the Commission.</w:t>
      </w:r>
      <w:r>
        <w:rPr>
          <w:rStyle w:val="FootnoteReference"/>
        </w:rPr>
        <w:footnoteReference w:id="23"/>
      </w:r>
      <w:r w:rsidR="00E813BE">
        <w:t xml:space="preserve"> </w:t>
      </w:r>
      <w:r w:rsidR="002A0066">
        <w:t xml:space="preserve"> </w:t>
      </w:r>
      <w:r w:rsidR="005C01D3">
        <w:t xml:space="preserve">Two </w:t>
      </w:r>
      <w:r w:rsidR="00617DFF">
        <w:t>parties who</w:t>
      </w:r>
      <w:r w:rsidR="009163A4">
        <w:t xml:space="preserve">se </w:t>
      </w:r>
      <w:r w:rsidR="00617DFF">
        <w:t xml:space="preserve">petitions for retroactive waivers </w:t>
      </w:r>
      <w:r w:rsidR="009163A4">
        <w:t xml:space="preserve">were denied </w:t>
      </w:r>
      <w:r w:rsidR="00617DFF">
        <w:t xml:space="preserve">filed </w:t>
      </w:r>
      <w:r w:rsidR="00BD5C74">
        <w:t>p</w:t>
      </w:r>
      <w:r w:rsidR="00617DFF">
        <w:t xml:space="preserve">etitions for </w:t>
      </w:r>
      <w:r w:rsidR="00BD5C74">
        <w:t>r</w:t>
      </w:r>
      <w:r w:rsidR="00617DFF">
        <w:t xml:space="preserve">econsideration </w:t>
      </w:r>
      <w:r w:rsidR="009163A4">
        <w:t xml:space="preserve">of </w:t>
      </w:r>
      <w:r w:rsidR="00617DFF">
        <w:t>th</w:t>
      </w:r>
      <w:r w:rsidR="009163A4">
        <w:t>o</w:t>
      </w:r>
      <w:r w:rsidR="00617DFF">
        <w:t>se denials.</w:t>
      </w:r>
      <w:r>
        <w:rPr>
          <w:rStyle w:val="FootnoteReference"/>
        </w:rPr>
        <w:footnoteReference w:id="24"/>
      </w:r>
      <w:r w:rsidR="00BD1D07">
        <w:t xml:space="preserve"> </w:t>
      </w:r>
      <w:r w:rsidR="002A0066">
        <w:t xml:space="preserve"> These petitions </w:t>
      </w:r>
      <w:r w:rsidR="00CA4027">
        <w:t>remain</w:t>
      </w:r>
      <w:r w:rsidR="002A0066">
        <w:t xml:space="preserve"> pending</w:t>
      </w:r>
      <w:r w:rsidR="00CA4027">
        <w:t xml:space="preserve"> before the Bureau</w:t>
      </w:r>
      <w:r w:rsidR="002A0066">
        <w:t>.</w:t>
      </w:r>
    </w:p>
    <w:p w:rsidR="004F10FB" w:rsidP="004F10FB">
      <w:pPr>
        <w:pStyle w:val="ParaNum"/>
      </w:pPr>
      <w:r>
        <w:t xml:space="preserve">In </w:t>
      </w:r>
      <w:r>
        <w:t>March 2017</w:t>
      </w:r>
      <w:r w:rsidR="00AA25D6">
        <w:t>,</w:t>
      </w:r>
      <w:r>
        <w:t xml:space="preserve"> the Court of Appeals for the D.C. Circuit </w:t>
      </w:r>
      <w:r w:rsidR="00DD597F">
        <w:t>held that the Commission did not have authority to require opt</w:t>
      </w:r>
      <w:r w:rsidR="00CB076E">
        <w:t>-</w:t>
      </w:r>
      <w:r w:rsidR="00DD597F">
        <w:t>out notices on solicited faxes and</w:t>
      </w:r>
      <w:r w:rsidR="00437A25">
        <w:t xml:space="preserve"> held that </w:t>
      </w:r>
      <w:r w:rsidR="00DD597F">
        <w:t>the 2006 Solicited Fax Rule</w:t>
      </w:r>
      <w:r w:rsidR="00437A25">
        <w:t xml:space="preserve"> was unlawful</w:t>
      </w:r>
      <w:r>
        <w:t>.</w:t>
      </w:r>
      <w:r>
        <w:rPr>
          <w:rStyle w:val="FootnoteReference"/>
        </w:rPr>
        <w:footnoteReference w:id="25"/>
      </w:r>
      <w:r>
        <w:t xml:space="preserve">  </w:t>
      </w:r>
      <w:r w:rsidR="003054A9">
        <w:t xml:space="preserve">Specifically, the court held that </w:t>
      </w:r>
      <w:r w:rsidR="008C303F">
        <w:t xml:space="preserve">“the [Junk Fax Prevention] Act does not require </w:t>
      </w:r>
      <w:r w:rsidR="00BD5C74">
        <w:t xml:space="preserve">. . . </w:t>
      </w:r>
      <w:r w:rsidR="00F8488B">
        <w:t xml:space="preserve">[an] </w:t>
      </w:r>
      <w:r w:rsidR="008C303F">
        <w:t xml:space="preserve">opt-out notice on </w:t>
      </w:r>
      <w:r w:rsidRPr="008C303F" w:rsidR="008C303F">
        <w:rPr>
          <w:i/>
        </w:rPr>
        <w:t>solicited</w:t>
      </w:r>
      <w:r w:rsidR="008C303F">
        <w:t xml:space="preserve"> fax advertisements</w:t>
      </w:r>
      <w:r w:rsidR="00CB4391">
        <w:t xml:space="preserve"> </w:t>
      </w:r>
      <w:r w:rsidR="008C303F">
        <w:t>. . . [n]or does the Act grant the FCC authority to require opt-out notices on solicited fax advertisements.”</w:t>
      </w:r>
      <w:r>
        <w:rPr>
          <w:rStyle w:val="FootnoteReference"/>
        </w:rPr>
        <w:footnoteReference w:id="26"/>
      </w:r>
      <w:r w:rsidR="008C303F">
        <w:t xml:space="preserve">  The court concluded</w:t>
      </w:r>
      <w:r w:rsidR="00F8488B">
        <w:t xml:space="preserve"> that</w:t>
      </w:r>
      <w:r w:rsidR="008C303F">
        <w:t xml:space="preserve"> </w:t>
      </w:r>
      <w:r w:rsidR="003054A9">
        <w:t xml:space="preserve">“the FCC’s 2006 Solicited Fax </w:t>
      </w:r>
      <w:r w:rsidR="003054A9">
        <w:t>Rule is unlawful to the extent that it requires opt-out notices on solicited faxes.”</w:t>
      </w:r>
      <w:r>
        <w:rPr>
          <w:rStyle w:val="FootnoteReference"/>
        </w:rPr>
        <w:footnoteReference w:id="27"/>
      </w:r>
    </w:p>
    <w:p w:rsidR="00111C04" w:rsidP="00F3789C">
      <w:pPr>
        <w:pStyle w:val="Heading1"/>
      </w:pPr>
      <w:r>
        <w:t>Discussion</w:t>
      </w:r>
    </w:p>
    <w:p w:rsidR="0056315C" w:rsidRPr="0056315C" w:rsidP="00AA25D6">
      <w:pPr>
        <w:pStyle w:val="ParaNum"/>
      </w:pPr>
      <w:r>
        <w:t>W</w:t>
      </w:r>
      <w:r>
        <w:t xml:space="preserve">e </w:t>
      </w:r>
      <w:r>
        <w:t xml:space="preserve">eliminate </w:t>
      </w:r>
      <w:r>
        <w:t xml:space="preserve">the Commission’s 2006 rule requiring opt-out notices on fax advertisements sent with the recipient’s prior express permission or consent.  Specifically, in light of the court’s </w:t>
      </w:r>
      <w:r w:rsidR="007F3357">
        <w:t xml:space="preserve">decision that </w:t>
      </w:r>
      <w:r>
        <w:t>the rule</w:t>
      </w:r>
      <w:r w:rsidR="007F3357">
        <w:t xml:space="preserve"> is unlawful</w:t>
      </w:r>
      <w:r>
        <w:t xml:space="preserve">, we </w:t>
      </w:r>
      <w:r>
        <w:t xml:space="preserve">eliminate </w:t>
      </w:r>
      <w:r>
        <w:t xml:space="preserve">section </w:t>
      </w:r>
      <w:r w:rsidR="00393869">
        <w:t>64.1200</w:t>
      </w:r>
      <w:r>
        <w:t xml:space="preserve">(a)(4)(iv) from </w:t>
      </w:r>
      <w:r w:rsidR="008C303F">
        <w:t>Ti</w:t>
      </w:r>
      <w:r>
        <w:t>tle 47 of the Code of Federal Regulations.</w:t>
      </w:r>
      <w:r>
        <w:rPr>
          <w:rStyle w:val="FootnoteReference"/>
        </w:rPr>
        <w:footnoteReference w:id="28"/>
      </w:r>
      <w:r w:rsidR="00AA25D6">
        <w:t xml:space="preserve">  W</w:t>
      </w:r>
      <w:r w:rsidR="00B14E7F">
        <w:t xml:space="preserve">e find good cause to </w:t>
      </w:r>
      <w:r>
        <w:t xml:space="preserve">eliminate </w:t>
      </w:r>
      <w:r w:rsidR="00B14E7F">
        <w:t>the rule without notice and comment</w:t>
      </w:r>
      <w:r w:rsidR="00AA25D6">
        <w:t xml:space="preserve"> </w:t>
      </w:r>
      <w:r w:rsidR="00075A1E">
        <w:t xml:space="preserve">because </w:t>
      </w:r>
      <w:r w:rsidR="00AA25D6">
        <w:t>the rule has been vacated by the court</w:t>
      </w:r>
      <w:r w:rsidR="00343B51">
        <w:t xml:space="preserve"> in an order that has become final and nonreviewable</w:t>
      </w:r>
      <w:r w:rsidR="00075A1E">
        <w:t>.</w:t>
      </w:r>
      <w:r>
        <w:rPr>
          <w:rStyle w:val="FootnoteReference"/>
        </w:rPr>
        <w:footnoteReference w:id="29"/>
      </w:r>
      <w:r w:rsidR="00AA25D6">
        <w:t xml:space="preserve"> </w:t>
      </w:r>
      <w:r w:rsidR="00075A1E">
        <w:t xml:space="preserve"> As such, </w:t>
      </w:r>
      <w:r w:rsidR="00360D55">
        <w:t>seeking notice and comment before implementing the court’s non-discretionary mandate would serve no purpose and is thus contrary to the public interest</w:t>
      </w:r>
      <w:r w:rsidR="00B14E7F">
        <w:t xml:space="preserve">. </w:t>
      </w:r>
      <w:r w:rsidRPr="00B14E7F" w:rsidR="00B14E7F">
        <w:t xml:space="preserve"> </w:t>
      </w:r>
    </w:p>
    <w:p w:rsidR="00F3789C" w:rsidP="00490D05">
      <w:pPr>
        <w:pStyle w:val="ParaNum"/>
      </w:pPr>
      <w:r>
        <w:t>W</w:t>
      </w:r>
      <w:r>
        <w:t xml:space="preserve">e </w:t>
      </w:r>
      <w:r>
        <w:t xml:space="preserve">also </w:t>
      </w:r>
      <w:r>
        <w:t xml:space="preserve">dismiss as moot the ten </w:t>
      </w:r>
      <w:r>
        <w:t xml:space="preserve">pending </w:t>
      </w:r>
      <w:r>
        <w:t xml:space="preserve">petitions </w:t>
      </w:r>
      <w:r w:rsidR="00105C1E">
        <w:t>fo</w:t>
      </w:r>
      <w:r>
        <w:t>r retroactive waiver</w:t>
      </w:r>
      <w:r>
        <w:t>,</w:t>
      </w:r>
      <w:r>
        <w:rPr>
          <w:rStyle w:val="FootnoteReference"/>
        </w:rPr>
        <w:footnoteReference w:id="30"/>
      </w:r>
      <w:r w:rsidR="00A32D17">
        <w:t xml:space="preserve"> </w:t>
      </w:r>
      <w:r>
        <w:t>as well as</w:t>
      </w:r>
      <w:r w:rsidR="00490D05">
        <w:t xml:space="preserve"> the two </w:t>
      </w:r>
      <w:r>
        <w:t xml:space="preserve">pending </w:t>
      </w:r>
      <w:r w:rsidR="00490D05">
        <w:t>petitions for reconsideration.</w:t>
      </w:r>
      <w:r>
        <w:rPr>
          <w:rStyle w:val="FootnoteReference"/>
        </w:rPr>
        <w:footnoteReference w:id="31"/>
      </w:r>
      <w:r w:rsidR="00490D05">
        <w:t xml:space="preserve">  </w:t>
      </w:r>
      <w:r w:rsidR="00BD5C74">
        <w:t>The Court of Appeals for the D.C. Circuit declared unlawful and vacated t</w:t>
      </w:r>
      <w:r w:rsidR="00A32D17">
        <w:t xml:space="preserve">he </w:t>
      </w:r>
      <w:r w:rsidRPr="00C45E98" w:rsidR="00490D05">
        <w:t>2006 Solicited Fax R</w:t>
      </w:r>
      <w:r w:rsidRPr="00C45E98" w:rsidR="00A32D17">
        <w:t>ule</w:t>
      </w:r>
      <w:r w:rsidR="00A32D17">
        <w:t xml:space="preserve"> </w:t>
      </w:r>
      <w:r>
        <w:t xml:space="preserve">and we have accordingly </w:t>
      </w:r>
      <w:r w:rsidR="005A0557">
        <w:t>eliminat</w:t>
      </w:r>
      <w:r w:rsidR="00BD5C74">
        <w:t xml:space="preserve">ed </w:t>
      </w:r>
      <w:r>
        <w:t>the rule as described above</w:t>
      </w:r>
      <w:r w:rsidR="00105C1E">
        <w:t xml:space="preserve">. </w:t>
      </w:r>
      <w:r w:rsidR="00490D05">
        <w:t xml:space="preserve"> </w:t>
      </w:r>
      <w:r w:rsidR="00105C1E">
        <w:t>T</w:t>
      </w:r>
      <w:r w:rsidR="00A32D17">
        <w:t xml:space="preserve">herefore, </w:t>
      </w:r>
      <w:r w:rsidR="00BD5C74">
        <w:t xml:space="preserve">we find </w:t>
      </w:r>
      <w:r w:rsidR="00A32D17">
        <w:t xml:space="preserve">no need to consider </w:t>
      </w:r>
      <w:r w:rsidR="00BD5C74">
        <w:t xml:space="preserve">the remaining </w:t>
      </w:r>
      <w:r w:rsidR="00A32D17">
        <w:t xml:space="preserve">pending petitions seeking temporary waiver of </w:t>
      </w:r>
      <w:r w:rsidR="00490D05">
        <w:t xml:space="preserve">the </w:t>
      </w:r>
      <w:r w:rsidR="00A32D17">
        <w:t>rule</w:t>
      </w:r>
      <w:r w:rsidR="00490D05">
        <w:t xml:space="preserve"> or seeking reconsideration of the Commission’s application of the rule</w:t>
      </w:r>
      <w:r w:rsidR="00A32D17">
        <w:t xml:space="preserve">.  </w:t>
      </w:r>
    </w:p>
    <w:p w:rsidR="005678CB" w:rsidP="005678CB">
      <w:pPr>
        <w:pStyle w:val="Heading1"/>
      </w:pPr>
      <w:r>
        <w:t>ORDERING CLAUSES</w:t>
      </w:r>
    </w:p>
    <w:p w:rsidR="005678CB" w:rsidP="005678CB">
      <w:pPr>
        <w:pStyle w:val="ParaNum"/>
      </w:pPr>
      <w:r>
        <w:t xml:space="preserve">Accordingly, </w:t>
      </w:r>
      <w:r w:rsidRPr="00255DE5" w:rsidR="00255DE5">
        <w:t>IT IS ORDERED</w:t>
      </w:r>
      <w:r w:rsidRPr="005577AD" w:rsidR="00255DE5">
        <w:t xml:space="preserve">, pursuant to sections </w:t>
      </w:r>
      <w:r w:rsidRPr="000741B5" w:rsidR="008634C5">
        <w:t>4(i), 4(j), and 227 of the Communications Act of 1934,</w:t>
      </w:r>
      <w:r w:rsidR="008634C5">
        <w:t xml:space="preserve"> </w:t>
      </w:r>
      <w:r w:rsidRPr="000741B5" w:rsidR="008634C5">
        <w:t>as amended, 47 U.S.C. §§ 154(i), (j), 227</w:t>
      </w:r>
      <w:r w:rsidRPr="005577AD" w:rsidR="00255DE5">
        <w:t xml:space="preserve">, </w:t>
      </w:r>
      <w:r w:rsidRPr="000741B5" w:rsidR="00EC72E7">
        <w:t xml:space="preserve">and the authority delegated in sections 0.141 and 0.361 of the rules, 47 CFR §§ 0.141, 0.361, </w:t>
      </w:r>
      <w:r w:rsidR="009E051E">
        <w:t xml:space="preserve">that </w:t>
      </w:r>
      <w:r w:rsidRPr="005577AD" w:rsidR="00255DE5">
        <w:t xml:space="preserve">this </w:t>
      </w:r>
      <w:r w:rsidRPr="00C45E98" w:rsidR="00255DE5">
        <w:t>Order</w:t>
      </w:r>
      <w:r w:rsidRPr="006E67FF" w:rsidR="00255DE5">
        <w:rPr>
          <w:i/>
        </w:rPr>
        <w:t xml:space="preserve"> </w:t>
      </w:r>
      <w:r w:rsidRPr="00255DE5" w:rsidR="00255DE5">
        <w:t>IS ADOPTED</w:t>
      </w:r>
      <w:r w:rsidRPr="00941DF9" w:rsidR="00255DE5">
        <w:t xml:space="preserve"> </w:t>
      </w:r>
      <w:r w:rsidRPr="009079F5" w:rsidR="00255DE5">
        <w:t xml:space="preserve">and that </w:t>
      </w:r>
      <w:r w:rsidR="00C47A3B">
        <w:t xml:space="preserve">section 64.1200 </w:t>
      </w:r>
      <w:r w:rsidRPr="009079F5" w:rsidR="00255DE5">
        <w:t xml:space="preserve">of the Commission’s rules, 47 CFR </w:t>
      </w:r>
      <w:r w:rsidRPr="00E61CBB" w:rsidR="00255DE5">
        <w:t>§</w:t>
      </w:r>
      <w:r w:rsidR="00255DE5">
        <w:t xml:space="preserve"> </w:t>
      </w:r>
      <w:r w:rsidRPr="009079F5" w:rsidR="00255DE5">
        <w:t xml:space="preserve">64.1200, is amended as set forth in </w:t>
      </w:r>
      <w:r w:rsidR="00E02563">
        <w:t xml:space="preserve">the </w:t>
      </w:r>
      <w:r w:rsidRPr="009079F5" w:rsidR="00255DE5">
        <w:t xml:space="preserve">Appendix.  </w:t>
      </w:r>
      <w:r w:rsidR="00255DE5">
        <w:t>The rule</w:t>
      </w:r>
      <w:r w:rsidR="00E02563">
        <w:t xml:space="preserve"> change</w:t>
      </w:r>
      <w:r w:rsidR="00255DE5">
        <w:t>s in</w:t>
      </w:r>
      <w:r w:rsidR="00E02563">
        <w:t xml:space="preserve"> the</w:t>
      </w:r>
      <w:r w:rsidR="00255DE5">
        <w:t xml:space="preserve"> Appendix </w:t>
      </w:r>
      <w:r w:rsidRPr="00255DE5" w:rsidR="00255DE5">
        <w:t>SHALL BE EFFECTIVE</w:t>
      </w:r>
      <w:r w:rsidR="00255DE5">
        <w:t xml:space="preserve"> </w:t>
      </w:r>
      <w:r w:rsidR="002233F5">
        <w:t>upon</w:t>
      </w:r>
      <w:r w:rsidR="00255DE5">
        <w:t xml:space="preserve"> publication of this </w:t>
      </w:r>
      <w:r w:rsidRPr="00C45E98" w:rsidR="00255DE5">
        <w:t>Order</w:t>
      </w:r>
      <w:r w:rsidRPr="00D03C84" w:rsidR="00255DE5">
        <w:t xml:space="preserve"> </w:t>
      </w:r>
      <w:r w:rsidR="00255DE5">
        <w:t>in the Federal Register</w:t>
      </w:r>
      <w:r w:rsidR="00490D05">
        <w:t>.</w:t>
      </w:r>
      <w:r>
        <w:rPr>
          <w:rStyle w:val="FootnoteReference"/>
        </w:rPr>
        <w:footnoteReference w:id="32"/>
      </w:r>
    </w:p>
    <w:p w:rsidR="000741B5" w:rsidRPr="00FF61CF" w:rsidP="000741B5">
      <w:pPr>
        <w:pStyle w:val="ParaNum"/>
      </w:pPr>
      <w:r w:rsidRPr="000741B5">
        <w:t>IT IS FURTHER ORDERED, pursuant to sections 4(i), 4(j), and 227 of the Communications Act of 1934,</w:t>
      </w:r>
      <w:r w:rsidR="00FF61CF">
        <w:t xml:space="preserve"> </w:t>
      </w:r>
      <w:r w:rsidRPr="000741B5">
        <w:t xml:space="preserve">as amended, 47 U.S.C. §§ 154(i), (j), 227, and section 1.3 of the Commission’s rules, 47 CFR § 1.3, and the authority delegated in sections 0.141 and 0.361 of the rules, 47 CFR §§ 0.141, 0.361, </w:t>
      </w:r>
      <w:r w:rsidR="009E051E">
        <w:t xml:space="preserve">that </w:t>
      </w:r>
      <w:r w:rsidRPr="000741B5">
        <w:t xml:space="preserve">the petitions for retroactive waiver of section 64.1200(a)(4)(iv) of the Commission’s rules, 47 CFR § 64.1200(a)(4)(iv), filed </w:t>
      </w:r>
      <w:r w:rsidRPr="000741B5">
        <w:rPr>
          <w:szCs w:val="22"/>
        </w:rPr>
        <w:t xml:space="preserve">by </w:t>
      </w:r>
      <w:r w:rsidRPr="000741B5">
        <w:rPr>
          <w:szCs w:val="22"/>
        </w:rPr>
        <w:t>Safemark</w:t>
      </w:r>
      <w:r w:rsidRPr="000741B5">
        <w:rPr>
          <w:szCs w:val="22"/>
        </w:rPr>
        <w:t xml:space="preserve"> Systems, LP, Cynosure, Inc., United Auto Credit Corporation, </w:t>
      </w:r>
      <w:r w:rsidRPr="000741B5">
        <w:rPr>
          <w:szCs w:val="22"/>
        </w:rPr>
        <w:t xml:space="preserve">Brigadoon Fitness Inc and Brigadoon Financial Inc., </w:t>
      </w:r>
      <w:r w:rsidRPr="000741B5">
        <w:rPr>
          <w:szCs w:val="22"/>
        </w:rPr>
        <w:t>Renue</w:t>
      </w:r>
      <w:r w:rsidRPr="000741B5">
        <w:rPr>
          <w:szCs w:val="22"/>
        </w:rPr>
        <w:t xml:space="preserve"> Systems Development Corp., Inc., </w:t>
      </w:r>
      <w:r w:rsidRPr="000741B5">
        <w:rPr>
          <w:i/>
          <w:szCs w:val="22"/>
        </w:rPr>
        <w:t>et al</w:t>
      </w:r>
      <w:r w:rsidRPr="000741B5">
        <w:rPr>
          <w:szCs w:val="22"/>
        </w:rPr>
        <w:t>., Chester Limited, Inc., Foot Levelers, Inc., M3 USA Corporation, Lane Labs-USA, Inc., and Getaway Seminars, Inc.</w:t>
      </w:r>
      <w:r w:rsidR="00B612DF">
        <w:rPr>
          <w:szCs w:val="22"/>
        </w:rPr>
        <w:t xml:space="preserve"> ARE D</w:t>
      </w:r>
      <w:r w:rsidR="00FF61CF">
        <w:rPr>
          <w:szCs w:val="22"/>
        </w:rPr>
        <w:t>ISMISS</w:t>
      </w:r>
      <w:r w:rsidR="00B612DF">
        <w:rPr>
          <w:szCs w:val="22"/>
        </w:rPr>
        <w:t>ED as moot.</w:t>
      </w:r>
    </w:p>
    <w:p w:rsidR="00FF61CF" w:rsidRPr="002A4E56" w:rsidP="00FF61CF">
      <w:pPr>
        <w:pStyle w:val="ParaNum"/>
      </w:pPr>
      <w:r w:rsidRPr="00FF61CF">
        <w:t xml:space="preserve">IT IS FURTHER ORDERED, pursuant to sections 4(i), 4(j), and 227 of the Communications Act of 1934, as amended, 47 U.S.C. §§ 154(i), (j), 227, and section 1.3 of the Commission’s rules, 47 CFR § 1.3, and the authority delegated in sections 0.141 and 0.361 of the rules, 47 CFR §§ 0.141, 0.361, </w:t>
      </w:r>
      <w:r w:rsidR="009E051E">
        <w:t xml:space="preserve">that </w:t>
      </w:r>
      <w:r w:rsidRPr="00FF61CF">
        <w:t>the petitio</w:t>
      </w:r>
      <w:r>
        <w:t>n</w:t>
      </w:r>
      <w:r w:rsidRPr="00FF61CF">
        <w:t>s for</w:t>
      </w:r>
      <w:r>
        <w:t xml:space="preserve"> reconsideration filed by </w:t>
      </w:r>
      <w:r w:rsidRPr="00FF61CF">
        <w:rPr>
          <w:szCs w:val="22"/>
        </w:rPr>
        <w:t xml:space="preserve">Fetch, Inc., d/b/a </w:t>
      </w:r>
      <w:r w:rsidRPr="00FF61CF">
        <w:rPr>
          <w:szCs w:val="22"/>
        </w:rPr>
        <w:t>Petplan</w:t>
      </w:r>
      <w:r w:rsidRPr="00FF61CF">
        <w:rPr>
          <w:szCs w:val="22"/>
        </w:rPr>
        <w:t xml:space="preserve"> and Ohio National Mutual, Inc.</w:t>
      </w:r>
      <w:r>
        <w:rPr>
          <w:szCs w:val="22"/>
        </w:rPr>
        <w:t xml:space="preserve"> ARE DISMISSED as moot.</w:t>
      </w:r>
    </w:p>
    <w:p w:rsidR="002A4E56" w:rsidP="002A4E56">
      <w:pPr>
        <w:pStyle w:val="ParaNum"/>
        <w:numPr>
          <w:ilvl w:val="0"/>
          <w:numId w:val="0"/>
        </w:numPr>
        <w:ind w:left="4320"/>
      </w:pPr>
    </w:p>
    <w:p w:rsidR="002A4E56" w:rsidP="002A4E56">
      <w:pPr>
        <w:pStyle w:val="ParaNum"/>
        <w:numPr>
          <w:ilvl w:val="0"/>
          <w:numId w:val="0"/>
        </w:numPr>
        <w:spacing w:after="0"/>
        <w:ind w:left="4320"/>
      </w:pPr>
      <w:r>
        <w:t>FEDERAL COMMUNIATIONS COMMISSION</w:t>
      </w:r>
    </w:p>
    <w:p w:rsidR="002A4E56" w:rsidP="002A4E56">
      <w:pPr>
        <w:pStyle w:val="ParaNum"/>
        <w:numPr>
          <w:ilvl w:val="0"/>
          <w:numId w:val="0"/>
        </w:numPr>
        <w:spacing w:after="0"/>
        <w:ind w:left="4320"/>
      </w:pPr>
    </w:p>
    <w:p w:rsidR="002A4E56" w:rsidP="002A4E56">
      <w:pPr>
        <w:pStyle w:val="ParaNum"/>
        <w:numPr>
          <w:ilvl w:val="0"/>
          <w:numId w:val="0"/>
        </w:numPr>
        <w:spacing w:after="0"/>
        <w:ind w:left="4320"/>
      </w:pPr>
    </w:p>
    <w:p w:rsidR="002A4E56" w:rsidP="002A4E56">
      <w:pPr>
        <w:pStyle w:val="ParaNum"/>
        <w:numPr>
          <w:ilvl w:val="0"/>
          <w:numId w:val="0"/>
        </w:numPr>
        <w:spacing w:after="0"/>
        <w:ind w:left="4320"/>
      </w:pPr>
    </w:p>
    <w:p w:rsidR="002A4E56" w:rsidP="002A4E56">
      <w:pPr>
        <w:pStyle w:val="ParaNum"/>
        <w:numPr>
          <w:ilvl w:val="0"/>
          <w:numId w:val="0"/>
        </w:numPr>
        <w:spacing w:after="0"/>
        <w:ind w:left="4320"/>
      </w:pPr>
      <w:r>
        <w:t>Patrick Webre</w:t>
      </w:r>
    </w:p>
    <w:p w:rsidR="002A4E56" w:rsidP="002A4E56">
      <w:pPr>
        <w:pStyle w:val="ParaNum"/>
        <w:numPr>
          <w:ilvl w:val="0"/>
          <w:numId w:val="0"/>
        </w:numPr>
        <w:spacing w:after="0"/>
        <w:ind w:left="4320"/>
      </w:pPr>
      <w:r>
        <w:t>Chief</w:t>
      </w:r>
    </w:p>
    <w:p w:rsidR="00287D18" w:rsidP="007E31FD">
      <w:pPr>
        <w:pStyle w:val="ParaNum"/>
        <w:numPr>
          <w:ilvl w:val="0"/>
          <w:numId w:val="0"/>
        </w:numPr>
        <w:spacing w:after="0"/>
        <w:ind w:left="4320"/>
      </w:pPr>
      <w:r>
        <w:t>Consumer and Governmental Affairs Bureau</w:t>
      </w:r>
      <w:r>
        <w:br w:type="page"/>
      </w:r>
    </w:p>
    <w:p w:rsidR="00287D18" w:rsidRPr="00287D18" w:rsidP="00287D18">
      <w:pPr>
        <w:spacing w:after="120" w:line="240" w:lineRule="auto"/>
        <w:jc w:val="center"/>
        <w:rPr>
          <w:rFonts w:ascii="Times New Roman" w:eastAsia="Times New Roman" w:hAnsi="Times New Roman" w:cs="Times New Roman"/>
          <w:b/>
          <w:snapToGrid w:val="0"/>
          <w:kern w:val="28"/>
          <w:szCs w:val="20"/>
        </w:rPr>
      </w:pPr>
      <w:r w:rsidRPr="00287D18">
        <w:rPr>
          <w:rFonts w:ascii="Times New Roman" w:eastAsia="Times New Roman" w:hAnsi="Times New Roman" w:cs="Times New Roman"/>
          <w:b/>
          <w:snapToGrid w:val="0"/>
          <w:kern w:val="28"/>
          <w:szCs w:val="20"/>
        </w:rPr>
        <w:t>APPENDIX</w:t>
      </w:r>
    </w:p>
    <w:p w:rsidR="00287D18" w:rsidRPr="00287D18" w:rsidP="00287D18">
      <w:pPr>
        <w:spacing w:after="120" w:line="240" w:lineRule="auto"/>
        <w:jc w:val="center"/>
        <w:rPr>
          <w:rFonts w:ascii="Times New Roman" w:eastAsia="Times New Roman" w:hAnsi="Times New Roman" w:cs="Times New Roman"/>
          <w:b/>
          <w:snapToGrid w:val="0"/>
          <w:kern w:val="28"/>
          <w:szCs w:val="20"/>
        </w:rPr>
      </w:pPr>
      <w:r w:rsidRPr="00287D18">
        <w:rPr>
          <w:rFonts w:ascii="Times New Roman" w:eastAsia="Times New Roman" w:hAnsi="Times New Roman" w:cs="Times New Roman"/>
          <w:b/>
          <w:snapToGrid w:val="0"/>
          <w:kern w:val="28"/>
          <w:szCs w:val="20"/>
        </w:rPr>
        <w:t>Final Rules</w:t>
      </w:r>
    </w:p>
    <w:p w:rsidR="00287D18" w:rsidRPr="00287D18" w:rsidP="00287D18">
      <w:pPr>
        <w:widowControl w:val="0"/>
        <w:spacing w:after="0" w:line="240" w:lineRule="auto"/>
        <w:rPr>
          <w:rFonts w:ascii="Times New Roman" w:eastAsia="Times New Roman" w:hAnsi="Times New Roman" w:cs="Times New Roman"/>
          <w:snapToGrid w:val="0"/>
          <w:kern w:val="28"/>
          <w:szCs w:val="20"/>
        </w:rPr>
      </w:pPr>
      <w:r w:rsidRPr="00287D18">
        <w:rPr>
          <w:rFonts w:ascii="Times New Roman" w:eastAsia="Times New Roman" w:hAnsi="Times New Roman" w:cs="Times New Roman"/>
          <w:snapToGrid w:val="0"/>
          <w:kern w:val="28"/>
          <w:szCs w:val="20"/>
        </w:rPr>
        <w:t>The Federal Communications Commissio</w:t>
      </w:r>
      <w:r w:rsidR="006A1F11">
        <w:rPr>
          <w:rFonts w:ascii="Times New Roman" w:eastAsia="Times New Roman" w:hAnsi="Times New Roman" w:cs="Times New Roman"/>
          <w:snapToGrid w:val="0"/>
          <w:kern w:val="28"/>
          <w:szCs w:val="20"/>
        </w:rPr>
        <w:t xml:space="preserve">n </w:t>
      </w:r>
      <w:r w:rsidRPr="00287D18">
        <w:rPr>
          <w:rFonts w:ascii="Times New Roman" w:eastAsia="Times New Roman" w:hAnsi="Times New Roman" w:cs="Times New Roman"/>
          <w:snapToGrid w:val="0"/>
          <w:kern w:val="28"/>
          <w:szCs w:val="20"/>
        </w:rPr>
        <w:t>amend</w:t>
      </w:r>
      <w:r w:rsidR="00941FAD">
        <w:rPr>
          <w:rFonts w:ascii="Times New Roman" w:eastAsia="Times New Roman" w:hAnsi="Times New Roman" w:cs="Times New Roman"/>
          <w:snapToGrid w:val="0"/>
          <w:kern w:val="28"/>
          <w:szCs w:val="20"/>
        </w:rPr>
        <w:t>s</w:t>
      </w:r>
      <w:r w:rsidRPr="00287D18">
        <w:rPr>
          <w:rFonts w:ascii="Times New Roman" w:eastAsia="Times New Roman" w:hAnsi="Times New Roman" w:cs="Times New Roman"/>
          <w:snapToGrid w:val="0"/>
          <w:kern w:val="28"/>
          <w:szCs w:val="20"/>
        </w:rPr>
        <w:t xml:space="preserve"> </w:t>
      </w:r>
      <w:r w:rsidR="00941FAD">
        <w:rPr>
          <w:rFonts w:ascii="Times New Roman" w:eastAsia="Times New Roman" w:hAnsi="Times New Roman" w:cs="Times New Roman"/>
          <w:snapToGrid w:val="0"/>
          <w:kern w:val="28"/>
          <w:szCs w:val="20"/>
        </w:rPr>
        <w:t xml:space="preserve">47 CFR Part </w:t>
      </w:r>
      <w:r w:rsidR="007E31FD">
        <w:rPr>
          <w:rFonts w:ascii="Times New Roman" w:eastAsia="Times New Roman" w:hAnsi="Times New Roman" w:cs="Times New Roman"/>
          <w:snapToGrid w:val="0"/>
          <w:kern w:val="28"/>
          <w:szCs w:val="20"/>
        </w:rPr>
        <w:t>64</w:t>
      </w:r>
      <w:r w:rsidR="00941FAD">
        <w:rPr>
          <w:rFonts w:ascii="Times New Roman" w:eastAsia="Times New Roman" w:hAnsi="Times New Roman" w:cs="Times New Roman"/>
          <w:snapToGrid w:val="0"/>
          <w:kern w:val="28"/>
          <w:szCs w:val="20"/>
        </w:rPr>
        <w:t xml:space="preserve"> as set forth below</w:t>
      </w:r>
      <w:r w:rsidRPr="00287D18">
        <w:rPr>
          <w:rFonts w:ascii="Times New Roman" w:eastAsia="Times New Roman" w:hAnsi="Times New Roman" w:cs="Times New Roman"/>
          <w:snapToGrid w:val="0"/>
          <w:kern w:val="28"/>
          <w:szCs w:val="20"/>
        </w:rPr>
        <w:t>:</w:t>
      </w:r>
    </w:p>
    <w:p w:rsidR="00287D18" w:rsidRPr="00287D18" w:rsidP="00287D18">
      <w:pPr>
        <w:widowControl w:val="0"/>
        <w:spacing w:after="0" w:line="240" w:lineRule="auto"/>
        <w:rPr>
          <w:rFonts w:ascii="Times New Roman" w:eastAsia="Times New Roman" w:hAnsi="Times New Roman" w:cs="Times New Roman"/>
          <w:snapToGrid w:val="0"/>
          <w:kern w:val="28"/>
          <w:szCs w:val="20"/>
        </w:rPr>
      </w:pPr>
    </w:p>
    <w:p w:rsidR="00287D18" w:rsidRPr="00287D18" w:rsidP="00287D18">
      <w:pPr>
        <w:widowControl w:val="0"/>
        <w:spacing w:after="0" w:line="240" w:lineRule="auto"/>
        <w:rPr>
          <w:rFonts w:ascii="Times New Roman" w:eastAsia="Times New Roman" w:hAnsi="Times New Roman" w:cs="Times New Roman"/>
          <w:snapToGrid w:val="0"/>
          <w:kern w:val="28"/>
          <w:szCs w:val="20"/>
        </w:rPr>
      </w:pPr>
      <w:r w:rsidRPr="00287D18">
        <w:rPr>
          <w:rFonts w:ascii="Times New Roman" w:eastAsia="Times New Roman" w:hAnsi="Times New Roman" w:cs="Times New Roman"/>
          <w:snapToGrid w:val="0"/>
          <w:kern w:val="28"/>
          <w:szCs w:val="20"/>
        </w:rPr>
        <w:t>PART 64—MISCELLANEOUS RULES RELATING TO COMMON CARRIERS</w:t>
      </w:r>
    </w:p>
    <w:p w:rsidR="00287D18" w:rsidRPr="00287D18" w:rsidP="00287D18">
      <w:pPr>
        <w:widowControl w:val="0"/>
        <w:spacing w:after="0" w:line="240" w:lineRule="auto"/>
        <w:rPr>
          <w:rFonts w:ascii="Times New Roman" w:eastAsia="Times New Roman" w:hAnsi="Times New Roman" w:cs="Times New Roman"/>
          <w:snapToGrid w:val="0"/>
          <w:kern w:val="28"/>
          <w:szCs w:val="20"/>
        </w:rPr>
      </w:pPr>
    </w:p>
    <w:p w:rsidR="00287D18" w:rsidP="00287D18">
      <w:pPr>
        <w:widowControl w:val="0"/>
        <w:spacing w:after="0" w:line="240" w:lineRule="auto"/>
        <w:rPr>
          <w:rFonts w:ascii="Times New Roman" w:eastAsia="Times New Roman" w:hAnsi="Times New Roman" w:cs="Times New Roman"/>
          <w:snapToGrid w:val="0"/>
          <w:kern w:val="28"/>
          <w:szCs w:val="20"/>
        </w:rPr>
      </w:pPr>
      <w:r w:rsidRPr="00287D18">
        <w:rPr>
          <w:rFonts w:ascii="Times New Roman" w:eastAsia="Times New Roman" w:hAnsi="Times New Roman" w:cs="Times New Roman"/>
          <w:snapToGrid w:val="0"/>
          <w:kern w:val="28"/>
          <w:szCs w:val="20"/>
        </w:rPr>
        <w:t>Subpart L—Restrictions on Telemarketing, Telephone Solicitation, and Facsimile Advertising</w:t>
      </w:r>
    </w:p>
    <w:p w:rsidR="00941FAD" w:rsidP="00287D18">
      <w:pPr>
        <w:widowControl w:val="0"/>
        <w:spacing w:after="0" w:line="240" w:lineRule="auto"/>
        <w:rPr>
          <w:rFonts w:ascii="Times New Roman" w:eastAsia="Times New Roman" w:hAnsi="Times New Roman" w:cs="Times New Roman"/>
          <w:snapToGrid w:val="0"/>
          <w:kern w:val="28"/>
          <w:szCs w:val="20"/>
        </w:rPr>
      </w:pPr>
    </w:p>
    <w:p w:rsidR="00941FAD" w:rsidRPr="00287D18" w:rsidP="00287D18">
      <w:pPr>
        <w:widowControl w:val="0"/>
        <w:spacing w:after="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64.1200 - Delivery restrictions.</w:t>
      </w:r>
    </w:p>
    <w:p w:rsidR="00287D18" w:rsidRPr="00287D18" w:rsidP="00287D18">
      <w:pPr>
        <w:widowControl w:val="0"/>
        <w:spacing w:after="0" w:line="240" w:lineRule="auto"/>
        <w:rPr>
          <w:rFonts w:ascii="Times New Roman" w:eastAsia="Times New Roman" w:hAnsi="Times New Roman" w:cs="Times New Roman"/>
          <w:snapToGrid w:val="0"/>
          <w:kern w:val="28"/>
          <w:szCs w:val="20"/>
        </w:rPr>
      </w:pPr>
    </w:p>
    <w:p w:rsidR="00287D18" w:rsidP="00287D18">
      <w:pPr>
        <w:widowControl w:val="0"/>
        <w:spacing w:after="0" w:line="240" w:lineRule="auto"/>
        <w:rPr>
          <w:rFonts w:ascii="Times New Roman" w:eastAsia="Times New Roman" w:hAnsi="Times New Roman" w:cs="Times New Roman"/>
          <w:snapToGrid w:val="0"/>
          <w:kern w:val="28"/>
          <w:szCs w:val="20"/>
        </w:rPr>
      </w:pPr>
      <w:r w:rsidRPr="00287D18">
        <w:rPr>
          <w:rFonts w:ascii="Times New Roman" w:eastAsia="Times New Roman" w:hAnsi="Times New Roman" w:cs="Times New Roman"/>
          <w:snapToGrid w:val="0"/>
          <w:kern w:val="28"/>
          <w:szCs w:val="20"/>
        </w:rPr>
        <w:t>1.</w:t>
      </w:r>
      <w:r w:rsidR="00941FAD">
        <w:rPr>
          <w:rFonts w:ascii="Times New Roman" w:eastAsia="Times New Roman" w:hAnsi="Times New Roman" w:cs="Times New Roman"/>
          <w:snapToGrid w:val="0"/>
          <w:kern w:val="28"/>
          <w:szCs w:val="20"/>
        </w:rPr>
        <w:tab/>
        <w:t>Remove § 64.1200(a)(4)(iv)</w:t>
      </w:r>
    </w:p>
    <w:p w:rsidR="00941FAD" w:rsidP="00287D18">
      <w:pPr>
        <w:widowControl w:val="0"/>
        <w:spacing w:after="0" w:line="240" w:lineRule="auto"/>
        <w:rPr>
          <w:rFonts w:ascii="Times New Roman" w:eastAsia="Times New Roman" w:hAnsi="Times New Roman" w:cs="Times New Roman"/>
          <w:snapToGrid w:val="0"/>
          <w:kern w:val="28"/>
          <w:szCs w:val="20"/>
        </w:rPr>
      </w:pPr>
    </w:p>
    <w:p w:rsidR="00941FAD" w:rsidP="00287D18">
      <w:pPr>
        <w:widowControl w:val="0"/>
        <w:spacing w:after="0" w:line="240" w:lineRule="auto"/>
        <w:rPr>
          <w:rFonts w:ascii="Times New Roman" w:eastAsia="Times New Roman" w:hAnsi="Times New Roman" w:cs="Times New Roman"/>
          <w:b/>
          <w:snapToGrid w:val="0"/>
          <w:kern w:val="28"/>
          <w:szCs w:val="20"/>
        </w:rPr>
      </w:pPr>
      <w:r>
        <w:rPr>
          <w:rFonts w:ascii="Times New Roman" w:eastAsia="Times New Roman" w:hAnsi="Times New Roman" w:cs="Times New Roman"/>
          <w:snapToGrid w:val="0"/>
          <w:kern w:val="28"/>
          <w:szCs w:val="20"/>
        </w:rPr>
        <w:t xml:space="preserve">§ 64.1200(a)(4)(iv) </w:t>
      </w:r>
      <w:r w:rsidRPr="00941FAD">
        <w:rPr>
          <w:rFonts w:ascii="Times New Roman" w:eastAsia="Times New Roman" w:hAnsi="Times New Roman" w:cs="Times New Roman"/>
          <w:b/>
          <w:snapToGrid w:val="0"/>
          <w:kern w:val="28"/>
          <w:szCs w:val="20"/>
        </w:rPr>
        <w:t>[Removed]</w:t>
      </w:r>
    </w:p>
    <w:p w:rsidR="007E31FD" w:rsidP="00287D18">
      <w:pPr>
        <w:widowControl w:val="0"/>
        <w:spacing w:after="0" w:line="240" w:lineRule="auto"/>
        <w:rPr>
          <w:rFonts w:ascii="Times New Roman" w:eastAsia="Times New Roman" w:hAnsi="Times New Roman" w:cs="Times New Roman"/>
          <w:b/>
          <w:snapToGrid w:val="0"/>
          <w:kern w:val="28"/>
          <w:szCs w:val="20"/>
        </w:rPr>
      </w:pPr>
    </w:p>
    <w:p w:rsidR="007E31FD" w:rsidRPr="007E31FD" w:rsidP="00287D18">
      <w:pPr>
        <w:widowControl w:val="0"/>
        <w:spacing w:after="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2.</w:t>
      </w:r>
      <w:r>
        <w:rPr>
          <w:rFonts w:ascii="Times New Roman" w:eastAsia="Times New Roman" w:hAnsi="Times New Roman" w:cs="Times New Roman"/>
          <w:snapToGrid w:val="0"/>
          <w:kern w:val="28"/>
          <w:szCs w:val="20"/>
        </w:rPr>
        <w:tab/>
        <w:t>Re-number sections 64.1200(a)(4)(v), (vi), and (vii) as sections 64.1200(a)(4)(iv), (v), and (vi).</w:t>
      </w:r>
    </w:p>
    <w:p w:rsidR="00287D18" w:rsidRPr="00FF61CF" w:rsidP="00287D18">
      <w:pPr>
        <w:pStyle w:val="ParaNum"/>
        <w:numPr>
          <w:ilvl w:val="0"/>
          <w:numId w:val="0"/>
        </w:numPr>
      </w:pPr>
    </w:p>
    <w:p w:rsidR="005678CB" w:rsidRPr="005678CB" w:rsidP="00FF61CF">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C0" w:rsidP="0055614C">
    <w:pPr>
      <w:pStyle w:val="Footer"/>
      <w:framePr w:wrap="around" w:vAnchor="text" w:hAnchor="margin" w:xAlign="center" w:y="1"/>
    </w:pPr>
    <w:r>
      <w:fldChar w:fldCharType="begin"/>
    </w:r>
    <w:r>
      <w:instrText xml:space="preserve">PAGE  </w:instrText>
    </w:r>
    <w:r>
      <w:fldChar w:fldCharType="separate"/>
    </w:r>
    <w:r>
      <w:fldChar w:fldCharType="end"/>
    </w:r>
  </w:p>
  <w:p w:rsidR="00B13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C0" w:rsidP="0055614C">
    <w:pPr>
      <w:pStyle w:val="Footer"/>
      <w:framePr w:wrap="around" w:vAnchor="text" w:hAnchor="margin" w:xAlign="center" w:y="1"/>
    </w:pPr>
    <w:r>
      <w:fldChar w:fldCharType="begin"/>
    </w:r>
    <w:r>
      <w:instrText xml:space="preserve">PAGE  </w:instrText>
    </w:r>
    <w:r>
      <w:fldChar w:fldCharType="separate"/>
    </w:r>
    <w:r w:rsidR="00184FCC">
      <w:rPr>
        <w:noProof/>
      </w:rPr>
      <w:t>7</w:t>
    </w:r>
    <w:r>
      <w:fldChar w:fldCharType="end"/>
    </w:r>
  </w:p>
  <w:p w:rsidR="00B139C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C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1201">
      <w:r>
        <w:separator/>
      </w:r>
    </w:p>
  </w:footnote>
  <w:footnote w:type="continuationSeparator" w:id="1">
    <w:p w:rsidR="00D91201" w:rsidP="00C721AC">
      <w:pPr>
        <w:spacing w:before="120"/>
        <w:rPr>
          <w:sz w:val="20"/>
        </w:rPr>
      </w:pPr>
      <w:r>
        <w:rPr>
          <w:sz w:val="20"/>
        </w:rPr>
        <w:t xml:space="preserve">(Continued from previous page)  </w:t>
      </w:r>
      <w:r>
        <w:rPr>
          <w:sz w:val="20"/>
        </w:rPr>
        <w:separator/>
      </w:r>
    </w:p>
  </w:footnote>
  <w:footnote w:type="continuationNotice" w:id="2">
    <w:p w:rsidR="00D91201" w:rsidRPr="00816722" w:rsidP="00C721AC">
      <w:pPr>
        <w:jc w:val="right"/>
        <w:rPr>
          <w:rFonts w:ascii="Times New Roman" w:hAnsi="Times New Roman" w:cs="Times New Roman"/>
          <w:sz w:val="20"/>
        </w:rPr>
      </w:pPr>
      <w:r w:rsidRPr="00816722">
        <w:rPr>
          <w:rFonts w:ascii="Times New Roman" w:hAnsi="Times New Roman" w:cs="Times New Roman"/>
          <w:sz w:val="20"/>
        </w:rPr>
        <w:t>(continued….)</w:t>
      </w:r>
    </w:p>
  </w:footnote>
  <w:footnote w:id="3">
    <w:p w:rsidR="00A0608C">
      <w:pPr>
        <w:pStyle w:val="FootnoteText"/>
      </w:pPr>
      <w:r>
        <w:rPr>
          <w:rStyle w:val="FootnoteReference"/>
        </w:rPr>
        <w:footnoteRef/>
      </w:r>
      <w:r>
        <w:t xml:space="preserve"> </w:t>
      </w:r>
      <w:r w:rsidRPr="00A0608C">
        <w:rPr>
          <w:i/>
        </w:rPr>
        <w:t>See</w:t>
      </w:r>
      <w:r>
        <w:t xml:space="preserve"> 47 </w:t>
      </w:r>
      <w:r w:rsidR="00273938">
        <w:t>CFR</w:t>
      </w:r>
      <w:r>
        <w:t xml:space="preserve"> § 64.1200(a)(4)(iv) (</w:t>
      </w:r>
      <w:r w:rsidR="00333CD1">
        <w:t>the “</w:t>
      </w:r>
      <w:r w:rsidRPr="002618A8" w:rsidR="00531C76">
        <w:t>2006 Solicited</w:t>
      </w:r>
      <w:r w:rsidRPr="002618A8">
        <w:t xml:space="preserve"> Fax Rule</w:t>
      </w:r>
      <w:r w:rsidR="00333CD1">
        <w:t>”</w:t>
      </w:r>
      <w:r>
        <w:t>).</w:t>
      </w:r>
    </w:p>
  </w:footnote>
  <w:footnote w:id="4">
    <w:p w:rsidR="00E12E4F">
      <w:pPr>
        <w:pStyle w:val="FootnoteText"/>
      </w:pPr>
      <w:r>
        <w:rPr>
          <w:rStyle w:val="FootnoteReference"/>
        </w:rPr>
        <w:footnoteRef/>
      </w:r>
      <w:r>
        <w:t xml:space="preserve"> </w:t>
      </w:r>
      <w:r w:rsidRPr="00AA25D6">
        <w:rPr>
          <w:i/>
        </w:rPr>
        <w:t>Bais Yaakov of Spring Valley, et al. v. Federal Communications Commission</w:t>
      </w:r>
      <w:r>
        <w:t>, 852 F.3d 1078</w:t>
      </w:r>
      <w:r w:rsidR="007423C3">
        <w:t>,</w:t>
      </w:r>
      <w:r>
        <w:t xml:space="preserve"> 1083 (D.C. Cir. 2017).</w:t>
      </w:r>
    </w:p>
  </w:footnote>
  <w:footnote w:id="5">
    <w:p w:rsidR="00B139C0" w:rsidRPr="002C4A91" w:rsidP="00257BBA">
      <w:pPr>
        <w:pStyle w:val="FootnoteText"/>
      </w:pPr>
      <w:r w:rsidRPr="002C4A91">
        <w:rPr>
          <w:rStyle w:val="FootnoteReference"/>
        </w:rPr>
        <w:footnoteRef/>
      </w:r>
      <w:r w:rsidRPr="002C4A91">
        <w:t xml:space="preserve"> The TCPA is codified as </w:t>
      </w:r>
      <w:r w:rsidR="00AA25D6">
        <w:t>S</w:t>
      </w:r>
      <w:r w:rsidRPr="002C4A91">
        <w:t>ection 227 of the</w:t>
      </w:r>
      <w:r w:rsidR="007423C3">
        <w:t xml:space="preserve"> Communications</w:t>
      </w:r>
      <w:r w:rsidRPr="002C4A91">
        <w:t xml:space="preserve"> Act</w:t>
      </w:r>
      <w:r w:rsidR="007423C3">
        <w:t xml:space="preserve"> of 1934, as amended</w:t>
      </w:r>
      <w:r w:rsidRPr="002C4A91">
        <w:t>, 47 U.S.C. § 227.</w:t>
      </w:r>
    </w:p>
  </w:footnote>
  <w:footnote w:id="6">
    <w:p w:rsidR="00B139C0" w:rsidRPr="002C4A91" w:rsidP="00257BBA">
      <w:pPr>
        <w:pStyle w:val="FootnoteText"/>
      </w:pPr>
      <w:r w:rsidRPr="002C4A91">
        <w:rPr>
          <w:rStyle w:val="FootnoteReference"/>
        </w:rPr>
        <w:footnoteRef/>
      </w:r>
      <w:r w:rsidRPr="002C4A91">
        <w:t xml:space="preserve">  47 U.S.C. § 227(b)(1)(C).  As the legislative history explained, because fax machines “are designed to accept, process, and print all messages which arrive over their dedicated lines,” fax advertising imposes burdens on unwilling recipients that are distinct from the burdens imposed by other types of advertising.  </w:t>
      </w:r>
      <w:r w:rsidRPr="002C4A91">
        <w:rPr>
          <w:i/>
          <w:iCs/>
        </w:rPr>
        <w:t xml:space="preserve">See </w:t>
      </w:r>
      <w:r w:rsidRPr="002C4A91">
        <w:t>H.R. Rep. No. 317, 102d Cong., 1</w:t>
      </w:r>
      <w:r w:rsidRPr="002C4A91">
        <w:rPr>
          <w:vertAlign w:val="superscript"/>
        </w:rPr>
        <w:t>st</w:t>
      </w:r>
      <w:r w:rsidRPr="002C4A91">
        <w:t xml:space="preserve"> Sess. 11 (1991).</w:t>
      </w:r>
    </w:p>
  </w:footnote>
  <w:footnote w:id="7">
    <w:p w:rsidR="00B139C0" w:rsidRPr="002C4A91" w:rsidP="00257BBA">
      <w:pPr>
        <w:pStyle w:val="FootnoteText"/>
      </w:pPr>
      <w:r w:rsidRPr="002C4A91">
        <w:rPr>
          <w:rStyle w:val="FootnoteReference"/>
        </w:rPr>
        <w:footnoteRef/>
      </w:r>
      <w:r w:rsidRPr="002C4A91">
        <w:t xml:space="preserve">  </w:t>
      </w:r>
      <w:r w:rsidRPr="002C4A91">
        <w:rPr>
          <w:i/>
          <w:iCs/>
        </w:rPr>
        <w:t xml:space="preserve">See </w:t>
      </w:r>
      <w:r w:rsidRPr="002C4A91">
        <w:rPr>
          <w:i/>
        </w:rPr>
        <w:t>Rules</w:t>
      </w:r>
      <w:r w:rsidRPr="002C4A91">
        <w:rPr>
          <w:i/>
          <w:iCs/>
        </w:rPr>
        <w:t xml:space="preserve"> </w:t>
      </w:r>
      <w:r w:rsidRPr="002C4A91">
        <w:rPr>
          <w:i/>
        </w:rPr>
        <w:t>and</w:t>
      </w:r>
      <w:r w:rsidRPr="002C4A91">
        <w:rPr>
          <w:i/>
          <w:iCs/>
        </w:rPr>
        <w:t xml:space="preserve"> Regulations Implementing the Telephone Consumer Protection Act of 1991</w:t>
      </w:r>
      <w:r w:rsidRPr="002C4A91">
        <w:t xml:space="preserve">, CC Docket No. 92-90, Report and Order, 7 FCC </w:t>
      </w:r>
      <w:r w:rsidRPr="002C4A91">
        <w:t>Rcd</w:t>
      </w:r>
      <w:r w:rsidRPr="002C4A91">
        <w:t xml:space="preserve"> 8752 (1992) (</w:t>
      </w:r>
      <w:r w:rsidRPr="002C4A91">
        <w:rPr>
          <w:i/>
          <w:iCs/>
        </w:rPr>
        <w:t>1992 TCPA Order</w:t>
      </w:r>
      <w:r w:rsidRPr="002C4A91">
        <w:t xml:space="preserve">); </w:t>
      </w:r>
      <w:r w:rsidRPr="002C4A91">
        <w:rPr>
          <w:i/>
          <w:iCs/>
        </w:rPr>
        <w:t xml:space="preserve">see also </w:t>
      </w:r>
      <w:r w:rsidRPr="002C4A91">
        <w:t xml:space="preserve">47 </w:t>
      </w:r>
      <w:r w:rsidR="00273938">
        <w:t>CFR</w:t>
      </w:r>
      <w:r w:rsidRPr="002C4A91">
        <w:t xml:space="preserve"> § 64.1200(a)(4). </w:t>
      </w:r>
    </w:p>
  </w:footnote>
  <w:footnote w:id="8">
    <w:p w:rsidR="00B139C0" w:rsidRPr="002C4A91" w:rsidP="00257BBA">
      <w:pPr>
        <w:pStyle w:val="FootnoteText"/>
      </w:pPr>
      <w:r w:rsidRPr="002C4A91">
        <w:rPr>
          <w:rStyle w:val="FootnoteReference"/>
        </w:rPr>
        <w:footnoteRef/>
      </w:r>
      <w:r w:rsidRPr="002C4A91">
        <w:t xml:space="preserve"> </w:t>
      </w:r>
      <w:r w:rsidRPr="002C4A91">
        <w:rPr>
          <w:i/>
          <w:iCs/>
        </w:rPr>
        <w:t xml:space="preserve">See </w:t>
      </w:r>
      <w:r w:rsidRPr="002C4A91">
        <w:t xml:space="preserve">Junk Fax Prevention Act of 2005, Pub. L. No. 109-21, 119 Stat. 359 (2005) (Junk Fax Prevention Act).  </w:t>
      </w:r>
    </w:p>
  </w:footnote>
  <w:footnote w:id="9">
    <w:p w:rsidR="00B139C0" w:rsidRPr="002C4A91" w:rsidP="00257BBA">
      <w:pPr>
        <w:pStyle w:val="FootnoteText"/>
      </w:pPr>
      <w:r w:rsidRPr="002C4A91">
        <w:rPr>
          <w:rStyle w:val="FootnoteReference"/>
        </w:rPr>
        <w:footnoteRef/>
      </w:r>
      <w:r w:rsidRPr="002C4A91">
        <w:t xml:space="preserve"> </w:t>
      </w:r>
      <w:r w:rsidRPr="002C4A91">
        <w:rPr>
          <w:i/>
          <w:iCs/>
        </w:rPr>
        <w:t xml:space="preserve">See id. </w:t>
      </w:r>
      <w:r w:rsidR="003913B3">
        <w:t>§</w:t>
      </w:r>
      <w:r w:rsidRPr="002C4A91">
        <w:t xml:space="preserve"> 2(a).</w:t>
      </w:r>
    </w:p>
  </w:footnote>
  <w:footnote w:id="10">
    <w:p w:rsidR="00B139C0" w:rsidRPr="002C4A91" w:rsidP="00257BBA">
      <w:pPr>
        <w:pStyle w:val="FootnoteText"/>
      </w:pPr>
      <w:r w:rsidRPr="002C4A91">
        <w:rPr>
          <w:rStyle w:val="FootnoteReference"/>
        </w:rPr>
        <w:footnoteRef/>
      </w:r>
      <w:r w:rsidRPr="002C4A91">
        <w:t xml:space="preserve"> </w:t>
      </w:r>
      <w:r w:rsidRPr="002C4A91">
        <w:rPr>
          <w:i/>
        </w:rPr>
        <w:t>See</w:t>
      </w:r>
      <w:r w:rsidRPr="002C4A91">
        <w:rPr>
          <w:i/>
          <w:iCs/>
        </w:rPr>
        <w:t xml:space="preserve"> id. </w:t>
      </w:r>
      <w:r w:rsidR="003913B3">
        <w:t>§</w:t>
      </w:r>
      <w:r w:rsidRPr="002C4A91">
        <w:t xml:space="preserve"> 2(b). </w:t>
      </w:r>
    </w:p>
  </w:footnote>
  <w:footnote w:id="11">
    <w:p w:rsidR="00B139C0" w:rsidRPr="002C4A91" w:rsidP="00257BBA">
      <w:pPr>
        <w:pStyle w:val="FootnoteText"/>
      </w:pPr>
      <w:r w:rsidRPr="002C4A91">
        <w:rPr>
          <w:rStyle w:val="FootnoteReference"/>
        </w:rPr>
        <w:footnoteRef/>
      </w:r>
      <w:r w:rsidRPr="002C4A91">
        <w:t xml:space="preserve"> </w:t>
      </w:r>
      <w:r w:rsidRPr="002C4A91">
        <w:rPr>
          <w:i/>
          <w:iCs/>
        </w:rPr>
        <w:t xml:space="preserve">See id. </w:t>
      </w:r>
      <w:r w:rsidR="00B110CC">
        <w:t>§</w:t>
      </w:r>
      <w:r w:rsidRPr="002C4A91">
        <w:t xml:space="preserve"> 2(c). </w:t>
      </w:r>
    </w:p>
  </w:footnote>
  <w:footnote w:id="12">
    <w:p w:rsidR="00B139C0" w:rsidRPr="002C4A91" w:rsidP="00257BBA">
      <w:pPr>
        <w:pStyle w:val="FootnoteText"/>
      </w:pPr>
      <w:r w:rsidRPr="002C4A91">
        <w:rPr>
          <w:rStyle w:val="FootnoteReference"/>
        </w:rPr>
        <w:footnoteRef/>
      </w:r>
      <w:r w:rsidRPr="002C4A91">
        <w:t xml:space="preserve"> </w:t>
      </w:r>
      <w:r w:rsidRPr="002C4A91">
        <w:rPr>
          <w:i/>
          <w:iCs/>
        </w:rPr>
        <w:t xml:space="preserve">See id. </w:t>
      </w:r>
      <w:r w:rsidRPr="002618A8" w:rsidR="00B110CC">
        <w:rPr>
          <w:iCs/>
        </w:rPr>
        <w:t>§</w:t>
      </w:r>
      <w:r w:rsidRPr="004F3406">
        <w:t xml:space="preserve"> </w:t>
      </w:r>
      <w:r w:rsidRPr="002C4A91">
        <w:t xml:space="preserve">2(d).  </w:t>
      </w:r>
    </w:p>
  </w:footnote>
  <w:footnote w:id="13">
    <w:p w:rsidR="00B139C0" w:rsidRPr="002C4A91" w:rsidP="00257BBA">
      <w:pPr>
        <w:pStyle w:val="FootnoteText"/>
      </w:pPr>
      <w:r w:rsidRPr="002C4A91">
        <w:rPr>
          <w:rStyle w:val="FootnoteReference"/>
        </w:rPr>
        <w:footnoteRef/>
      </w:r>
      <w:r w:rsidRPr="002C4A91">
        <w:t xml:space="preserve"> </w:t>
      </w:r>
      <w:r w:rsidRPr="002C4A91">
        <w:rPr>
          <w:i/>
          <w:iCs/>
        </w:rPr>
        <w:t xml:space="preserve">Rules and </w:t>
      </w:r>
      <w:r w:rsidRPr="002C4A91">
        <w:rPr>
          <w:i/>
        </w:rPr>
        <w:t>Regulations</w:t>
      </w:r>
      <w:r w:rsidRPr="002C4A91">
        <w:rPr>
          <w:i/>
          <w:iCs/>
        </w:rPr>
        <w:t xml:space="preserve"> Implementing the Telephone Consumer Protection Act of 1991</w:t>
      </w:r>
      <w:r w:rsidRPr="002C4A91">
        <w:t xml:space="preserve">, </w:t>
      </w:r>
      <w:r w:rsidRPr="002C4A91">
        <w:rPr>
          <w:i/>
          <w:iCs/>
        </w:rPr>
        <w:t>Junk Fax Prevention Act of 2005</w:t>
      </w:r>
      <w:r w:rsidRPr="002C4A91">
        <w:t>,</w:t>
      </w:r>
      <w:r w:rsidRPr="002C4A91">
        <w:rPr>
          <w:i/>
          <w:iCs/>
        </w:rPr>
        <w:t xml:space="preserve"> </w:t>
      </w:r>
      <w:r w:rsidRPr="002C4A91">
        <w:t xml:space="preserve">CG Docket Nos. 02-278, 05-338, Report and Order and Third Order on Reconsideration, 21 FCC </w:t>
      </w:r>
      <w:r w:rsidRPr="002C4A91">
        <w:t>Rcd</w:t>
      </w:r>
      <w:r w:rsidRPr="002C4A91">
        <w:t xml:space="preserve"> 3787 (2006) (</w:t>
      </w:r>
      <w:r w:rsidRPr="002C4A91">
        <w:rPr>
          <w:i/>
          <w:iCs/>
        </w:rPr>
        <w:t>Junk Fax Order</w:t>
      </w:r>
      <w:r w:rsidRPr="002C4A91">
        <w:t xml:space="preserve">).   </w:t>
      </w:r>
      <w:r w:rsidRPr="002C4A91">
        <w:rPr>
          <w:sz w:val="24"/>
        </w:rPr>
        <w:t xml:space="preserve">  </w:t>
      </w:r>
    </w:p>
  </w:footnote>
  <w:footnote w:id="14">
    <w:p w:rsidR="00B139C0" w:rsidRPr="002C4A91" w:rsidP="00257BBA">
      <w:pPr>
        <w:pStyle w:val="FootnoteText"/>
      </w:pPr>
      <w:r w:rsidRPr="002C4A91">
        <w:rPr>
          <w:rStyle w:val="FootnoteReference"/>
        </w:rPr>
        <w:footnoteRef/>
      </w:r>
      <w:r w:rsidRPr="002C4A91">
        <w:t xml:space="preserve"> 47 </w:t>
      </w:r>
      <w:r w:rsidR="00273938">
        <w:t>CFR</w:t>
      </w:r>
      <w:r w:rsidRPr="002C4A91">
        <w:t xml:space="preserve"> § 64.1200(a)(4)(iv); </w:t>
      </w:r>
      <w:r w:rsidRPr="002C4A91">
        <w:rPr>
          <w:i/>
        </w:rPr>
        <w:t>see also</w:t>
      </w:r>
      <w:r w:rsidRPr="002C4A91">
        <w:t xml:space="preserve"> </w:t>
      </w:r>
      <w:r w:rsidRPr="002C4A91">
        <w:rPr>
          <w:i/>
          <w:iCs/>
        </w:rPr>
        <w:t>Junk Fax Order</w:t>
      </w:r>
      <w:r w:rsidRPr="002C4A91">
        <w:t xml:space="preserve">, 21 FCC </w:t>
      </w:r>
      <w:r w:rsidRPr="002C4A91">
        <w:t>Rcd</w:t>
      </w:r>
      <w:r w:rsidRPr="002C4A91">
        <w:t xml:space="preserve"> at 3812, para. 48. </w:t>
      </w:r>
    </w:p>
  </w:footnote>
  <w:footnote w:id="15">
    <w:p w:rsidR="00B139C0" w:rsidRPr="002C4A91" w:rsidP="00257BBA">
      <w:pPr>
        <w:pStyle w:val="FootnoteText"/>
      </w:pPr>
      <w:r w:rsidRPr="002C4A91">
        <w:rPr>
          <w:rStyle w:val="FootnoteReference"/>
        </w:rPr>
        <w:footnoteRef/>
      </w:r>
      <w:r w:rsidRPr="002C4A91">
        <w:t xml:space="preserve"> </w:t>
      </w:r>
      <w:bookmarkStart w:id="1" w:name="_Hlk513041745"/>
      <w:r w:rsidRPr="00C31089" w:rsidR="00C31089">
        <w:rPr>
          <w:i/>
        </w:rPr>
        <w:t>See generally</w:t>
      </w:r>
      <w:r w:rsidR="00C31089">
        <w:t xml:space="preserve"> </w:t>
      </w:r>
      <w:r w:rsidRPr="00C31089">
        <w:t>Petition</w:t>
      </w:r>
      <w:r w:rsidR="0080619D">
        <w:t xml:space="preserve"> of Anda, Inc.</w:t>
      </w:r>
      <w:r w:rsidRPr="00C31089">
        <w:t xml:space="preserve"> for Declaratory Ruling to Clarify that 47 U.S.C. § 227(b) Was Not the Statutory Basis for Commission’s Rules Requiring an Opt-Out Notice for Fax Advertisements Sent with Recipient’s Prior Express Consent,</w:t>
      </w:r>
      <w:r w:rsidRPr="002C4A91">
        <w:t xml:space="preserve"> CG Docket No. 05-338 </w:t>
      </w:r>
      <w:r w:rsidR="00C31089">
        <w:t xml:space="preserve">(filed Nov. 30, 2010), </w:t>
      </w:r>
      <w:r>
        <w:fldChar w:fldCharType="begin"/>
      </w:r>
      <w:r>
        <w:instrText xml:space="preserve"> HYPERLINK "https://ecfsapi.fcc.gov/file/7021715222.pdf" </w:instrText>
      </w:r>
      <w:r>
        <w:fldChar w:fldCharType="separate"/>
      </w:r>
      <w:r w:rsidRPr="00396152" w:rsidR="005A0A64">
        <w:rPr>
          <w:rStyle w:val="Hyperlink"/>
        </w:rPr>
        <w:t>https://ecfsapi.fcc.gov/file/7021715222.pdf</w:t>
      </w:r>
      <w:r>
        <w:fldChar w:fldCharType="end"/>
      </w:r>
      <w:r w:rsidRPr="002C4A91">
        <w:t>.</w:t>
      </w:r>
      <w:r w:rsidR="005A0A64">
        <w:t xml:space="preserve"> </w:t>
      </w:r>
      <w:r w:rsidRPr="002C4A91">
        <w:t xml:space="preserve"> </w:t>
      </w:r>
      <w:bookmarkEnd w:id="1"/>
    </w:p>
  </w:footnote>
  <w:footnote w:id="16">
    <w:p w:rsidR="00B139C0" w:rsidRPr="002C4A91" w:rsidP="00257BBA">
      <w:pPr>
        <w:pStyle w:val="FootnoteText"/>
      </w:pPr>
      <w:r w:rsidRPr="002C4A91">
        <w:rPr>
          <w:rStyle w:val="FootnoteReference"/>
        </w:rPr>
        <w:footnoteRef/>
      </w:r>
      <w:r w:rsidR="008F529A">
        <w:t xml:space="preserve"> </w:t>
      </w:r>
      <w:r w:rsidRPr="002C4A91" w:rsidR="00C31089">
        <w:rPr>
          <w:i/>
        </w:rPr>
        <w:t>See Junk Fax Prevention Act of 2005, Petition for Declaratory Ruling to Clarify that 47 U.S.C. § 227(b) Was Not the Statutory Basis for Commission’s Rules Requiring an Opt-Out Notice for Fax Advertisements Sent with Recipient’s Prior Express Consent</w:t>
      </w:r>
      <w:r w:rsidRPr="002C4A91" w:rsidR="00C31089">
        <w:t xml:space="preserve">, CG Docket No. 05-338, Order, 27 FCC </w:t>
      </w:r>
      <w:r w:rsidRPr="002C4A91" w:rsidR="00C31089">
        <w:t>Rcd</w:t>
      </w:r>
      <w:r w:rsidRPr="002C4A91" w:rsidR="00C31089">
        <w:t xml:space="preserve"> 4912 (CGB 2012) (</w:t>
      </w:r>
      <w:r w:rsidRPr="002C4A91" w:rsidR="00C31089">
        <w:rPr>
          <w:i/>
        </w:rPr>
        <w:t>2012 Anda Order</w:t>
      </w:r>
      <w:r w:rsidRPr="002C4A91" w:rsidR="00C31089">
        <w:t>).</w:t>
      </w:r>
    </w:p>
  </w:footnote>
  <w:footnote w:id="17">
    <w:p w:rsidR="00B139C0" w:rsidRPr="002C4A91" w:rsidP="00257BBA">
      <w:pPr>
        <w:pStyle w:val="FootnoteText"/>
      </w:pPr>
      <w:r w:rsidRPr="002C4A91">
        <w:rPr>
          <w:rStyle w:val="FootnoteReference"/>
        </w:rPr>
        <w:footnoteRef/>
      </w:r>
      <w:r w:rsidRPr="002C4A91">
        <w:t xml:space="preserve"> </w:t>
      </w:r>
      <w:r w:rsidRPr="002C4A91">
        <w:rPr>
          <w:i/>
        </w:rPr>
        <w:t xml:space="preserve">See id. </w:t>
      </w:r>
      <w:r w:rsidRPr="002C4A91">
        <w:t>at 4914, para. 5.</w:t>
      </w:r>
    </w:p>
  </w:footnote>
  <w:footnote w:id="18">
    <w:p w:rsidR="00B139C0" w:rsidRPr="002C4A91" w:rsidP="00257BBA">
      <w:pPr>
        <w:pStyle w:val="FootnoteText"/>
      </w:pPr>
      <w:r w:rsidRPr="002C4A91">
        <w:rPr>
          <w:rStyle w:val="FootnoteReference"/>
        </w:rPr>
        <w:footnoteRef/>
      </w:r>
      <w:r w:rsidRPr="002C4A91">
        <w:t xml:space="preserve"> </w:t>
      </w:r>
      <w:r w:rsidRPr="002C4A91">
        <w:rPr>
          <w:i/>
          <w:iCs/>
        </w:rPr>
        <w:t>See id.</w:t>
      </w:r>
    </w:p>
  </w:footnote>
  <w:footnote w:id="19">
    <w:p w:rsidR="00B139C0" w:rsidRPr="002C4A91" w:rsidP="00257BBA">
      <w:pPr>
        <w:pStyle w:val="FootnoteText"/>
      </w:pPr>
      <w:r w:rsidRPr="002C4A91">
        <w:rPr>
          <w:rStyle w:val="FootnoteReference"/>
        </w:rPr>
        <w:footnoteRef/>
      </w:r>
      <w:r w:rsidRPr="002C4A91">
        <w:t xml:space="preserve"> </w:t>
      </w:r>
      <w:r w:rsidRPr="002C4A91">
        <w:rPr>
          <w:i/>
          <w:iCs/>
        </w:rPr>
        <w:t xml:space="preserve">See </w:t>
      </w:r>
      <w:r>
        <w:t xml:space="preserve">Application for Review </w:t>
      </w:r>
      <w:r w:rsidR="00D139B4">
        <w:t>of</w:t>
      </w:r>
      <w:r>
        <w:t xml:space="preserve"> Anda, Inc., CG Docket No. 05-338,</w:t>
      </w:r>
      <w:r w:rsidR="00C31089">
        <w:t xml:space="preserve"> at 10-13</w:t>
      </w:r>
      <w:r>
        <w:t xml:space="preserve"> </w:t>
      </w:r>
      <w:r w:rsidR="00C31089">
        <w:t xml:space="preserve">(filed </w:t>
      </w:r>
      <w:r>
        <w:t>May 14, 2012</w:t>
      </w:r>
      <w:r w:rsidR="00C31089">
        <w:t xml:space="preserve">), </w:t>
      </w:r>
      <w:r>
        <w:fldChar w:fldCharType="begin"/>
      </w:r>
      <w:r>
        <w:instrText xml:space="preserve"> HYPERLINK "https://ecfsapi.fcc.gov/file/7021918714.pdf" </w:instrText>
      </w:r>
      <w:r>
        <w:fldChar w:fldCharType="separate"/>
      </w:r>
      <w:r w:rsidRPr="00396152" w:rsidR="00C31089">
        <w:rPr>
          <w:rStyle w:val="Hyperlink"/>
        </w:rPr>
        <w:t>https://ecfsapi.fcc.gov/file/7021918714.pdf</w:t>
      </w:r>
      <w:r>
        <w:fldChar w:fldCharType="end"/>
      </w:r>
      <w:r w:rsidRPr="002C4A91">
        <w:t>.</w:t>
      </w:r>
      <w:r w:rsidR="00C31089">
        <w:t xml:space="preserve"> </w:t>
      </w:r>
    </w:p>
  </w:footnote>
  <w:footnote w:id="20">
    <w:p w:rsidR="00B139C0" w:rsidRPr="002C4A91" w:rsidP="00257BBA">
      <w:pPr>
        <w:pStyle w:val="FootnoteText"/>
      </w:pPr>
      <w:r w:rsidRPr="002C4A91">
        <w:rPr>
          <w:rStyle w:val="FootnoteReference"/>
        </w:rPr>
        <w:footnoteRef/>
      </w:r>
      <w:r w:rsidRPr="002C4A91">
        <w:t xml:space="preserve"> </w:t>
      </w:r>
      <w:r w:rsidRPr="002C4A91">
        <w:rPr>
          <w:i/>
        </w:rPr>
        <w:t>See</w:t>
      </w:r>
      <w:r w:rsidRPr="002C4A91">
        <w:t xml:space="preserve"> </w:t>
      </w:r>
      <w:r w:rsidRPr="002C4A91">
        <w:rPr>
          <w:i/>
        </w:rPr>
        <w:t>generally</w:t>
      </w:r>
      <w:r w:rsidR="00D232D4">
        <w:rPr>
          <w:i/>
        </w:rPr>
        <w:t xml:space="preserve"> Petition for Declaratory Ruling, Waiver, and/or Rulemaking Regarding the Commission’s Opt-Out Requirement for Faxes Sent with the Recipient’s Prior Express Permission</w:t>
      </w:r>
      <w:r w:rsidR="00D232D4">
        <w:t xml:space="preserve">, CG Docket Nos. 02-278, 05-338, Order, 29 FCC </w:t>
      </w:r>
      <w:r w:rsidR="00D232D4">
        <w:t>Rcd</w:t>
      </w:r>
      <w:r w:rsidR="00D232D4">
        <w:t xml:space="preserve"> 13998, 14002, para. 10 (2014) (</w:t>
      </w:r>
      <w:r w:rsidR="00D232D4">
        <w:rPr>
          <w:i/>
        </w:rPr>
        <w:t>2014 Anda Commission Order</w:t>
      </w:r>
      <w:r w:rsidR="00D232D4">
        <w:t>)</w:t>
      </w:r>
      <w:r w:rsidRPr="002C4A91">
        <w:t>.</w:t>
      </w:r>
    </w:p>
  </w:footnote>
  <w:footnote w:id="21">
    <w:p w:rsidR="00B139C0" w:rsidRPr="002C4A91" w:rsidP="00257BBA">
      <w:pPr>
        <w:pStyle w:val="FootnoteText"/>
      </w:pPr>
      <w:r w:rsidRPr="002C4A91">
        <w:rPr>
          <w:rStyle w:val="FootnoteReference"/>
        </w:rPr>
        <w:footnoteRef/>
      </w:r>
      <w:r w:rsidRPr="002C4A91">
        <w:t xml:space="preserve"> </w:t>
      </w:r>
      <w:r w:rsidRPr="002C4A91">
        <w:rPr>
          <w:i/>
        </w:rPr>
        <w:t>See id.</w:t>
      </w:r>
      <w:r w:rsidRPr="002C4A91">
        <w:t xml:space="preserve"> at 14008-12, paras. 22-31.</w:t>
      </w:r>
      <w:r w:rsidR="0072049C">
        <w:t xml:space="preserve">  </w:t>
      </w:r>
      <w:r w:rsidRPr="00E91699" w:rsidR="0072049C">
        <w:rPr>
          <w:rFonts w:eastAsia="Calibri"/>
          <w:szCs w:val="22"/>
        </w:rPr>
        <w:t>The Commission emphasized that full complianc</w:t>
      </w:r>
      <w:r w:rsidRPr="005C6B31" w:rsidR="0072049C">
        <w:rPr>
          <w:rFonts w:eastAsia="Calibri"/>
          <w:szCs w:val="22"/>
        </w:rPr>
        <w:t xml:space="preserve">e with the </w:t>
      </w:r>
      <w:r w:rsidRPr="00FA4466" w:rsidR="0072049C">
        <w:rPr>
          <w:rFonts w:eastAsia="Calibri"/>
          <w:szCs w:val="22"/>
        </w:rPr>
        <w:t>2006 Solicited Fax Rule would be required within six months from the release of the Order (</w:t>
      </w:r>
      <w:r w:rsidRPr="00FA4466" w:rsidR="0072049C">
        <w:rPr>
          <w:rFonts w:eastAsia="Calibri"/>
          <w:i/>
          <w:szCs w:val="22"/>
        </w:rPr>
        <w:t>i.e.</w:t>
      </w:r>
      <w:r w:rsidRPr="00FA4466" w:rsidR="0072049C">
        <w:rPr>
          <w:rFonts w:eastAsia="Calibri"/>
          <w:szCs w:val="22"/>
        </w:rPr>
        <w:t xml:space="preserve">, </w:t>
      </w:r>
      <w:r w:rsidR="0072049C">
        <w:rPr>
          <w:rFonts w:eastAsia="Calibri"/>
          <w:szCs w:val="22"/>
        </w:rPr>
        <w:t xml:space="preserve">by </w:t>
      </w:r>
      <w:r w:rsidRPr="00FA4466" w:rsidR="0072049C">
        <w:rPr>
          <w:rFonts w:eastAsia="Calibri"/>
          <w:szCs w:val="22"/>
        </w:rPr>
        <w:t>April 30, 2015).</w:t>
      </w:r>
      <w:r w:rsidRPr="002C4A91">
        <w:t xml:space="preserve"> </w:t>
      </w:r>
      <w:r w:rsidR="00545609">
        <w:t xml:space="preserve"> </w:t>
      </w:r>
      <w:r w:rsidRPr="002C4A91" w:rsidR="0072049C">
        <w:rPr>
          <w:i/>
        </w:rPr>
        <w:t>See id</w:t>
      </w:r>
      <w:r w:rsidRPr="002C4A91" w:rsidR="0072049C">
        <w:t>. at 14011, para. 29.</w:t>
      </w:r>
      <w:r w:rsidR="0072049C">
        <w:t xml:space="preserve">  </w:t>
      </w:r>
      <w:r w:rsidRPr="00E91699" w:rsidR="0072049C">
        <w:rPr>
          <w:rFonts w:eastAsia="Calibri"/>
          <w:szCs w:val="22"/>
        </w:rPr>
        <w:t>The Commission stated that similarly situated parties could seek similar waivers.</w:t>
      </w:r>
      <w:r w:rsidR="0072049C">
        <w:rPr>
          <w:rFonts w:eastAsia="Calibri"/>
          <w:szCs w:val="22"/>
        </w:rPr>
        <w:t xml:space="preserve"> </w:t>
      </w:r>
      <w:r w:rsidR="00545609">
        <w:rPr>
          <w:rFonts w:eastAsia="Calibri"/>
          <w:szCs w:val="22"/>
        </w:rPr>
        <w:t xml:space="preserve"> </w:t>
      </w:r>
      <w:r w:rsidRPr="002C4A91" w:rsidR="0072049C">
        <w:rPr>
          <w:i/>
        </w:rPr>
        <w:t>See id</w:t>
      </w:r>
      <w:r w:rsidRPr="002C4A91" w:rsidR="0072049C">
        <w:t>. at 14011-12, para. 30.</w:t>
      </w:r>
    </w:p>
  </w:footnote>
  <w:footnote w:id="22">
    <w:p w:rsidR="00B139C0" w:rsidP="000D7D5C">
      <w:pPr>
        <w:pStyle w:val="FootnoteText"/>
      </w:pPr>
      <w:r>
        <w:rPr>
          <w:rStyle w:val="FootnoteReference"/>
        </w:rPr>
        <w:footnoteRef/>
      </w:r>
      <w:r>
        <w:t xml:space="preserve"> </w:t>
      </w:r>
      <w:r w:rsidRPr="00342EE2">
        <w:rPr>
          <w:i/>
        </w:rPr>
        <w:t xml:space="preserve">See Rules and Regulations Implementing the Telephone Consumer Protection Act of 1991; Junk Fax Prevention Act of 2005; Petitions for Declaratory Ruling and Retroactive Waiver of 47 </w:t>
      </w:r>
      <w:r w:rsidR="00273938">
        <w:rPr>
          <w:i/>
        </w:rPr>
        <w:t>CFR</w:t>
      </w:r>
      <w:r w:rsidRPr="00342EE2">
        <w:rPr>
          <w:i/>
        </w:rPr>
        <w:t xml:space="preserve"> § 64.1200(a)(4)(iv) Regarding the Commission’s Opt-Out Notice Requirement for Faxes Sent with the Recipient’s Prior Express Permission</w:t>
      </w:r>
      <w:r>
        <w:t xml:space="preserve">, CG Docket Nos. 02-278, 05-338, Order, 30 FCC </w:t>
      </w:r>
      <w:r>
        <w:t>Rcd</w:t>
      </w:r>
      <w:r>
        <w:t xml:space="preserve"> 8598 (CGB 2015) (</w:t>
      </w:r>
      <w:r w:rsidRPr="00342EE2">
        <w:rPr>
          <w:i/>
        </w:rPr>
        <w:t>August 2015 Order</w:t>
      </w:r>
      <w:r>
        <w:t xml:space="preserve">); </w:t>
      </w:r>
      <w:r w:rsidRPr="00342EE2">
        <w:rPr>
          <w:i/>
        </w:rPr>
        <w:t xml:space="preserve">Rules and Regulations Implementing the Telephone Consumer Protection Act of 1991; Junk Fax Prevention Act of 2005; Petitions for Declaratory Ruling and Retroactive Waiver of 47 </w:t>
      </w:r>
      <w:r w:rsidR="00273938">
        <w:rPr>
          <w:i/>
        </w:rPr>
        <w:t>CFR</w:t>
      </w:r>
      <w:r w:rsidRPr="00342EE2">
        <w:rPr>
          <w:i/>
        </w:rPr>
        <w:t xml:space="preserve"> § 64.1200(a)(4)(iv) Regarding the Commission’s Opt-Out Notice Requirement for Faxes Sent with the Recipient’s Prior Express Permission</w:t>
      </w:r>
      <w:r>
        <w:t xml:space="preserve">, CG Docket Nos. 02-278, 05-338, Order, 30 FCC </w:t>
      </w:r>
      <w:r>
        <w:t>Rcd</w:t>
      </w:r>
      <w:r>
        <w:t xml:space="preserve"> 14057 </w:t>
      </w:r>
      <w:r w:rsidR="00D139B4">
        <w:t>(</w:t>
      </w:r>
      <w:r>
        <w:t>CGB 2015</w:t>
      </w:r>
      <w:r w:rsidR="00D139B4">
        <w:t>)</w:t>
      </w:r>
      <w:r>
        <w:t xml:space="preserve"> (</w:t>
      </w:r>
      <w:r w:rsidRPr="00342EE2">
        <w:rPr>
          <w:i/>
        </w:rPr>
        <w:t>December 2015 Order</w:t>
      </w:r>
      <w:r>
        <w:t>);</w:t>
      </w:r>
      <w:r w:rsidRPr="00342EE2">
        <w:t xml:space="preserve"> </w:t>
      </w:r>
      <w:r w:rsidRPr="00342EE2">
        <w:rPr>
          <w:i/>
        </w:rPr>
        <w:t xml:space="preserve">Rules and Regulations Implementing the Telephone Consumer Protection Act of 1991; Junk Fax Prevention Act of 2005; Petitions for Declaratory Ruling and Retroactive Waiver of 47 </w:t>
      </w:r>
      <w:r w:rsidR="00273938">
        <w:rPr>
          <w:i/>
        </w:rPr>
        <w:t>CFR</w:t>
      </w:r>
      <w:r w:rsidRPr="00342EE2">
        <w:rPr>
          <w:i/>
        </w:rPr>
        <w:t xml:space="preserve"> § 64.1200(a)(4)(iv) Regarding the Commission’s Opt-Out Notice Requirement for Faxes Sent with the Recipient’s Prior Express Permission</w:t>
      </w:r>
      <w:r>
        <w:t xml:space="preserve">, CG Docket Nos. 02-278, 05-338, Order, 31 FCC </w:t>
      </w:r>
      <w:r>
        <w:t>Rcd</w:t>
      </w:r>
      <w:r>
        <w:t xml:space="preserve"> 11943 (CGB 2016) (</w:t>
      </w:r>
      <w:r w:rsidRPr="00342EE2">
        <w:rPr>
          <w:i/>
        </w:rPr>
        <w:t>November 2016 Order</w:t>
      </w:r>
      <w:r w:rsidR="00D139B4">
        <w:t>)</w:t>
      </w:r>
      <w:r>
        <w:t>.</w:t>
      </w:r>
    </w:p>
  </w:footnote>
  <w:footnote w:id="23">
    <w:p w:rsidR="00B139C0" w:rsidRPr="00AF5C58" w:rsidP="00AF5C58">
      <w:pPr>
        <w:rPr>
          <w:rFonts w:ascii="Times New Roman" w:hAnsi="Times New Roman" w:cs="Times New Roman"/>
          <w:sz w:val="20"/>
          <w:szCs w:val="20"/>
        </w:rPr>
      </w:pPr>
      <w:r w:rsidRPr="00AF5C58">
        <w:rPr>
          <w:rStyle w:val="FootnoteReference"/>
          <w:rFonts w:cs="Times New Roman"/>
        </w:rPr>
        <w:footnoteRef/>
      </w:r>
      <w:r w:rsidRPr="00AF5C58">
        <w:rPr>
          <w:rFonts w:ascii="Times New Roman" w:hAnsi="Times New Roman" w:cs="Times New Roman"/>
        </w:rPr>
        <w:t xml:space="preserve"> </w:t>
      </w:r>
      <w:r w:rsidRPr="00AF5C58">
        <w:rPr>
          <w:rFonts w:ascii="Times New Roman" w:hAnsi="Times New Roman" w:cs="Times New Roman"/>
          <w:i/>
          <w:sz w:val="20"/>
          <w:szCs w:val="20"/>
        </w:rPr>
        <w:t xml:space="preserve">See Petition of </w:t>
      </w:r>
      <w:r w:rsidRPr="00AF5C58">
        <w:rPr>
          <w:rFonts w:ascii="Times New Roman" w:hAnsi="Times New Roman" w:cs="Times New Roman"/>
          <w:i/>
          <w:sz w:val="20"/>
          <w:szCs w:val="20"/>
        </w:rPr>
        <w:t>Safemark</w:t>
      </w:r>
      <w:r w:rsidRPr="00AF5C58">
        <w:rPr>
          <w:rFonts w:ascii="Times New Roman" w:hAnsi="Times New Roman" w:cs="Times New Roman"/>
          <w:i/>
          <w:sz w:val="20"/>
          <w:szCs w:val="20"/>
        </w:rPr>
        <w:t xml:space="preserve"> Systems, LP for Retroactive Waiver of 47 CFR § 64.1200(a)(4)(iv)</w:t>
      </w:r>
      <w:r w:rsidRPr="00AF5C58">
        <w:rPr>
          <w:rFonts w:ascii="Times New Roman" w:hAnsi="Times New Roman" w:cs="Times New Roman"/>
          <w:sz w:val="20"/>
          <w:szCs w:val="20"/>
        </w:rPr>
        <w:t>, CG Docket Nos. 02-278, 05-338 (filed Oct. 6, 2016)</w:t>
      </w:r>
      <w:r w:rsidR="005E44A6">
        <w:rPr>
          <w:rFonts w:ascii="Times New Roman" w:hAnsi="Times New Roman" w:cs="Times New Roman"/>
          <w:sz w:val="20"/>
          <w:szCs w:val="20"/>
        </w:rPr>
        <w:t xml:space="preserve">, </w:t>
      </w:r>
      <w:r>
        <w:fldChar w:fldCharType="begin"/>
      </w:r>
      <w:r>
        <w:instrText xml:space="preserve"> HYPERLINK "https://ecfsapi.fcc.gov/file/10061200910192/Safemark%20Petition%20for%20Retroactive%20Waiver.pdf" </w:instrText>
      </w:r>
      <w:r>
        <w:fldChar w:fldCharType="separate"/>
      </w:r>
      <w:r w:rsidRPr="00396152" w:rsidR="005E44A6">
        <w:rPr>
          <w:rStyle w:val="Hyperlink"/>
          <w:rFonts w:ascii="Times New Roman" w:hAnsi="Times New Roman" w:cs="Times New Roman"/>
          <w:sz w:val="20"/>
          <w:szCs w:val="20"/>
        </w:rPr>
        <w:t>https://ecfsapi.fcc.gov/file/10061200910192/Safemark%20Petition%20for%20Retroactive%20Waiver.pdf</w:t>
      </w:r>
      <w:r>
        <w:fldChar w:fldCharType="end"/>
      </w:r>
      <w:r w:rsidR="005E44A6">
        <w:rPr>
          <w:rFonts w:ascii="Times New Roman" w:hAnsi="Times New Roman" w:cs="Times New Roman"/>
          <w:sz w:val="20"/>
          <w:szCs w:val="20"/>
        </w:rPr>
        <w:t xml:space="preserve"> </w:t>
      </w:r>
      <w:r w:rsidRPr="00AF5C58">
        <w:rPr>
          <w:rFonts w:ascii="Times New Roman" w:hAnsi="Times New Roman" w:cs="Times New Roman"/>
          <w:sz w:val="20"/>
          <w:szCs w:val="20"/>
        </w:rPr>
        <w:t xml:space="preserve"> (</w:t>
      </w:r>
      <w:r w:rsidRPr="00AF5C58">
        <w:rPr>
          <w:rFonts w:ascii="Times New Roman" w:hAnsi="Times New Roman" w:cs="Times New Roman"/>
          <w:sz w:val="20"/>
          <w:szCs w:val="20"/>
        </w:rPr>
        <w:t>Safemark</w:t>
      </w:r>
      <w:r w:rsidRPr="00AF5C58">
        <w:rPr>
          <w:rFonts w:ascii="Times New Roman" w:hAnsi="Times New Roman" w:cs="Times New Roman"/>
          <w:sz w:val="20"/>
          <w:szCs w:val="20"/>
        </w:rPr>
        <w:t xml:space="preserve"> Petition); </w:t>
      </w:r>
      <w:r w:rsidRPr="00AF5C58">
        <w:rPr>
          <w:rFonts w:ascii="Times New Roman" w:hAnsi="Times New Roman" w:cs="Times New Roman"/>
          <w:i/>
          <w:sz w:val="20"/>
          <w:szCs w:val="20"/>
        </w:rPr>
        <w:t>Petition of Cynosure, Inc. for Waiver of Section 64.1200(a)4)(iv) of the Commission’s Rules, or in the Alternative, for A Declaratory Ruling</w:t>
      </w:r>
      <w:r w:rsidRPr="00AF5C58">
        <w:rPr>
          <w:rFonts w:ascii="Times New Roman" w:hAnsi="Times New Roman" w:cs="Times New Roman"/>
          <w:sz w:val="20"/>
          <w:szCs w:val="20"/>
        </w:rPr>
        <w:t xml:space="preserve">, </w:t>
      </w:r>
      <w:bookmarkStart w:id="2" w:name="_Hlk521503241"/>
      <w:r w:rsidRPr="00AF5C58">
        <w:rPr>
          <w:rFonts w:ascii="Times New Roman" w:hAnsi="Times New Roman" w:cs="Times New Roman"/>
          <w:sz w:val="20"/>
          <w:szCs w:val="20"/>
        </w:rPr>
        <w:t>CG Docket Nos. 02-278, 05-338</w:t>
      </w:r>
      <w:bookmarkEnd w:id="2"/>
      <w:r w:rsidRPr="00AF5C58">
        <w:rPr>
          <w:rFonts w:ascii="Times New Roman" w:hAnsi="Times New Roman" w:cs="Times New Roman"/>
          <w:sz w:val="20"/>
          <w:szCs w:val="20"/>
        </w:rPr>
        <w:t xml:space="preserve"> (filed Oct. 26, 2016)</w:t>
      </w:r>
      <w:r w:rsidR="005E44A6">
        <w:rPr>
          <w:rFonts w:ascii="Times New Roman" w:hAnsi="Times New Roman" w:cs="Times New Roman"/>
          <w:sz w:val="20"/>
          <w:szCs w:val="20"/>
        </w:rPr>
        <w:t xml:space="preserve">, </w:t>
      </w:r>
      <w:r>
        <w:fldChar w:fldCharType="begin"/>
      </w:r>
      <w:r>
        <w:instrText xml:space="preserve"> HYPERLINK "https://ecfsapi.fcc.gov/file/1026008520205/Cynosure%20-%20FCC%20-%20Petition%20FINAL.pdf" </w:instrText>
      </w:r>
      <w:r>
        <w:fldChar w:fldCharType="separate"/>
      </w:r>
      <w:r w:rsidRPr="00396152" w:rsidR="005E44A6">
        <w:rPr>
          <w:rStyle w:val="Hyperlink"/>
          <w:rFonts w:ascii="Times New Roman" w:hAnsi="Times New Roman" w:cs="Times New Roman"/>
          <w:sz w:val="20"/>
          <w:szCs w:val="20"/>
        </w:rPr>
        <w:t>https://ecfsapi.fcc.gov/file/1026008520205/Cynosure%20-%20FCC%20-%20Petition%20FINAL.pdf</w:t>
      </w:r>
      <w:r>
        <w:fldChar w:fldCharType="end"/>
      </w:r>
      <w:r w:rsidR="005E44A6">
        <w:rPr>
          <w:rFonts w:ascii="Times New Roman" w:hAnsi="Times New Roman" w:cs="Times New Roman"/>
          <w:sz w:val="20"/>
          <w:szCs w:val="20"/>
        </w:rPr>
        <w:t xml:space="preserve"> </w:t>
      </w:r>
      <w:r w:rsidRPr="00AF5C58">
        <w:rPr>
          <w:rFonts w:ascii="Times New Roman" w:hAnsi="Times New Roman" w:cs="Times New Roman"/>
          <w:sz w:val="20"/>
          <w:szCs w:val="20"/>
        </w:rPr>
        <w:t xml:space="preserve">(Cynosure Petition); </w:t>
      </w:r>
      <w:r w:rsidRPr="00AF5C58">
        <w:rPr>
          <w:rFonts w:ascii="Times New Roman" w:hAnsi="Times New Roman" w:cs="Times New Roman"/>
          <w:i/>
          <w:sz w:val="20"/>
          <w:szCs w:val="20"/>
        </w:rPr>
        <w:t>Petition of United Auto Credit Corporation for Waiver of Section 64.1200(a)(4)(iv) of the Commission’s Rules</w:t>
      </w:r>
      <w:r w:rsidRPr="00AF5C58">
        <w:rPr>
          <w:rFonts w:ascii="Times New Roman" w:hAnsi="Times New Roman" w:cs="Times New Roman"/>
          <w:sz w:val="20"/>
          <w:szCs w:val="20"/>
        </w:rPr>
        <w:t>, CG Docket Nos. 02-278, 05-338 (filed Oct. 28, 2016)</w:t>
      </w:r>
      <w:r w:rsidR="005E44A6">
        <w:rPr>
          <w:rFonts w:ascii="Times New Roman" w:hAnsi="Times New Roman" w:cs="Times New Roman"/>
          <w:sz w:val="20"/>
          <w:szCs w:val="20"/>
        </w:rPr>
        <w:t xml:space="preserve">, </w:t>
      </w:r>
      <w:r>
        <w:fldChar w:fldCharType="begin"/>
      </w:r>
      <w:r>
        <w:instrText xml:space="preserve"> HYPERLINK "https://ecfsapi.fcc.gov/file/1028229378794/UACC%20Retroactive%20Waiver%20Petiton.pdf" </w:instrText>
      </w:r>
      <w:r>
        <w:fldChar w:fldCharType="separate"/>
      </w:r>
      <w:r w:rsidRPr="00396152" w:rsidR="005E44A6">
        <w:rPr>
          <w:rStyle w:val="Hyperlink"/>
          <w:rFonts w:ascii="Times New Roman" w:hAnsi="Times New Roman" w:cs="Times New Roman"/>
          <w:sz w:val="20"/>
          <w:szCs w:val="20"/>
        </w:rPr>
        <w:t>https://ecfsapi.fcc.gov/file/1028229378794/UACC%20Retroactive%20Waiver%20Petiton.pdf</w:t>
      </w:r>
      <w:r>
        <w:fldChar w:fldCharType="end"/>
      </w:r>
      <w:r w:rsidR="005E44A6">
        <w:rPr>
          <w:rFonts w:ascii="Times New Roman" w:hAnsi="Times New Roman" w:cs="Times New Roman"/>
          <w:sz w:val="20"/>
          <w:szCs w:val="20"/>
        </w:rPr>
        <w:t xml:space="preserve"> </w:t>
      </w:r>
      <w:r w:rsidRPr="00AF5C58">
        <w:rPr>
          <w:rFonts w:ascii="Times New Roman" w:hAnsi="Times New Roman" w:cs="Times New Roman"/>
          <w:sz w:val="20"/>
          <w:szCs w:val="20"/>
        </w:rPr>
        <w:t xml:space="preserve">(UACC Petition); </w:t>
      </w:r>
      <w:r w:rsidRPr="00AF5C58">
        <w:rPr>
          <w:rFonts w:ascii="Times New Roman" w:hAnsi="Times New Roman" w:cs="Times New Roman"/>
          <w:i/>
          <w:sz w:val="20"/>
          <w:szCs w:val="20"/>
        </w:rPr>
        <w:t xml:space="preserve">Petition of Brigadoon Fitness Inc. and Brigadoon Financial Inc. for Waiver of Section 64.1200(a)4)(iv) of the Commission’s Rules, </w:t>
      </w:r>
      <w:r w:rsidRPr="00AF5C58">
        <w:rPr>
          <w:rFonts w:ascii="Times New Roman" w:hAnsi="Times New Roman" w:cs="Times New Roman"/>
          <w:sz w:val="20"/>
          <w:szCs w:val="20"/>
        </w:rPr>
        <w:t>CG Docket Nos. 02-278, 05-338 (filed Nov.</w:t>
      </w:r>
      <w:r w:rsidR="00AA25D6">
        <w:rPr>
          <w:rFonts w:ascii="Times New Roman" w:hAnsi="Times New Roman" w:cs="Times New Roman"/>
          <w:sz w:val="20"/>
          <w:szCs w:val="20"/>
        </w:rPr>
        <w:t xml:space="preserve"> </w:t>
      </w:r>
      <w:r w:rsidRPr="00AF5C58">
        <w:rPr>
          <w:rFonts w:ascii="Times New Roman" w:hAnsi="Times New Roman" w:cs="Times New Roman"/>
          <w:sz w:val="20"/>
          <w:szCs w:val="20"/>
        </w:rPr>
        <w:t>7, 2016)</w:t>
      </w:r>
      <w:r w:rsidR="005E44A6">
        <w:rPr>
          <w:rFonts w:ascii="Times New Roman" w:hAnsi="Times New Roman" w:cs="Times New Roman"/>
          <w:sz w:val="20"/>
          <w:szCs w:val="20"/>
        </w:rPr>
        <w:t xml:space="preserve">, </w:t>
      </w:r>
      <w:r>
        <w:fldChar w:fldCharType="begin"/>
      </w:r>
      <w:r>
        <w:instrText xml:space="preserve"> HYPERLINK "https://ecfsapi.fcc.gov/file/11071811900027/Brigadoon%20FCC%20Petition%20for%20Waiver.docx" </w:instrText>
      </w:r>
      <w:r>
        <w:fldChar w:fldCharType="separate"/>
      </w:r>
      <w:r w:rsidRPr="00396152" w:rsidR="005E44A6">
        <w:rPr>
          <w:rStyle w:val="Hyperlink"/>
          <w:rFonts w:ascii="Times New Roman" w:hAnsi="Times New Roman" w:cs="Times New Roman"/>
          <w:sz w:val="20"/>
          <w:szCs w:val="20"/>
        </w:rPr>
        <w:t>https://ecfsapi.fcc.gov/file/11071811900027/Brigadoon%20FCC%20Petition%20for%20Waiver.docx</w:t>
      </w:r>
      <w:r>
        <w:fldChar w:fldCharType="end"/>
      </w:r>
      <w:r w:rsidR="005E44A6">
        <w:rPr>
          <w:rFonts w:ascii="Times New Roman" w:hAnsi="Times New Roman" w:cs="Times New Roman"/>
          <w:sz w:val="20"/>
          <w:szCs w:val="20"/>
        </w:rPr>
        <w:t xml:space="preserve"> </w:t>
      </w:r>
      <w:r w:rsidRPr="00AF5C58">
        <w:rPr>
          <w:rFonts w:ascii="Times New Roman" w:hAnsi="Times New Roman" w:cs="Times New Roman"/>
          <w:sz w:val="20"/>
          <w:szCs w:val="20"/>
        </w:rPr>
        <w:t>(Brigadoon Petition);</w:t>
      </w:r>
      <w:r w:rsidRPr="00AF5C58">
        <w:rPr>
          <w:rFonts w:ascii="Times New Roman" w:hAnsi="Times New Roman" w:cs="Times New Roman"/>
          <w:i/>
          <w:sz w:val="20"/>
          <w:szCs w:val="20"/>
        </w:rPr>
        <w:t xml:space="preserve"> Petition of </w:t>
      </w:r>
      <w:r w:rsidRPr="00AF5C58">
        <w:rPr>
          <w:rFonts w:ascii="Times New Roman" w:hAnsi="Times New Roman" w:cs="Times New Roman"/>
          <w:i/>
          <w:sz w:val="20"/>
          <w:szCs w:val="20"/>
        </w:rPr>
        <w:t>Renue</w:t>
      </w:r>
      <w:r w:rsidRPr="00AF5C58">
        <w:rPr>
          <w:rFonts w:ascii="Times New Roman" w:hAnsi="Times New Roman" w:cs="Times New Roman"/>
          <w:i/>
          <w:sz w:val="20"/>
          <w:szCs w:val="20"/>
        </w:rPr>
        <w:t xml:space="preserve"> Systems Development Corp., Inc., et al. for Retroactive Waiver of Section 64.1200(a)(4)(iv)</w:t>
      </w:r>
      <w:r w:rsidRPr="00AF5C58">
        <w:rPr>
          <w:rFonts w:ascii="Times New Roman" w:hAnsi="Times New Roman" w:cs="Times New Roman"/>
          <w:sz w:val="20"/>
          <w:szCs w:val="20"/>
        </w:rPr>
        <w:t>, CG Docket Nos. 02-278, 05-338 (filed Jan. 4, 2017)</w:t>
      </w:r>
      <w:r w:rsidR="005E44A6">
        <w:rPr>
          <w:rFonts w:ascii="Times New Roman" w:hAnsi="Times New Roman" w:cs="Times New Roman"/>
          <w:sz w:val="20"/>
          <w:szCs w:val="20"/>
        </w:rPr>
        <w:t xml:space="preserve">, </w:t>
      </w:r>
      <w:r>
        <w:fldChar w:fldCharType="begin"/>
      </w:r>
      <w:r>
        <w:instrText xml:space="preserve"> HYPERLINK "https://ecfsapi.fcc.gov/file/10104097725837/Renue%20-%20petition%20for%20retroactive%20waiver.pdf" </w:instrText>
      </w:r>
      <w:r>
        <w:fldChar w:fldCharType="separate"/>
      </w:r>
      <w:r w:rsidRPr="00396152" w:rsidR="005E44A6">
        <w:rPr>
          <w:rStyle w:val="Hyperlink"/>
          <w:rFonts w:ascii="Times New Roman" w:hAnsi="Times New Roman" w:cs="Times New Roman"/>
          <w:sz w:val="20"/>
          <w:szCs w:val="20"/>
        </w:rPr>
        <w:t>https://ecfsapi.fcc.gov/file/10104097725837/Renue%20-%20petition%20for%20retroactive%20waiver.pdf</w:t>
      </w:r>
      <w:r>
        <w:fldChar w:fldCharType="end"/>
      </w:r>
      <w:r w:rsidR="005E44A6">
        <w:rPr>
          <w:rFonts w:ascii="Times New Roman" w:hAnsi="Times New Roman" w:cs="Times New Roman"/>
          <w:sz w:val="20"/>
          <w:szCs w:val="20"/>
        </w:rPr>
        <w:t xml:space="preserve"> </w:t>
      </w:r>
      <w:r w:rsidRPr="00AF5C58">
        <w:rPr>
          <w:rFonts w:ascii="Times New Roman" w:hAnsi="Times New Roman" w:cs="Times New Roman"/>
          <w:sz w:val="20"/>
          <w:szCs w:val="20"/>
        </w:rPr>
        <w:t>(</w:t>
      </w:r>
      <w:r w:rsidRPr="00AF5C58">
        <w:rPr>
          <w:rFonts w:ascii="Times New Roman" w:hAnsi="Times New Roman" w:cs="Times New Roman"/>
          <w:sz w:val="20"/>
          <w:szCs w:val="20"/>
        </w:rPr>
        <w:t>Renue</w:t>
      </w:r>
      <w:r w:rsidRPr="00AF5C58">
        <w:rPr>
          <w:rFonts w:ascii="Times New Roman" w:hAnsi="Times New Roman" w:cs="Times New Roman"/>
          <w:sz w:val="20"/>
          <w:szCs w:val="20"/>
        </w:rPr>
        <w:t xml:space="preserve"> Petition); </w:t>
      </w:r>
      <w:r w:rsidRPr="00AF5C58">
        <w:rPr>
          <w:rFonts w:ascii="Times New Roman" w:hAnsi="Times New Roman" w:cs="Times New Roman"/>
          <w:i/>
          <w:sz w:val="20"/>
          <w:szCs w:val="20"/>
        </w:rPr>
        <w:t>Petition of Chester Limited, Inc. for Waiver of Section 64.1200(a)(4)(iv) of the Commission’s Rules</w:t>
      </w:r>
      <w:r w:rsidRPr="00AF5C58">
        <w:rPr>
          <w:rFonts w:ascii="Times New Roman" w:hAnsi="Times New Roman" w:cs="Times New Roman"/>
          <w:sz w:val="20"/>
          <w:szCs w:val="20"/>
        </w:rPr>
        <w:t>, CG Docket Nos. 02-278, 05-338 (filed Jan. 23, 2017)</w:t>
      </w:r>
      <w:r w:rsidR="005E44A6">
        <w:rPr>
          <w:rFonts w:ascii="Times New Roman" w:hAnsi="Times New Roman" w:cs="Times New Roman"/>
          <w:sz w:val="20"/>
          <w:szCs w:val="20"/>
        </w:rPr>
        <w:t xml:space="preserve">, </w:t>
      </w:r>
      <w:r>
        <w:fldChar w:fldCharType="begin"/>
      </w:r>
      <w:r>
        <w:instrText xml:space="preserve"> HYPERLINK "https://ecfsapi.fcc.gov/file/10206114019817/Petition-for-Waiver(4).pdf" </w:instrText>
      </w:r>
      <w:r>
        <w:fldChar w:fldCharType="separate"/>
      </w:r>
      <w:r w:rsidRPr="00396152" w:rsidR="006903D1">
        <w:rPr>
          <w:rStyle w:val="Hyperlink"/>
          <w:rFonts w:ascii="Times New Roman" w:hAnsi="Times New Roman" w:cs="Times New Roman"/>
          <w:sz w:val="20"/>
          <w:szCs w:val="20"/>
        </w:rPr>
        <w:t>https://ecfsapi.fcc.gov/file/10206114019817/Petition-for-Waiver(4).pdf</w:t>
      </w:r>
      <w:r>
        <w:fldChar w:fldCharType="end"/>
      </w:r>
      <w:r w:rsidR="006903D1">
        <w:rPr>
          <w:rFonts w:ascii="Times New Roman" w:hAnsi="Times New Roman" w:cs="Times New Roman"/>
          <w:sz w:val="20"/>
          <w:szCs w:val="20"/>
        </w:rPr>
        <w:t xml:space="preserve"> </w:t>
      </w:r>
      <w:r w:rsidRPr="00AF5C58">
        <w:rPr>
          <w:rFonts w:ascii="Times New Roman" w:hAnsi="Times New Roman" w:cs="Times New Roman"/>
          <w:sz w:val="20"/>
          <w:szCs w:val="20"/>
        </w:rPr>
        <w:t xml:space="preserve">(Chester Petition); </w:t>
      </w:r>
      <w:r w:rsidRPr="00AF5C58">
        <w:rPr>
          <w:rFonts w:ascii="Times New Roman" w:hAnsi="Times New Roman" w:cs="Times New Roman"/>
          <w:i/>
          <w:sz w:val="20"/>
          <w:szCs w:val="20"/>
        </w:rPr>
        <w:t>Petition of Foot Levelers, Inc. for Retroactive Waiver of Section 64.1200(a)(4)(iv) of the Commission’s Rules</w:t>
      </w:r>
      <w:r w:rsidRPr="00AF5C58">
        <w:rPr>
          <w:rFonts w:ascii="Times New Roman" w:hAnsi="Times New Roman" w:cs="Times New Roman"/>
          <w:sz w:val="20"/>
          <w:szCs w:val="20"/>
        </w:rPr>
        <w:t>, CG Docket Nos. 02-278, 05-338 (filed Feb. 2, 201</w:t>
      </w:r>
      <w:r w:rsidR="006903D1">
        <w:rPr>
          <w:rFonts w:ascii="Times New Roman" w:hAnsi="Times New Roman" w:cs="Times New Roman"/>
          <w:sz w:val="20"/>
          <w:szCs w:val="20"/>
        </w:rPr>
        <w:t>7</w:t>
      </w:r>
      <w:r w:rsidRPr="00AF5C58">
        <w:rPr>
          <w:rFonts w:ascii="Times New Roman" w:hAnsi="Times New Roman" w:cs="Times New Roman"/>
          <w:sz w:val="20"/>
          <w:szCs w:val="20"/>
        </w:rPr>
        <w:t>)</w:t>
      </w:r>
      <w:r w:rsidR="006903D1">
        <w:rPr>
          <w:rFonts w:ascii="Times New Roman" w:hAnsi="Times New Roman" w:cs="Times New Roman"/>
          <w:sz w:val="20"/>
          <w:szCs w:val="20"/>
        </w:rPr>
        <w:t xml:space="preserve">, </w:t>
      </w:r>
      <w:r>
        <w:fldChar w:fldCharType="begin"/>
      </w:r>
      <w:r>
        <w:instrText xml:space="preserve"> HYPERLINK "https://ecfsapi.fcc.gov/file/10202091367227/FL%20FCC%20Petition.PDF" </w:instrText>
      </w:r>
      <w:r>
        <w:fldChar w:fldCharType="separate"/>
      </w:r>
      <w:r w:rsidRPr="00396152" w:rsidR="006903D1">
        <w:rPr>
          <w:rStyle w:val="Hyperlink"/>
          <w:rFonts w:ascii="Times New Roman" w:hAnsi="Times New Roman" w:cs="Times New Roman"/>
          <w:sz w:val="20"/>
          <w:szCs w:val="20"/>
        </w:rPr>
        <w:t>https://ecfsapi.fcc.gov/file/10202091367227/FL%20FCC%20Petition.PDF</w:t>
      </w:r>
      <w:r>
        <w:fldChar w:fldCharType="end"/>
      </w:r>
      <w:r w:rsidR="006903D1">
        <w:rPr>
          <w:rFonts w:ascii="Times New Roman" w:hAnsi="Times New Roman" w:cs="Times New Roman"/>
          <w:sz w:val="20"/>
          <w:szCs w:val="20"/>
        </w:rPr>
        <w:t xml:space="preserve"> </w:t>
      </w:r>
      <w:r w:rsidRPr="00AF5C58">
        <w:rPr>
          <w:rFonts w:ascii="Times New Roman" w:hAnsi="Times New Roman" w:cs="Times New Roman"/>
          <w:sz w:val="20"/>
          <w:szCs w:val="20"/>
        </w:rPr>
        <w:t xml:space="preserve">(Foot Levelers Petition); </w:t>
      </w:r>
      <w:r w:rsidRPr="00AF5C58">
        <w:rPr>
          <w:rFonts w:ascii="Times New Roman" w:hAnsi="Times New Roman" w:cs="Times New Roman"/>
          <w:i/>
          <w:sz w:val="20"/>
          <w:szCs w:val="20"/>
        </w:rPr>
        <w:t>Petition for Waiver of M3 USA Corporation</w:t>
      </w:r>
      <w:r w:rsidRPr="00AF5C58">
        <w:rPr>
          <w:rFonts w:ascii="Times New Roman" w:hAnsi="Times New Roman" w:cs="Times New Roman"/>
          <w:sz w:val="20"/>
          <w:szCs w:val="20"/>
        </w:rPr>
        <w:t>, CG Docket Nos. 02-278, 05-338 (filed Feb. 14, 2017)</w:t>
      </w:r>
      <w:r w:rsidR="006903D1">
        <w:rPr>
          <w:rFonts w:ascii="Times New Roman" w:hAnsi="Times New Roman" w:cs="Times New Roman"/>
          <w:sz w:val="20"/>
          <w:szCs w:val="20"/>
        </w:rPr>
        <w:t xml:space="preserve">, </w:t>
      </w:r>
      <w:r>
        <w:fldChar w:fldCharType="begin"/>
      </w:r>
      <w:r>
        <w:instrText xml:space="preserve"> HYPERLINK "https://ecfsapi.fcc.gov/file/10214102331446/M3%20Petition%20for%20Waiver.pdf" </w:instrText>
      </w:r>
      <w:r>
        <w:fldChar w:fldCharType="separate"/>
      </w:r>
      <w:r w:rsidRPr="00396152" w:rsidR="006903D1">
        <w:rPr>
          <w:rStyle w:val="Hyperlink"/>
          <w:rFonts w:ascii="Times New Roman" w:hAnsi="Times New Roman" w:cs="Times New Roman"/>
          <w:sz w:val="20"/>
          <w:szCs w:val="20"/>
        </w:rPr>
        <w:t>https://ecfsapi.fcc.gov/file/10214102331446/M3%20Petition%20for%20Waiver.pdf</w:t>
      </w:r>
      <w:r>
        <w:fldChar w:fldCharType="end"/>
      </w:r>
      <w:r w:rsidR="006903D1">
        <w:rPr>
          <w:rFonts w:ascii="Times New Roman" w:hAnsi="Times New Roman" w:cs="Times New Roman"/>
          <w:sz w:val="20"/>
          <w:szCs w:val="20"/>
        </w:rPr>
        <w:t xml:space="preserve"> </w:t>
      </w:r>
      <w:r w:rsidRPr="00AF5C58">
        <w:rPr>
          <w:rFonts w:ascii="Times New Roman" w:hAnsi="Times New Roman" w:cs="Times New Roman"/>
          <w:sz w:val="20"/>
          <w:szCs w:val="20"/>
        </w:rPr>
        <w:t>(M3 Petition);</w:t>
      </w:r>
      <w:r w:rsidRPr="00AF5C58">
        <w:rPr>
          <w:rFonts w:ascii="Times New Roman" w:hAnsi="Times New Roman" w:cs="Times New Roman"/>
          <w:i/>
          <w:sz w:val="20"/>
          <w:szCs w:val="20"/>
        </w:rPr>
        <w:t xml:space="preserve"> Petition of Lane </w:t>
      </w:r>
      <w:r w:rsidRPr="005A0557">
        <w:rPr>
          <w:rFonts w:ascii="Times New Roman" w:hAnsi="Times New Roman" w:cs="Times New Roman"/>
          <w:i/>
          <w:sz w:val="20"/>
          <w:szCs w:val="20"/>
        </w:rPr>
        <w:t>Labs-USA, Inc. for Waiver of Section 64.1200(a)(4)(iv) of the Commission’s Rules</w:t>
      </w:r>
      <w:r w:rsidRPr="005A0557">
        <w:rPr>
          <w:rFonts w:ascii="Times New Roman" w:hAnsi="Times New Roman" w:cs="Times New Roman"/>
          <w:sz w:val="20"/>
          <w:szCs w:val="20"/>
        </w:rPr>
        <w:t>, CG Docket Nos. 02-278, 05-338 (filed Feb. 24, 2017)</w:t>
      </w:r>
      <w:r w:rsidRPr="005A0557" w:rsidR="006903D1">
        <w:rPr>
          <w:rFonts w:ascii="Times New Roman" w:hAnsi="Times New Roman" w:cs="Times New Roman"/>
          <w:sz w:val="20"/>
          <w:szCs w:val="20"/>
        </w:rPr>
        <w:t xml:space="preserve">, </w:t>
      </w:r>
      <w:r>
        <w:fldChar w:fldCharType="begin"/>
      </w:r>
      <w:r>
        <w:instrText xml:space="preserve"> HYPERLINK "https://ecfsapi.fcc.gov/file/1022418465669/PetitionWaiver22017.doc" </w:instrText>
      </w:r>
      <w:r>
        <w:fldChar w:fldCharType="separate"/>
      </w:r>
      <w:r w:rsidRPr="005A0557" w:rsidR="006903D1">
        <w:rPr>
          <w:rStyle w:val="Hyperlink"/>
          <w:rFonts w:ascii="Times New Roman" w:hAnsi="Times New Roman" w:cs="Times New Roman"/>
          <w:sz w:val="20"/>
          <w:szCs w:val="20"/>
        </w:rPr>
        <w:t>https://ecfsapi.fcc.gov/file/1022418465669/PetitionWaiver22017.doc</w:t>
      </w:r>
      <w:r>
        <w:fldChar w:fldCharType="end"/>
      </w:r>
      <w:r w:rsidRPr="005A0557" w:rsidR="006903D1">
        <w:rPr>
          <w:rFonts w:ascii="Times New Roman" w:hAnsi="Times New Roman" w:cs="Times New Roman"/>
          <w:sz w:val="20"/>
          <w:szCs w:val="20"/>
        </w:rPr>
        <w:t xml:space="preserve"> </w:t>
      </w:r>
      <w:r w:rsidRPr="005A0557">
        <w:rPr>
          <w:rFonts w:ascii="Times New Roman" w:hAnsi="Times New Roman" w:cs="Times New Roman"/>
          <w:sz w:val="20"/>
          <w:szCs w:val="20"/>
        </w:rPr>
        <w:t xml:space="preserve">(Lane Petition); </w:t>
      </w:r>
      <w:r w:rsidRPr="005A0557">
        <w:rPr>
          <w:rFonts w:ascii="Times New Roman" w:hAnsi="Times New Roman" w:cs="Times New Roman"/>
          <w:i/>
          <w:sz w:val="20"/>
          <w:szCs w:val="20"/>
        </w:rPr>
        <w:t>Petition of Getaway Seminars, Inc. for Waiver of Section 64.1200(a)(4)(iv) of the Commission’s Rules</w:t>
      </w:r>
      <w:r w:rsidRPr="005A0557">
        <w:rPr>
          <w:rFonts w:ascii="Times New Roman" w:hAnsi="Times New Roman" w:cs="Times New Roman"/>
          <w:sz w:val="20"/>
          <w:szCs w:val="20"/>
        </w:rPr>
        <w:t>, CG Docket Nos. 02-278, 05-338 (filed Feb. 28, 2017)</w:t>
      </w:r>
      <w:r w:rsidRPr="005A0557" w:rsidR="006903D1">
        <w:rPr>
          <w:rFonts w:ascii="Times New Roman" w:hAnsi="Times New Roman" w:cs="Times New Roman"/>
          <w:sz w:val="20"/>
          <w:szCs w:val="20"/>
        </w:rPr>
        <w:t xml:space="preserve">, </w:t>
      </w:r>
      <w:r>
        <w:fldChar w:fldCharType="begin"/>
      </w:r>
      <w:r>
        <w:instrText xml:space="preserve"> HYPERLINK "https://ecfsapi.fcc.gov/file/1022819830028/PetitionWaiver22017GET.doc" </w:instrText>
      </w:r>
      <w:r>
        <w:fldChar w:fldCharType="separate"/>
      </w:r>
      <w:r w:rsidRPr="005A0557" w:rsidR="006903D1">
        <w:rPr>
          <w:rStyle w:val="Hyperlink"/>
          <w:rFonts w:ascii="Times New Roman" w:hAnsi="Times New Roman" w:cs="Times New Roman"/>
          <w:sz w:val="20"/>
          <w:szCs w:val="20"/>
        </w:rPr>
        <w:t>https://ecfsapi.fcc.gov/file/1022819830028/PetitionWaiver22017GET.doc</w:t>
      </w:r>
      <w:r>
        <w:fldChar w:fldCharType="end"/>
      </w:r>
      <w:r w:rsidRPr="005A0557" w:rsidR="006903D1">
        <w:rPr>
          <w:rFonts w:ascii="Times New Roman" w:hAnsi="Times New Roman" w:cs="Times New Roman"/>
          <w:sz w:val="20"/>
          <w:szCs w:val="20"/>
        </w:rPr>
        <w:t xml:space="preserve"> </w:t>
      </w:r>
      <w:r w:rsidRPr="005A0557">
        <w:rPr>
          <w:rFonts w:ascii="Times New Roman" w:hAnsi="Times New Roman" w:cs="Times New Roman"/>
          <w:sz w:val="20"/>
          <w:szCs w:val="20"/>
        </w:rPr>
        <w:t>(Getaway Petition) (collectively, Petitioners).</w:t>
      </w:r>
      <w:r w:rsidRPr="005A0557" w:rsidR="00B6255B">
        <w:rPr>
          <w:rFonts w:ascii="Times New Roman" w:hAnsi="Times New Roman" w:cs="Times New Roman"/>
          <w:sz w:val="20"/>
          <w:szCs w:val="20"/>
        </w:rPr>
        <w:t xml:space="preserve">  </w:t>
      </w:r>
      <w:r w:rsidRPr="00BD5C74" w:rsidR="00B6255B">
        <w:rPr>
          <w:rFonts w:ascii="Times New Roman" w:hAnsi="Times New Roman" w:cs="Times New Roman"/>
          <w:sz w:val="20"/>
          <w:szCs w:val="20"/>
        </w:rPr>
        <w:t>The Commission sought comment on these petitions.</w:t>
      </w:r>
      <w:r w:rsidRPr="00BD5C74" w:rsidR="005A0557">
        <w:rPr>
          <w:rFonts w:ascii="Times New Roman" w:hAnsi="Times New Roman" w:cs="Times New Roman"/>
          <w:sz w:val="20"/>
          <w:szCs w:val="20"/>
        </w:rPr>
        <w:t xml:space="preserve">  </w:t>
      </w:r>
      <w:r w:rsidRPr="00BD5C74" w:rsidR="005A0557">
        <w:rPr>
          <w:rFonts w:ascii="Times New Roman" w:hAnsi="Times New Roman" w:cs="Times New Roman"/>
          <w:i/>
          <w:sz w:val="20"/>
          <w:szCs w:val="20"/>
        </w:rPr>
        <w:t>See 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31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11911 (CGB 2016); </w:t>
      </w:r>
      <w:r w:rsidRPr="00BD5C74" w:rsidR="005A0557">
        <w:rPr>
          <w:rFonts w:ascii="Times New Roman" w:hAnsi="Times New Roman" w:cs="Times New Roman"/>
          <w:i/>
          <w:sz w:val="20"/>
          <w:szCs w:val="20"/>
        </w:rPr>
        <w:t>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31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12786 (CGB 2016); </w:t>
      </w:r>
      <w:r w:rsidRPr="00BD5C74" w:rsidR="005A0557">
        <w:rPr>
          <w:rFonts w:ascii="Times New Roman" w:hAnsi="Times New Roman" w:cs="Times New Roman"/>
          <w:i/>
          <w:sz w:val="20"/>
          <w:szCs w:val="20"/>
        </w:rPr>
        <w:t>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32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1069 (CGB 2017); </w:t>
      </w:r>
      <w:r w:rsidRPr="00BD5C74" w:rsidR="005A0557">
        <w:rPr>
          <w:rFonts w:ascii="Times New Roman" w:hAnsi="Times New Roman" w:cs="Times New Roman"/>
          <w:i/>
          <w:sz w:val="20"/>
          <w:szCs w:val="20"/>
        </w:rPr>
        <w:t>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32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1196 (CGB 2017); </w:t>
      </w:r>
      <w:r w:rsidRPr="00BD5C74" w:rsidR="005A0557">
        <w:rPr>
          <w:rFonts w:ascii="Times New Roman" w:hAnsi="Times New Roman" w:cs="Times New Roman"/>
          <w:i/>
          <w:sz w:val="20"/>
          <w:szCs w:val="20"/>
        </w:rPr>
        <w:t>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32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1410 (CGB 2017); </w:t>
      </w:r>
      <w:r w:rsidRPr="00BD5C74" w:rsidR="005A0557">
        <w:rPr>
          <w:rFonts w:ascii="Times New Roman" w:hAnsi="Times New Roman" w:cs="Times New Roman"/>
          <w:i/>
          <w:sz w:val="20"/>
          <w:szCs w:val="20"/>
        </w:rPr>
        <w:t>Consumer and Governmental Affairs Bureau Seeks Comment on Petitions Concerning the Commission’s Rule on Opt-Out Notices on Fax Advertisements</w:t>
      </w:r>
      <w:r w:rsidRPr="00BD5C74" w:rsidR="005A0557">
        <w:rPr>
          <w:rFonts w:ascii="Times New Roman" w:hAnsi="Times New Roman" w:cs="Times New Roman"/>
          <w:sz w:val="20"/>
          <w:szCs w:val="20"/>
        </w:rPr>
        <w:t xml:space="preserve">, CG Docket Nos. 02-278, 05-338, Public Notice, 32 FCC </w:t>
      </w:r>
      <w:r w:rsidRPr="00BD5C74" w:rsidR="005A0557">
        <w:rPr>
          <w:rFonts w:ascii="Times New Roman" w:hAnsi="Times New Roman" w:cs="Times New Roman"/>
          <w:sz w:val="20"/>
          <w:szCs w:val="20"/>
        </w:rPr>
        <w:t>Rcd</w:t>
      </w:r>
      <w:r w:rsidRPr="00BD5C74" w:rsidR="005A0557">
        <w:rPr>
          <w:rFonts w:ascii="Times New Roman" w:hAnsi="Times New Roman" w:cs="Times New Roman"/>
          <w:sz w:val="20"/>
          <w:szCs w:val="20"/>
        </w:rPr>
        <w:t xml:space="preserve"> 1528 (CGB 2017).</w:t>
      </w:r>
    </w:p>
  </w:footnote>
  <w:footnote w:id="24">
    <w:p w:rsidR="00B139C0">
      <w:pPr>
        <w:pStyle w:val="FootnoteText"/>
      </w:pPr>
      <w:r>
        <w:rPr>
          <w:rStyle w:val="FootnoteReference"/>
        </w:rPr>
        <w:footnoteRef/>
      </w:r>
      <w:r>
        <w:t xml:space="preserve"> </w:t>
      </w:r>
      <w:r w:rsidRPr="00485302">
        <w:rPr>
          <w:i/>
        </w:rPr>
        <w:t xml:space="preserve">See Petition of Fetch, Inc., d/b/a </w:t>
      </w:r>
      <w:r w:rsidRPr="00485302">
        <w:rPr>
          <w:i/>
        </w:rPr>
        <w:t>Petplan</w:t>
      </w:r>
      <w:r w:rsidRPr="00485302">
        <w:rPr>
          <w:i/>
        </w:rPr>
        <w:t xml:space="preserve"> Petition for Reconsideration</w:t>
      </w:r>
      <w:r w:rsidRPr="00485302">
        <w:t xml:space="preserve">, CG Docket Nos. 02-278, 05-338 (filed Nov. 29, 2016), </w:t>
      </w:r>
      <w:r>
        <w:fldChar w:fldCharType="begin"/>
      </w:r>
      <w:r>
        <w:instrText xml:space="preserve"> HYPERLINK "https://ecfsapi.fcc.gov/file/11293091521499/2016.11.29%20Petplan%20Petition%20for%20Reconsideration.pdf" </w:instrText>
      </w:r>
      <w:r>
        <w:fldChar w:fldCharType="separate"/>
      </w:r>
      <w:r w:rsidRPr="00485302">
        <w:rPr>
          <w:rStyle w:val="Hyperlink"/>
        </w:rPr>
        <w:t>https://ecfsapi.fcc.gov/file/11293091521499/2016.11.29%20Petplan%20Petition%20for%20Reconsideration.pdf</w:t>
      </w:r>
      <w:r>
        <w:fldChar w:fldCharType="end"/>
      </w:r>
      <w:r w:rsidRPr="00485302">
        <w:t xml:space="preserve">; </w:t>
      </w:r>
      <w:r w:rsidRPr="00485302">
        <w:rPr>
          <w:i/>
        </w:rPr>
        <w:t>Petition of Ohio National Mutual, Inc., for Reconsideration</w:t>
      </w:r>
      <w:r w:rsidRPr="00485302">
        <w:t xml:space="preserve">, CG Docket Nos. 02-278, 05-338 (filed Jan. 8, 2016), </w:t>
      </w:r>
      <w:r>
        <w:fldChar w:fldCharType="begin"/>
      </w:r>
      <w:r>
        <w:instrText xml:space="preserve"> HYPERLINK "https://ecfsapi.fcc.gov/file/60001402741.pdf" </w:instrText>
      </w:r>
      <w:r>
        <w:fldChar w:fldCharType="separate"/>
      </w:r>
      <w:r w:rsidRPr="00485302">
        <w:rPr>
          <w:rStyle w:val="Hyperlink"/>
        </w:rPr>
        <w:t>https://ecfsapi.fcc.gov/file/60001402741.pdf</w:t>
      </w:r>
      <w:r>
        <w:fldChar w:fldCharType="end"/>
      </w:r>
      <w:r w:rsidRPr="00485302">
        <w:t xml:space="preserve">.  One additional petition for reconsideration was filed but subsequently withdrawn.  </w:t>
      </w:r>
      <w:r w:rsidRPr="00485302">
        <w:rPr>
          <w:i/>
        </w:rPr>
        <w:t>See Petition of Morgan &amp; Curtis Associates Inc. for Reconsideration</w:t>
      </w:r>
      <w:r w:rsidRPr="00485302">
        <w:t xml:space="preserve">, CG Docket Nos. 02-278, 05-338 (filed Jan. 4, 2016), </w:t>
      </w:r>
      <w:r>
        <w:fldChar w:fldCharType="begin"/>
      </w:r>
      <w:r>
        <w:instrText xml:space="preserve"> HYPERLINK "https://ecfsapi.fcc.gov/file/60001399323.pdf" </w:instrText>
      </w:r>
      <w:r>
        <w:fldChar w:fldCharType="separate"/>
      </w:r>
      <w:r w:rsidRPr="00485302">
        <w:rPr>
          <w:rStyle w:val="Hyperlink"/>
        </w:rPr>
        <w:t>https://ecfsapi.fcc.gov/file/60001399323.pdf</w:t>
      </w:r>
      <w:r>
        <w:fldChar w:fldCharType="end"/>
      </w:r>
      <w:r w:rsidRPr="00485302">
        <w:t>.</w:t>
      </w:r>
      <w:r w:rsidR="00302067">
        <w:t xml:space="preserve">  In addition,</w:t>
      </w:r>
      <w:r w:rsidR="0015487E">
        <w:t xml:space="preserve"> ten </w:t>
      </w:r>
      <w:r w:rsidR="00302067">
        <w:t>applications for review of waiver decisions have been filed but will not be addressed herein.</w:t>
      </w:r>
    </w:p>
  </w:footnote>
  <w:footnote w:id="25">
    <w:p w:rsidR="00B139C0">
      <w:pPr>
        <w:pStyle w:val="FootnoteText"/>
      </w:pPr>
      <w:r>
        <w:rPr>
          <w:rStyle w:val="FootnoteReference"/>
        </w:rPr>
        <w:footnoteRef/>
      </w:r>
      <w:r>
        <w:t xml:space="preserve"> </w:t>
      </w:r>
      <w:r w:rsidRPr="003054A9">
        <w:rPr>
          <w:i/>
        </w:rPr>
        <w:t>See Bais Yaakov</w:t>
      </w:r>
      <w:r>
        <w:t>, 852 F.3d</w:t>
      </w:r>
      <w:r w:rsidR="00E02563">
        <w:t xml:space="preserve"> at</w:t>
      </w:r>
      <w:r w:rsidR="00E12E4F">
        <w:t xml:space="preserve"> 1078</w:t>
      </w:r>
      <w:r>
        <w:t>.</w:t>
      </w:r>
    </w:p>
  </w:footnote>
  <w:footnote w:id="26">
    <w:p w:rsidR="008C303F">
      <w:pPr>
        <w:pStyle w:val="FootnoteText"/>
      </w:pPr>
      <w:r>
        <w:rPr>
          <w:rStyle w:val="FootnoteReference"/>
        </w:rPr>
        <w:footnoteRef/>
      </w:r>
      <w:r>
        <w:t xml:space="preserve"> </w:t>
      </w:r>
      <w:r w:rsidRPr="008C303F">
        <w:rPr>
          <w:i/>
        </w:rPr>
        <w:t>Id</w:t>
      </w:r>
      <w:r>
        <w:t>. at 1082 (emphasis in original).</w:t>
      </w:r>
    </w:p>
  </w:footnote>
  <w:footnote w:id="27">
    <w:p w:rsidR="00B139C0">
      <w:pPr>
        <w:pStyle w:val="FootnoteText"/>
      </w:pPr>
      <w:r>
        <w:rPr>
          <w:rStyle w:val="FootnoteReference"/>
        </w:rPr>
        <w:footnoteRef/>
      </w:r>
      <w:r>
        <w:t xml:space="preserve"> </w:t>
      </w:r>
      <w:r w:rsidRPr="00F3789C">
        <w:rPr>
          <w:i/>
        </w:rPr>
        <w:t>Id</w:t>
      </w:r>
      <w:r>
        <w:t>. at 1083.</w:t>
      </w:r>
      <w:r w:rsidR="002233F5">
        <w:t xml:space="preserve">  The court’s mandate became effective on </w:t>
      </w:r>
      <w:r w:rsidR="00D96879">
        <w:t>July 6, 201</w:t>
      </w:r>
      <w:r w:rsidR="00711A82">
        <w:t>7</w:t>
      </w:r>
      <w:r w:rsidR="002233F5">
        <w:t xml:space="preserve">. </w:t>
      </w:r>
      <w:r w:rsidR="00711A82">
        <w:t xml:space="preserve"> </w:t>
      </w:r>
      <w:r w:rsidRPr="00711A82" w:rsidR="00711A82">
        <w:rPr>
          <w:i/>
        </w:rPr>
        <w:t>See</w:t>
      </w:r>
      <w:r w:rsidR="00711A82">
        <w:t xml:space="preserve"> </w:t>
      </w:r>
      <w:r w:rsidR="00711A82">
        <w:rPr>
          <w:rStyle w:val="Emphasis"/>
        </w:rPr>
        <w:t>Bais Yaakov of Spring Valley, et al. v. FCC</w:t>
      </w:r>
      <w:r w:rsidR="00711A82">
        <w:t>, No. 14-1234 (July 6, 20</w:t>
      </w:r>
      <w:r w:rsidR="000D5708">
        <w:t>1</w:t>
      </w:r>
      <w:r w:rsidR="00711A82">
        <w:t>7) (notifying mandate issuance).</w:t>
      </w:r>
    </w:p>
  </w:footnote>
  <w:footnote w:id="28">
    <w:p w:rsidR="00B110CC">
      <w:pPr>
        <w:pStyle w:val="FootnoteText"/>
      </w:pPr>
      <w:r>
        <w:rPr>
          <w:rStyle w:val="FootnoteReference"/>
        </w:rPr>
        <w:footnoteRef/>
      </w:r>
      <w:r>
        <w:t xml:space="preserve"> 47 CFR § 64.1200(a)(4)(iv).</w:t>
      </w:r>
    </w:p>
  </w:footnote>
  <w:footnote w:id="29">
    <w:p w:rsidR="00760E8A" w:rsidRPr="00D621A6">
      <w:pPr>
        <w:pStyle w:val="FootnoteText"/>
      </w:pPr>
      <w:r>
        <w:rPr>
          <w:rStyle w:val="FootnoteReference"/>
        </w:rPr>
        <w:footnoteRef/>
      </w:r>
      <w:r>
        <w:t xml:space="preserve"> </w:t>
      </w:r>
      <w:r w:rsidRPr="00760E8A">
        <w:rPr>
          <w:i/>
        </w:rPr>
        <w:t>See</w:t>
      </w:r>
      <w:r>
        <w:t xml:space="preserve"> 47 U.S.C. § 553(b)(3)(B); </w:t>
      </w:r>
      <w:r w:rsidRPr="00B139C0">
        <w:rPr>
          <w:i/>
        </w:rPr>
        <w:t>Federal-State Joint Board on Universal Service</w:t>
      </w:r>
      <w:r w:rsidR="00D621A6">
        <w:rPr>
          <w:i/>
        </w:rPr>
        <w:t>, Access Charge Reform</w:t>
      </w:r>
      <w:r w:rsidR="00D621A6">
        <w:t xml:space="preserve">, Sixteenth Order on Reconsideration in CC Docket No. 96-45 </w:t>
      </w:r>
      <w:r w:rsidRPr="00D621A6" w:rsidR="00D621A6">
        <w:rPr>
          <w:i/>
        </w:rPr>
        <w:t>et al</w:t>
      </w:r>
      <w:r w:rsidR="00D621A6">
        <w:t xml:space="preserve">., 15 FCC </w:t>
      </w:r>
      <w:r w:rsidR="00D621A6">
        <w:t>Rcd</w:t>
      </w:r>
      <w:r w:rsidR="00D621A6">
        <w:t xml:space="preserve">. 1679, 1686, para. 16 (1999), </w:t>
      </w:r>
      <w:r w:rsidRPr="00D621A6" w:rsidR="00D621A6">
        <w:rPr>
          <w:i/>
        </w:rPr>
        <w:t>rev’d</w:t>
      </w:r>
      <w:r w:rsidRPr="00D621A6" w:rsidR="00D621A6">
        <w:rPr>
          <w:i/>
        </w:rPr>
        <w:t xml:space="preserve"> in part on other grounds</w:t>
      </w:r>
      <w:r w:rsidR="00D621A6">
        <w:t xml:space="preserve">, </w:t>
      </w:r>
      <w:r w:rsidRPr="00D621A6" w:rsidR="00D621A6">
        <w:rPr>
          <w:i/>
        </w:rPr>
        <w:t>Comcast Corp. v. FCC</w:t>
      </w:r>
      <w:r w:rsidR="00D621A6">
        <w:t>, 250 F.3d 931 (5</w:t>
      </w:r>
      <w:r w:rsidRPr="00D621A6" w:rsidR="00D621A6">
        <w:rPr>
          <w:vertAlign w:val="superscript"/>
        </w:rPr>
        <w:t>th</w:t>
      </w:r>
      <w:r w:rsidR="00D621A6">
        <w:t xml:space="preserve"> Cir. 2001)</w:t>
      </w:r>
      <w:r w:rsidR="00343B51">
        <w:t xml:space="preserve"> (dispensing with notice and comment to satisfy court mandate)</w:t>
      </w:r>
      <w:r w:rsidR="00D621A6">
        <w:t xml:space="preserve">; </w:t>
      </w:r>
      <w:r w:rsidR="00D621A6">
        <w:rPr>
          <w:i/>
        </w:rPr>
        <w:t>s</w:t>
      </w:r>
      <w:r w:rsidRPr="00B139C0" w:rsidR="00D621A6">
        <w:rPr>
          <w:i/>
        </w:rPr>
        <w:t xml:space="preserve">ee </w:t>
      </w:r>
      <w:r w:rsidR="00D621A6">
        <w:rPr>
          <w:i/>
        </w:rPr>
        <w:t>also</w:t>
      </w:r>
      <w:r w:rsidR="00D621A6">
        <w:t xml:space="preserve"> </w:t>
      </w:r>
      <w:r w:rsidRPr="00B139C0" w:rsidR="00D621A6">
        <w:rPr>
          <w:i/>
        </w:rPr>
        <w:t>Connect America Fund, A National Broadband Plan for Our Future, Establishing Just and Reasonable Rates for Local Exchange Carriers, Developing an Unified Intercarrier Compensation Regime, Federal-State Joint Board on Universal Service, Lifeline and Link-Up, Universal Service Reform – Mobility Fund</w:t>
      </w:r>
      <w:r w:rsidR="00D621A6">
        <w:t xml:space="preserve">, WC Docket No. 10-90, Report and Order and Further Notice of Proposed Rulemaking, 26 FCC </w:t>
      </w:r>
      <w:r w:rsidR="00D621A6">
        <w:t>Rcd</w:t>
      </w:r>
      <w:r w:rsidR="00D621A6">
        <w:t xml:space="preserve"> 17663, para. 647 (2011) (deleting obsolete rules without notice or comment</w:t>
      </w:r>
      <w:r w:rsidR="00305D06">
        <w:t xml:space="preserve"> pursuant to the good cause exception</w:t>
      </w:r>
      <w:r w:rsidR="00D621A6">
        <w:t>)</w:t>
      </w:r>
      <w:r w:rsidR="00306C36">
        <w:t>.</w:t>
      </w:r>
    </w:p>
  </w:footnote>
  <w:footnote w:id="30">
    <w:p w:rsidR="00B139C0">
      <w:pPr>
        <w:pStyle w:val="FootnoteText"/>
      </w:pPr>
      <w:r>
        <w:rPr>
          <w:rStyle w:val="FootnoteReference"/>
        </w:rPr>
        <w:footnoteRef/>
      </w:r>
      <w:r>
        <w:t xml:space="preserve"> </w:t>
      </w:r>
      <w:r w:rsidRPr="00F3789C">
        <w:rPr>
          <w:i/>
        </w:rPr>
        <w:t>See supra</w:t>
      </w:r>
      <w:r>
        <w:t xml:space="preserve">. </w:t>
      </w:r>
      <w:r w:rsidRPr="00C53261">
        <w:t>n.</w:t>
      </w:r>
      <w:r w:rsidRPr="00C53261" w:rsidR="005C01D3">
        <w:t>21</w:t>
      </w:r>
      <w:r w:rsidR="005C01D3">
        <w:t xml:space="preserve"> </w:t>
      </w:r>
      <w:r>
        <w:t xml:space="preserve">(listing pending petitions </w:t>
      </w:r>
      <w:r w:rsidR="00FC52D6">
        <w:t xml:space="preserve">for retroactive waiver </w:t>
      </w:r>
      <w:r>
        <w:t xml:space="preserve">covered by this </w:t>
      </w:r>
      <w:r w:rsidRPr="00B110CC">
        <w:rPr>
          <w:i/>
        </w:rPr>
        <w:t>Order</w:t>
      </w:r>
      <w:r>
        <w:t>)</w:t>
      </w:r>
      <w:r w:rsidR="00FC52D6">
        <w:t>.</w:t>
      </w:r>
      <w:r>
        <w:t xml:space="preserve"> </w:t>
      </w:r>
    </w:p>
  </w:footnote>
  <w:footnote w:id="31">
    <w:p w:rsidR="00490D05" w:rsidP="00490D05">
      <w:pPr>
        <w:pStyle w:val="FootnoteText"/>
      </w:pPr>
      <w:r>
        <w:rPr>
          <w:rStyle w:val="FootnoteReference"/>
        </w:rPr>
        <w:footnoteRef/>
      </w:r>
      <w:r>
        <w:t xml:space="preserve"> </w:t>
      </w:r>
      <w:r w:rsidRPr="00FC52D6">
        <w:rPr>
          <w:i/>
        </w:rPr>
        <w:t>See supra</w:t>
      </w:r>
      <w:r>
        <w:t xml:space="preserve"> </w:t>
      </w:r>
      <w:r w:rsidRPr="00C53261">
        <w:t>n.</w:t>
      </w:r>
      <w:r w:rsidRPr="00C53261" w:rsidR="005C01D3">
        <w:t>22</w:t>
      </w:r>
      <w:r w:rsidR="005C01D3">
        <w:t xml:space="preserve"> </w:t>
      </w:r>
      <w:r>
        <w:t xml:space="preserve">(listing pending petitions for reconsideration covered this </w:t>
      </w:r>
      <w:r w:rsidRPr="00B110CC">
        <w:rPr>
          <w:i/>
        </w:rPr>
        <w:t>Order</w:t>
      </w:r>
      <w:r>
        <w:t>).</w:t>
      </w:r>
    </w:p>
  </w:footnote>
  <w:footnote w:id="32">
    <w:p w:rsidR="00306C36">
      <w:pPr>
        <w:pStyle w:val="FootnoteText"/>
      </w:pPr>
      <w:r>
        <w:rPr>
          <w:rStyle w:val="FootnoteReference"/>
        </w:rPr>
        <w:footnoteRef/>
      </w:r>
      <w:r>
        <w:t xml:space="preserve"> </w:t>
      </w:r>
      <w:r w:rsidRPr="00306C36">
        <w:rPr>
          <w:i/>
        </w:rPr>
        <w:t>See</w:t>
      </w:r>
      <w:r>
        <w:t xml:space="preserve"> </w:t>
      </w:r>
      <w:r w:rsidRPr="00306C36">
        <w:t xml:space="preserve">47 U.S.C. § 553(d)(1) (stating </w:t>
      </w:r>
      <w:r>
        <w:t xml:space="preserve">that </w:t>
      </w:r>
      <w:r w:rsidRPr="00306C36">
        <w:t>substantive rule changes that “relieve[] a restriction” can become effective less than 30 days following Federal Register publication)</w:t>
      </w:r>
      <w:r>
        <w:t xml:space="preserve">; </w:t>
      </w:r>
      <w:r w:rsidRPr="00306C36">
        <w:rPr>
          <w:i/>
        </w:rPr>
        <w:t>Amendment of Section 73.624(g) of the Commission’s Rules Regarding Submission of Form 2100, Schedule G, Used to Report TV Stations’ Ancillary or Supplementary Services, Modernization of Media Regulation Agenda</w:t>
      </w:r>
      <w:r>
        <w:t>, MB Docket Nos. 17-264, 17-105, Report and Order, FCC 18-41, para. 12 n.29 (rel. Apr. 12, 2018)</w:t>
      </w:r>
      <w:r w:rsidRPr="00306C36">
        <w:t>.</w:t>
      </w:r>
      <w:r w:rsidR="00343B51">
        <w:t xml:space="preserve">  Separately, “good cause” exists to dispense with the 30-day notice period to update the rules as soon as practicable for the benefit of the public.  </w:t>
      </w:r>
      <w:r w:rsidRPr="00343B51" w:rsidR="00343B51">
        <w:rPr>
          <w:i/>
        </w:rPr>
        <w:t>See</w:t>
      </w:r>
      <w:r w:rsidR="00343B51">
        <w:t xml:space="preserve"> 5 U.S.C. § 553(d)(3).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C0" w:rsidP="00810B6F">
    <w:pPr>
      <w:pStyle w:val="Header"/>
      <w:rPr>
        <w:b w:val="0"/>
      </w:rPr>
    </w:pPr>
    <w:r>
      <w:tab/>
      <w:t>Federal Communications Commission</w:t>
    </w:r>
    <w:r>
      <w:tab/>
    </w:r>
    <w:r w:rsidR="0044026E">
      <w:t>DA 18-1159</w:t>
    </w:r>
  </w:p>
  <w:p w:rsidR="00B139C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139C0">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C0"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4026E">
      <w:rPr>
        <w:spacing w:val="-2"/>
      </w:rPr>
      <w:t>DA 18-1159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800"/>
        </w:tabs>
        <w:ind w:left="72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654"/>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UnresolvedMention1">
    <w:name w:val="Unresolved Mention1"/>
    <w:basedOn w:val="DefaultParagraphFont"/>
    <w:uiPriority w:val="99"/>
    <w:semiHidden/>
    <w:unhideWhenUsed/>
    <w:rsid w:val="00C31089"/>
    <w:rPr>
      <w:color w:val="808080"/>
      <w:shd w:val="clear" w:color="auto" w:fill="E6E6E6"/>
    </w:rPr>
  </w:style>
  <w:style w:type="paragraph" w:styleId="BalloonText">
    <w:name w:val="Balloon Text"/>
    <w:basedOn w:val="Normal"/>
    <w:link w:val="BalloonTextChar"/>
    <w:rsid w:val="004F3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F3406"/>
    <w:rPr>
      <w:rFonts w:ascii="Segoe UI" w:hAnsi="Segoe UI" w:eastAsiaTheme="minorHAnsi" w:cs="Segoe UI"/>
      <w:sz w:val="18"/>
      <w:szCs w:val="18"/>
    </w:rPr>
  </w:style>
  <w:style w:type="character" w:styleId="CommentReference">
    <w:name w:val="annotation reference"/>
    <w:basedOn w:val="DefaultParagraphFont"/>
    <w:rsid w:val="00065637"/>
    <w:rPr>
      <w:sz w:val="16"/>
      <w:szCs w:val="16"/>
    </w:rPr>
  </w:style>
  <w:style w:type="paragraph" w:styleId="CommentText">
    <w:name w:val="annotation text"/>
    <w:basedOn w:val="Normal"/>
    <w:link w:val="CommentTextChar"/>
    <w:rsid w:val="00065637"/>
    <w:pPr>
      <w:spacing w:line="240" w:lineRule="auto"/>
    </w:pPr>
    <w:rPr>
      <w:sz w:val="20"/>
      <w:szCs w:val="20"/>
    </w:rPr>
  </w:style>
  <w:style w:type="character" w:customStyle="1" w:styleId="CommentTextChar">
    <w:name w:val="Comment Text Char"/>
    <w:basedOn w:val="DefaultParagraphFont"/>
    <w:link w:val="CommentText"/>
    <w:rsid w:val="00065637"/>
    <w:rPr>
      <w:rFonts w:asciiTheme="minorHAnsi" w:eastAsiaTheme="minorHAnsi" w:hAnsiTheme="minorHAnsi" w:cstheme="minorBidi"/>
    </w:rPr>
  </w:style>
  <w:style w:type="paragraph" w:styleId="CommentSubject">
    <w:name w:val="annotation subject"/>
    <w:basedOn w:val="CommentText"/>
    <w:next w:val="CommentText"/>
    <w:link w:val="CommentSubjectChar"/>
    <w:rsid w:val="00065637"/>
    <w:rPr>
      <w:b/>
      <w:bCs/>
    </w:rPr>
  </w:style>
  <w:style w:type="character" w:customStyle="1" w:styleId="CommentSubjectChar">
    <w:name w:val="Comment Subject Char"/>
    <w:basedOn w:val="CommentTextChar"/>
    <w:link w:val="CommentSubject"/>
    <w:rsid w:val="00065637"/>
    <w:rPr>
      <w:rFonts w:asciiTheme="minorHAnsi" w:eastAsiaTheme="minorHAnsi" w:hAnsiTheme="minorHAnsi" w:cstheme="minorBidi"/>
      <w:b/>
      <w:bCs/>
    </w:rPr>
  </w:style>
  <w:style w:type="character" w:styleId="FollowedHyperlink">
    <w:name w:val="FollowedHyperlink"/>
    <w:basedOn w:val="DefaultParagraphFont"/>
    <w:rsid w:val="00CA4027"/>
    <w:rPr>
      <w:color w:val="954F72" w:themeColor="followedHyperlink"/>
      <w:u w:val="single"/>
    </w:rPr>
  </w:style>
  <w:style w:type="paragraph" w:styleId="Revision">
    <w:name w:val="Revision"/>
    <w:hidden/>
    <w:uiPriority w:val="99"/>
    <w:semiHidden/>
    <w:rsid w:val="004F65C0"/>
    <w:rPr>
      <w:rFonts w:asciiTheme="minorHAnsi" w:eastAsiaTheme="minorHAnsi" w:hAnsiTheme="minorHAnsi" w:cstheme="minorBidi"/>
      <w:sz w:val="22"/>
      <w:szCs w:val="22"/>
    </w:rPr>
  </w:style>
  <w:style w:type="character" w:styleId="Emphasis">
    <w:name w:val="Emphasis"/>
    <w:basedOn w:val="DefaultParagraphFont"/>
    <w:uiPriority w:val="20"/>
    <w:qFormat/>
    <w:rsid w:val="00711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