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A55F9" w:rsidP="000A55F9">
      <w:pPr>
        <w:jc w:val="center"/>
        <w:rPr>
          <w:b/>
        </w:rPr>
      </w:pPr>
      <w:r>
        <w:rPr>
          <w:b/>
        </w:rPr>
        <w:t>Before the</w:t>
      </w:r>
    </w:p>
    <w:p w:rsidR="000A55F9" w:rsidP="000A55F9">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0A55F9" w:rsidP="000A55F9">
      <w:pPr>
        <w:pStyle w:val="StyleBoldCentered"/>
        <w:rPr>
          <w:rFonts w:ascii="Times New Roman" w:hAnsi="Times New Roman"/>
        </w:rPr>
      </w:pPr>
      <w:r>
        <w:rPr>
          <w:rFonts w:ascii="Times New Roman" w:hAnsi="Times New Roman"/>
          <w:caps w:val="0"/>
        </w:rPr>
        <w:t>Washington</w:t>
      </w:r>
      <w:r>
        <w:rPr>
          <w:rFonts w:ascii="Times New Roman" w:hAnsi="Times New Roman"/>
        </w:rPr>
        <w:t>, D.C. 20554</w:t>
      </w:r>
    </w:p>
    <w:p w:rsidR="000A55F9" w:rsidP="000A55F9"/>
    <w:p w:rsidR="000A55F9" w:rsidP="000A55F9"/>
    <w:tbl>
      <w:tblPr>
        <w:tblW w:w="0" w:type="auto"/>
        <w:tblLayout w:type="fixed"/>
        <w:tblLook w:val="0000"/>
      </w:tblPr>
      <w:tblGrid>
        <w:gridCol w:w="4698"/>
        <w:gridCol w:w="630"/>
        <w:gridCol w:w="4248"/>
      </w:tblGrid>
      <w:tr w:rsidTr="008E2A97">
        <w:tblPrEx>
          <w:tblW w:w="0" w:type="auto"/>
          <w:tblLayout w:type="fixed"/>
          <w:tblLook w:val="0000"/>
        </w:tblPrEx>
        <w:tc>
          <w:tcPr>
            <w:tcW w:w="4698" w:type="dxa"/>
          </w:tcPr>
          <w:p w:rsidR="000A55F9" w:rsidP="008E2A97">
            <w:pPr>
              <w:tabs>
                <w:tab w:val="center" w:pos="4680"/>
              </w:tabs>
              <w:suppressAutoHyphens/>
              <w:rPr>
                <w:spacing w:val="-2"/>
              </w:rPr>
            </w:pPr>
            <w:r>
              <w:rPr>
                <w:spacing w:val="-2"/>
              </w:rPr>
              <w:t>In the Matter of</w:t>
            </w:r>
          </w:p>
          <w:p w:rsidR="000A55F9" w:rsidP="008E2A97">
            <w:pPr>
              <w:tabs>
                <w:tab w:val="center" w:pos="4680"/>
              </w:tabs>
              <w:suppressAutoHyphens/>
              <w:rPr>
                <w:spacing w:val="-2"/>
              </w:rPr>
            </w:pPr>
          </w:p>
          <w:p w:rsidR="000A55F9" w:rsidP="008E2A97">
            <w:r>
              <w:t>TOWNSHIP OF</w:t>
            </w:r>
            <w:r w:rsidR="00434786">
              <w:t xml:space="preserve"> MOUNT OLIVE</w:t>
            </w:r>
            <w:r>
              <w:t>, NEW JERSEY</w:t>
            </w:r>
          </w:p>
          <w:p w:rsidR="000A55F9" w:rsidP="008E2A97"/>
          <w:p w:rsidR="000A55F9" w:rsidP="008E2A97">
            <w:pPr>
              <w:tabs>
                <w:tab w:val="left" w:pos="3430"/>
              </w:tabs>
              <w:suppressAutoHyphens/>
              <w:rPr>
                <w:spacing w:val="-2"/>
              </w:rPr>
            </w:pPr>
            <w:r>
              <w:t>Request for Waiver</w:t>
            </w:r>
            <w:r>
              <w:t xml:space="preserve"> </w:t>
            </w:r>
            <w:r>
              <w:tab/>
            </w:r>
          </w:p>
        </w:tc>
        <w:tc>
          <w:tcPr>
            <w:tcW w:w="630" w:type="dxa"/>
          </w:tcPr>
          <w:p w:rsidR="000A55F9" w:rsidP="008E2A97">
            <w:pPr>
              <w:tabs>
                <w:tab w:val="center" w:pos="4680"/>
              </w:tabs>
              <w:suppressAutoHyphens/>
              <w:rPr>
                <w:b/>
                <w:spacing w:val="-2"/>
              </w:rPr>
            </w:pPr>
            <w:r>
              <w:rPr>
                <w:b/>
                <w:spacing w:val="-2"/>
              </w:rPr>
              <w:t>)</w:t>
            </w:r>
          </w:p>
          <w:p w:rsidR="000A55F9" w:rsidP="008E2A97">
            <w:pPr>
              <w:tabs>
                <w:tab w:val="center" w:pos="4680"/>
              </w:tabs>
              <w:suppressAutoHyphens/>
              <w:rPr>
                <w:b/>
                <w:spacing w:val="-2"/>
              </w:rPr>
            </w:pPr>
            <w:r>
              <w:rPr>
                <w:b/>
                <w:spacing w:val="-2"/>
              </w:rPr>
              <w:t>)</w:t>
            </w:r>
          </w:p>
          <w:p w:rsidR="000A55F9" w:rsidP="008E2A97">
            <w:pPr>
              <w:tabs>
                <w:tab w:val="center" w:pos="4680"/>
              </w:tabs>
              <w:suppressAutoHyphens/>
              <w:rPr>
                <w:b/>
                <w:spacing w:val="-2"/>
              </w:rPr>
            </w:pPr>
            <w:r>
              <w:rPr>
                <w:b/>
                <w:spacing w:val="-2"/>
              </w:rPr>
              <w:t>)</w:t>
            </w:r>
          </w:p>
          <w:p w:rsidR="000A55F9" w:rsidP="008E2A97">
            <w:pPr>
              <w:tabs>
                <w:tab w:val="center" w:pos="4680"/>
              </w:tabs>
              <w:suppressAutoHyphens/>
              <w:rPr>
                <w:b/>
                <w:spacing w:val="-2"/>
              </w:rPr>
            </w:pPr>
            <w:r>
              <w:rPr>
                <w:b/>
                <w:spacing w:val="-2"/>
              </w:rPr>
              <w:t>)</w:t>
            </w:r>
          </w:p>
          <w:p w:rsidR="000A55F9" w:rsidP="008E2A97">
            <w:pPr>
              <w:tabs>
                <w:tab w:val="center" w:pos="4680"/>
              </w:tabs>
              <w:suppressAutoHyphens/>
              <w:rPr>
                <w:b/>
                <w:spacing w:val="-2"/>
              </w:rPr>
            </w:pPr>
            <w:r>
              <w:rPr>
                <w:b/>
                <w:spacing w:val="-2"/>
              </w:rPr>
              <w:t>)</w:t>
            </w:r>
          </w:p>
        </w:tc>
        <w:tc>
          <w:tcPr>
            <w:tcW w:w="4248" w:type="dxa"/>
          </w:tcPr>
          <w:p w:rsidR="000A55F9" w:rsidP="008E2A97">
            <w:pPr>
              <w:tabs>
                <w:tab w:val="center" w:pos="4680"/>
              </w:tabs>
              <w:suppressAutoHyphens/>
              <w:rPr>
                <w:spacing w:val="-2"/>
              </w:rPr>
            </w:pPr>
          </w:p>
          <w:p w:rsidR="000A55F9" w:rsidP="008E2A97">
            <w:pPr>
              <w:pStyle w:val="TOAHeading"/>
              <w:tabs>
                <w:tab w:val="center" w:pos="4680"/>
                <w:tab w:val="clear" w:pos="9360"/>
              </w:tabs>
              <w:rPr>
                <w:spacing w:val="-2"/>
              </w:rPr>
            </w:pPr>
          </w:p>
          <w:p w:rsidR="000A55F9" w:rsidP="008E2A97">
            <w:pPr>
              <w:tabs>
                <w:tab w:val="center" w:pos="4680"/>
              </w:tabs>
              <w:suppressAutoHyphens/>
              <w:rPr>
                <w:spacing w:val="-2"/>
              </w:rPr>
            </w:pPr>
            <w:r w:rsidRPr="006C2CB0">
              <w:t xml:space="preserve">File </w:t>
            </w:r>
            <w:r>
              <w:t>No.</w:t>
            </w:r>
            <w:r w:rsidRPr="006C2CB0">
              <w:t xml:space="preserve"> </w:t>
            </w:r>
            <w:r>
              <w:t>0007931874</w:t>
            </w:r>
          </w:p>
        </w:tc>
      </w:tr>
    </w:tbl>
    <w:p w:rsidR="000A55F9" w:rsidP="000A55F9"/>
    <w:p w:rsidR="000A55F9" w:rsidP="000A55F9">
      <w:pPr>
        <w:pStyle w:val="StyleBoldCentered"/>
        <w:rPr>
          <w:rFonts w:ascii="Times New Roman" w:hAnsi="Times New Roman"/>
        </w:rPr>
      </w:pPr>
      <w:r>
        <w:rPr>
          <w:rFonts w:ascii="Times New Roman" w:hAnsi="Times New Roman"/>
        </w:rPr>
        <w:t>Order</w:t>
      </w:r>
    </w:p>
    <w:p w:rsidR="000A55F9" w:rsidP="000A55F9">
      <w:pPr>
        <w:tabs>
          <w:tab w:val="left" w:pos="-720"/>
        </w:tabs>
        <w:suppressAutoHyphens/>
        <w:spacing w:line="227" w:lineRule="auto"/>
        <w:rPr>
          <w:spacing w:val="-2"/>
        </w:rPr>
      </w:pPr>
    </w:p>
    <w:p w:rsidR="000A55F9" w:rsidP="000A55F9">
      <w:pPr>
        <w:tabs>
          <w:tab w:val="left" w:pos="720"/>
          <w:tab w:val="left" w:pos="5760"/>
          <w:tab w:val="right" w:pos="9360"/>
        </w:tabs>
        <w:suppressAutoHyphens/>
        <w:spacing w:line="227" w:lineRule="auto"/>
        <w:rPr>
          <w:spacing w:val="-2"/>
          <w:szCs w:val="22"/>
        </w:rPr>
      </w:pPr>
      <w:r>
        <w:rPr>
          <w:b/>
          <w:spacing w:val="-2"/>
          <w:szCs w:val="22"/>
        </w:rPr>
        <w:t xml:space="preserve">Adopted:  </w:t>
      </w:r>
      <w:r w:rsidR="00D60A72">
        <w:rPr>
          <w:b/>
          <w:spacing w:val="-2"/>
          <w:szCs w:val="22"/>
        </w:rPr>
        <w:t>November</w:t>
      </w:r>
      <w:r>
        <w:rPr>
          <w:b/>
          <w:spacing w:val="-2"/>
          <w:szCs w:val="22"/>
        </w:rPr>
        <w:t xml:space="preserve"> </w:t>
      </w:r>
      <w:r w:rsidRPr="00D60A72" w:rsidR="00D60A72">
        <w:rPr>
          <w:b/>
          <w:spacing w:val="-2"/>
          <w:szCs w:val="22"/>
        </w:rPr>
        <w:t>15</w:t>
      </w:r>
      <w:r>
        <w:rPr>
          <w:b/>
          <w:spacing w:val="-2"/>
          <w:szCs w:val="22"/>
        </w:rPr>
        <w:t>, 2018</w:t>
      </w:r>
      <w:r>
        <w:rPr>
          <w:b/>
          <w:spacing w:val="-2"/>
          <w:szCs w:val="22"/>
        </w:rPr>
        <w:tab/>
      </w:r>
      <w:r>
        <w:rPr>
          <w:b/>
          <w:spacing w:val="-2"/>
          <w:szCs w:val="22"/>
        </w:rPr>
        <w:tab/>
        <w:t xml:space="preserve">Released:  </w:t>
      </w:r>
      <w:r w:rsidR="00D60A72">
        <w:rPr>
          <w:b/>
          <w:spacing w:val="-2"/>
          <w:szCs w:val="22"/>
        </w:rPr>
        <w:t>November 15</w:t>
      </w:r>
      <w:r>
        <w:rPr>
          <w:b/>
          <w:spacing w:val="-2"/>
          <w:szCs w:val="22"/>
        </w:rPr>
        <w:t>, 2018</w:t>
      </w:r>
    </w:p>
    <w:p w:rsidR="000A55F9" w:rsidP="000A55F9">
      <w:pPr>
        <w:rPr>
          <w:szCs w:val="22"/>
        </w:rPr>
      </w:pPr>
    </w:p>
    <w:p w:rsidR="000A55F9" w:rsidP="000A55F9">
      <w:pPr>
        <w:rPr>
          <w:spacing w:val="-2"/>
        </w:rPr>
      </w:pPr>
      <w:r>
        <w:rPr>
          <w:szCs w:val="22"/>
        </w:rPr>
        <w:t>By the</w:t>
      </w:r>
      <w:r>
        <w:rPr>
          <w:spacing w:val="-2"/>
          <w:szCs w:val="22"/>
        </w:rPr>
        <w:t xml:space="preserve"> Chief, Policy and Licensing Division, Public Safety and Homeland Security Bureau:</w:t>
      </w:r>
    </w:p>
    <w:p w:rsidR="000A55F9" w:rsidP="000A55F9"/>
    <w:p w:rsidR="000A55F9" w:rsidP="000A55F9">
      <w:pPr>
        <w:pStyle w:val="Heading1"/>
      </w:pPr>
      <w:r>
        <w:t>introduction</w:t>
      </w:r>
    </w:p>
    <w:p w:rsidR="000A55F9" w:rsidRPr="002E27B5" w:rsidP="000A55F9">
      <w:pPr>
        <w:pStyle w:val="ParaNum"/>
      </w:pPr>
      <w:r>
        <w:t>Mount Olive Township</w:t>
      </w:r>
      <w:r w:rsidR="00434786">
        <w:t>, New Jersey</w:t>
      </w:r>
      <w:r>
        <w:t xml:space="preserve"> (Mount Olive) filed a </w:t>
      </w:r>
      <w:r w:rsidR="000158F3">
        <w:t xml:space="preserve">request for waiver (Waiver Request) to permit the acceptance of its untimely </w:t>
      </w:r>
      <w:r>
        <w:t xml:space="preserve">request for extension of time (Extension Request) to construct </w:t>
      </w:r>
      <w:r w:rsidR="00915FE5">
        <w:t xml:space="preserve">certain VHF </w:t>
      </w:r>
      <w:r w:rsidR="00A07BF0">
        <w:t>facilities at</w:t>
      </w:r>
      <w:r w:rsidR="00915FE5">
        <w:t xml:space="preserve"> locations licensed under </w:t>
      </w:r>
      <w:r>
        <w:t>Mount Olive’s conventional publ</w:t>
      </w:r>
      <w:r w:rsidR="00915FE5">
        <w:t xml:space="preserve">ic safety pool </w:t>
      </w:r>
      <w:r w:rsidRPr="00E94EB4">
        <w:rPr>
          <w:szCs w:val="22"/>
        </w:rPr>
        <w:t>call sign WQEA454.</w:t>
      </w:r>
      <w:r>
        <w:rPr>
          <w:rStyle w:val="FootnoteReference"/>
          <w:szCs w:val="22"/>
        </w:rPr>
        <w:footnoteReference w:id="2"/>
      </w:r>
      <w:r w:rsidRPr="00E94EB4">
        <w:rPr>
          <w:szCs w:val="22"/>
        </w:rPr>
        <w:t xml:space="preserve">  </w:t>
      </w:r>
      <w:r w:rsidR="009C6C32">
        <w:rPr>
          <w:szCs w:val="22"/>
        </w:rPr>
        <w:t>W</w:t>
      </w:r>
      <w:r w:rsidR="000158F3">
        <w:rPr>
          <w:szCs w:val="22"/>
        </w:rPr>
        <w:t>e deny the Waiver R</w:t>
      </w:r>
      <w:r w:rsidRPr="00E94EB4">
        <w:rPr>
          <w:szCs w:val="22"/>
        </w:rPr>
        <w:t>equest</w:t>
      </w:r>
      <w:r w:rsidR="00434786">
        <w:rPr>
          <w:szCs w:val="22"/>
        </w:rPr>
        <w:t>.</w:t>
      </w:r>
      <w:r>
        <w:rPr>
          <w:rStyle w:val="FootnoteReference"/>
          <w:szCs w:val="22"/>
        </w:rPr>
        <w:footnoteReference w:id="3"/>
      </w:r>
    </w:p>
    <w:p w:rsidR="000A55F9" w:rsidRPr="00510731" w:rsidP="000A55F9">
      <w:pPr>
        <w:pStyle w:val="Heading1"/>
        <w:rPr>
          <w:szCs w:val="22"/>
        </w:rPr>
      </w:pPr>
      <w:r>
        <w:t>background</w:t>
      </w:r>
    </w:p>
    <w:p w:rsidR="00797750" w:rsidRPr="00797750" w:rsidP="00797750">
      <w:pPr>
        <w:pStyle w:val="ParaNum"/>
        <w:rPr>
          <w:szCs w:val="22"/>
        </w:rPr>
      </w:pPr>
      <w:r>
        <w:rPr>
          <w:color w:val="212121"/>
          <w:szCs w:val="22"/>
        </w:rPr>
        <w:t xml:space="preserve">The construction deadline for the </w:t>
      </w:r>
      <w:r w:rsidRPr="00E94EB4" w:rsidR="000A55F9">
        <w:rPr>
          <w:szCs w:val="22"/>
        </w:rPr>
        <w:t>VHF frequencies</w:t>
      </w:r>
      <w:r w:rsidRPr="00E94EB4" w:rsidR="000A55F9">
        <w:rPr>
          <w:color w:val="212121"/>
          <w:szCs w:val="22"/>
        </w:rPr>
        <w:t xml:space="preserve"> </w:t>
      </w:r>
      <w:r>
        <w:rPr>
          <w:color w:val="212121"/>
          <w:szCs w:val="22"/>
        </w:rPr>
        <w:t xml:space="preserve">was </w:t>
      </w:r>
      <w:r w:rsidRPr="00E94EB4" w:rsidR="000A55F9">
        <w:rPr>
          <w:szCs w:val="22"/>
        </w:rPr>
        <w:t>September 6, 2017</w:t>
      </w:r>
      <w:r w:rsidRPr="00E94EB4" w:rsidR="000A55F9">
        <w:rPr>
          <w:color w:val="212121"/>
          <w:szCs w:val="22"/>
        </w:rPr>
        <w:t>.</w:t>
      </w:r>
      <w:r>
        <w:rPr>
          <w:rStyle w:val="FootnoteReference"/>
          <w:szCs w:val="22"/>
        </w:rPr>
        <w:footnoteReference w:id="4"/>
      </w:r>
      <w:r w:rsidRPr="00E94EB4" w:rsidR="000A55F9">
        <w:rPr>
          <w:color w:val="212121"/>
          <w:szCs w:val="22"/>
          <w:vertAlign w:val="superscript"/>
        </w:rPr>
        <w:t xml:space="preserve"> </w:t>
      </w:r>
      <w:r w:rsidRPr="00E94EB4" w:rsidR="000A55F9">
        <w:rPr>
          <w:color w:val="212121"/>
          <w:szCs w:val="22"/>
        </w:rPr>
        <w:t xml:space="preserve"> On June 6, 2017, the </w:t>
      </w:r>
      <w:r w:rsidRPr="00E94EB4" w:rsidR="000A55F9">
        <w:rPr>
          <w:szCs w:val="22"/>
        </w:rPr>
        <w:t xml:space="preserve">Universal Licensing System </w:t>
      </w:r>
      <w:r w:rsidR="00C65FB9">
        <w:rPr>
          <w:szCs w:val="22"/>
        </w:rPr>
        <w:t>(ULS</w:t>
      </w:r>
      <w:r w:rsidR="00C65FB9">
        <w:t>)</w:t>
      </w:r>
      <w:r w:rsidR="00C65FB9">
        <w:rPr>
          <w:szCs w:val="22"/>
        </w:rPr>
        <w:t xml:space="preserve"> </w:t>
      </w:r>
      <w:r w:rsidRPr="00E94EB4" w:rsidR="000A55F9">
        <w:rPr>
          <w:szCs w:val="22"/>
        </w:rPr>
        <w:t xml:space="preserve">sent </w:t>
      </w:r>
      <w:r w:rsidRPr="00E94EB4" w:rsidR="000A55F9">
        <w:rPr>
          <w:color w:val="212121"/>
          <w:szCs w:val="22"/>
        </w:rPr>
        <w:t>a construction reminder letter to Mount Olive for the VHF frequencies.</w:t>
      </w:r>
      <w:r>
        <w:rPr>
          <w:rStyle w:val="FootnoteReference"/>
          <w:szCs w:val="22"/>
        </w:rPr>
        <w:footnoteReference w:id="5"/>
      </w:r>
      <w:r w:rsidRPr="00E94EB4" w:rsidR="000A55F9">
        <w:rPr>
          <w:color w:val="212121"/>
          <w:szCs w:val="22"/>
        </w:rPr>
        <w:t xml:space="preserve"> </w:t>
      </w:r>
      <w:r w:rsidRPr="00E94EB4" w:rsidR="000A55F9">
        <w:rPr>
          <w:szCs w:val="22"/>
        </w:rPr>
        <w:t xml:space="preserve"> </w:t>
      </w:r>
      <w:r w:rsidRPr="00797750" w:rsidR="000A55F9">
        <w:rPr>
          <w:szCs w:val="22"/>
        </w:rPr>
        <w:t xml:space="preserve">On September 13, 2017, Mount Olive’s extension request </w:t>
      </w:r>
      <w:r w:rsidR="00526D75">
        <w:rPr>
          <w:szCs w:val="22"/>
        </w:rPr>
        <w:t xml:space="preserve">was dismissed </w:t>
      </w:r>
      <w:r w:rsidRPr="00797750" w:rsidR="000A55F9">
        <w:rPr>
          <w:szCs w:val="22"/>
        </w:rPr>
        <w:t>because</w:t>
      </w:r>
      <w:r>
        <w:rPr>
          <w:szCs w:val="22"/>
        </w:rPr>
        <w:t>, contrary to Section 1.946(e) of the Commission’s rules,</w:t>
      </w:r>
      <w:r w:rsidRPr="00797750" w:rsidR="000A55F9">
        <w:rPr>
          <w:szCs w:val="22"/>
        </w:rPr>
        <w:t xml:space="preserve"> Mount Olive </w:t>
      </w:r>
      <w:r>
        <w:rPr>
          <w:szCs w:val="22"/>
        </w:rPr>
        <w:t>did not submit the request before the construction deadline expired.</w:t>
      </w:r>
      <w:r>
        <w:rPr>
          <w:rStyle w:val="FootnoteReference"/>
          <w:rFonts w:cs="Times-Roman"/>
          <w:szCs w:val="22"/>
        </w:rPr>
        <w:footnoteReference w:id="6"/>
      </w:r>
      <w:r w:rsidR="000A55F9">
        <w:t xml:space="preserve"> </w:t>
      </w:r>
    </w:p>
    <w:p w:rsidR="000A55F9" w:rsidRPr="00E94EB4">
      <w:pPr>
        <w:pStyle w:val="ParaNum"/>
        <w:rPr>
          <w:rFonts w:ascii="Times-Roman" w:hAnsi="Times-Roman" w:cs="Times-Roman"/>
          <w:sz w:val="24"/>
          <w:szCs w:val="24"/>
        </w:rPr>
      </w:pPr>
      <w:r>
        <w:t xml:space="preserve">On September 19, 2017, Mount Olive filed a second extension request and </w:t>
      </w:r>
      <w:r w:rsidR="00A07BF0">
        <w:t xml:space="preserve">sought </w:t>
      </w:r>
      <w:r>
        <w:t>waiver of Section 1.946</w:t>
      </w:r>
      <w:r w:rsidR="00A07BF0">
        <w:t xml:space="preserve">(e) </w:t>
      </w:r>
      <w:r>
        <w:t>of the Commission’s rules</w:t>
      </w:r>
      <w:r w:rsidR="00A07BF0">
        <w:rPr>
          <w:i/>
        </w:rPr>
        <w:t>.</w:t>
      </w:r>
      <w:r>
        <w:rPr>
          <w:rStyle w:val="FootnoteReference"/>
        </w:rPr>
        <w:footnoteReference w:id="7"/>
      </w:r>
      <w:r>
        <w:t xml:space="preserve"> </w:t>
      </w:r>
      <w:r w:rsidR="00A07BF0">
        <w:t xml:space="preserve"> In its </w:t>
      </w:r>
      <w:r w:rsidR="000158F3">
        <w:t>Waiver R</w:t>
      </w:r>
      <w:r w:rsidR="00A07BF0">
        <w:t xml:space="preserve">equest, Mount Olive argues that a </w:t>
      </w:r>
      <w:r>
        <w:t>contract dispute with its vendor</w:t>
      </w:r>
      <w:r w:rsidR="00A07BF0">
        <w:t xml:space="preserve"> was a circumstance outside Mount Olive’s </w:t>
      </w:r>
      <w:r>
        <w:t xml:space="preserve">control </w:t>
      </w:r>
      <w:r w:rsidR="00B96793">
        <w:t>that</w:t>
      </w:r>
      <w:r>
        <w:t xml:space="preserve"> led to construction </w:t>
      </w:r>
      <w:r>
        <w:t>delays.</w:t>
      </w:r>
      <w:r>
        <w:rPr>
          <w:rStyle w:val="FootnoteReference"/>
        </w:rPr>
        <w:footnoteReference w:id="8"/>
      </w:r>
      <w:r>
        <w:t xml:space="preserve">  Mount Olive </w:t>
      </w:r>
      <w:r w:rsidR="00A07BF0">
        <w:t>states</w:t>
      </w:r>
      <w:r>
        <w:t xml:space="preserve"> </w:t>
      </w:r>
      <w:r w:rsidR="000158F3">
        <w:t xml:space="preserve">that </w:t>
      </w:r>
      <w:r>
        <w:t>its initial vendor notified Mount Olive on September 28, 2016, that the vendor could not complete the project as originally bid</w:t>
      </w:r>
      <w:r w:rsidR="000158F3">
        <w:t>.</w:t>
      </w:r>
      <w:r>
        <w:rPr>
          <w:rStyle w:val="FootnoteReference"/>
        </w:rPr>
        <w:footnoteReference w:id="9"/>
      </w:r>
      <w:r>
        <w:t xml:space="preserve"> </w:t>
      </w:r>
      <w:r w:rsidR="00526D75">
        <w:t xml:space="preserve"> </w:t>
      </w:r>
      <w:r w:rsidR="000158F3">
        <w:t xml:space="preserve">Subsequently, </w:t>
      </w:r>
      <w:r>
        <w:t>Mount Olive terminated its contract with th</w:t>
      </w:r>
      <w:r w:rsidR="00A07BF0">
        <w:t>at</w:t>
      </w:r>
      <w:r>
        <w:t xml:space="preserve"> vendor on June 27, 2017.</w:t>
      </w:r>
      <w:r>
        <w:rPr>
          <w:rStyle w:val="FootnoteReference"/>
        </w:rPr>
        <w:footnoteReference w:id="10"/>
      </w:r>
      <w:r>
        <w:t xml:space="preserve">  Mount Olive then solicited bids for new vendors in July and August 2017 and awarded a new contract on September 1, 2017, five days before the September 6, 2017</w:t>
      </w:r>
      <w:r w:rsidR="00826833">
        <w:t>,</w:t>
      </w:r>
      <w:r>
        <w:t xml:space="preserve"> construction deadline.</w:t>
      </w:r>
      <w:r>
        <w:rPr>
          <w:rStyle w:val="FootnoteReference"/>
        </w:rPr>
        <w:footnoteReference w:id="11"/>
      </w:r>
      <w:r>
        <w:t xml:space="preserve">  </w:t>
      </w:r>
    </w:p>
    <w:p w:rsidR="000A55F9" w:rsidRPr="0048053B" w:rsidP="000A55F9">
      <w:pPr>
        <w:pStyle w:val="Heading1"/>
      </w:pPr>
      <w:r>
        <w:t>Discussion</w:t>
      </w:r>
    </w:p>
    <w:p w:rsidR="000A55F9" w:rsidRPr="0048053B" w:rsidP="000A55F9">
      <w:pPr>
        <w:pStyle w:val="ParaNum"/>
        <w:rPr>
          <w:rFonts w:ascii="Times-Roman" w:hAnsi="Times-Roman" w:cs="Times-Roman"/>
          <w:sz w:val="24"/>
          <w:szCs w:val="24"/>
        </w:rPr>
      </w:pPr>
      <w:bookmarkStart w:id="0" w:name="FN[FN6]"/>
      <w:bookmarkStart w:id="1" w:name="sp_999_2"/>
      <w:bookmarkStart w:id="2" w:name="SDU_2"/>
      <w:bookmarkStart w:id="3" w:name="sp_1511_2211"/>
      <w:bookmarkStart w:id="4" w:name="SDU_2211"/>
      <w:bookmarkEnd w:id="0"/>
      <w:bookmarkEnd w:id="1"/>
      <w:bookmarkEnd w:id="2"/>
      <w:bookmarkEnd w:id="3"/>
      <w:bookmarkEnd w:id="4"/>
      <w:r w:rsidRPr="006710FA">
        <w:rPr>
          <w:szCs w:val="22"/>
        </w:rPr>
        <w:t xml:space="preserve">A party seeking </w:t>
      </w:r>
      <w:bookmarkStart w:id="5" w:name="SR;715"/>
      <w:bookmarkEnd w:id="5"/>
      <w:r w:rsidRPr="006710FA">
        <w:rPr>
          <w:szCs w:val="22"/>
        </w:rPr>
        <w:t xml:space="preserve">waiver of a Commission rule must show that “[t]he underlying purpose of the rule(s) would not be served or would be frustrated by application to the instant case, and that a grant of the requested </w:t>
      </w:r>
      <w:bookmarkStart w:id="6" w:name="SR;751"/>
      <w:bookmarkStart w:id="7" w:name="SearchTerm"/>
      <w:bookmarkEnd w:id="6"/>
      <w:bookmarkEnd w:id="7"/>
      <w:r w:rsidRPr="006710FA">
        <w:rPr>
          <w:szCs w:val="22"/>
        </w:rPr>
        <w:t>waiver would be in the public interest [...]”</w:t>
      </w:r>
      <w:bookmarkStart w:id="8" w:name="FN[FN8]"/>
      <w:bookmarkEnd w:id="8"/>
      <w:r>
        <w:rPr>
          <w:rStyle w:val="FootnoteReference"/>
          <w:szCs w:val="22"/>
        </w:rPr>
        <w:footnoteReference w:id="12"/>
      </w:r>
      <w:r w:rsidRPr="006710FA">
        <w:rPr>
          <w:szCs w:val="22"/>
        </w:rPr>
        <w:t xml:space="preserve">  Alternatively, a party must show that “[</w:t>
      </w:r>
      <w:r w:rsidRPr="006710FA">
        <w:rPr>
          <w:szCs w:val="22"/>
        </w:rPr>
        <w:t>i</w:t>
      </w:r>
      <w:r w:rsidRPr="006710FA">
        <w:rPr>
          <w:szCs w:val="22"/>
        </w:rPr>
        <w:t>]n view of unique or unusual factual circumstances of the instant case, application of the rule(s) would be inequitable, unduly burdensome, or contrary to the public interest, or the applicant has no reasonable alternative.”</w:t>
      </w:r>
      <w:bookmarkStart w:id="9" w:name="FN[FN9]"/>
      <w:bookmarkEnd w:id="9"/>
      <w:r>
        <w:rPr>
          <w:rStyle w:val="FootnoteReference"/>
          <w:szCs w:val="22"/>
        </w:rPr>
        <w:footnoteReference w:id="13"/>
      </w:r>
      <w:r w:rsidRPr="006710FA">
        <w:rPr>
          <w:szCs w:val="22"/>
        </w:rPr>
        <w:t xml:space="preserve">  When seeking to deviate from the general rule, an applicant faces a heavy burden.</w:t>
      </w:r>
      <w:bookmarkStart w:id="10" w:name="FN[FN10]"/>
      <w:bookmarkEnd w:id="10"/>
      <w:r>
        <w:rPr>
          <w:rStyle w:val="FootnoteReference"/>
          <w:szCs w:val="22"/>
        </w:rPr>
        <w:footnoteReference w:id="14"/>
      </w:r>
      <w:r w:rsidRPr="006710FA">
        <w:rPr>
          <w:szCs w:val="22"/>
        </w:rPr>
        <w:t xml:space="preserve">  In order to obtain a waiver, an applicant must plead with particularity the facts and circumstances which warrant such action.</w:t>
      </w:r>
      <w:bookmarkStart w:id="11" w:name="FN[FN11]"/>
      <w:bookmarkEnd w:id="11"/>
      <w:r>
        <w:rPr>
          <w:rStyle w:val="FootnoteReference"/>
          <w:szCs w:val="22"/>
        </w:rPr>
        <w:footnoteReference w:id="15"/>
      </w:r>
    </w:p>
    <w:p w:rsidR="000A55F9" w:rsidRPr="0048053B" w:rsidP="00526D75">
      <w:pPr>
        <w:pStyle w:val="ParaNum"/>
        <w:rPr>
          <w:rFonts w:ascii="Times-Roman" w:hAnsi="Times-Roman" w:cs="Times-Roman"/>
          <w:sz w:val="24"/>
          <w:szCs w:val="24"/>
        </w:rPr>
      </w:pPr>
      <w:r w:rsidRPr="00526D75">
        <w:rPr>
          <w:color w:val="212121"/>
          <w:szCs w:val="22"/>
        </w:rPr>
        <w:t xml:space="preserve">We find no basis for extending the construction deadline or waiving automatic cancellation of the frequencies authorized under call sign WQEA454.  </w:t>
      </w:r>
      <w:r w:rsidR="00A07BF0">
        <w:rPr>
          <w:color w:val="212121"/>
          <w:szCs w:val="22"/>
        </w:rPr>
        <w:t xml:space="preserve">Once the original vendor had defaulted, Mount Olive </w:t>
      </w:r>
      <w:r w:rsidR="00E12D71">
        <w:rPr>
          <w:color w:val="212121"/>
          <w:szCs w:val="22"/>
        </w:rPr>
        <w:t xml:space="preserve">timely </w:t>
      </w:r>
      <w:r w:rsidR="00A07BF0">
        <w:rPr>
          <w:color w:val="212121"/>
          <w:szCs w:val="22"/>
        </w:rPr>
        <w:t>could have requested an extension of time</w:t>
      </w:r>
      <w:r w:rsidR="00C12771">
        <w:rPr>
          <w:color w:val="212121"/>
          <w:szCs w:val="22"/>
        </w:rPr>
        <w:t xml:space="preserve"> up and through the time that it awarded a new vendor a contract</w:t>
      </w:r>
      <w:r w:rsidR="00E12D97">
        <w:rPr>
          <w:color w:val="212121"/>
          <w:szCs w:val="22"/>
        </w:rPr>
        <w:t>.</w:t>
      </w:r>
      <w:r w:rsidRPr="0048053B">
        <w:rPr>
          <w:color w:val="212121"/>
          <w:szCs w:val="22"/>
        </w:rPr>
        <w:t xml:space="preserve"> </w:t>
      </w:r>
      <w:r w:rsidR="00E12D97">
        <w:rPr>
          <w:color w:val="212121"/>
          <w:szCs w:val="22"/>
        </w:rPr>
        <w:t xml:space="preserve"> </w:t>
      </w:r>
      <w:r w:rsidRPr="0048053B">
        <w:rPr>
          <w:color w:val="212121"/>
          <w:szCs w:val="22"/>
        </w:rPr>
        <w:t xml:space="preserve">The Commission has emphasized that requiring licensees to file extension requests on a timely basis serves important policy objectives and </w:t>
      </w:r>
      <w:r w:rsidR="00E12D71">
        <w:rPr>
          <w:color w:val="212121"/>
          <w:szCs w:val="22"/>
        </w:rPr>
        <w:t xml:space="preserve">thus </w:t>
      </w:r>
      <w:r w:rsidRPr="0048053B">
        <w:rPr>
          <w:color w:val="212121"/>
          <w:szCs w:val="22"/>
        </w:rPr>
        <w:t>has upheld the dismissal of untimely requests for extension.</w:t>
      </w:r>
      <w:r>
        <w:rPr>
          <w:color w:val="212121"/>
        </w:rPr>
        <w:object>
          <v:shapetype id="_x0000_t201" coordsize="21600,21600" o:spt="201" path="m,l,21600r21600,l21600,xe">
            <v:stroke joinstyle="miter"/>
            <v:path shadowok="f" o:extrusionok="f" strokeok="f" fillok="f" o:connecttype="rect"/>
            <o:lock v:ext="edit" shapetype="t"/>
          </v:shapetype>
          <v:shape id="_x0000_i1025" type="#_x0000_t201" style="width:1in;height:18pt" o:oleicon="f" o:ole="">
            <v:imagedata r:id="rId5" o:title=""/>
          </v:shape>
          <w:control r:id="rId6" w:name="DefaultOcxName" w:shapeid="_x0000_i1025"/>
        </w:object>
      </w:r>
      <w:r>
        <w:rPr>
          <w:rStyle w:val="FootnoteReference"/>
          <w:szCs w:val="22"/>
        </w:rPr>
        <w:footnoteReference w:id="16"/>
      </w:r>
      <w:r w:rsidRPr="0048053B">
        <w:rPr>
          <w:color w:val="212121"/>
          <w:szCs w:val="22"/>
          <w:vertAlign w:val="superscript"/>
        </w:rPr>
        <w:t xml:space="preserve"> </w:t>
      </w:r>
      <w:r w:rsidR="00A07BF0">
        <w:rPr>
          <w:color w:val="212121"/>
          <w:szCs w:val="22"/>
          <w:vertAlign w:val="superscript"/>
        </w:rPr>
        <w:t xml:space="preserve"> </w:t>
      </w:r>
      <w:r w:rsidR="00826833">
        <w:rPr>
          <w:color w:val="212121"/>
          <w:szCs w:val="22"/>
          <w:vertAlign w:val="superscript"/>
        </w:rPr>
        <w:t xml:space="preserve"> </w:t>
      </w:r>
      <w:r w:rsidR="00E12D71">
        <w:rPr>
          <w:color w:val="212121"/>
          <w:szCs w:val="22"/>
        </w:rPr>
        <w:t>We find, therefore, that</w:t>
      </w:r>
      <w:r w:rsidR="00A07BF0">
        <w:rPr>
          <w:color w:val="212121"/>
          <w:szCs w:val="22"/>
        </w:rPr>
        <w:t xml:space="preserve"> the underlying purpose of Section 1.946(e) </w:t>
      </w:r>
      <w:r w:rsidR="00826833">
        <w:rPr>
          <w:color w:val="212121"/>
          <w:szCs w:val="22"/>
        </w:rPr>
        <w:t>is be</w:t>
      </w:r>
      <w:r w:rsidR="00E12D97">
        <w:rPr>
          <w:color w:val="212121"/>
          <w:szCs w:val="22"/>
        </w:rPr>
        <w:t xml:space="preserve">ing </w:t>
      </w:r>
      <w:r w:rsidR="00A07BF0">
        <w:rPr>
          <w:color w:val="212121"/>
          <w:szCs w:val="22"/>
        </w:rPr>
        <w:t xml:space="preserve">served – not frustrated – by denial of Mount Olive’s waiver request.  </w:t>
      </w:r>
      <w:r w:rsidR="00E12D97">
        <w:rPr>
          <w:color w:val="212121"/>
          <w:szCs w:val="22"/>
        </w:rPr>
        <w:t>We also find that the vendor default does not render application of the rule in</w:t>
      </w:r>
      <w:r w:rsidR="00826833">
        <w:rPr>
          <w:color w:val="212121"/>
          <w:szCs w:val="22"/>
        </w:rPr>
        <w:t>e</w:t>
      </w:r>
      <w:r w:rsidR="00E12D97">
        <w:rPr>
          <w:color w:val="212121"/>
          <w:szCs w:val="22"/>
        </w:rPr>
        <w:t>quitable, unduly burdensome, contrary to the public interest, or that Mount Olive lacked a reasonable alternative.</w:t>
      </w:r>
      <w:r w:rsidR="00826833">
        <w:rPr>
          <w:color w:val="212121"/>
          <w:szCs w:val="22"/>
        </w:rPr>
        <w:t xml:space="preserve"> </w:t>
      </w:r>
      <w:r w:rsidR="00E12D97">
        <w:rPr>
          <w:color w:val="212121"/>
          <w:szCs w:val="22"/>
        </w:rPr>
        <w:t xml:space="preserve"> Its alternative, which it failed t</w:t>
      </w:r>
      <w:r w:rsidR="00826833">
        <w:rPr>
          <w:color w:val="212121"/>
          <w:szCs w:val="22"/>
        </w:rPr>
        <w:t>o exercise, was to file an exte</w:t>
      </w:r>
      <w:r w:rsidR="00E12D97">
        <w:rPr>
          <w:color w:val="212121"/>
          <w:szCs w:val="22"/>
        </w:rPr>
        <w:t>n</w:t>
      </w:r>
      <w:r w:rsidR="00826833">
        <w:rPr>
          <w:color w:val="212121"/>
          <w:szCs w:val="22"/>
        </w:rPr>
        <w:t>s</w:t>
      </w:r>
      <w:r w:rsidR="00E12D97">
        <w:rPr>
          <w:color w:val="212121"/>
          <w:szCs w:val="22"/>
        </w:rPr>
        <w:t xml:space="preserve">ion request before its construction deadline expired.  Thus, we find that Mount Olive’s authorization for </w:t>
      </w:r>
      <w:r w:rsidR="00C65FB9">
        <w:rPr>
          <w:color w:val="212121"/>
          <w:szCs w:val="22"/>
        </w:rPr>
        <w:t>the frequencies and locations at issue</w:t>
      </w:r>
      <w:r w:rsidRPr="0048053B">
        <w:rPr>
          <w:color w:val="212121"/>
          <w:szCs w:val="22"/>
        </w:rPr>
        <w:t xml:space="preserve"> terminated on </w:t>
      </w:r>
      <w:r w:rsidR="00E12D97">
        <w:rPr>
          <w:color w:val="212121"/>
          <w:szCs w:val="22"/>
        </w:rPr>
        <w:t xml:space="preserve">the construction deadline - </w:t>
      </w:r>
      <w:r w:rsidRPr="0048053B">
        <w:rPr>
          <w:color w:val="212121"/>
          <w:szCs w:val="22"/>
        </w:rPr>
        <w:t>September 6, 2017.</w:t>
      </w:r>
      <w:r>
        <w:rPr>
          <w:rStyle w:val="FootnoteReference"/>
          <w:szCs w:val="22"/>
        </w:rPr>
        <w:footnoteReference w:id="17"/>
      </w:r>
    </w:p>
    <w:p w:rsidR="000A55F9" w:rsidRPr="0048053B" w:rsidP="000A55F9">
      <w:pPr>
        <w:pStyle w:val="ParaNum"/>
        <w:rPr>
          <w:rFonts w:ascii="Times-Roman" w:hAnsi="Times-Roman" w:cs="Times-Roman"/>
          <w:sz w:val="24"/>
          <w:szCs w:val="24"/>
        </w:rPr>
      </w:pPr>
      <w:r w:rsidRPr="0048053B">
        <w:rPr>
          <w:color w:val="212121"/>
          <w:szCs w:val="22"/>
        </w:rPr>
        <w:t xml:space="preserve">Accordingly, we </w:t>
      </w:r>
      <w:r w:rsidR="00A07BF0">
        <w:rPr>
          <w:color w:val="212121"/>
          <w:szCs w:val="22"/>
        </w:rPr>
        <w:t xml:space="preserve">deny Mount Olive’s </w:t>
      </w:r>
      <w:r w:rsidR="00826833">
        <w:rPr>
          <w:bCs/>
          <w:color w:val="252525"/>
          <w:szCs w:val="22"/>
        </w:rPr>
        <w:t>W</w:t>
      </w:r>
      <w:r w:rsidRPr="0048053B">
        <w:rPr>
          <w:bCs/>
          <w:color w:val="252525"/>
          <w:szCs w:val="22"/>
        </w:rPr>
        <w:t>aiver</w:t>
      </w:r>
      <w:r w:rsidRPr="0048053B">
        <w:rPr>
          <w:color w:val="212121"/>
          <w:szCs w:val="22"/>
        </w:rPr>
        <w:t xml:space="preserve"> </w:t>
      </w:r>
      <w:r w:rsidR="00826833">
        <w:rPr>
          <w:color w:val="212121"/>
          <w:szCs w:val="22"/>
        </w:rPr>
        <w:t>R</w:t>
      </w:r>
      <w:r w:rsidR="00A07BF0">
        <w:rPr>
          <w:color w:val="212121"/>
          <w:szCs w:val="22"/>
        </w:rPr>
        <w:t>equest</w:t>
      </w:r>
      <w:r w:rsidR="00C12771">
        <w:rPr>
          <w:color w:val="212121"/>
          <w:szCs w:val="22"/>
        </w:rPr>
        <w:t xml:space="preserve">.  </w:t>
      </w:r>
      <w:r w:rsidRPr="0048053B">
        <w:rPr>
          <w:color w:val="212121"/>
          <w:szCs w:val="22"/>
        </w:rPr>
        <w:t>If Mount Olive wishes to operate the terminated facilities, it must</w:t>
      </w:r>
      <w:r w:rsidR="00E12D97">
        <w:rPr>
          <w:color w:val="212121"/>
          <w:szCs w:val="22"/>
        </w:rPr>
        <w:t xml:space="preserve"> </w:t>
      </w:r>
      <w:r w:rsidRPr="0048053B">
        <w:rPr>
          <w:color w:val="212121"/>
          <w:szCs w:val="22"/>
        </w:rPr>
        <w:t xml:space="preserve">file </w:t>
      </w:r>
      <w:r w:rsidR="00E12D97">
        <w:rPr>
          <w:color w:val="212121"/>
          <w:szCs w:val="22"/>
        </w:rPr>
        <w:t xml:space="preserve">a properly frequency coordinated </w:t>
      </w:r>
      <w:r w:rsidRPr="0048053B">
        <w:rPr>
          <w:color w:val="212121"/>
          <w:szCs w:val="22"/>
        </w:rPr>
        <w:t>a</w:t>
      </w:r>
      <w:r w:rsidR="00826833">
        <w:rPr>
          <w:color w:val="212121"/>
          <w:szCs w:val="22"/>
        </w:rPr>
        <w:t>pplication on</w:t>
      </w:r>
      <w:r w:rsidRPr="0048053B">
        <w:rPr>
          <w:color w:val="212121"/>
          <w:szCs w:val="22"/>
        </w:rPr>
        <w:t xml:space="preserve"> FCC Form 601, in accordance with all applicable Commission Rules, to reauthorize the facilities.</w:t>
      </w:r>
      <w:r w:rsidRPr="00826833" w:rsidR="00826833">
        <w:rPr>
          <w:color w:val="000000"/>
          <w:szCs w:val="22"/>
        </w:rPr>
        <w:t xml:space="preserve"> </w:t>
      </w:r>
      <w:r w:rsidR="00826833">
        <w:rPr>
          <w:color w:val="000000"/>
          <w:szCs w:val="22"/>
        </w:rPr>
        <w:t xml:space="preserve"> </w:t>
      </w:r>
      <w:r w:rsidRPr="004A2605" w:rsidR="00826833">
        <w:rPr>
          <w:color w:val="000000"/>
          <w:szCs w:val="22"/>
        </w:rPr>
        <w:t xml:space="preserve">Moreover, if </w:t>
      </w:r>
      <w:r w:rsidR="00826833">
        <w:rPr>
          <w:color w:val="000000"/>
          <w:szCs w:val="22"/>
        </w:rPr>
        <w:t>Mount Olive</w:t>
      </w:r>
      <w:r w:rsidRPr="004A2605" w:rsidR="00826833">
        <w:rPr>
          <w:color w:val="000000"/>
          <w:szCs w:val="22"/>
        </w:rPr>
        <w:t xml:space="preserve"> </w:t>
      </w:r>
      <w:r w:rsidRPr="004A2605" w:rsidR="00826833">
        <w:rPr>
          <w:color w:val="000000"/>
          <w:szCs w:val="22"/>
        </w:rPr>
        <w:t>needs t</w:t>
      </w:r>
      <w:r w:rsidR="00826833">
        <w:rPr>
          <w:color w:val="000000"/>
          <w:szCs w:val="22"/>
        </w:rPr>
        <w:t>o operate while its application is</w:t>
      </w:r>
      <w:r w:rsidRPr="004A2605" w:rsidR="00826833">
        <w:rPr>
          <w:color w:val="000000"/>
          <w:szCs w:val="22"/>
        </w:rPr>
        <w:t xml:space="preserve"> being prepared and coordinated, it may file requests for special temporary authority pursuant to Section 1.931 of the Commission’s rules.</w:t>
      </w:r>
      <w:bookmarkStart w:id="12" w:name="co_tablefootnote_21_1"/>
      <w:bookmarkEnd w:id="12"/>
      <w:r>
        <w:rPr>
          <w:rStyle w:val="FootnoteReference"/>
          <w:color w:val="000000"/>
          <w:szCs w:val="22"/>
        </w:rPr>
        <w:footnoteReference w:id="18"/>
      </w:r>
    </w:p>
    <w:p w:rsidR="000A55F9" w:rsidP="000A55F9">
      <w:pPr>
        <w:pStyle w:val="Heading1"/>
      </w:pPr>
      <w:r>
        <w:t>Ordering clauses</w:t>
      </w:r>
    </w:p>
    <w:p w:rsidR="000A55F9" w:rsidP="000A55F9">
      <w:pPr>
        <w:pStyle w:val="ParaNum"/>
        <w:tabs>
          <w:tab w:val="num" w:pos="1080"/>
          <w:tab w:val="clear" w:pos="1440"/>
        </w:tabs>
        <w:rPr>
          <w:spacing w:val="-2"/>
        </w:rPr>
      </w:pPr>
      <w:r>
        <w:t xml:space="preserve"> </w:t>
      </w:r>
      <w:r w:rsidRPr="009E09B2">
        <w:t>Accordingly, IT IS ORDERED, pursuant to Sections 4(</w:t>
      </w:r>
      <w:r w:rsidRPr="009E09B2">
        <w:t>i</w:t>
      </w:r>
      <w:r w:rsidRPr="009E09B2">
        <w:t>) and 303(c) of the Communications Act of 1934, as amended, 47 U.S.C. §§ 1</w:t>
      </w:r>
      <w:r>
        <w:t>54(</w:t>
      </w:r>
      <w:r>
        <w:t>i</w:t>
      </w:r>
      <w:r>
        <w:t>), 303(c), and Sections 1.925 and 1.946</w:t>
      </w:r>
      <w:r w:rsidRPr="009E09B2">
        <w:t xml:space="preserve"> of the Co</w:t>
      </w:r>
      <w:r>
        <w:t>mmission’s rules, 47 CFR §</w:t>
      </w:r>
      <w:r w:rsidRPr="00CA61D2">
        <w:t>§</w:t>
      </w:r>
      <w:r>
        <w:t xml:space="preserve"> 1.925 and 1.946</w:t>
      </w:r>
      <w:r w:rsidRPr="009E09B2">
        <w:t xml:space="preserve">, that the </w:t>
      </w:r>
      <w:r>
        <w:t>Request for a Waiver to Section 1.946</w:t>
      </w:r>
      <w:r w:rsidRPr="00366D25">
        <w:t xml:space="preserve"> filed September 19, 2017 </w:t>
      </w:r>
      <w:r w:rsidRPr="0079026B">
        <w:rPr>
          <w:szCs w:val="22"/>
        </w:rPr>
        <w:t xml:space="preserve">by the Township of Mount Olive, New Jersey, IS </w:t>
      </w:r>
      <w:r w:rsidRPr="0079026B">
        <w:rPr>
          <w:spacing w:val="-2"/>
          <w:szCs w:val="22"/>
        </w:rPr>
        <w:t xml:space="preserve">DENIED and the extension request FCC File No. </w:t>
      </w:r>
      <w:r w:rsidRPr="0079026B">
        <w:rPr>
          <w:szCs w:val="22"/>
        </w:rPr>
        <w:t>0007931874</w:t>
      </w:r>
      <w:r>
        <w:rPr>
          <w:rFonts w:ascii="Verdana" w:hAnsi="Verdana"/>
          <w:sz w:val="18"/>
          <w:szCs w:val="18"/>
        </w:rPr>
        <w:t xml:space="preserve"> </w:t>
      </w:r>
      <w:r>
        <w:rPr>
          <w:spacing w:val="-2"/>
        </w:rPr>
        <w:t>IS DISMISSED</w:t>
      </w:r>
      <w:r w:rsidRPr="00366D25">
        <w:rPr>
          <w:spacing w:val="-2"/>
        </w:rPr>
        <w:t>.</w:t>
      </w:r>
    </w:p>
    <w:p w:rsidR="000A55F9" w:rsidRPr="0079026B" w:rsidP="000A55F9">
      <w:pPr>
        <w:pStyle w:val="ParaNum"/>
        <w:tabs>
          <w:tab w:val="num" w:pos="1080"/>
          <w:tab w:val="clear" w:pos="1440"/>
        </w:tabs>
        <w:rPr>
          <w:spacing w:val="-2"/>
          <w:szCs w:val="22"/>
        </w:rPr>
      </w:pPr>
      <w:r w:rsidRPr="0079026B">
        <w:rPr>
          <w:color w:val="212121"/>
          <w:szCs w:val="22"/>
        </w:rPr>
        <w:t xml:space="preserve">IT IS FURTHER ORDERED that the licensing staff of the </w:t>
      </w:r>
      <w:r>
        <w:t>P</w:t>
      </w:r>
      <w:r>
        <w:rPr>
          <w:color w:val="212121"/>
          <w:szCs w:val="22"/>
        </w:rPr>
        <w:t>olicy and Licensing</w:t>
      </w:r>
      <w:r w:rsidRPr="0079026B">
        <w:rPr>
          <w:color w:val="212121"/>
          <w:szCs w:val="22"/>
        </w:rPr>
        <w:t xml:space="preserve"> Division SHALL TERMINATE the authorization for </w:t>
      </w:r>
      <w:r w:rsidR="00B96793">
        <w:rPr>
          <w:color w:val="212121"/>
          <w:szCs w:val="22"/>
        </w:rPr>
        <w:t xml:space="preserve">the following frequencies </w:t>
      </w:r>
      <w:r w:rsidR="00B96793">
        <w:t>(1</w:t>
      </w:r>
      <w:r w:rsidRPr="00B64176" w:rsidR="00B96793">
        <w:t>)</w:t>
      </w:r>
      <w:r w:rsidR="00B96793">
        <w:t xml:space="preserve"> </w:t>
      </w:r>
      <w:r w:rsidR="00B96793">
        <w:rPr>
          <w:rFonts w:eastAsiaTheme="minorHAnsi"/>
        </w:rPr>
        <w:t>156.1200 MHz at locations 5, 8, 9 and 10, (2</w:t>
      </w:r>
      <w:r w:rsidRPr="00B64176" w:rsidR="00B96793">
        <w:t>)</w:t>
      </w:r>
      <w:r w:rsidR="00B96793">
        <w:t xml:space="preserve"> </w:t>
      </w:r>
      <w:r w:rsidR="00B96793">
        <w:rPr>
          <w:rFonts w:eastAsiaTheme="minorHAnsi"/>
        </w:rPr>
        <w:t>156.0600 MHz at locations 5, 7 and 8, (3</w:t>
      </w:r>
      <w:r w:rsidRPr="00B64176" w:rsidR="00B96793">
        <w:t>)</w:t>
      </w:r>
      <w:r w:rsidR="00B96793">
        <w:t xml:space="preserve"> </w:t>
      </w:r>
      <w:r w:rsidR="00B96793">
        <w:rPr>
          <w:rFonts w:eastAsiaTheme="minorHAnsi"/>
        </w:rPr>
        <w:t>151.2275 MHz at location 7, (4</w:t>
      </w:r>
      <w:r w:rsidRPr="00B64176" w:rsidR="00B96793">
        <w:t>)</w:t>
      </w:r>
      <w:r w:rsidR="00B96793">
        <w:t xml:space="preserve"> </w:t>
      </w:r>
      <w:r w:rsidR="00B96793">
        <w:rPr>
          <w:rFonts w:eastAsiaTheme="minorHAnsi"/>
        </w:rPr>
        <w:t>153.8750 MHz at location 7, (5</w:t>
      </w:r>
      <w:r w:rsidRPr="00B64176" w:rsidR="00B96793">
        <w:t>)</w:t>
      </w:r>
      <w:r w:rsidR="00B96793">
        <w:t xml:space="preserve"> 156.18</w:t>
      </w:r>
      <w:r w:rsidR="00B96793">
        <w:rPr>
          <w:rFonts w:eastAsiaTheme="minorHAnsi"/>
        </w:rPr>
        <w:t>00 MHz at locations 8, 9 and 10,</w:t>
      </w:r>
      <w:r w:rsidR="00A07BF0">
        <w:rPr>
          <w:rFonts w:eastAsiaTheme="minorHAnsi"/>
        </w:rPr>
        <w:t xml:space="preserve"> previously</w:t>
      </w:r>
      <w:r w:rsidR="00B96793">
        <w:rPr>
          <w:rFonts w:eastAsiaTheme="minorHAnsi"/>
        </w:rPr>
        <w:t xml:space="preserve"> licensed under </w:t>
      </w:r>
      <w:r w:rsidR="00B96793">
        <w:rPr>
          <w:color w:val="212121"/>
          <w:szCs w:val="22"/>
        </w:rPr>
        <w:t>call sign</w:t>
      </w:r>
      <w:r w:rsidRPr="0079026B">
        <w:rPr>
          <w:color w:val="212121"/>
          <w:szCs w:val="22"/>
        </w:rPr>
        <w:t xml:space="preserve"> </w:t>
      </w:r>
      <w:r w:rsidRPr="00E94EB4" w:rsidR="008E2A97">
        <w:rPr>
          <w:szCs w:val="22"/>
        </w:rPr>
        <w:t>WQEA454</w:t>
      </w:r>
      <w:r w:rsidR="008E2A97">
        <w:rPr>
          <w:szCs w:val="22"/>
        </w:rPr>
        <w:t xml:space="preserve"> </w:t>
      </w:r>
      <w:r w:rsidRPr="0079026B">
        <w:rPr>
          <w:color w:val="212121"/>
          <w:szCs w:val="22"/>
        </w:rPr>
        <w:t xml:space="preserve">in accordance with this </w:t>
      </w:r>
      <w:r>
        <w:rPr>
          <w:color w:val="212121"/>
          <w:szCs w:val="22"/>
        </w:rPr>
        <w:t>Order</w:t>
      </w:r>
      <w:r w:rsidRPr="0079026B">
        <w:rPr>
          <w:color w:val="212121"/>
          <w:szCs w:val="22"/>
        </w:rPr>
        <w:t xml:space="preserve"> and the Commission's </w:t>
      </w:r>
      <w:r w:rsidR="00A07BF0">
        <w:rPr>
          <w:color w:val="212121"/>
          <w:szCs w:val="22"/>
        </w:rPr>
        <w:t>r</w:t>
      </w:r>
      <w:r w:rsidRPr="0079026B">
        <w:rPr>
          <w:color w:val="212121"/>
          <w:szCs w:val="22"/>
        </w:rPr>
        <w:t>ules.</w:t>
      </w:r>
    </w:p>
    <w:p w:rsidR="000A55F9" w:rsidP="000A55F9">
      <w:pPr>
        <w:pStyle w:val="ParaNum"/>
        <w:tabs>
          <w:tab w:val="num" w:pos="1080"/>
          <w:tab w:val="clear" w:pos="1440"/>
        </w:tabs>
      </w:pPr>
      <w:r>
        <w:t xml:space="preserve">This action is taken under delegated authority pursuant to Sections 0.191 and 0.392 of the Commission’s rules, 47 CFR §§ 0.191, 0.392.  </w:t>
      </w:r>
    </w:p>
    <w:p w:rsidR="000A55F9" w:rsidP="000A55F9">
      <w:pPr>
        <w:pStyle w:val="ParaNum"/>
        <w:keepNext/>
        <w:keepLines/>
        <w:numPr>
          <w:ilvl w:val="0"/>
          <w:numId w:val="0"/>
        </w:numPr>
        <w:spacing w:after="0"/>
        <w:ind w:left="3600" w:firstLine="720"/>
      </w:pPr>
      <w:r>
        <w:t xml:space="preserve">FEDERAL COMMUNICATIONS COMMISSION </w:t>
      </w:r>
    </w:p>
    <w:p w:rsidR="000A55F9" w:rsidP="000A55F9">
      <w:pPr>
        <w:pStyle w:val="ParaNum"/>
        <w:keepNext/>
        <w:keepLines/>
        <w:numPr>
          <w:ilvl w:val="0"/>
          <w:numId w:val="0"/>
        </w:numPr>
        <w:spacing w:after="0"/>
        <w:ind w:left="720"/>
      </w:pPr>
    </w:p>
    <w:p w:rsidR="000A55F9" w:rsidP="000A55F9">
      <w:pPr>
        <w:pStyle w:val="ParaNum"/>
        <w:keepNext/>
        <w:keepLines/>
        <w:numPr>
          <w:ilvl w:val="0"/>
          <w:numId w:val="0"/>
        </w:numPr>
        <w:spacing w:after="0"/>
        <w:ind w:left="720"/>
      </w:pPr>
    </w:p>
    <w:p w:rsidR="000A55F9" w:rsidP="000A55F9">
      <w:pPr>
        <w:pStyle w:val="ParaNum"/>
        <w:keepNext/>
        <w:keepLines/>
        <w:numPr>
          <w:ilvl w:val="0"/>
          <w:numId w:val="0"/>
        </w:numPr>
        <w:spacing w:after="0"/>
        <w:ind w:left="720"/>
      </w:pPr>
    </w:p>
    <w:p w:rsidR="000A55F9" w:rsidP="000A55F9">
      <w:pPr>
        <w:pStyle w:val="ParaNum"/>
        <w:keepNext/>
        <w:keepLines/>
        <w:numPr>
          <w:ilvl w:val="0"/>
          <w:numId w:val="0"/>
        </w:numPr>
        <w:spacing w:after="0"/>
        <w:ind w:left="720"/>
      </w:pPr>
    </w:p>
    <w:p w:rsidR="000A55F9" w:rsidP="000A55F9">
      <w:pPr>
        <w:pStyle w:val="ParaNum"/>
        <w:keepNext/>
        <w:keepLines/>
        <w:numPr>
          <w:ilvl w:val="0"/>
          <w:numId w:val="0"/>
        </w:numPr>
        <w:spacing w:after="0"/>
        <w:ind w:left="3600" w:firstLine="720"/>
      </w:pPr>
      <w:r>
        <w:t xml:space="preserve">Michael J. Wilhelm  </w:t>
      </w:r>
    </w:p>
    <w:p w:rsidR="000A55F9" w:rsidP="000A55F9">
      <w:pPr>
        <w:pStyle w:val="ParaNum"/>
        <w:keepNext/>
        <w:keepLines/>
        <w:numPr>
          <w:ilvl w:val="0"/>
          <w:numId w:val="0"/>
        </w:numPr>
        <w:spacing w:after="0"/>
        <w:ind w:left="3600" w:firstLine="720"/>
      </w:pPr>
      <w:r>
        <w:t xml:space="preserve">Chief, Policy and Licensing Division </w:t>
      </w:r>
    </w:p>
    <w:p w:rsidR="000A55F9" w:rsidRPr="0074239C" w:rsidP="000A55F9">
      <w:pPr>
        <w:pStyle w:val="ParaNum"/>
        <w:keepNext/>
        <w:keepLines/>
        <w:numPr>
          <w:ilvl w:val="0"/>
          <w:numId w:val="0"/>
        </w:numPr>
        <w:spacing w:after="0"/>
        <w:ind w:left="3600" w:firstLine="720"/>
      </w:pPr>
      <w:r>
        <w:t>Public Safety and Homeland Security Bureau</w:t>
      </w:r>
    </w:p>
    <w:p w:rsidR="000A55F9" w:rsidRPr="00FE350B" w:rsidP="000A55F9"/>
    <w:p w:rsidR="00D641D3"/>
    <w:sectPr w:rsidSect="008E2A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793" w:rsidP="008E2A97">
    <w:pPr>
      <w:pStyle w:val="Footer"/>
      <w:framePr w:wrap="around" w:vAnchor="text" w:hAnchor="margin" w:xAlign="center" w:y="1"/>
    </w:pPr>
    <w:r>
      <w:fldChar w:fldCharType="begin"/>
    </w:r>
    <w:r>
      <w:instrText xml:space="preserve">PAGE  </w:instrText>
    </w:r>
    <w:r>
      <w:fldChar w:fldCharType="separate"/>
    </w:r>
    <w:r>
      <w:fldChar w:fldCharType="end"/>
    </w:r>
  </w:p>
  <w:p w:rsidR="00B96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793" w:rsidP="008E2A97">
    <w:pPr>
      <w:pStyle w:val="Footer"/>
      <w:framePr w:wrap="around" w:vAnchor="text" w:hAnchor="margin" w:xAlign="center" w:y="1"/>
    </w:pPr>
    <w:r>
      <w:fldChar w:fldCharType="begin"/>
    </w:r>
    <w:r>
      <w:instrText xml:space="preserve">PAGE  </w:instrText>
    </w:r>
    <w:r>
      <w:fldChar w:fldCharType="separate"/>
    </w:r>
    <w:r w:rsidR="009C3F6A">
      <w:rPr>
        <w:noProof/>
      </w:rPr>
      <w:t>3</w:t>
    </w:r>
    <w:r>
      <w:fldChar w:fldCharType="end"/>
    </w:r>
  </w:p>
  <w:p w:rsidR="00B9679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7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5AFC" w:rsidP="000A55F9">
      <w:r>
        <w:separator/>
      </w:r>
    </w:p>
  </w:footnote>
  <w:footnote w:type="continuationSeparator" w:id="1">
    <w:p w:rsidR="008D5AFC" w:rsidP="000A55F9">
      <w:r>
        <w:continuationSeparator/>
      </w:r>
    </w:p>
  </w:footnote>
  <w:footnote w:id="2">
    <w:p w:rsidR="00B96793" w:rsidP="000A55F9">
      <w:pPr>
        <w:pStyle w:val="FootnoteText"/>
      </w:pPr>
      <w:r>
        <w:rPr>
          <w:rStyle w:val="FootnoteReference"/>
        </w:rPr>
        <w:footnoteRef/>
      </w:r>
      <w:r>
        <w:t xml:space="preserve"> </w:t>
      </w:r>
      <w:r w:rsidRPr="00510731">
        <w:rPr>
          <w:i/>
        </w:rPr>
        <w:t>See</w:t>
      </w:r>
      <w:r>
        <w:t xml:space="preserve"> </w:t>
      </w:r>
      <w:r w:rsidR="00A97B32">
        <w:t>Letter from Sergeant Eric Anthony, Mount Olive Township Police Department</w:t>
      </w:r>
      <w:r>
        <w:t xml:space="preserve">, </w:t>
      </w:r>
      <w:r w:rsidR="00A97B32">
        <w:t xml:space="preserve">(dated Sept. 19, </w:t>
      </w:r>
      <w:r w:rsidRPr="0074731A" w:rsidR="00A97B32">
        <w:t>201</w:t>
      </w:r>
      <w:r w:rsidR="00A97B32">
        <w:t xml:space="preserve">7) </w:t>
      </w:r>
      <w:r>
        <w:t xml:space="preserve">(Waiver Request), </w:t>
      </w:r>
      <w:r w:rsidR="00D4247C">
        <w:t xml:space="preserve">and Letter from Sergeant Eric Anthony, Mount Olive Township Police Department, (dated Sept. 19, </w:t>
      </w:r>
      <w:r w:rsidRPr="0074731A" w:rsidR="00D4247C">
        <w:t>201</w:t>
      </w:r>
      <w:r w:rsidR="00D4247C">
        <w:t xml:space="preserve">7) (Extension Request) </w:t>
      </w:r>
      <w:r w:rsidR="00A97B32">
        <w:t xml:space="preserve">attached to FCC File No. </w:t>
      </w:r>
      <w:r w:rsidR="00D4247C">
        <w:t xml:space="preserve">0007931874 (filed Sept. 19, </w:t>
      </w:r>
      <w:r w:rsidRPr="0074731A" w:rsidR="00D4247C">
        <w:t>201</w:t>
      </w:r>
      <w:r w:rsidR="00D4247C">
        <w:t>7).</w:t>
      </w:r>
      <w:r w:rsidR="00C65FB9">
        <w:t xml:space="preserve">  We treat the Waiver Request and Extension Request as one consolidated request for waiver of Section 1.946 of the Commission’s rules.</w:t>
      </w:r>
      <w:r>
        <w:t xml:space="preserve">  </w:t>
      </w:r>
    </w:p>
  </w:footnote>
  <w:footnote w:id="3">
    <w:p w:rsidR="00C65FB9">
      <w:pPr>
        <w:pStyle w:val="FootnoteText"/>
      </w:pPr>
      <w:r>
        <w:rPr>
          <w:rStyle w:val="FootnoteReference"/>
        </w:rPr>
        <w:footnoteRef/>
      </w:r>
      <w:r>
        <w:t xml:space="preserve"> </w:t>
      </w:r>
      <w:r w:rsidRPr="009C6C32" w:rsidR="009C6C32">
        <w:t>We update the Commission’s records to reflect termination of the authorizations for the frequencies and locations for call sign WQEA454</w:t>
      </w:r>
      <w:r w:rsidR="009C6C32">
        <w:t xml:space="preserve">.  </w:t>
      </w:r>
      <w:r>
        <w:t xml:space="preserve">The frequencies </w:t>
      </w:r>
      <w:r w:rsidR="00434786">
        <w:t xml:space="preserve">are </w:t>
      </w:r>
      <w:r>
        <w:t>(1</w:t>
      </w:r>
      <w:r w:rsidRPr="00B64176">
        <w:t>)</w:t>
      </w:r>
      <w:r>
        <w:t xml:space="preserve"> </w:t>
      </w:r>
      <w:r>
        <w:rPr>
          <w:rFonts w:eastAsiaTheme="minorHAnsi"/>
        </w:rPr>
        <w:t>156.1200 MHz at locations 5, 8, 9 and 10, (2</w:t>
      </w:r>
      <w:r w:rsidRPr="00B64176">
        <w:t>)</w:t>
      </w:r>
      <w:r>
        <w:t xml:space="preserve"> </w:t>
      </w:r>
      <w:r>
        <w:rPr>
          <w:rFonts w:eastAsiaTheme="minorHAnsi"/>
        </w:rPr>
        <w:t>156.0600 MHz at locations 5, 7 and 8, (3</w:t>
      </w:r>
      <w:r w:rsidRPr="00B64176">
        <w:t>)</w:t>
      </w:r>
      <w:r>
        <w:t xml:space="preserve"> </w:t>
      </w:r>
      <w:r>
        <w:rPr>
          <w:rFonts w:eastAsiaTheme="minorHAnsi"/>
        </w:rPr>
        <w:t>151.2275 MHz at location 7, (4</w:t>
      </w:r>
      <w:r w:rsidRPr="00B64176">
        <w:t>)</w:t>
      </w:r>
      <w:r>
        <w:t xml:space="preserve"> </w:t>
      </w:r>
      <w:r>
        <w:rPr>
          <w:rFonts w:eastAsiaTheme="minorHAnsi"/>
        </w:rPr>
        <w:t>153.8750 MHz at location 7, (5</w:t>
      </w:r>
      <w:r w:rsidRPr="00B64176">
        <w:t>)</w:t>
      </w:r>
      <w:r>
        <w:t xml:space="preserve"> 156.18</w:t>
      </w:r>
      <w:r>
        <w:rPr>
          <w:rFonts w:eastAsiaTheme="minorHAnsi"/>
        </w:rPr>
        <w:t>00 MHz at locations 8, 9 and 10.</w:t>
      </w:r>
    </w:p>
  </w:footnote>
  <w:footnote w:id="4">
    <w:p w:rsidR="00B96793" w:rsidP="000A55F9">
      <w:pPr>
        <w:pStyle w:val="FootnoteText"/>
      </w:pPr>
      <w:r w:rsidRPr="0097104F">
        <w:rPr>
          <w:rStyle w:val="FootnoteReference"/>
        </w:rPr>
        <w:footnoteRef/>
      </w:r>
      <w:r w:rsidRPr="0097104F">
        <w:t xml:space="preserve"> 47 CFR §§ </w:t>
      </w:r>
      <w:r>
        <w:t xml:space="preserve">1.955, </w:t>
      </w:r>
      <w:r w:rsidR="00C65FB9">
        <w:t>90.155</w:t>
      </w:r>
      <w:r w:rsidRPr="0097104F">
        <w:t>.</w:t>
      </w:r>
    </w:p>
  </w:footnote>
  <w:footnote w:id="5">
    <w:p w:rsidR="00C65FB9">
      <w:pPr>
        <w:pStyle w:val="FootnoteText"/>
      </w:pPr>
      <w:r>
        <w:rPr>
          <w:rStyle w:val="FootnoteReference"/>
        </w:rPr>
        <w:footnoteRef/>
      </w:r>
      <w:r>
        <w:t xml:space="preserve"> Construction</w:t>
      </w:r>
      <w:r w:rsidRPr="00C65FB9">
        <w:rPr>
          <w:rFonts w:eastAsiaTheme="minorHAnsi"/>
          <w:bCs/>
          <w:szCs w:val="22"/>
        </w:rPr>
        <w:t>/Coverage Deadline Reminder Notice</w:t>
      </w:r>
      <w:r>
        <w:rPr>
          <w:rFonts w:eastAsiaTheme="minorHAnsi"/>
          <w:bCs/>
          <w:szCs w:val="22"/>
        </w:rPr>
        <w:t xml:space="preserve">, Reference No. </w:t>
      </w:r>
      <w:r>
        <w:rPr>
          <w:rFonts w:eastAsiaTheme="minorHAnsi"/>
          <w:szCs w:val="22"/>
        </w:rPr>
        <w:t xml:space="preserve">6265619 (dated June 6, </w:t>
      </w:r>
      <w:r w:rsidRPr="00797750">
        <w:rPr>
          <w:szCs w:val="22"/>
        </w:rPr>
        <w:t>2017</w:t>
      </w:r>
      <w:r>
        <w:t>)</w:t>
      </w:r>
      <w:r>
        <w:rPr>
          <w:szCs w:val="22"/>
        </w:rPr>
        <w:t>.</w:t>
      </w:r>
    </w:p>
  </w:footnote>
  <w:footnote w:id="6">
    <w:p w:rsidR="00B96793" w:rsidP="00797750">
      <w:pPr>
        <w:pStyle w:val="FootnoteText"/>
      </w:pPr>
      <w:r>
        <w:rPr>
          <w:rStyle w:val="FootnoteReference"/>
        </w:rPr>
        <w:footnoteRef/>
      </w:r>
      <w:r>
        <w:t xml:space="preserve"> </w:t>
      </w:r>
      <w:r w:rsidRPr="00485B59">
        <w:rPr>
          <w:i/>
        </w:rPr>
        <w:t>See</w:t>
      </w:r>
      <w:r>
        <w:t xml:space="preserve"> </w:t>
      </w:r>
      <w:r w:rsidR="00C65FB9">
        <w:t xml:space="preserve">Notice of Dismissal, </w:t>
      </w:r>
      <w:r w:rsidRPr="00526D75" w:rsidR="00526D75">
        <w:t>Public Safety and Homeland Security Bureau</w:t>
      </w:r>
      <w:r w:rsidR="00526D75">
        <w:t xml:space="preserve"> (PSHSB) Policy and Licensing Division,</w:t>
      </w:r>
      <w:r w:rsidRPr="00526D75" w:rsidR="00526D75">
        <w:t xml:space="preserve"> </w:t>
      </w:r>
      <w:r w:rsidR="00C65FB9">
        <w:t>Reference N</w:t>
      </w:r>
      <w:r>
        <w:t xml:space="preserve">o. 6294427 </w:t>
      </w:r>
      <w:r w:rsidR="00C65FB9">
        <w:t xml:space="preserve">(Sept. 13, </w:t>
      </w:r>
      <w:r w:rsidRPr="0074731A" w:rsidR="00C65FB9">
        <w:t>201</w:t>
      </w:r>
      <w:r w:rsidR="00C65FB9">
        <w:t xml:space="preserve">7) </w:t>
      </w:r>
      <w:r>
        <w:t xml:space="preserve">citing </w:t>
      </w:r>
      <w:r w:rsidRPr="00B64176">
        <w:t>47 CFR § 1.946(e).</w:t>
      </w:r>
    </w:p>
  </w:footnote>
  <w:footnote w:id="7">
    <w:p w:rsidR="00B96793" w:rsidP="000A55F9">
      <w:pPr>
        <w:pStyle w:val="FootnoteText"/>
      </w:pPr>
      <w:r>
        <w:rPr>
          <w:rStyle w:val="FootnoteReference"/>
        </w:rPr>
        <w:footnoteRef/>
      </w:r>
      <w:r>
        <w:t xml:space="preserve"> Waiver Request at 1 citing 47 CFR </w:t>
      </w:r>
      <w:r w:rsidRPr="00566C77">
        <w:t>§ 1.946(e).</w:t>
      </w:r>
    </w:p>
  </w:footnote>
  <w:footnote w:id="8">
    <w:p w:rsidR="00B96793" w:rsidP="000A55F9">
      <w:pPr>
        <w:pStyle w:val="FootnoteText"/>
      </w:pPr>
      <w:r>
        <w:rPr>
          <w:rStyle w:val="FootnoteReference"/>
        </w:rPr>
        <w:footnoteRef/>
      </w:r>
      <w:r>
        <w:t xml:space="preserve"> Waiver Request at 1-</w:t>
      </w:r>
      <w:r w:rsidRPr="0077690A">
        <w:t>2</w:t>
      </w:r>
      <w:r>
        <w:t xml:space="preserve">; Waiver Request </w:t>
      </w:r>
      <w:r>
        <w:t>Exh</w:t>
      </w:r>
      <w:r>
        <w:t xml:space="preserve">. D, Email </w:t>
      </w:r>
      <w:r w:rsidR="00E12D97">
        <w:t>Correspondence</w:t>
      </w:r>
      <w:r>
        <w:t xml:space="preserve"> Between Northeast Communications and Mount Olive Township; Waiver Request </w:t>
      </w:r>
      <w:r>
        <w:t>Exh</w:t>
      </w:r>
      <w:r>
        <w:t xml:space="preserve">. E, Mount Olive Township Resolution Terminating Contract with Northeast Communications. </w:t>
      </w:r>
    </w:p>
  </w:footnote>
  <w:footnote w:id="9">
    <w:p w:rsidR="00B96793" w:rsidP="000A55F9">
      <w:pPr>
        <w:pStyle w:val="FootnoteText"/>
      </w:pPr>
      <w:r>
        <w:rPr>
          <w:rStyle w:val="FootnoteReference"/>
        </w:rPr>
        <w:footnoteRef/>
      </w:r>
      <w:r>
        <w:t xml:space="preserve"> Waiver Request at 1-2.</w:t>
      </w:r>
    </w:p>
  </w:footnote>
  <w:footnote w:id="10">
    <w:p w:rsidR="00B96793" w:rsidP="000A55F9">
      <w:pPr>
        <w:pStyle w:val="FootnoteText"/>
      </w:pPr>
      <w:r>
        <w:rPr>
          <w:rStyle w:val="FootnoteReference"/>
        </w:rPr>
        <w:footnoteRef/>
      </w:r>
      <w:r>
        <w:t xml:space="preserve"> </w:t>
      </w:r>
      <w:r w:rsidRPr="007D1DF9" w:rsidR="00E12D97">
        <w:rPr>
          <w:i/>
        </w:rPr>
        <w:t>Id</w:t>
      </w:r>
      <w:r w:rsidR="00E12D97">
        <w:t xml:space="preserve">. at </w:t>
      </w:r>
      <w:r>
        <w:t>2.</w:t>
      </w:r>
    </w:p>
  </w:footnote>
  <w:footnote w:id="11">
    <w:p w:rsidR="00B96793" w:rsidP="000A55F9">
      <w:pPr>
        <w:pStyle w:val="FootnoteText"/>
      </w:pPr>
      <w:r>
        <w:rPr>
          <w:rStyle w:val="FootnoteReference"/>
        </w:rPr>
        <w:footnoteRef/>
      </w:r>
      <w:r>
        <w:t xml:space="preserve"> </w:t>
      </w:r>
      <w:r w:rsidRPr="002C59D5">
        <w:rPr>
          <w:i/>
        </w:rPr>
        <w:t>Id.</w:t>
      </w:r>
      <w:r>
        <w:t xml:space="preserve"> </w:t>
      </w:r>
    </w:p>
  </w:footnote>
  <w:footnote w:id="12">
    <w:p w:rsidR="00B96793" w:rsidP="000A55F9">
      <w:pPr>
        <w:pStyle w:val="FootnoteText"/>
      </w:pPr>
      <w:r w:rsidRPr="00275132">
        <w:rPr>
          <w:rStyle w:val="FootnoteReference"/>
        </w:rPr>
        <w:footnoteRef/>
      </w:r>
      <w:r>
        <w:t xml:space="preserve"> 47 CFR</w:t>
      </w:r>
      <w:r w:rsidRPr="00275132">
        <w:t xml:space="preserve"> § 1.925(b)(3)(</w:t>
      </w:r>
      <w:r w:rsidRPr="00275132">
        <w:t>i</w:t>
      </w:r>
      <w:r w:rsidRPr="00275132">
        <w:t xml:space="preserve">).  </w:t>
      </w:r>
    </w:p>
  </w:footnote>
  <w:footnote w:id="13">
    <w:p w:rsidR="00B96793" w:rsidP="000A55F9">
      <w:pPr>
        <w:pStyle w:val="FootnoteText"/>
      </w:pPr>
      <w:r w:rsidRPr="00275132">
        <w:rPr>
          <w:rStyle w:val="FootnoteReference"/>
        </w:rPr>
        <w:footnoteRef/>
      </w:r>
      <w:r>
        <w:t xml:space="preserve"> 47 CFR</w:t>
      </w:r>
      <w:r w:rsidRPr="00275132">
        <w:t xml:space="preserve"> § 1.925(b)(3)(ii).  </w:t>
      </w:r>
    </w:p>
  </w:footnote>
  <w:footnote w:id="14">
    <w:p w:rsidR="00B96793" w:rsidP="000A55F9">
      <w:pPr>
        <w:spacing w:after="120"/>
      </w:pPr>
      <w:r w:rsidRPr="00275132">
        <w:rPr>
          <w:rStyle w:val="FootnoteReference"/>
        </w:rPr>
        <w:footnoteRef/>
      </w:r>
      <w:r w:rsidRPr="00275132">
        <w:rPr>
          <w:sz w:val="20"/>
        </w:rPr>
        <w:t xml:space="preserve"> </w:t>
      </w:r>
      <w:r w:rsidRPr="00275132">
        <w:rPr>
          <w:i/>
          <w:iCs/>
          <w:sz w:val="20"/>
        </w:rPr>
        <w:t>See Wait Radio v. FCC</w:t>
      </w:r>
      <w:r w:rsidRPr="006E1BB3">
        <w:rPr>
          <w:iCs/>
          <w:sz w:val="20"/>
        </w:rPr>
        <w:t>,</w:t>
      </w:r>
      <w:r w:rsidRPr="00275132">
        <w:rPr>
          <w:i/>
          <w:iCs/>
          <w:sz w:val="20"/>
        </w:rPr>
        <w:t xml:space="preserve"> </w:t>
      </w:r>
      <w:r w:rsidRPr="00275132">
        <w:rPr>
          <w:iCs/>
          <w:sz w:val="20"/>
        </w:rPr>
        <w:t xml:space="preserve">418 F.2d 1153, 1157 (D.C. Cir. 1969). </w:t>
      </w:r>
    </w:p>
  </w:footnote>
  <w:footnote w:id="15">
    <w:p w:rsidR="00B96793" w:rsidP="000A55F9">
      <w:pPr>
        <w:spacing w:after="120"/>
      </w:pPr>
      <w:r w:rsidRPr="00275132">
        <w:rPr>
          <w:rStyle w:val="FootnoteReference"/>
        </w:rPr>
        <w:footnoteRef/>
      </w:r>
      <w:r w:rsidRPr="00275132">
        <w:rPr>
          <w:sz w:val="20"/>
        </w:rPr>
        <w:t xml:space="preserve"> </w:t>
      </w:r>
      <w:r w:rsidRPr="00275132">
        <w:rPr>
          <w:i/>
          <w:sz w:val="20"/>
        </w:rPr>
        <w:t>Id</w:t>
      </w:r>
      <w:r w:rsidRPr="007D1DF9">
        <w:rPr>
          <w:i/>
          <w:sz w:val="20"/>
        </w:rPr>
        <w:t>. citing</w:t>
      </w:r>
      <w:r w:rsidRPr="00275132">
        <w:rPr>
          <w:sz w:val="20"/>
        </w:rPr>
        <w:t xml:space="preserve"> </w:t>
      </w:r>
      <w:r w:rsidRPr="00275132">
        <w:rPr>
          <w:i/>
          <w:sz w:val="20"/>
        </w:rPr>
        <w:t>Rio Grande Radio Fellowship, Inc. v. FCC</w:t>
      </w:r>
      <w:r w:rsidRPr="00275132">
        <w:rPr>
          <w:sz w:val="20"/>
        </w:rPr>
        <w:t>, 406 F.2d 664 (D.C. Cir. 1968).</w:t>
      </w:r>
    </w:p>
  </w:footnote>
  <w:footnote w:id="16">
    <w:p w:rsidR="00B96793" w:rsidP="000A55F9">
      <w:pPr>
        <w:pStyle w:val="FootnoteText"/>
      </w:pPr>
      <w:r>
        <w:rPr>
          <w:rStyle w:val="FootnoteReference"/>
        </w:rPr>
        <w:footnoteRef/>
      </w:r>
      <w:r>
        <w:t xml:space="preserve"> </w:t>
      </w:r>
      <w:r w:rsidRPr="00FE03F3">
        <w:rPr>
          <w:i/>
        </w:rPr>
        <w:t>See, e.g.</w:t>
      </w:r>
      <w:r>
        <w:t xml:space="preserve">, </w:t>
      </w:r>
      <w:r w:rsidRPr="008E2A97">
        <w:rPr>
          <w:i/>
        </w:rPr>
        <w:t xml:space="preserve">Nathan Sherman Enterprises, Inc., Lubbock SMR, Inc., S&amp;C Investments, Inc., Triangle Communications, Inc., </w:t>
      </w:r>
      <w:r w:rsidRPr="008E2A97">
        <w:rPr>
          <w:i/>
        </w:rPr>
        <w:t>Mobilecom</w:t>
      </w:r>
      <w:r w:rsidRPr="008E2A97">
        <w:rPr>
          <w:i/>
        </w:rPr>
        <w:t xml:space="preserve"> One, L.L.C., Hawaiian Wireless, Inc., HBS Communications, Inc., SRI, Inc. and Spectrum Resources of the Northeast, Inc.</w:t>
      </w:r>
      <w:r w:rsidRPr="00B67307">
        <w:t xml:space="preserve">, </w:t>
      </w:r>
      <w:r w:rsidRPr="008E2A97">
        <w:t>Order</w:t>
      </w:r>
      <w:r>
        <w:t xml:space="preserve">, 16 FCC </w:t>
      </w:r>
      <w:r>
        <w:t>Rcd</w:t>
      </w:r>
      <w:r>
        <w:t xml:space="preserve"> 11150 (2001) (</w:t>
      </w:r>
      <w:r w:rsidRPr="003F2384">
        <w:t>“As a general matter, allowing the filing of untimely extension requests</w:t>
      </w:r>
      <w:r w:rsidR="00E12D71">
        <w:t xml:space="preserve"> </w:t>
      </w:r>
      <w:r w:rsidRPr="003F2384">
        <w:t>... would undermine orderly and efficient spectrum management, lead to administrative uncertainty and delay, and hinder [the Commission's] ability to relicense scarce spectrum resources to other licensees who are ready and able to construct”</w:t>
      </w:r>
      <w:r>
        <w:t>).</w:t>
      </w:r>
    </w:p>
  </w:footnote>
  <w:footnote w:id="17">
    <w:p w:rsidR="00B96793">
      <w:pPr>
        <w:pStyle w:val="FootnoteText"/>
      </w:pPr>
      <w:r>
        <w:rPr>
          <w:rStyle w:val="FootnoteReference"/>
        </w:rPr>
        <w:footnoteRef/>
      </w:r>
      <w:r>
        <w:t xml:space="preserve"> 47 CFR</w:t>
      </w:r>
      <w:r w:rsidRPr="00275132">
        <w:t xml:space="preserve"> </w:t>
      </w:r>
      <w:r w:rsidRPr="000F2878">
        <w:t>§</w:t>
      </w:r>
      <w:r w:rsidRPr="00275132">
        <w:t xml:space="preserve">§ </w:t>
      </w:r>
      <w:r>
        <w:t xml:space="preserve">1.946, </w:t>
      </w:r>
      <w:r w:rsidRPr="00275132">
        <w:t>1</w:t>
      </w:r>
      <w:r>
        <w:t>.955, 90.155.</w:t>
      </w:r>
    </w:p>
  </w:footnote>
  <w:footnote w:id="18">
    <w:p w:rsidR="00826833" w:rsidRPr="00FB57E9" w:rsidP="00826833">
      <w:pPr>
        <w:pStyle w:val="FootnoteText"/>
      </w:pPr>
      <w:r w:rsidRPr="00FB57E9">
        <w:rPr>
          <w:rStyle w:val="FootnoteReference"/>
        </w:rPr>
        <w:footnoteRef/>
      </w:r>
      <w:r w:rsidRPr="00FB57E9">
        <w:t xml:space="preserve"> 47 CFR § 1.931.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0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793" w:rsidP="008E2A97">
    <w:pPr>
      <w:pStyle w:val="Header"/>
      <w:rPr>
        <w:b w:val="0"/>
      </w:rPr>
    </w:pPr>
    <w:r>
      <w:tab/>
      <w:t>Federal Co</w:t>
    </w:r>
    <w:r w:rsidR="00D60A72">
      <w:t>mmunications Commission</w:t>
    </w:r>
    <w:r w:rsidR="00D60A72">
      <w:tab/>
      <w:t xml:space="preserve">DA </w:t>
    </w:r>
    <w:r w:rsidR="00D60A72">
      <w:t>18-1167</w:t>
    </w:r>
    <w:bookmarkStart w:id="13" w:name="_GoBack"/>
    <w:bookmarkEnd w:id="13"/>
  </w:p>
  <w:p w:rsidR="00B9679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967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793" w:rsidP="008E2A9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60A72">
      <w:rPr>
        <w:spacing w:val="-2"/>
      </w:rPr>
      <w:t>DA 18-1167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FA3A3462"/>
    <w:lvl w:ilvl="0">
      <w:start w:val="1"/>
      <w:numFmt w:val="decimal"/>
      <w:pStyle w:val="ParaNum"/>
      <w:lvlText w:val="%1."/>
      <w:lvlJc w:val="left"/>
      <w:pPr>
        <w:tabs>
          <w:tab w:val="num" w:pos="1080"/>
        </w:tabs>
        <w:ind w:left="0" w:firstLine="720"/>
      </w:pPr>
      <w:rPr>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5F9"/>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0A55F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A55F9"/>
    <w:pPr>
      <w:keepNext/>
      <w:numPr>
        <w:ilvl w:val="1"/>
        <w:numId w:val="2"/>
      </w:numPr>
      <w:spacing w:after="120"/>
      <w:outlineLvl w:val="1"/>
    </w:pPr>
    <w:rPr>
      <w:b/>
    </w:rPr>
  </w:style>
  <w:style w:type="paragraph" w:styleId="Heading3">
    <w:name w:val="heading 3"/>
    <w:basedOn w:val="Normal"/>
    <w:next w:val="ParaNum"/>
    <w:link w:val="Heading3Char"/>
    <w:qFormat/>
    <w:rsid w:val="000A55F9"/>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0A55F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0A55F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A55F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A55F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0A55F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A55F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5F9"/>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0A55F9"/>
    <w:rPr>
      <w:rFonts w:ascii="Times New Roman" w:eastAsia="Times New Roman" w:hAnsi="Times New Roman" w:cs="Times New Roman"/>
      <w:b/>
      <w:szCs w:val="20"/>
    </w:rPr>
  </w:style>
  <w:style w:type="character" w:customStyle="1" w:styleId="Heading3Char">
    <w:name w:val="Heading 3 Char"/>
    <w:basedOn w:val="DefaultParagraphFont"/>
    <w:link w:val="Heading3"/>
    <w:rsid w:val="000A55F9"/>
    <w:rPr>
      <w:rFonts w:ascii="Times New Roman" w:eastAsia="Times New Roman" w:hAnsi="Times New Roman" w:cs="Times New Roman"/>
      <w:b/>
      <w:szCs w:val="20"/>
    </w:rPr>
  </w:style>
  <w:style w:type="character" w:customStyle="1" w:styleId="Heading4Char">
    <w:name w:val="Heading 4 Char"/>
    <w:basedOn w:val="DefaultParagraphFont"/>
    <w:link w:val="Heading4"/>
    <w:rsid w:val="000A55F9"/>
    <w:rPr>
      <w:rFonts w:ascii="Times New Roman" w:eastAsia="Times New Roman" w:hAnsi="Times New Roman" w:cs="Times New Roman"/>
      <w:b/>
      <w:szCs w:val="20"/>
    </w:rPr>
  </w:style>
  <w:style w:type="character" w:customStyle="1" w:styleId="Heading5Char">
    <w:name w:val="Heading 5 Char"/>
    <w:basedOn w:val="DefaultParagraphFont"/>
    <w:link w:val="Heading5"/>
    <w:rsid w:val="000A55F9"/>
    <w:rPr>
      <w:rFonts w:ascii="Times New Roman" w:eastAsia="Times New Roman" w:hAnsi="Times New Roman" w:cs="Times New Roman"/>
      <w:b/>
      <w:szCs w:val="20"/>
    </w:rPr>
  </w:style>
  <w:style w:type="character" w:customStyle="1" w:styleId="Heading6Char">
    <w:name w:val="Heading 6 Char"/>
    <w:basedOn w:val="DefaultParagraphFont"/>
    <w:link w:val="Heading6"/>
    <w:rsid w:val="000A55F9"/>
    <w:rPr>
      <w:rFonts w:ascii="Times New Roman" w:eastAsia="Times New Roman" w:hAnsi="Times New Roman" w:cs="Times New Roman"/>
      <w:b/>
      <w:szCs w:val="20"/>
    </w:rPr>
  </w:style>
  <w:style w:type="character" w:customStyle="1" w:styleId="Heading7Char">
    <w:name w:val="Heading 7 Char"/>
    <w:basedOn w:val="DefaultParagraphFont"/>
    <w:link w:val="Heading7"/>
    <w:rsid w:val="000A55F9"/>
    <w:rPr>
      <w:rFonts w:ascii="Times New Roman" w:eastAsia="Times New Roman" w:hAnsi="Times New Roman" w:cs="Times New Roman"/>
      <w:b/>
      <w:szCs w:val="20"/>
    </w:rPr>
  </w:style>
  <w:style w:type="character" w:customStyle="1" w:styleId="Heading8Char">
    <w:name w:val="Heading 8 Char"/>
    <w:basedOn w:val="DefaultParagraphFont"/>
    <w:link w:val="Heading8"/>
    <w:rsid w:val="000A55F9"/>
    <w:rPr>
      <w:rFonts w:ascii="Times New Roman" w:eastAsia="Times New Roman" w:hAnsi="Times New Roman" w:cs="Times New Roman"/>
      <w:b/>
      <w:szCs w:val="20"/>
    </w:rPr>
  </w:style>
  <w:style w:type="character" w:customStyle="1" w:styleId="Heading9Char">
    <w:name w:val="Heading 9 Char"/>
    <w:basedOn w:val="DefaultParagraphFont"/>
    <w:link w:val="Heading9"/>
    <w:rsid w:val="000A55F9"/>
    <w:rPr>
      <w:rFonts w:ascii="Times New Roman" w:eastAsia="Times New Roman" w:hAnsi="Times New Roman" w:cs="Times New Roman"/>
      <w:b/>
      <w:szCs w:val="20"/>
    </w:rPr>
  </w:style>
  <w:style w:type="paragraph" w:customStyle="1" w:styleId="ParaNum">
    <w:name w:val="ParaNum"/>
    <w:basedOn w:val="Normal"/>
    <w:link w:val="ParaNumChar"/>
    <w:uiPriority w:val="99"/>
    <w:rsid w:val="000A55F9"/>
    <w:pPr>
      <w:numPr>
        <w:numId w:val="1"/>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A55F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0A55F9"/>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6,fr,o"/>
    <w:rsid w:val="000A55F9"/>
    <w:rPr>
      <w:rFonts w:ascii="Times New Roman" w:hAnsi="Times New Roman"/>
      <w:dstrike w:val="0"/>
      <w:color w:val="auto"/>
      <w:sz w:val="20"/>
      <w:vertAlign w:val="superscript"/>
    </w:rPr>
  </w:style>
  <w:style w:type="paragraph" w:styleId="TOAHeading">
    <w:name w:val="toa heading"/>
    <w:basedOn w:val="Normal"/>
    <w:next w:val="Normal"/>
    <w:semiHidden/>
    <w:rsid w:val="000A55F9"/>
    <w:pPr>
      <w:tabs>
        <w:tab w:val="right" w:pos="9360"/>
      </w:tabs>
      <w:suppressAutoHyphens/>
    </w:pPr>
  </w:style>
  <w:style w:type="paragraph" w:styleId="Header">
    <w:name w:val="header"/>
    <w:basedOn w:val="Normal"/>
    <w:link w:val="HeaderChar"/>
    <w:autoRedefine/>
    <w:rsid w:val="000A55F9"/>
    <w:pPr>
      <w:tabs>
        <w:tab w:val="center" w:pos="4680"/>
        <w:tab w:val="right" w:pos="9360"/>
      </w:tabs>
    </w:pPr>
    <w:rPr>
      <w:b/>
    </w:rPr>
  </w:style>
  <w:style w:type="character" w:customStyle="1" w:styleId="HeaderChar">
    <w:name w:val="Header Char"/>
    <w:basedOn w:val="DefaultParagraphFont"/>
    <w:link w:val="Header"/>
    <w:rsid w:val="000A55F9"/>
    <w:rPr>
      <w:rFonts w:ascii="Times New Roman" w:eastAsia="Times New Roman" w:hAnsi="Times New Roman" w:cs="Times New Roman"/>
      <w:b/>
      <w:szCs w:val="20"/>
    </w:rPr>
  </w:style>
  <w:style w:type="paragraph" w:styleId="Footer">
    <w:name w:val="footer"/>
    <w:basedOn w:val="Normal"/>
    <w:link w:val="FooterChar"/>
    <w:rsid w:val="000A55F9"/>
    <w:pPr>
      <w:tabs>
        <w:tab w:val="center" w:pos="4320"/>
        <w:tab w:val="right" w:pos="8640"/>
      </w:tabs>
    </w:pPr>
  </w:style>
  <w:style w:type="character" w:customStyle="1" w:styleId="FooterChar">
    <w:name w:val="Footer Char"/>
    <w:basedOn w:val="DefaultParagraphFont"/>
    <w:link w:val="Footer"/>
    <w:rsid w:val="000A55F9"/>
    <w:rPr>
      <w:rFonts w:ascii="Times New Roman" w:eastAsia="Times New Roman" w:hAnsi="Times New Roman" w:cs="Times New Roman"/>
      <w:szCs w:val="20"/>
    </w:rPr>
  </w:style>
  <w:style w:type="paragraph" w:customStyle="1" w:styleId="StyleBoldCentered">
    <w:name w:val="Style Bold Centered"/>
    <w:basedOn w:val="Normal"/>
    <w:rsid w:val="000A55F9"/>
    <w:pPr>
      <w:jc w:val="center"/>
    </w:pPr>
    <w:rPr>
      <w:rFonts w:ascii="Times New Roman Bold" w:hAnsi="Times New Roman Bold"/>
      <w:b/>
      <w:bCs/>
      <w:caps/>
      <w:szCs w:val="22"/>
    </w:rPr>
  </w:style>
  <w:style w:type="character" w:customStyle="1" w:styleId="ParaNumChar">
    <w:name w:val="ParaNum Char"/>
    <w:basedOn w:val="DefaultParagraphFont"/>
    <w:link w:val="ParaNum"/>
    <w:uiPriority w:val="99"/>
    <w:locked/>
    <w:rsid w:val="000A55F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D1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F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26D75"/>
    <w:rPr>
      <w:sz w:val="16"/>
      <w:szCs w:val="16"/>
    </w:rPr>
  </w:style>
  <w:style w:type="paragraph" w:styleId="CommentText">
    <w:name w:val="annotation text"/>
    <w:basedOn w:val="Normal"/>
    <w:link w:val="CommentTextChar"/>
    <w:uiPriority w:val="99"/>
    <w:semiHidden/>
    <w:unhideWhenUsed/>
    <w:rsid w:val="00526D75"/>
    <w:rPr>
      <w:sz w:val="20"/>
    </w:rPr>
  </w:style>
  <w:style w:type="character" w:customStyle="1" w:styleId="CommentTextChar">
    <w:name w:val="Comment Text Char"/>
    <w:basedOn w:val="DefaultParagraphFont"/>
    <w:link w:val="CommentText"/>
    <w:uiPriority w:val="99"/>
    <w:semiHidden/>
    <w:rsid w:val="00526D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D75"/>
    <w:rPr>
      <w:b/>
      <w:bCs/>
    </w:rPr>
  </w:style>
  <w:style w:type="character" w:customStyle="1" w:styleId="CommentSubjectChar">
    <w:name w:val="Comment Subject Char"/>
    <w:basedOn w:val="CommentTextChar"/>
    <w:link w:val="CommentSubject"/>
    <w:uiPriority w:val="99"/>
    <w:semiHidden/>
    <w:rsid w:val="00526D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activeX/_rels/activeX1.xml.rels>&#65279;<?xml version="1.0" encoding="utf-8" standalone="yes"?><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