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F77FBA" w:rsidRPr="00872B85" w:rsidP="00F77FBA">
      <w:pPr>
        <w:jc w:val="right"/>
        <w:rPr>
          <w:b/>
          <w:szCs w:val="22"/>
        </w:rPr>
      </w:pPr>
      <w:bookmarkStart w:id="0" w:name="_GoBack"/>
      <w:bookmarkEnd w:id="0"/>
      <w:r>
        <w:rPr>
          <w:b/>
          <w:szCs w:val="22"/>
        </w:rPr>
        <w:t>DA 18-1195</w:t>
      </w:r>
    </w:p>
    <w:p w:rsidR="00F77FBA" w:rsidRPr="00872B85" w:rsidP="00F77FBA">
      <w:pPr>
        <w:spacing w:before="60"/>
        <w:jc w:val="right"/>
        <w:rPr>
          <w:b/>
          <w:szCs w:val="22"/>
        </w:rPr>
      </w:pPr>
      <w:r w:rsidRPr="00872B85">
        <w:rPr>
          <w:b/>
          <w:szCs w:val="22"/>
        </w:rPr>
        <w:t xml:space="preserve">Released:  </w:t>
      </w:r>
      <w:r>
        <w:rPr>
          <w:b/>
          <w:szCs w:val="22"/>
        </w:rPr>
        <w:t>November 26, 2018</w:t>
      </w:r>
    </w:p>
    <w:p w:rsidR="00F77FBA" w:rsidRPr="00872B85" w:rsidP="00F77FBA">
      <w:pPr>
        <w:jc w:val="right"/>
        <w:rPr>
          <w:szCs w:val="22"/>
        </w:rPr>
      </w:pPr>
      <w:bookmarkStart w:id="1" w:name="_Hlk530999130"/>
    </w:p>
    <w:p w:rsidR="00F77FBA" w:rsidP="00F77FBA">
      <w:pPr>
        <w:jc w:val="center"/>
        <w:rPr>
          <w:b/>
          <w:caps/>
          <w:szCs w:val="22"/>
        </w:rPr>
      </w:pPr>
      <w:r w:rsidRPr="00872B85">
        <w:rPr>
          <w:b/>
          <w:caps/>
          <w:szCs w:val="22"/>
        </w:rPr>
        <w:t xml:space="preserve">WIRELINE COMPETITION </w:t>
      </w:r>
      <w:r>
        <w:rPr>
          <w:b/>
          <w:caps/>
          <w:szCs w:val="22"/>
        </w:rPr>
        <w:t xml:space="preserve">BUREAU ANNOUNCES effective date of </w:t>
      </w:r>
    </w:p>
    <w:p w:rsidR="00F77FBA" w:rsidP="00F77FBA">
      <w:pPr>
        <w:jc w:val="center"/>
        <w:rPr>
          <w:b/>
          <w:caps/>
          <w:szCs w:val="22"/>
        </w:rPr>
      </w:pPr>
      <w:r>
        <w:rPr>
          <w:b/>
          <w:caps/>
          <w:szCs w:val="22"/>
        </w:rPr>
        <w:t xml:space="preserve">TOLL FREE assignment modernization rule revisions </w:t>
      </w:r>
    </w:p>
    <w:p w:rsidR="00F77FBA" w:rsidRPr="00872B85" w:rsidP="00F77FBA">
      <w:pPr>
        <w:jc w:val="center"/>
        <w:rPr>
          <w:b/>
          <w:i/>
          <w:caps/>
          <w:szCs w:val="22"/>
        </w:rPr>
      </w:pPr>
      <w:bookmarkEnd w:id="1"/>
    </w:p>
    <w:p w:rsidR="00F77FBA" w:rsidP="00F77FBA">
      <w:pPr>
        <w:jc w:val="center"/>
        <w:rPr>
          <w:b/>
          <w:szCs w:val="22"/>
        </w:rPr>
      </w:pPr>
      <w:r>
        <w:rPr>
          <w:b/>
          <w:szCs w:val="22"/>
        </w:rPr>
        <w:t>WC Docket No</w:t>
      </w:r>
      <w:r w:rsidRPr="00872B85">
        <w:rPr>
          <w:b/>
          <w:szCs w:val="22"/>
        </w:rPr>
        <w:t xml:space="preserve">. </w:t>
      </w:r>
      <w:r>
        <w:rPr>
          <w:b/>
          <w:szCs w:val="22"/>
        </w:rPr>
        <w:t>17-192, CC Docket No. 95-155</w:t>
      </w:r>
    </w:p>
    <w:p w:rsidR="00F77FBA" w:rsidRPr="00872B85" w:rsidP="00F77FBA">
      <w:pPr>
        <w:jc w:val="center"/>
        <w:rPr>
          <w:b/>
          <w:szCs w:val="22"/>
        </w:rPr>
      </w:pPr>
    </w:p>
    <w:p w:rsidR="00F77FBA" w:rsidP="00F77FBA">
      <w:pPr>
        <w:suppressAutoHyphens/>
        <w:spacing w:after="120"/>
        <w:ind w:firstLine="720"/>
        <w:rPr>
          <w:szCs w:val="22"/>
        </w:rPr>
      </w:pPr>
      <w:r>
        <w:rPr>
          <w:szCs w:val="22"/>
        </w:rPr>
        <w:t>On September 27, 2018, the Federal Communications Commission released a Report and Order (</w:t>
      </w:r>
      <w:r>
        <w:rPr>
          <w:i/>
          <w:szCs w:val="22"/>
        </w:rPr>
        <w:t>TFAM Order</w:t>
      </w:r>
      <w:r>
        <w:rPr>
          <w:szCs w:val="22"/>
        </w:rPr>
        <w:t xml:space="preserve">) that </w:t>
      </w:r>
      <w:r>
        <w:t>revised certain toll free numbering rules to promote the efficient allocation of toll free numbers.</w:t>
      </w:r>
      <w:r>
        <w:rPr>
          <w:rStyle w:val="FootnoteReference"/>
          <w:szCs w:val="22"/>
        </w:rPr>
        <w:footnoteReference w:id="3"/>
      </w:r>
      <w:r>
        <w:rPr>
          <w:szCs w:val="22"/>
        </w:rPr>
        <w:t xml:space="preserve">  To </w:t>
      </w:r>
      <w:r>
        <w:t>ensure that numbers are assigned to the parties that value them most, the Commission’s rules now allow for numbers to be assigned in a manner suited to their specific characteristics, including by auction,</w:t>
      </w:r>
      <w:r>
        <w:rPr>
          <w:rStyle w:val="FootnoteReference"/>
        </w:rPr>
        <w:footnoteReference w:id="4"/>
      </w:r>
      <w:r>
        <w:t xml:space="preserve"> and for those numbers assigned via auction to be transferred in the secondary market</w:t>
      </w:r>
      <w:r>
        <w:rPr>
          <w:szCs w:val="22"/>
        </w:rPr>
        <w:t>.</w:t>
      </w:r>
      <w:r>
        <w:rPr>
          <w:rStyle w:val="FootnoteReference"/>
          <w:szCs w:val="22"/>
        </w:rPr>
        <w:footnoteReference w:id="5"/>
      </w:r>
      <w:r>
        <w:rPr>
          <w:szCs w:val="22"/>
        </w:rPr>
        <w:t xml:space="preserve">  </w:t>
      </w:r>
    </w:p>
    <w:p w:rsidR="00F77FBA" w:rsidP="00F77FBA">
      <w:pPr>
        <w:suppressAutoHyphens/>
        <w:spacing w:after="120"/>
        <w:ind w:firstLine="720"/>
        <w:rPr>
          <w:szCs w:val="22"/>
        </w:rPr>
      </w:pPr>
      <w:r>
        <w:rPr>
          <w:szCs w:val="22"/>
        </w:rPr>
        <w:t xml:space="preserve">The Federal Register published a summary of the </w:t>
      </w:r>
      <w:r>
        <w:rPr>
          <w:i/>
          <w:szCs w:val="22"/>
        </w:rPr>
        <w:t>TFAM Order</w:t>
      </w:r>
      <w:r>
        <w:rPr>
          <w:szCs w:val="22"/>
        </w:rPr>
        <w:t>, including rule revisions, on October 23, 2018.</w:t>
      </w:r>
      <w:r>
        <w:rPr>
          <w:rStyle w:val="FootnoteReference"/>
          <w:szCs w:val="22"/>
        </w:rPr>
        <w:footnoteReference w:id="6"/>
      </w:r>
      <w:r>
        <w:rPr>
          <w:szCs w:val="22"/>
        </w:rPr>
        <w:t xml:space="preserve">  As ordered in the </w:t>
      </w:r>
      <w:r>
        <w:rPr>
          <w:i/>
          <w:szCs w:val="22"/>
        </w:rPr>
        <w:t>TFAM Order</w:t>
      </w:r>
      <w:r>
        <w:rPr>
          <w:szCs w:val="22"/>
        </w:rPr>
        <w:t>, the toll free numbering rule revisions take effect 30 days after publication of the revisions in the Federal Register.</w:t>
      </w:r>
      <w:r>
        <w:rPr>
          <w:rStyle w:val="FootnoteReference"/>
          <w:szCs w:val="22"/>
        </w:rPr>
        <w:footnoteReference w:id="7"/>
      </w:r>
      <w:r>
        <w:rPr>
          <w:szCs w:val="22"/>
        </w:rPr>
        <w:t xml:space="preserve">  Therefore, the rule revisions are effective as of </w:t>
      </w:r>
      <w:r>
        <w:rPr>
          <w:b/>
          <w:szCs w:val="22"/>
        </w:rPr>
        <w:t>November 23</w:t>
      </w:r>
      <w:r w:rsidRPr="00DE328B">
        <w:rPr>
          <w:b/>
          <w:szCs w:val="22"/>
        </w:rPr>
        <w:t>, 2018</w:t>
      </w:r>
      <w:r>
        <w:rPr>
          <w:szCs w:val="22"/>
        </w:rPr>
        <w:t>.</w:t>
      </w:r>
    </w:p>
    <w:p w:rsidR="00F77FBA" w:rsidRPr="008176D0" w:rsidP="00F77FBA">
      <w:pPr>
        <w:ind w:firstLine="720"/>
        <w:contextualSpacing/>
        <w:rPr>
          <w:rFonts w:eastAsia="Calibri"/>
          <w:szCs w:val="22"/>
        </w:rPr>
      </w:pPr>
      <w:r w:rsidRPr="008176D0">
        <w:rPr>
          <w:rFonts w:eastAsia="Calibri"/>
          <w:szCs w:val="22"/>
        </w:rPr>
        <w:t xml:space="preserve">For further information, please contact </w:t>
      </w:r>
      <w:r>
        <w:rPr>
          <w:rFonts w:eastAsia="Calibri"/>
          <w:szCs w:val="22"/>
        </w:rPr>
        <w:t>Matthew Collins</w:t>
      </w:r>
      <w:r w:rsidRPr="008176D0">
        <w:rPr>
          <w:rFonts w:eastAsia="Calibri"/>
          <w:szCs w:val="22"/>
        </w:rPr>
        <w:t xml:space="preserve">, Wireline Competition Bureau, </w:t>
      </w:r>
      <w:r>
        <w:rPr>
          <w:rFonts w:eastAsia="Calibri"/>
          <w:szCs w:val="22"/>
        </w:rPr>
        <w:t>Competition Policy Division, at (202) 418-7141</w:t>
      </w:r>
      <w:r w:rsidRPr="008176D0">
        <w:rPr>
          <w:rFonts w:eastAsia="Calibri"/>
          <w:szCs w:val="22"/>
        </w:rPr>
        <w:t xml:space="preserve"> or via e-mail a</w:t>
      </w:r>
      <w:r>
        <w:rPr>
          <w:rFonts w:eastAsia="Calibri"/>
          <w:szCs w:val="22"/>
        </w:rPr>
        <w:t xml:space="preserve">t </w:t>
      </w:r>
      <w:r>
        <w:fldChar w:fldCharType="begin"/>
      </w:r>
      <w:r>
        <w:instrText xml:space="preserve"> HYPERLINK "mailto:matthew.collins@fcc.gov" </w:instrText>
      </w:r>
      <w:r>
        <w:fldChar w:fldCharType="separate"/>
      </w:r>
      <w:r w:rsidRPr="00890D61">
        <w:rPr>
          <w:rStyle w:val="Hyperlink"/>
          <w:rFonts w:eastAsia="Calibri"/>
          <w:szCs w:val="22"/>
        </w:rPr>
        <w:t>matthew.collins@fcc.gov</w:t>
      </w:r>
      <w:r>
        <w:fldChar w:fldCharType="end"/>
      </w:r>
      <w:r w:rsidRPr="008176D0">
        <w:rPr>
          <w:rFonts w:eastAsia="Calibri"/>
          <w:szCs w:val="22"/>
        </w:rPr>
        <w:t>.</w:t>
      </w:r>
    </w:p>
    <w:p w:rsidR="00F77FBA" w:rsidP="00F77FBA">
      <w:pPr>
        <w:ind w:firstLine="720"/>
        <w:contextualSpacing/>
        <w:rPr>
          <w:rFonts w:eastAsia="Calibri"/>
          <w:b/>
          <w:szCs w:val="22"/>
        </w:rPr>
      </w:pPr>
    </w:p>
    <w:p w:rsidR="00F77FBA" w:rsidRPr="00930ECF" w:rsidP="00F77FBA">
      <w:pPr>
        <w:contextualSpacing/>
        <w:jc w:val="center"/>
        <w:rPr>
          <w:sz w:val="24"/>
        </w:rPr>
      </w:pPr>
      <w:r w:rsidRPr="008176D0">
        <w:rPr>
          <w:rFonts w:eastAsia="Calibri"/>
          <w:b/>
          <w:szCs w:val="22"/>
        </w:rPr>
        <w:t>- FCC -</w:t>
      </w:r>
    </w:p>
    <w:p w:rsidR="00930ECF" w:rsidRPr="00930ECF" w:rsidP="00F77FBA">
      <w:pPr>
        <w:spacing w:before="60"/>
        <w:jc w:val="right"/>
        <w:rPr>
          <w:sz w:val="24"/>
        </w:rPr>
      </w:pPr>
    </w:p>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46B1D">
      <w:r>
        <w:separator/>
      </w:r>
    </w:p>
  </w:footnote>
  <w:footnote w:type="continuationSeparator" w:id="1">
    <w:p w:rsidR="00D46B1D">
      <w:pPr>
        <w:rPr>
          <w:sz w:val="20"/>
        </w:rPr>
      </w:pPr>
      <w:r>
        <w:rPr>
          <w:sz w:val="20"/>
        </w:rPr>
        <w:t xml:space="preserve">(Continued from previous page)  </w:t>
      </w:r>
      <w:r>
        <w:rPr>
          <w:sz w:val="20"/>
        </w:rPr>
        <w:separator/>
      </w:r>
    </w:p>
  </w:footnote>
  <w:footnote w:type="continuationNotice" w:id="2">
    <w:p w:rsidR="00D46B1D" w:rsidP="00910F12">
      <w:pPr>
        <w:jc w:val="right"/>
        <w:rPr>
          <w:sz w:val="20"/>
        </w:rPr>
      </w:pPr>
      <w:r>
        <w:rPr>
          <w:sz w:val="20"/>
        </w:rPr>
        <w:t>(continued….)</w:t>
      </w:r>
    </w:p>
  </w:footnote>
  <w:footnote w:id="3">
    <w:p w:rsidR="00F77FBA" w:rsidRPr="00E307E9" w:rsidP="00F77FBA">
      <w:pPr>
        <w:pStyle w:val="FootnoteText"/>
      </w:pPr>
      <w:r w:rsidRPr="0024266C">
        <w:rPr>
          <w:rStyle w:val="FootnoteReference"/>
        </w:rPr>
        <w:footnoteRef/>
      </w:r>
      <w:r w:rsidRPr="0024266C">
        <w:t xml:space="preserve"> </w:t>
      </w:r>
      <w:r w:rsidRPr="00E307E9">
        <w:rPr>
          <w:i/>
        </w:rPr>
        <w:t>See</w:t>
      </w:r>
      <w:r w:rsidRPr="00E307E9">
        <w:t xml:space="preserve"> </w:t>
      </w:r>
      <w:r>
        <w:rPr>
          <w:i/>
        </w:rPr>
        <w:t>Toll Free Assignment Modernization</w:t>
      </w:r>
      <w:r>
        <w:t>, WC Docket No. 17-192, CC Docket No. 95-155, Report and Order, FCC 18-137 (rel. Sept. 27, 2018)</w:t>
      </w:r>
      <w:r w:rsidRPr="00E307E9">
        <w:t>.</w:t>
      </w:r>
    </w:p>
  </w:footnote>
  <w:footnote w:id="4">
    <w:p w:rsidR="00F77FBA" w:rsidRPr="0071677F" w:rsidP="00F77FBA">
      <w:pPr>
        <w:pStyle w:val="FootnoteText"/>
      </w:pPr>
      <w:r>
        <w:rPr>
          <w:rStyle w:val="FootnoteReference"/>
        </w:rPr>
        <w:footnoteRef/>
      </w:r>
      <w:r>
        <w:t xml:space="preserve"> </w:t>
      </w:r>
      <w:r>
        <w:rPr>
          <w:i/>
        </w:rPr>
        <w:t>Id.</w:t>
      </w:r>
      <w:r>
        <w:t xml:space="preserve"> at 6, paras. 12-13; </w:t>
      </w:r>
      <w:r>
        <w:rPr>
          <w:i/>
        </w:rPr>
        <w:t>see also</w:t>
      </w:r>
      <w:r>
        <w:t xml:space="preserve"> 47 CFR § 52.111.</w:t>
      </w:r>
    </w:p>
  </w:footnote>
  <w:footnote w:id="5">
    <w:p w:rsidR="00F77FBA" w:rsidRPr="004F0D53" w:rsidP="00F77FBA">
      <w:pPr>
        <w:pStyle w:val="FootnoteText"/>
      </w:pPr>
      <w:r>
        <w:rPr>
          <w:rStyle w:val="FootnoteReference"/>
        </w:rPr>
        <w:footnoteRef/>
      </w:r>
      <w:r>
        <w:t xml:space="preserve"> </w:t>
      </w:r>
      <w:r>
        <w:rPr>
          <w:i/>
        </w:rPr>
        <w:t>Id.</w:t>
      </w:r>
      <w:r>
        <w:t xml:space="preserve"> at 28-31, paras. 79-85; </w:t>
      </w:r>
      <w:r w:rsidRPr="002B3BE4">
        <w:rPr>
          <w:i/>
        </w:rPr>
        <w:t>see also</w:t>
      </w:r>
      <w:r>
        <w:t xml:space="preserve"> 47 CFR §§ 52.105(f); 52.107(c).  The </w:t>
      </w:r>
      <w:r>
        <w:rPr>
          <w:i/>
        </w:rPr>
        <w:t>TFAM Order</w:t>
      </w:r>
      <w:r>
        <w:t xml:space="preserve"> made further ministerial revisions to the Commission’s toll free numbering rules.  </w:t>
      </w:r>
      <w:r>
        <w:rPr>
          <w:i/>
        </w:rPr>
        <w:t>Toll Free Assignment Modernization</w:t>
      </w:r>
      <w:r>
        <w:t xml:space="preserve">, FCC 18-137 at 31-33, paras. 86-93; </w:t>
      </w:r>
      <w:r w:rsidRPr="004F0D53">
        <w:rPr>
          <w:i/>
        </w:rPr>
        <w:t>s</w:t>
      </w:r>
      <w:r>
        <w:rPr>
          <w:i/>
        </w:rPr>
        <w:t>ee</w:t>
      </w:r>
      <w:r>
        <w:t xml:space="preserve"> </w:t>
      </w:r>
      <w:r w:rsidRPr="004F0D53">
        <w:rPr>
          <w:i/>
        </w:rPr>
        <w:t>also</w:t>
      </w:r>
      <w:r>
        <w:t xml:space="preserve"> 47 CFR §§ 52.101(a), (e); 52.103(a)(10), (b)(1), (d), (f); 52.109(c).</w:t>
      </w:r>
    </w:p>
  </w:footnote>
  <w:footnote w:id="6">
    <w:p w:rsidR="00F77FBA" w:rsidRPr="007D4D81" w:rsidP="00F77FBA">
      <w:pPr>
        <w:pStyle w:val="FootnoteText"/>
      </w:pPr>
      <w:r>
        <w:rPr>
          <w:rStyle w:val="FootnoteReference"/>
        </w:rPr>
        <w:footnoteRef/>
      </w:r>
      <w:r>
        <w:t xml:space="preserve"> Federal Communications Commission, </w:t>
      </w:r>
      <w:r w:rsidRPr="0071677F">
        <w:t>Toll Free Assignment Modernization</w:t>
      </w:r>
      <w:r>
        <w:t xml:space="preserve">, </w:t>
      </w:r>
      <w:r w:rsidRPr="007D4D81">
        <w:t>83 F</w:t>
      </w:r>
      <w:r>
        <w:t xml:space="preserve">ed. </w:t>
      </w:r>
      <w:r w:rsidRPr="007D4D81">
        <w:t>R</w:t>
      </w:r>
      <w:r>
        <w:t>eg.</w:t>
      </w:r>
      <w:r w:rsidRPr="007D4D81">
        <w:t xml:space="preserve"> 53</w:t>
      </w:r>
      <w:r>
        <w:t>377 (Oct. 23, 2018).</w:t>
      </w:r>
    </w:p>
  </w:footnote>
  <w:footnote w:id="7">
    <w:p w:rsidR="00F77FBA" w:rsidRPr="00094B54" w:rsidP="00F77FBA">
      <w:pPr>
        <w:pStyle w:val="FootnoteText"/>
      </w:pPr>
      <w:r>
        <w:rPr>
          <w:rStyle w:val="FootnoteReference"/>
        </w:rPr>
        <w:footnoteRef/>
      </w:r>
      <w:r>
        <w:t xml:space="preserve"> </w:t>
      </w:r>
      <w:r>
        <w:rPr>
          <w:i/>
        </w:rPr>
        <w:t>Toll Free Assignment Modernization</w:t>
      </w:r>
      <w:r>
        <w:t>, FCC 18-137 at 35, para. 100.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844.8pt,56.7pt" to="1312.8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2"/>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1 Char,Footnote Text Char Char1 Char Char Char1,Footnote Text Char1,Footnote Text Char1 Char,Footnote Text Char1 Char Char Char1 Char Char,Footnote Text Char2 Char1 Char Char,f,fn Char,fn Char Char"/>
    <w:link w:val="FootnoteTextChar"/>
    <w:rsid w:val="000E3D42"/>
    <w:pPr>
      <w:spacing w:after="120"/>
    </w:pPr>
  </w:style>
  <w:style w:type="character" w:styleId="FootnoteReference">
    <w:name w:val="footnote reference"/>
    <w:aliases w:val="(NECG) Footnote Reference,Appel note de bas de p,Style 12,Style 124"/>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Footnote Text Char Char1 Char Char,Footnote Text Char Char1 Char Char Char1 Char,Footnote Text Char1 Char Char,Footnote Text Char1 Char Char Char1 Char Char Char,Footnote Text Char1 Char1,f Char,fn Char Char1"/>
    <w:link w:val="FootnoteText"/>
    <w:rsid w:val="00F77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