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3046CF" w:rsidRPr="00B20363" w:rsidP="003046CF">
      <w:pPr>
        <w:jc w:val="right"/>
        <w:rPr>
          <w:b/>
          <w:sz w:val="24"/>
        </w:rPr>
      </w:pPr>
      <w:bookmarkStart w:id="0" w:name="TOChere"/>
      <w:r>
        <w:rPr>
          <w:b/>
          <w:sz w:val="24"/>
        </w:rPr>
        <w:t>DA 18-</w:t>
      </w:r>
      <w:r w:rsidR="004F6358">
        <w:rPr>
          <w:b/>
          <w:sz w:val="24"/>
        </w:rPr>
        <w:t>1196</w:t>
      </w:r>
    </w:p>
    <w:p w:rsidR="003046CF" w:rsidRPr="00B20363" w:rsidP="003046CF">
      <w:pPr>
        <w:spacing w:before="60"/>
        <w:jc w:val="right"/>
        <w:rPr>
          <w:b/>
          <w:sz w:val="24"/>
        </w:rPr>
      </w:pPr>
      <w:r>
        <w:rPr>
          <w:b/>
          <w:sz w:val="24"/>
        </w:rPr>
        <w:t xml:space="preserve">Released:  </w:t>
      </w:r>
      <w:r w:rsidR="00B64331">
        <w:rPr>
          <w:b/>
          <w:sz w:val="24"/>
        </w:rPr>
        <w:t xml:space="preserve">November </w:t>
      </w:r>
      <w:r w:rsidR="00163AC0">
        <w:rPr>
          <w:b/>
          <w:sz w:val="24"/>
        </w:rPr>
        <w:t>27</w:t>
      </w:r>
      <w:r>
        <w:rPr>
          <w:b/>
          <w:sz w:val="24"/>
        </w:rPr>
        <w:t>, 2018</w:t>
      </w:r>
    </w:p>
    <w:p w:rsidR="003046CF" w:rsidP="003046CF">
      <w:pPr>
        <w:jc w:val="right"/>
        <w:rPr>
          <w:sz w:val="24"/>
        </w:rPr>
      </w:pPr>
    </w:p>
    <w:p w:rsidR="003046CF" w:rsidP="003046CF">
      <w:pPr>
        <w:jc w:val="center"/>
        <w:rPr>
          <w:rFonts w:ascii="Times New Roman Bold" w:hAnsi="Times New Roman Bold"/>
          <w:b/>
          <w:caps/>
          <w:sz w:val="24"/>
        </w:rPr>
      </w:pPr>
      <w:r>
        <w:rPr>
          <w:rFonts w:ascii="Times New Roman Bold" w:hAnsi="Times New Roman Bold"/>
          <w:b/>
          <w:caps/>
          <w:sz w:val="24"/>
        </w:rPr>
        <w:t>NOTICE OF NEW DOCKET AND FILING PROCEDURES FOR</w:t>
      </w:r>
    </w:p>
    <w:p w:rsidR="00C20D20" w:rsidP="003046CF">
      <w:pPr>
        <w:jc w:val="center"/>
        <w:rPr>
          <w:rFonts w:ascii="Times New Roman Bold" w:hAnsi="Times New Roman Bold"/>
          <w:b/>
          <w:caps/>
          <w:sz w:val="24"/>
        </w:rPr>
      </w:pPr>
      <w:r>
        <w:rPr>
          <w:rFonts w:ascii="Times New Roman Bold" w:hAnsi="Times New Roman Bold"/>
          <w:b/>
          <w:caps/>
          <w:sz w:val="24"/>
        </w:rPr>
        <w:t xml:space="preserve">requesting waiver of </w:t>
      </w:r>
    </w:p>
    <w:p w:rsidR="003046CF" w:rsidP="003046CF">
      <w:pPr>
        <w:jc w:val="center"/>
        <w:rPr>
          <w:rFonts w:ascii="Times New Roman Bold" w:hAnsi="Times New Roman Bold"/>
          <w:b/>
          <w:caps/>
          <w:sz w:val="24"/>
        </w:rPr>
      </w:pPr>
      <w:r>
        <w:rPr>
          <w:rFonts w:ascii="Times New Roman Bold" w:hAnsi="Times New Roman Bold"/>
          <w:b/>
          <w:caps/>
          <w:sz w:val="24"/>
        </w:rPr>
        <w:t xml:space="preserve">WIRELINE </w:t>
      </w:r>
      <w:r w:rsidR="007B3023">
        <w:rPr>
          <w:rFonts w:ascii="Times New Roman Bold" w:hAnsi="Times New Roman Bold"/>
          <w:b/>
          <w:caps/>
          <w:sz w:val="24"/>
        </w:rPr>
        <w:t xml:space="preserve">telephone </w:t>
      </w:r>
      <w:r>
        <w:rPr>
          <w:rFonts w:ascii="Times New Roman Bold" w:hAnsi="Times New Roman Bold"/>
          <w:b/>
          <w:caps/>
          <w:sz w:val="24"/>
        </w:rPr>
        <w:t>VOLUME CONTROL RESET</w:t>
      </w:r>
      <w:r w:rsidR="007B3023">
        <w:rPr>
          <w:rFonts w:ascii="Times New Roman Bold" w:hAnsi="Times New Roman Bold"/>
          <w:b/>
          <w:caps/>
          <w:sz w:val="24"/>
        </w:rPr>
        <w:t xml:space="preserve"> rules</w:t>
      </w:r>
    </w:p>
    <w:p w:rsidR="003046CF" w:rsidRPr="00B20363" w:rsidP="003046CF">
      <w:pPr>
        <w:jc w:val="center"/>
        <w:rPr>
          <w:rFonts w:ascii="Times New Roman Bold" w:hAnsi="Times New Roman Bold"/>
          <w:b/>
          <w:caps/>
          <w:sz w:val="24"/>
        </w:rPr>
      </w:pPr>
    </w:p>
    <w:p w:rsidR="003046CF" w:rsidP="003046CF">
      <w:pPr>
        <w:jc w:val="center"/>
        <w:rPr>
          <w:b/>
          <w:sz w:val="24"/>
        </w:rPr>
      </w:pPr>
      <w:r>
        <w:rPr>
          <w:b/>
          <w:sz w:val="24"/>
        </w:rPr>
        <w:t>CG Docket No. 18-</w:t>
      </w:r>
      <w:r w:rsidR="00F4771F">
        <w:rPr>
          <w:b/>
          <w:sz w:val="24"/>
        </w:rPr>
        <w:t>30</w:t>
      </w:r>
      <w:r w:rsidRPr="00C20D20" w:rsidR="00F4771F">
        <w:rPr>
          <w:b/>
          <w:sz w:val="24"/>
        </w:rPr>
        <w:t>7</w:t>
      </w:r>
      <w:r w:rsidR="00B33C3A">
        <w:rPr>
          <w:b/>
          <w:sz w:val="24"/>
        </w:rPr>
        <w:t xml:space="preserve"> </w:t>
      </w:r>
    </w:p>
    <w:p w:rsidR="003046CF" w:rsidRPr="00930ECF" w:rsidP="003046CF">
      <w:pPr>
        <w:rPr>
          <w:sz w:val="24"/>
        </w:rPr>
      </w:pPr>
    </w:p>
    <w:p w:rsidR="003046CF" w:rsidRPr="00AB7EC2" w:rsidP="003046CF">
      <w:pPr>
        <w:spacing w:after="120"/>
        <w:rPr>
          <w:rFonts w:eastAsia="ヒラギノ角ゴ Pro W3"/>
          <w:color w:val="000000"/>
          <w:szCs w:val="22"/>
        </w:rPr>
      </w:pPr>
      <w:r>
        <w:rPr>
          <w:rFonts w:eastAsia="ヒラギノ角ゴ Pro W3"/>
          <w:color w:val="000000"/>
          <w:szCs w:val="24"/>
        </w:rPr>
        <w:tab/>
      </w:r>
      <w:r w:rsidRPr="0051740A">
        <w:rPr>
          <w:rFonts w:eastAsia="ヒラギノ角ゴ Pro W3"/>
          <w:color w:val="000000"/>
          <w:szCs w:val="22"/>
        </w:rPr>
        <w:t xml:space="preserve">By this </w:t>
      </w:r>
      <w:r w:rsidRPr="00A23B2A">
        <w:rPr>
          <w:rFonts w:eastAsia="ヒラギノ角ゴ Pro W3"/>
          <w:color w:val="000000"/>
          <w:szCs w:val="22"/>
        </w:rPr>
        <w:t>Public</w:t>
      </w:r>
      <w:r w:rsidRPr="0051740A">
        <w:rPr>
          <w:rFonts w:eastAsia="ヒラギノ角ゴ Pro W3"/>
          <w:i/>
          <w:color w:val="000000"/>
          <w:szCs w:val="22"/>
        </w:rPr>
        <w:t xml:space="preserve"> </w:t>
      </w:r>
      <w:r w:rsidRPr="00290DC6">
        <w:rPr>
          <w:rFonts w:eastAsia="ヒラギノ角ゴ Pro W3"/>
          <w:color w:val="000000"/>
          <w:szCs w:val="22"/>
        </w:rPr>
        <w:t>Notice,</w:t>
      </w:r>
      <w:r w:rsidRPr="0051740A">
        <w:rPr>
          <w:rFonts w:eastAsia="ヒラギノ角ゴ Pro W3"/>
          <w:color w:val="000000"/>
          <w:szCs w:val="22"/>
        </w:rPr>
        <w:t xml:space="preserve"> the Federal Communications Commission’s (FCC’s or Commission’s) Consumer and Governmental Affairs Bureau (CGB or Bureau) announces </w:t>
      </w:r>
      <w:r>
        <w:rPr>
          <w:rFonts w:eastAsia="ヒラギノ角ゴ Pro W3"/>
          <w:color w:val="000000"/>
          <w:szCs w:val="22"/>
        </w:rPr>
        <w:t>a new docket</w:t>
      </w:r>
      <w:r w:rsidR="00DA5D15">
        <w:rPr>
          <w:rFonts w:eastAsia="ヒラギノ角ゴ Pro W3"/>
          <w:color w:val="000000"/>
          <w:szCs w:val="22"/>
        </w:rPr>
        <w:t>,</w:t>
      </w:r>
      <w:r w:rsidRPr="00AB7EC2" w:rsidR="00DA5D15">
        <w:rPr>
          <w:szCs w:val="22"/>
        </w:rPr>
        <w:t xml:space="preserve"> </w:t>
      </w:r>
      <w:r w:rsidR="00DA5D15">
        <w:rPr>
          <w:szCs w:val="22"/>
        </w:rPr>
        <w:t>CG Docket No. 18-</w:t>
      </w:r>
      <w:r w:rsidR="00F4771F">
        <w:rPr>
          <w:szCs w:val="22"/>
        </w:rPr>
        <w:t>307</w:t>
      </w:r>
      <w:r w:rsidR="00DA5D15">
        <w:rPr>
          <w:szCs w:val="22"/>
        </w:rPr>
        <w:t>,</w:t>
      </w:r>
      <w:r>
        <w:rPr>
          <w:rFonts w:eastAsia="ヒラギノ角ゴ Pro W3"/>
          <w:color w:val="000000"/>
          <w:szCs w:val="22"/>
        </w:rPr>
        <w:t xml:space="preserve"> for </w:t>
      </w:r>
      <w:r w:rsidRPr="0051740A">
        <w:rPr>
          <w:rFonts w:eastAsia="ヒラギノ角ゴ Pro W3"/>
          <w:color w:val="000000"/>
          <w:szCs w:val="22"/>
        </w:rPr>
        <w:t>filing</w:t>
      </w:r>
      <w:r>
        <w:rPr>
          <w:rFonts w:eastAsia="ヒラギノ角ゴ Pro W3"/>
          <w:color w:val="000000"/>
          <w:szCs w:val="22"/>
        </w:rPr>
        <w:t xml:space="preserve"> </w:t>
      </w:r>
      <w:r w:rsidRPr="0051740A">
        <w:rPr>
          <w:rFonts w:eastAsia="ヒラギノ角ゴ Pro W3"/>
          <w:color w:val="000000"/>
          <w:szCs w:val="22"/>
        </w:rPr>
        <w:t xml:space="preserve">petitions for waiver of </w:t>
      </w:r>
      <w:r w:rsidR="009C007C">
        <w:rPr>
          <w:rFonts w:eastAsia="ヒラギノ角ゴ Pro W3"/>
          <w:color w:val="000000"/>
          <w:szCs w:val="22"/>
        </w:rPr>
        <w:t xml:space="preserve">the volume control reset requirements </w:t>
      </w:r>
      <w:r w:rsidR="007E01DD">
        <w:rPr>
          <w:rFonts w:eastAsia="ヒラギノ角ゴ Pro W3"/>
          <w:color w:val="000000"/>
          <w:szCs w:val="22"/>
        </w:rPr>
        <w:t xml:space="preserve">for </w:t>
      </w:r>
      <w:r w:rsidRPr="007E01DD" w:rsidR="007E01DD">
        <w:rPr>
          <w:rFonts w:eastAsia="ヒラギノ角ゴ Pro W3"/>
          <w:color w:val="000000"/>
          <w:szCs w:val="22"/>
        </w:rPr>
        <w:t>wireline telephone</w:t>
      </w:r>
      <w:r w:rsidR="007E01DD">
        <w:rPr>
          <w:rFonts w:eastAsia="ヒラギノ角ゴ Pro W3"/>
          <w:color w:val="000000"/>
          <w:szCs w:val="22"/>
        </w:rPr>
        <w:t>s, in</w:t>
      </w:r>
      <w:r w:rsidRPr="007E01DD" w:rsidR="007E01DD">
        <w:rPr>
          <w:rFonts w:eastAsia="ヒラギノ角ゴ Pro W3"/>
          <w:color w:val="000000"/>
          <w:szCs w:val="22"/>
        </w:rPr>
        <w:t xml:space="preserve"> </w:t>
      </w:r>
      <w:r w:rsidRPr="0051740A">
        <w:rPr>
          <w:rFonts w:eastAsia="ヒラギノ角ゴ Pro W3"/>
          <w:color w:val="000000"/>
          <w:szCs w:val="22"/>
        </w:rPr>
        <w:t>s</w:t>
      </w:r>
      <w:r w:rsidRPr="00AB7EC2">
        <w:rPr>
          <w:rFonts w:eastAsia="ヒラギノ角ゴ Pro W3"/>
          <w:color w:val="000000"/>
          <w:szCs w:val="22"/>
        </w:rPr>
        <w:t>ection</w:t>
      </w:r>
      <w:r>
        <w:rPr>
          <w:rFonts w:eastAsia="ヒラギノ角ゴ Pro W3"/>
          <w:color w:val="000000"/>
          <w:szCs w:val="22"/>
        </w:rPr>
        <w:t>s</w:t>
      </w:r>
      <w:r w:rsidRPr="00AB7EC2">
        <w:rPr>
          <w:rFonts w:eastAsia="ヒラギノ角ゴ Pro W3"/>
          <w:color w:val="000000"/>
          <w:szCs w:val="22"/>
        </w:rPr>
        <w:t xml:space="preserve"> 68.317(</w:t>
      </w:r>
      <w:r>
        <w:rPr>
          <w:rFonts w:eastAsia="ヒラギノ角ゴ Pro W3"/>
          <w:color w:val="000000"/>
          <w:szCs w:val="22"/>
        </w:rPr>
        <w:t>g</w:t>
      </w:r>
      <w:r w:rsidRPr="00AB7EC2">
        <w:rPr>
          <w:rFonts w:eastAsia="ヒラギノ角ゴ Pro W3"/>
          <w:color w:val="000000"/>
          <w:szCs w:val="22"/>
        </w:rPr>
        <w:t>)</w:t>
      </w:r>
      <w:r>
        <w:rPr>
          <w:rFonts w:eastAsia="ヒラギノ角ゴ Pro W3"/>
          <w:color w:val="000000"/>
          <w:szCs w:val="22"/>
        </w:rPr>
        <w:t xml:space="preserve"> and (h) </w:t>
      </w:r>
      <w:r w:rsidRPr="00AB7EC2">
        <w:rPr>
          <w:rFonts w:eastAsia="ヒラギノ角ゴ Pro W3"/>
          <w:color w:val="000000"/>
          <w:szCs w:val="22"/>
        </w:rPr>
        <w:t>of the Commission’s rules</w:t>
      </w:r>
      <w:r w:rsidR="005D6260">
        <w:rPr>
          <w:rFonts w:eastAsia="ヒラギノ角ゴ Pro W3"/>
          <w:color w:val="000000"/>
          <w:szCs w:val="22"/>
        </w:rPr>
        <w:t>.</w:t>
      </w:r>
      <w:r>
        <w:rPr>
          <w:rStyle w:val="FootnoteReference"/>
          <w:rFonts w:eastAsia="ヒラギノ角ゴ Pro W3"/>
          <w:color w:val="000000"/>
          <w:szCs w:val="22"/>
        </w:rPr>
        <w:footnoteReference w:id="3"/>
      </w:r>
      <w:r>
        <w:rPr>
          <w:szCs w:val="22"/>
        </w:rPr>
        <w:t xml:space="preserve">  The</w:t>
      </w:r>
      <w:r w:rsidR="00DA5D15">
        <w:rPr>
          <w:szCs w:val="22"/>
        </w:rPr>
        <w:t xml:space="preserve"> filing</w:t>
      </w:r>
      <w:r>
        <w:rPr>
          <w:szCs w:val="22"/>
        </w:rPr>
        <w:t xml:space="preserve"> procedures are given below and</w:t>
      </w:r>
      <w:r w:rsidRPr="00AB7EC2">
        <w:rPr>
          <w:szCs w:val="22"/>
        </w:rPr>
        <w:t xml:space="preserve"> will take effect </w:t>
      </w:r>
      <w:r>
        <w:rPr>
          <w:szCs w:val="22"/>
        </w:rPr>
        <w:t>immediately upon</w:t>
      </w:r>
      <w:r w:rsidRPr="003440C8">
        <w:rPr>
          <w:szCs w:val="22"/>
        </w:rPr>
        <w:t xml:space="preserve"> </w:t>
      </w:r>
      <w:r w:rsidRPr="00551373">
        <w:rPr>
          <w:szCs w:val="22"/>
        </w:rPr>
        <w:t xml:space="preserve">publication </w:t>
      </w:r>
      <w:r w:rsidRPr="000D428C">
        <w:rPr>
          <w:szCs w:val="22"/>
        </w:rPr>
        <w:t xml:space="preserve">of this Public Notice </w:t>
      </w:r>
      <w:r w:rsidRPr="003440C8">
        <w:rPr>
          <w:szCs w:val="22"/>
        </w:rPr>
        <w:t>in the Federal Register</w:t>
      </w:r>
      <w:r w:rsidRPr="00AB7EC2">
        <w:rPr>
          <w:szCs w:val="22"/>
        </w:rPr>
        <w:t>.</w:t>
      </w:r>
      <w:r>
        <w:rPr>
          <w:szCs w:val="22"/>
        </w:rPr>
        <w:t xml:space="preserve">  </w:t>
      </w:r>
    </w:p>
    <w:p w:rsidR="009F510E" w:rsidP="000E3E55">
      <w:pPr>
        <w:spacing w:after="120"/>
        <w:rPr>
          <w:szCs w:val="22"/>
        </w:rPr>
      </w:pPr>
      <w:r w:rsidRPr="00AB7EC2">
        <w:rPr>
          <w:rFonts w:eastAsia="ヒラギノ角ゴ Pro W3"/>
          <w:color w:val="000000"/>
          <w:szCs w:val="22"/>
        </w:rPr>
        <w:tab/>
      </w:r>
      <w:r w:rsidRPr="00AB7EC2">
        <w:rPr>
          <w:rFonts w:eastAsia="ヒラギノ角ゴ Pro W3"/>
          <w:i/>
          <w:color w:val="000000"/>
          <w:szCs w:val="22"/>
        </w:rPr>
        <w:t xml:space="preserve">Background.  </w:t>
      </w:r>
      <w:r w:rsidRPr="00AB7EC2">
        <w:rPr>
          <w:szCs w:val="22"/>
        </w:rPr>
        <w:t>All terminal equipment connected to the public switched telephone network (PSTN)</w:t>
      </w:r>
      <w:r>
        <w:rPr>
          <w:szCs w:val="22"/>
        </w:rPr>
        <w:t xml:space="preserve"> that is </w:t>
      </w:r>
      <w:r w:rsidRPr="00AB7EC2">
        <w:rPr>
          <w:szCs w:val="22"/>
        </w:rPr>
        <w:t xml:space="preserve">manufactured, or imported </w:t>
      </w:r>
      <w:r>
        <w:rPr>
          <w:szCs w:val="22"/>
        </w:rPr>
        <w:t>for use</w:t>
      </w:r>
      <w:r w:rsidRPr="00AB7EC2">
        <w:rPr>
          <w:szCs w:val="22"/>
        </w:rPr>
        <w:t xml:space="preserve">, </w:t>
      </w:r>
      <w:r>
        <w:rPr>
          <w:szCs w:val="22"/>
        </w:rPr>
        <w:t xml:space="preserve">in </w:t>
      </w:r>
      <w:r w:rsidRPr="00AB7EC2">
        <w:rPr>
          <w:szCs w:val="22"/>
        </w:rPr>
        <w:t>the United States</w:t>
      </w:r>
      <w:r w:rsidR="00731393">
        <w:rPr>
          <w:szCs w:val="22"/>
        </w:rPr>
        <w:t xml:space="preserve">, and </w:t>
      </w:r>
      <w:r w:rsidRPr="009F510E" w:rsidR="00731393">
        <w:rPr>
          <w:szCs w:val="22"/>
        </w:rPr>
        <w:t xml:space="preserve">all advanced communications services (ACS) telephonic customer premises equipment (CPE) (including telephones used with Voice over </w:t>
      </w:r>
      <w:r w:rsidRPr="00BE5B19" w:rsidR="00731393">
        <w:rPr>
          <w:szCs w:val="22"/>
        </w:rPr>
        <w:t xml:space="preserve">Internet Protocol </w:t>
      </w:r>
      <w:r w:rsidRPr="00BE5B19" w:rsidR="00BE5B19">
        <w:rPr>
          <w:szCs w:val="22"/>
        </w:rPr>
        <w:t xml:space="preserve">(VoIP) </w:t>
      </w:r>
      <w:r w:rsidRPr="00BE5B19" w:rsidR="00731393">
        <w:rPr>
          <w:szCs w:val="22"/>
        </w:rPr>
        <w:t>services</w:t>
      </w:r>
      <w:r w:rsidRPr="009F510E" w:rsidR="00731393">
        <w:rPr>
          <w:szCs w:val="22"/>
        </w:rPr>
        <w:t xml:space="preserve">) that </w:t>
      </w:r>
      <w:r w:rsidR="002638E4">
        <w:rPr>
          <w:szCs w:val="22"/>
        </w:rPr>
        <w:t>will be</w:t>
      </w:r>
      <w:r w:rsidRPr="009F510E" w:rsidR="00731393">
        <w:rPr>
          <w:szCs w:val="22"/>
        </w:rPr>
        <w:t xml:space="preserve"> manufactured, or imported for use, in the United States on or after February 28, 2020, </w:t>
      </w:r>
      <w:r w:rsidRPr="00AB7EC2">
        <w:rPr>
          <w:szCs w:val="22"/>
        </w:rPr>
        <w:t xml:space="preserve">must conform to </w:t>
      </w:r>
      <w:r w:rsidR="00132602">
        <w:rPr>
          <w:szCs w:val="22"/>
        </w:rPr>
        <w:t xml:space="preserve">applicable </w:t>
      </w:r>
      <w:r w:rsidRPr="00AB7EC2">
        <w:rPr>
          <w:szCs w:val="22"/>
        </w:rPr>
        <w:t>requirements of Part 68 of t</w:t>
      </w:r>
      <w:r w:rsidRPr="000845F2">
        <w:rPr>
          <w:szCs w:val="22"/>
        </w:rPr>
        <w:t>he Commission’s rules</w:t>
      </w:r>
      <w:r>
        <w:rPr>
          <w:szCs w:val="22"/>
        </w:rPr>
        <w:t>, including requirements for hearing aid compatibility and volume control.</w:t>
      </w:r>
      <w:r>
        <w:rPr>
          <w:rStyle w:val="FootnoteReference"/>
          <w:szCs w:val="22"/>
        </w:rPr>
        <w:footnoteReference w:id="4"/>
      </w:r>
      <w:r w:rsidRPr="0051740A">
        <w:rPr>
          <w:szCs w:val="22"/>
        </w:rPr>
        <w:t xml:space="preserve">  </w:t>
      </w:r>
    </w:p>
    <w:p w:rsidR="00731393" w:rsidRPr="00731393" w:rsidP="00731393">
      <w:pPr>
        <w:spacing w:after="120"/>
        <w:ind w:firstLine="720"/>
        <w:rPr>
          <w:szCs w:val="22"/>
        </w:rPr>
      </w:pPr>
      <w:r w:rsidRPr="000A09B7">
        <w:rPr>
          <w:i/>
          <w:szCs w:val="22"/>
        </w:rPr>
        <w:t>Volume Control Rule</w:t>
      </w:r>
      <w:r>
        <w:rPr>
          <w:szCs w:val="22"/>
        </w:rPr>
        <w:t xml:space="preserve">.  </w:t>
      </w:r>
      <w:r w:rsidRPr="009F510E">
        <w:rPr>
          <w:szCs w:val="22"/>
        </w:rPr>
        <w:t xml:space="preserve">Section 68.317 </w:t>
      </w:r>
      <w:r>
        <w:rPr>
          <w:szCs w:val="22"/>
        </w:rPr>
        <w:t xml:space="preserve">of the </w:t>
      </w:r>
      <w:r w:rsidR="009C007C">
        <w:rPr>
          <w:szCs w:val="22"/>
        </w:rPr>
        <w:t xml:space="preserve">Commission’s </w:t>
      </w:r>
      <w:r>
        <w:rPr>
          <w:szCs w:val="22"/>
        </w:rPr>
        <w:t xml:space="preserve">rules </w:t>
      </w:r>
      <w:r w:rsidRPr="009F510E">
        <w:rPr>
          <w:szCs w:val="22"/>
        </w:rPr>
        <w:t xml:space="preserve">governs the provision of volume control on </w:t>
      </w:r>
      <w:r>
        <w:rPr>
          <w:szCs w:val="22"/>
        </w:rPr>
        <w:t>PSTN telephones and ACS telephonic CPE.</w:t>
      </w:r>
      <w:r>
        <w:rPr>
          <w:szCs w:val="22"/>
          <w:vertAlign w:val="superscript"/>
        </w:rPr>
        <w:footnoteReference w:id="5"/>
      </w:r>
      <w:r>
        <w:rPr>
          <w:szCs w:val="22"/>
        </w:rPr>
        <w:t xml:space="preserve">  </w:t>
      </w:r>
      <w:r w:rsidR="00655912">
        <w:rPr>
          <w:szCs w:val="22"/>
        </w:rPr>
        <w:t xml:space="preserve">Under rule amendments adopted in 2017, </w:t>
      </w:r>
      <w:r>
        <w:rPr>
          <w:szCs w:val="22"/>
        </w:rPr>
        <w:t>PSTN t</w:t>
      </w:r>
      <w:r w:rsidRPr="00731393">
        <w:rPr>
          <w:szCs w:val="22"/>
        </w:rPr>
        <w:t>elephones manufactured, or imported for use</w:t>
      </w:r>
      <w:r w:rsidR="005D6260">
        <w:rPr>
          <w:szCs w:val="22"/>
        </w:rPr>
        <w:t>,</w:t>
      </w:r>
      <w:r w:rsidRPr="00731393">
        <w:rPr>
          <w:szCs w:val="22"/>
        </w:rPr>
        <w:t xml:space="preserve"> in the United States before February 28, 2020, must comply with </w:t>
      </w:r>
      <w:r w:rsidRPr="00655912">
        <w:rPr>
          <w:i/>
          <w:szCs w:val="22"/>
        </w:rPr>
        <w:t>either</w:t>
      </w:r>
      <w:r>
        <w:rPr>
          <w:szCs w:val="22"/>
        </w:rPr>
        <w:t xml:space="preserve"> the </w:t>
      </w:r>
      <w:r w:rsidR="00655912">
        <w:rPr>
          <w:szCs w:val="22"/>
        </w:rPr>
        <w:t xml:space="preserve">volume control </w:t>
      </w:r>
      <w:r>
        <w:rPr>
          <w:szCs w:val="22"/>
        </w:rPr>
        <w:t>standard</w:t>
      </w:r>
      <w:r w:rsidR="008B6353">
        <w:rPr>
          <w:szCs w:val="22"/>
        </w:rPr>
        <w:t>s</w:t>
      </w:r>
      <w:r>
        <w:rPr>
          <w:szCs w:val="22"/>
        </w:rPr>
        <w:t xml:space="preserve"> </w:t>
      </w:r>
      <w:r w:rsidR="00F1707A">
        <w:rPr>
          <w:szCs w:val="22"/>
        </w:rPr>
        <w:t xml:space="preserve">incorporated </w:t>
      </w:r>
      <w:r w:rsidR="00655912">
        <w:rPr>
          <w:szCs w:val="22"/>
        </w:rPr>
        <w:t>in</w:t>
      </w:r>
      <w:r>
        <w:rPr>
          <w:szCs w:val="22"/>
        </w:rPr>
        <w:t xml:space="preserve"> </w:t>
      </w:r>
      <w:r w:rsidRPr="00731393">
        <w:rPr>
          <w:szCs w:val="22"/>
        </w:rPr>
        <w:t>section</w:t>
      </w:r>
      <w:r w:rsidR="00655912">
        <w:rPr>
          <w:szCs w:val="22"/>
        </w:rPr>
        <w:t>s</w:t>
      </w:r>
      <w:r w:rsidRPr="00731393">
        <w:rPr>
          <w:szCs w:val="22"/>
        </w:rPr>
        <w:t xml:space="preserve"> 68.317</w:t>
      </w:r>
      <w:r>
        <w:rPr>
          <w:szCs w:val="22"/>
        </w:rPr>
        <w:t>(b)-</w:t>
      </w:r>
      <w:r w:rsidRPr="00731393">
        <w:rPr>
          <w:szCs w:val="22"/>
        </w:rPr>
        <w:t>(g)</w:t>
      </w:r>
      <w:r w:rsidR="00F1707A">
        <w:rPr>
          <w:szCs w:val="22"/>
        </w:rPr>
        <w:t xml:space="preserve"> prior to the 2017 amendments</w:t>
      </w:r>
      <w:r w:rsidR="00655912">
        <w:rPr>
          <w:szCs w:val="22"/>
        </w:rPr>
        <w:t>,</w:t>
      </w:r>
      <w:r w:rsidRPr="00731393">
        <w:rPr>
          <w:szCs w:val="22"/>
        </w:rPr>
        <w:t xml:space="preserve"> </w:t>
      </w:r>
      <w:r w:rsidRPr="00655912">
        <w:rPr>
          <w:i/>
          <w:szCs w:val="22"/>
        </w:rPr>
        <w:t>or</w:t>
      </w:r>
      <w:r w:rsidRPr="00731393">
        <w:rPr>
          <w:szCs w:val="22"/>
        </w:rPr>
        <w:t xml:space="preserve"> </w:t>
      </w:r>
      <w:r w:rsidR="00655912">
        <w:rPr>
          <w:szCs w:val="22"/>
        </w:rPr>
        <w:t xml:space="preserve">the revised standard </w:t>
      </w:r>
      <w:r w:rsidR="00F1707A">
        <w:rPr>
          <w:szCs w:val="22"/>
        </w:rPr>
        <w:t xml:space="preserve">incorporated </w:t>
      </w:r>
      <w:r w:rsidR="00655912">
        <w:rPr>
          <w:szCs w:val="22"/>
        </w:rPr>
        <w:t xml:space="preserve">in </w:t>
      </w:r>
      <w:r w:rsidRPr="00731393">
        <w:rPr>
          <w:szCs w:val="22"/>
        </w:rPr>
        <w:t>section 68.317(h)</w:t>
      </w:r>
      <w:r w:rsidR="00E9327C">
        <w:rPr>
          <w:szCs w:val="22"/>
        </w:rPr>
        <w:t xml:space="preserve"> in 2017</w:t>
      </w:r>
      <w:r w:rsidRPr="00731393">
        <w:rPr>
          <w:szCs w:val="22"/>
        </w:rPr>
        <w:t>.</w:t>
      </w:r>
      <w:r>
        <w:rPr>
          <w:szCs w:val="22"/>
          <w:vertAlign w:val="superscript"/>
        </w:rPr>
        <w:footnoteReference w:id="6"/>
      </w:r>
      <w:r w:rsidRPr="00731393">
        <w:rPr>
          <w:szCs w:val="22"/>
        </w:rPr>
        <w:t xml:space="preserve">  If </w:t>
      </w:r>
      <w:r w:rsidRPr="00A12A36">
        <w:rPr>
          <w:szCs w:val="22"/>
        </w:rPr>
        <w:t>manufactured</w:t>
      </w:r>
      <w:r w:rsidRPr="00A12A36" w:rsidR="009C007C">
        <w:rPr>
          <w:szCs w:val="22"/>
        </w:rPr>
        <w:t>,</w:t>
      </w:r>
      <w:r w:rsidRPr="00A12A36">
        <w:rPr>
          <w:szCs w:val="22"/>
        </w:rPr>
        <w:t xml:space="preserve"> or imported for use</w:t>
      </w:r>
      <w:r w:rsidRPr="00A12A36" w:rsidR="009C007C">
        <w:rPr>
          <w:szCs w:val="22"/>
        </w:rPr>
        <w:t>,</w:t>
      </w:r>
      <w:r w:rsidRPr="00A12A36">
        <w:rPr>
          <w:szCs w:val="22"/>
        </w:rPr>
        <w:t xml:space="preserve"> in</w:t>
      </w:r>
      <w:r w:rsidRPr="00731393">
        <w:rPr>
          <w:szCs w:val="22"/>
        </w:rPr>
        <w:t xml:space="preserve"> the United States on or after February 28, 2020, such telephones</w:t>
      </w:r>
      <w:r w:rsidR="00655912">
        <w:rPr>
          <w:szCs w:val="22"/>
        </w:rPr>
        <w:t>, as well as ACS telephonic CPE,</w:t>
      </w:r>
      <w:r w:rsidRPr="00731393">
        <w:rPr>
          <w:szCs w:val="22"/>
        </w:rPr>
        <w:t xml:space="preserve"> must comply with </w:t>
      </w:r>
      <w:r w:rsidR="00655912">
        <w:rPr>
          <w:szCs w:val="22"/>
        </w:rPr>
        <w:t xml:space="preserve">the revised volume control standard </w:t>
      </w:r>
      <w:r w:rsidR="00E9327C">
        <w:rPr>
          <w:szCs w:val="22"/>
        </w:rPr>
        <w:t>in</w:t>
      </w:r>
      <w:r w:rsidR="00655912">
        <w:rPr>
          <w:szCs w:val="22"/>
        </w:rPr>
        <w:t xml:space="preserve"> </w:t>
      </w:r>
      <w:r w:rsidRPr="00731393">
        <w:rPr>
          <w:szCs w:val="22"/>
        </w:rPr>
        <w:t>section 68.317(h).</w:t>
      </w:r>
      <w:r>
        <w:rPr>
          <w:szCs w:val="22"/>
          <w:vertAlign w:val="superscript"/>
        </w:rPr>
        <w:footnoteReference w:id="7"/>
      </w:r>
      <w:r w:rsidRPr="00731393">
        <w:rPr>
          <w:szCs w:val="22"/>
        </w:rPr>
        <w:t xml:space="preserve">  </w:t>
      </w:r>
      <w:r w:rsidR="0035081F">
        <w:rPr>
          <w:szCs w:val="22"/>
        </w:rPr>
        <w:t>The pre-2017 volume control standard</w:t>
      </w:r>
      <w:r w:rsidRPr="0035081F" w:rsidR="0035081F">
        <w:rPr>
          <w:szCs w:val="22"/>
        </w:rPr>
        <w:t>s</w:t>
      </w:r>
      <w:r w:rsidR="0035081F">
        <w:rPr>
          <w:szCs w:val="22"/>
        </w:rPr>
        <w:t xml:space="preserve"> s</w:t>
      </w:r>
      <w:r w:rsidRPr="0035081F" w:rsidR="0035081F">
        <w:rPr>
          <w:szCs w:val="22"/>
        </w:rPr>
        <w:t xml:space="preserve">pecified </w:t>
      </w:r>
      <w:r w:rsidR="0035081F">
        <w:rPr>
          <w:szCs w:val="22"/>
        </w:rPr>
        <w:t xml:space="preserve">a range of </w:t>
      </w:r>
      <w:r w:rsidRPr="0035081F" w:rsidR="0035081F">
        <w:rPr>
          <w:szCs w:val="22"/>
        </w:rPr>
        <w:t>amplification levels based on receive gain as measured in terms of Receive Objective Loudness Rating (ROLR).</w:t>
      </w:r>
      <w:r>
        <w:rPr>
          <w:szCs w:val="22"/>
          <w:vertAlign w:val="superscript"/>
        </w:rPr>
        <w:footnoteReference w:id="8"/>
      </w:r>
      <w:r w:rsidRPr="0035081F" w:rsidR="0035081F">
        <w:rPr>
          <w:szCs w:val="22"/>
        </w:rPr>
        <w:t xml:space="preserve">  </w:t>
      </w:r>
      <w:r w:rsidR="0035081F">
        <w:rPr>
          <w:szCs w:val="22"/>
        </w:rPr>
        <w:t>The revised volume control standard</w:t>
      </w:r>
      <w:r w:rsidRPr="00655912" w:rsidR="00655912">
        <w:rPr>
          <w:szCs w:val="22"/>
        </w:rPr>
        <w:t xml:space="preserve"> </w:t>
      </w:r>
      <w:r w:rsidRPr="00655912" w:rsidR="00655912">
        <w:rPr>
          <w:szCs w:val="22"/>
        </w:rPr>
        <w:t>uses a different unit of measurement called “Conversational Gain.”</w:t>
      </w:r>
      <w:r>
        <w:rPr>
          <w:rStyle w:val="FootnoteReference"/>
          <w:szCs w:val="22"/>
        </w:rPr>
        <w:footnoteReference w:id="9"/>
      </w:r>
      <w:r w:rsidRPr="00655912" w:rsidR="00655912">
        <w:rPr>
          <w:szCs w:val="22"/>
        </w:rPr>
        <w:t xml:space="preserve">  </w:t>
      </w:r>
      <w:bookmarkStart w:id="3" w:name="_GoBack"/>
      <w:bookmarkEnd w:id="3"/>
    </w:p>
    <w:p w:rsidR="00B97F7B" w:rsidP="009F510E">
      <w:pPr>
        <w:spacing w:after="120"/>
        <w:ind w:firstLine="720"/>
        <w:rPr>
          <w:szCs w:val="22"/>
        </w:rPr>
      </w:pPr>
      <w:r>
        <w:rPr>
          <w:i/>
          <w:szCs w:val="22"/>
        </w:rPr>
        <w:t>Volume Control</w:t>
      </w:r>
      <w:r w:rsidRPr="00A02DA4">
        <w:rPr>
          <w:i/>
          <w:szCs w:val="22"/>
        </w:rPr>
        <w:t xml:space="preserve"> </w:t>
      </w:r>
      <w:r w:rsidRPr="00A02DA4" w:rsidR="002C2373">
        <w:rPr>
          <w:i/>
          <w:szCs w:val="22"/>
        </w:rPr>
        <w:t>Reset Requirements</w:t>
      </w:r>
      <w:r w:rsidR="002C2373">
        <w:rPr>
          <w:szCs w:val="22"/>
        </w:rPr>
        <w:t xml:space="preserve">.  </w:t>
      </w:r>
      <w:r>
        <w:rPr>
          <w:szCs w:val="22"/>
        </w:rPr>
        <w:t xml:space="preserve">Under </w:t>
      </w:r>
      <w:r w:rsidR="00655912">
        <w:rPr>
          <w:szCs w:val="22"/>
        </w:rPr>
        <w:t>both the pre-20</w:t>
      </w:r>
      <w:r w:rsidR="003659D6">
        <w:rPr>
          <w:szCs w:val="22"/>
        </w:rPr>
        <w:t>17</w:t>
      </w:r>
      <w:r w:rsidR="00655912">
        <w:rPr>
          <w:szCs w:val="22"/>
        </w:rPr>
        <w:t xml:space="preserve"> volume control standard</w:t>
      </w:r>
      <w:r w:rsidR="00085604">
        <w:rPr>
          <w:szCs w:val="22"/>
        </w:rPr>
        <w:t>s</w:t>
      </w:r>
      <w:r w:rsidR="00655912">
        <w:rPr>
          <w:szCs w:val="22"/>
        </w:rPr>
        <w:t xml:space="preserve"> and the revised standard</w:t>
      </w:r>
      <w:r>
        <w:rPr>
          <w:szCs w:val="22"/>
        </w:rPr>
        <w:t>,</w:t>
      </w:r>
      <w:r w:rsidRPr="0051740A">
        <w:rPr>
          <w:szCs w:val="22"/>
        </w:rPr>
        <w:t xml:space="preserve"> </w:t>
      </w:r>
      <w:r w:rsidR="0035081F">
        <w:rPr>
          <w:szCs w:val="22"/>
        </w:rPr>
        <w:t xml:space="preserve">a </w:t>
      </w:r>
      <w:r w:rsidRPr="0051740A">
        <w:rPr>
          <w:szCs w:val="22"/>
        </w:rPr>
        <w:t xml:space="preserve">telephone </w:t>
      </w:r>
      <w:r>
        <w:rPr>
          <w:szCs w:val="22"/>
        </w:rPr>
        <w:t>that allow</w:t>
      </w:r>
      <w:r w:rsidR="0035081F">
        <w:rPr>
          <w:szCs w:val="22"/>
        </w:rPr>
        <w:t>s</w:t>
      </w:r>
      <w:r>
        <w:rPr>
          <w:szCs w:val="22"/>
        </w:rPr>
        <w:t xml:space="preserve"> </w:t>
      </w:r>
      <w:r w:rsidRPr="0051740A">
        <w:rPr>
          <w:szCs w:val="22"/>
        </w:rPr>
        <w:t>amplification</w:t>
      </w:r>
      <w:r>
        <w:rPr>
          <w:szCs w:val="22"/>
        </w:rPr>
        <w:t xml:space="preserve"> to </w:t>
      </w:r>
      <w:r w:rsidR="00655912">
        <w:rPr>
          <w:szCs w:val="22"/>
        </w:rPr>
        <w:t xml:space="preserve">reach </w:t>
      </w:r>
      <w:r>
        <w:rPr>
          <w:szCs w:val="22"/>
        </w:rPr>
        <w:t>a level</w:t>
      </w:r>
      <w:r w:rsidRPr="0051740A">
        <w:rPr>
          <w:szCs w:val="22"/>
        </w:rPr>
        <w:t xml:space="preserve"> greater than </w:t>
      </w:r>
      <w:r>
        <w:rPr>
          <w:szCs w:val="22"/>
        </w:rPr>
        <w:t>the</w:t>
      </w:r>
      <w:r w:rsidRPr="0051740A">
        <w:rPr>
          <w:szCs w:val="22"/>
        </w:rPr>
        <w:t xml:space="preserve"> </w:t>
      </w:r>
      <w:r>
        <w:rPr>
          <w:szCs w:val="22"/>
        </w:rPr>
        <w:t xml:space="preserve">maximum </w:t>
      </w:r>
      <w:r w:rsidRPr="0051740A">
        <w:rPr>
          <w:szCs w:val="22"/>
        </w:rPr>
        <w:t xml:space="preserve">specified in the </w:t>
      </w:r>
      <w:r>
        <w:rPr>
          <w:szCs w:val="22"/>
        </w:rPr>
        <w:t xml:space="preserve">applicable </w:t>
      </w:r>
      <w:r w:rsidR="0035081F">
        <w:rPr>
          <w:szCs w:val="22"/>
        </w:rPr>
        <w:t>standard</w:t>
      </w:r>
      <w:r w:rsidRPr="0051740A" w:rsidR="0035081F">
        <w:rPr>
          <w:szCs w:val="22"/>
        </w:rPr>
        <w:t xml:space="preserve"> </w:t>
      </w:r>
      <w:r w:rsidRPr="0051740A">
        <w:rPr>
          <w:szCs w:val="22"/>
        </w:rPr>
        <w:t xml:space="preserve">must </w:t>
      </w:r>
      <w:r>
        <w:rPr>
          <w:szCs w:val="22"/>
        </w:rPr>
        <w:t xml:space="preserve">automatically </w:t>
      </w:r>
      <w:r w:rsidRPr="0051740A">
        <w:rPr>
          <w:szCs w:val="22"/>
        </w:rPr>
        <w:t xml:space="preserve">reset to </w:t>
      </w:r>
      <w:r>
        <w:rPr>
          <w:szCs w:val="22"/>
        </w:rPr>
        <w:t xml:space="preserve">a </w:t>
      </w:r>
      <w:r w:rsidRPr="0051740A">
        <w:rPr>
          <w:szCs w:val="22"/>
        </w:rPr>
        <w:t xml:space="preserve">lower </w:t>
      </w:r>
      <w:r>
        <w:rPr>
          <w:szCs w:val="22"/>
        </w:rPr>
        <w:t>level</w:t>
      </w:r>
      <w:r w:rsidRPr="0051740A">
        <w:rPr>
          <w:szCs w:val="22"/>
        </w:rPr>
        <w:t xml:space="preserve"> </w:t>
      </w:r>
      <w:r>
        <w:rPr>
          <w:szCs w:val="22"/>
        </w:rPr>
        <w:t xml:space="preserve">after the telephone </w:t>
      </w:r>
      <w:r w:rsidR="0035081F">
        <w:rPr>
          <w:szCs w:val="22"/>
        </w:rPr>
        <w:t>is</w:t>
      </w:r>
      <w:r w:rsidRPr="00740882">
        <w:rPr>
          <w:szCs w:val="22"/>
        </w:rPr>
        <w:t xml:space="preserve"> hung up.</w:t>
      </w:r>
      <w:r w:rsidRPr="0051740A">
        <w:rPr>
          <w:szCs w:val="22"/>
        </w:rPr>
        <w:t xml:space="preserve"> </w:t>
      </w:r>
      <w:r w:rsidR="00437E24">
        <w:rPr>
          <w:szCs w:val="22"/>
        </w:rPr>
        <w:t xml:space="preserve"> </w:t>
      </w:r>
      <w:r w:rsidRPr="00B52738" w:rsidR="00C53DF9">
        <w:rPr>
          <w:szCs w:val="22"/>
        </w:rPr>
        <w:t>Th</w:t>
      </w:r>
      <w:r w:rsidR="00C53DF9">
        <w:rPr>
          <w:szCs w:val="22"/>
        </w:rPr>
        <w:t>ese</w:t>
      </w:r>
      <w:r w:rsidRPr="00B52738" w:rsidR="00C53DF9">
        <w:rPr>
          <w:szCs w:val="22"/>
        </w:rPr>
        <w:t xml:space="preserve"> requirement</w:t>
      </w:r>
      <w:r w:rsidR="00C53DF9">
        <w:rPr>
          <w:szCs w:val="22"/>
        </w:rPr>
        <w:t>s</w:t>
      </w:r>
      <w:r w:rsidRPr="00B52738" w:rsidR="00C53DF9">
        <w:rPr>
          <w:szCs w:val="22"/>
        </w:rPr>
        <w:t xml:space="preserve"> </w:t>
      </w:r>
      <w:r w:rsidR="00437E24">
        <w:rPr>
          <w:szCs w:val="22"/>
        </w:rPr>
        <w:t xml:space="preserve">are designed to </w:t>
      </w:r>
      <w:r w:rsidRPr="00B52738" w:rsidR="00C53DF9">
        <w:rPr>
          <w:szCs w:val="22"/>
        </w:rPr>
        <w:t>help minimize the likelihood of damage to individuals with normal hearing who may use the telephone after someone else has increased the volume</w:t>
      </w:r>
      <w:r w:rsidR="00437E24">
        <w:rPr>
          <w:szCs w:val="22"/>
        </w:rPr>
        <w:t xml:space="preserve"> beyond a certain level</w:t>
      </w:r>
      <w:r w:rsidRPr="00B52738" w:rsidR="00C53DF9">
        <w:rPr>
          <w:szCs w:val="22"/>
        </w:rPr>
        <w:t xml:space="preserve">.  </w:t>
      </w:r>
      <w:r w:rsidR="00C53DF9">
        <w:rPr>
          <w:szCs w:val="22"/>
        </w:rPr>
        <w:t>Specifically, under</w:t>
      </w:r>
      <w:r w:rsidR="003659D6">
        <w:rPr>
          <w:szCs w:val="22"/>
        </w:rPr>
        <w:t xml:space="preserve"> the pre-2017 standard</w:t>
      </w:r>
      <w:r w:rsidR="00085604">
        <w:rPr>
          <w:szCs w:val="22"/>
        </w:rPr>
        <w:t>s</w:t>
      </w:r>
      <w:r w:rsidR="00C53DF9">
        <w:rPr>
          <w:szCs w:val="22"/>
        </w:rPr>
        <w:t>,</w:t>
      </w:r>
      <w:r w:rsidRPr="0090569F" w:rsidR="00C53DF9">
        <w:rPr>
          <w:szCs w:val="22"/>
        </w:rPr>
        <w:t xml:space="preserve"> telephones may exceed 18 </w:t>
      </w:r>
      <w:r w:rsidR="00C53DF9">
        <w:rPr>
          <w:szCs w:val="22"/>
        </w:rPr>
        <w:t>decibels (</w:t>
      </w:r>
      <w:r w:rsidRPr="0090569F" w:rsidR="00C53DF9">
        <w:rPr>
          <w:szCs w:val="22"/>
        </w:rPr>
        <w:t>dB</w:t>
      </w:r>
      <w:r w:rsidR="00C53DF9">
        <w:rPr>
          <w:szCs w:val="22"/>
        </w:rPr>
        <w:t>)</w:t>
      </w:r>
      <w:r w:rsidRPr="0090569F" w:rsidR="00C53DF9">
        <w:rPr>
          <w:szCs w:val="22"/>
        </w:rPr>
        <w:t xml:space="preserve"> of receive gain (</w:t>
      </w:r>
      <w:r w:rsidRPr="0090569F" w:rsidR="00C53DF9">
        <w:rPr>
          <w:color w:val="000000"/>
          <w:szCs w:val="22"/>
          <w:shd w:val="clear" w:color="auto" w:fill="FFFFFF"/>
        </w:rPr>
        <w:t xml:space="preserve">when measured in terms of </w:t>
      </w:r>
      <w:r w:rsidR="00C53DF9">
        <w:rPr>
          <w:color w:val="000000"/>
          <w:szCs w:val="22"/>
          <w:shd w:val="clear" w:color="auto" w:fill="FFFFFF"/>
        </w:rPr>
        <w:t>ROLR</w:t>
      </w:r>
      <w:r w:rsidRPr="0090569F" w:rsidR="00C53DF9">
        <w:rPr>
          <w:color w:val="000000"/>
          <w:szCs w:val="22"/>
          <w:shd w:val="clear" w:color="auto" w:fill="FFFFFF"/>
        </w:rPr>
        <w:t xml:space="preserve">) </w:t>
      </w:r>
      <w:r w:rsidR="00C53DF9">
        <w:rPr>
          <w:szCs w:val="22"/>
        </w:rPr>
        <w:t xml:space="preserve">provided that </w:t>
      </w:r>
      <w:r w:rsidRPr="0090569F" w:rsidR="00C53DF9">
        <w:rPr>
          <w:szCs w:val="22"/>
        </w:rPr>
        <w:t xml:space="preserve">the amplification </w:t>
      </w:r>
      <w:r w:rsidR="00C53DF9">
        <w:rPr>
          <w:szCs w:val="22"/>
        </w:rPr>
        <w:t xml:space="preserve">level </w:t>
      </w:r>
      <w:r w:rsidRPr="0090569F" w:rsidR="00C53DF9">
        <w:rPr>
          <w:szCs w:val="22"/>
        </w:rPr>
        <w:t xml:space="preserve">automatically resets to nominal gain </w:t>
      </w:r>
      <w:r w:rsidRPr="00441B11" w:rsidR="00C53DF9">
        <w:rPr>
          <w:szCs w:val="22"/>
        </w:rPr>
        <w:t>when</w:t>
      </w:r>
      <w:r w:rsidRPr="00F022CB" w:rsidR="00C53DF9">
        <w:rPr>
          <w:szCs w:val="22"/>
        </w:rPr>
        <w:t xml:space="preserve"> the</w:t>
      </w:r>
      <w:r w:rsidRPr="00441B11" w:rsidR="00C53DF9">
        <w:rPr>
          <w:szCs w:val="22"/>
        </w:rPr>
        <w:t xml:space="preserve"> telephone </w:t>
      </w:r>
      <w:r w:rsidRPr="00B52738" w:rsidR="00C53DF9">
        <w:rPr>
          <w:szCs w:val="22"/>
        </w:rPr>
        <w:t>is hung up.</w:t>
      </w:r>
      <w:r>
        <w:rPr>
          <w:rStyle w:val="FootnoteReference"/>
          <w:szCs w:val="22"/>
        </w:rPr>
        <w:footnoteReference w:id="10"/>
      </w:r>
      <w:r w:rsidRPr="00B52738" w:rsidR="00C53DF9">
        <w:rPr>
          <w:szCs w:val="22"/>
        </w:rPr>
        <w:t xml:space="preserve">  </w:t>
      </w:r>
      <w:r w:rsidR="00655912">
        <w:rPr>
          <w:szCs w:val="22"/>
        </w:rPr>
        <w:t>Under</w:t>
      </w:r>
      <w:r w:rsidR="003659D6">
        <w:rPr>
          <w:szCs w:val="22"/>
        </w:rPr>
        <w:t xml:space="preserve"> the revised standard</w:t>
      </w:r>
      <w:r w:rsidRPr="00B52738" w:rsidR="00C53DF9">
        <w:rPr>
          <w:szCs w:val="22"/>
        </w:rPr>
        <w:t xml:space="preserve">, the receive amplification for a wireline telephone can exceed 24 dB Conversational Gain </w:t>
      </w:r>
      <w:r w:rsidR="00437E24">
        <w:rPr>
          <w:szCs w:val="22"/>
        </w:rPr>
        <w:t xml:space="preserve">so long as </w:t>
      </w:r>
      <w:r w:rsidRPr="00B52738" w:rsidR="00C53DF9">
        <w:rPr>
          <w:szCs w:val="22"/>
        </w:rPr>
        <w:t xml:space="preserve">the amplification </w:t>
      </w:r>
      <w:r w:rsidR="00C53DF9">
        <w:rPr>
          <w:szCs w:val="22"/>
        </w:rPr>
        <w:t xml:space="preserve">level </w:t>
      </w:r>
      <w:r w:rsidRPr="00B52738" w:rsidR="00C53DF9">
        <w:rPr>
          <w:szCs w:val="22"/>
        </w:rPr>
        <w:t xml:space="preserve">automatically resets to no more than </w:t>
      </w:r>
      <w:r w:rsidRPr="00B52738" w:rsidR="00C53DF9">
        <w:t>24 dB</w:t>
      </w:r>
      <w:r w:rsidRPr="00B52738" w:rsidR="00C53DF9">
        <w:rPr>
          <w:szCs w:val="22"/>
        </w:rPr>
        <w:t xml:space="preserve"> Conversational Gain after the telephone is hung up.</w:t>
      </w:r>
      <w:r>
        <w:rPr>
          <w:rStyle w:val="FootnoteReference"/>
          <w:szCs w:val="22"/>
        </w:rPr>
        <w:footnoteReference w:id="11"/>
      </w:r>
      <w:r w:rsidRPr="00B52738" w:rsidR="00C53DF9">
        <w:rPr>
          <w:szCs w:val="22"/>
        </w:rPr>
        <w:t xml:space="preserve">  </w:t>
      </w:r>
    </w:p>
    <w:p w:rsidR="003046CF" w:rsidRPr="0051740A" w:rsidP="00360FA2">
      <w:pPr>
        <w:spacing w:after="120"/>
        <w:rPr>
          <w:szCs w:val="22"/>
        </w:rPr>
      </w:pPr>
      <w:r>
        <w:rPr>
          <w:szCs w:val="22"/>
        </w:rPr>
        <w:tab/>
      </w:r>
      <w:r w:rsidRPr="0051740A">
        <w:rPr>
          <w:i/>
          <w:szCs w:val="22"/>
        </w:rPr>
        <w:t xml:space="preserve">Streamlined </w:t>
      </w:r>
      <w:r w:rsidR="00613A17">
        <w:rPr>
          <w:i/>
          <w:szCs w:val="22"/>
        </w:rPr>
        <w:t xml:space="preserve">Waiver </w:t>
      </w:r>
      <w:r w:rsidRPr="0051740A">
        <w:rPr>
          <w:i/>
          <w:szCs w:val="22"/>
        </w:rPr>
        <w:t>Process.</w:t>
      </w:r>
      <w:r w:rsidRPr="0051740A">
        <w:rPr>
          <w:szCs w:val="22"/>
        </w:rPr>
        <w:t xml:space="preserve">  </w:t>
      </w:r>
      <w:r w:rsidR="00BB0A56">
        <w:rPr>
          <w:szCs w:val="22"/>
        </w:rPr>
        <w:t>B</w:t>
      </w:r>
      <w:r w:rsidRPr="00C93B42" w:rsidR="00C93B42">
        <w:rPr>
          <w:szCs w:val="22"/>
        </w:rPr>
        <w:t>ecause some consumers with hearing loss regularly require amplification above the maximum allowed level, the Commission</w:t>
      </w:r>
      <w:r w:rsidR="00BB0A56">
        <w:rPr>
          <w:szCs w:val="22"/>
        </w:rPr>
        <w:t xml:space="preserve"> provides </w:t>
      </w:r>
      <w:r w:rsidRPr="00C93B42" w:rsidR="00C93B42">
        <w:rPr>
          <w:szCs w:val="22"/>
        </w:rPr>
        <w:t xml:space="preserve">a streamlined waiver process for handling requests for waiver of </w:t>
      </w:r>
      <w:r w:rsidR="00BB0A56">
        <w:rPr>
          <w:szCs w:val="22"/>
        </w:rPr>
        <w:t xml:space="preserve">the volume control </w:t>
      </w:r>
      <w:r w:rsidRPr="00C93B42" w:rsidR="00C93B42">
        <w:rPr>
          <w:szCs w:val="22"/>
        </w:rPr>
        <w:t xml:space="preserve">reset requirement, </w:t>
      </w:r>
      <w:r w:rsidR="00BB0A56">
        <w:rPr>
          <w:szCs w:val="22"/>
        </w:rPr>
        <w:t>to allow Part 68 registration of</w:t>
      </w:r>
      <w:r w:rsidRPr="00C93B42" w:rsidR="00C93B42">
        <w:rPr>
          <w:szCs w:val="22"/>
        </w:rPr>
        <w:t xml:space="preserve"> telephones specifically designed to meet such consumers’ needs.</w:t>
      </w:r>
      <w:r>
        <w:rPr>
          <w:szCs w:val="22"/>
          <w:vertAlign w:val="superscript"/>
        </w:rPr>
        <w:footnoteReference w:id="12"/>
      </w:r>
      <w:r w:rsidRPr="00C93B42" w:rsidR="00C93B42">
        <w:rPr>
          <w:szCs w:val="22"/>
        </w:rPr>
        <w:t xml:space="preserve"> </w:t>
      </w:r>
      <w:r w:rsidR="00BB0A56">
        <w:rPr>
          <w:szCs w:val="22"/>
        </w:rPr>
        <w:t xml:space="preserve"> </w:t>
      </w:r>
      <w:r w:rsidRPr="0051740A" w:rsidR="00613A17">
        <w:rPr>
          <w:szCs w:val="22"/>
        </w:rPr>
        <w:t xml:space="preserve">Petitioners may </w:t>
      </w:r>
      <w:r w:rsidR="00DA739E">
        <w:rPr>
          <w:szCs w:val="22"/>
        </w:rPr>
        <w:t>use</w:t>
      </w:r>
      <w:r w:rsidRPr="0051740A" w:rsidR="00DA739E">
        <w:rPr>
          <w:szCs w:val="22"/>
        </w:rPr>
        <w:t xml:space="preserve"> </w:t>
      </w:r>
      <w:r w:rsidRPr="0051740A" w:rsidR="00613A17">
        <w:rPr>
          <w:szCs w:val="22"/>
        </w:rPr>
        <w:t xml:space="preserve">an optional streamlined process </w:t>
      </w:r>
      <w:r w:rsidR="00613A17">
        <w:rPr>
          <w:szCs w:val="22"/>
        </w:rPr>
        <w:t xml:space="preserve">to obtain a waiver of </w:t>
      </w:r>
      <w:r w:rsidR="003659D6">
        <w:rPr>
          <w:szCs w:val="22"/>
        </w:rPr>
        <w:t xml:space="preserve">the reset requirements of </w:t>
      </w:r>
      <w:r w:rsidRPr="0051740A" w:rsidR="00613A17">
        <w:rPr>
          <w:szCs w:val="22"/>
        </w:rPr>
        <w:t>section</w:t>
      </w:r>
      <w:r w:rsidR="00613A17">
        <w:rPr>
          <w:szCs w:val="22"/>
        </w:rPr>
        <w:t>s</w:t>
      </w:r>
      <w:r w:rsidRPr="0051740A" w:rsidR="00613A17">
        <w:rPr>
          <w:szCs w:val="22"/>
        </w:rPr>
        <w:t xml:space="preserve"> 68.317(</w:t>
      </w:r>
      <w:r w:rsidR="00613A17">
        <w:rPr>
          <w:szCs w:val="22"/>
        </w:rPr>
        <w:t>g</w:t>
      </w:r>
      <w:r w:rsidRPr="0051740A" w:rsidR="00613A17">
        <w:rPr>
          <w:szCs w:val="22"/>
        </w:rPr>
        <w:t>)</w:t>
      </w:r>
      <w:r w:rsidR="00613A17">
        <w:rPr>
          <w:szCs w:val="22"/>
        </w:rPr>
        <w:t xml:space="preserve"> or (h)</w:t>
      </w:r>
      <w:r w:rsidR="00A43339">
        <w:rPr>
          <w:szCs w:val="22"/>
        </w:rPr>
        <w:t>, or both,</w:t>
      </w:r>
      <w:r w:rsidRPr="0051740A" w:rsidR="00613A17">
        <w:rPr>
          <w:szCs w:val="22"/>
        </w:rPr>
        <w:t xml:space="preserve"> in accordance with the </w:t>
      </w:r>
      <w:r w:rsidRPr="0051740A" w:rsidR="00613A17">
        <w:rPr>
          <w:i/>
          <w:spacing w:val="-2"/>
          <w:szCs w:val="22"/>
        </w:rPr>
        <w:t>Tandy Corporation Waiver Order</w:t>
      </w:r>
      <w:r w:rsidRPr="0051740A" w:rsidR="00613A17">
        <w:rPr>
          <w:szCs w:val="22"/>
        </w:rPr>
        <w:t>.</w:t>
      </w:r>
      <w:r>
        <w:rPr>
          <w:rStyle w:val="FootnoteReference"/>
          <w:szCs w:val="22"/>
        </w:rPr>
        <w:footnoteReference w:id="13"/>
      </w:r>
      <w:r w:rsidR="00613A17">
        <w:rPr>
          <w:szCs w:val="22"/>
        </w:rPr>
        <w:t xml:space="preserve">  </w:t>
      </w:r>
      <w:r w:rsidRPr="0051740A">
        <w:rPr>
          <w:szCs w:val="22"/>
        </w:rPr>
        <w:t>P</w:t>
      </w:r>
      <w:r w:rsidR="00613A17">
        <w:rPr>
          <w:szCs w:val="22"/>
        </w:rPr>
        <w:t>ursuant to the terms of th</w:t>
      </w:r>
      <w:r w:rsidR="008A467A">
        <w:rPr>
          <w:szCs w:val="22"/>
        </w:rPr>
        <w:t>at</w:t>
      </w:r>
      <w:r w:rsidR="00613A17">
        <w:rPr>
          <w:szCs w:val="22"/>
        </w:rPr>
        <w:t xml:space="preserve"> order, p</w:t>
      </w:r>
      <w:r w:rsidRPr="0051740A">
        <w:rPr>
          <w:szCs w:val="22"/>
        </w:rPr>
        <w:t xml:space="preserve">arties </w:t>
      </w:r>
      <w:r w:rsidR="00CA4020">
        <w:rPr>
          <w:szCs w:val="22"/>
        </w:rPr>
        <w:t>using</w:t>
      </w:r>
      <w:r w:rsidR="00613A17">
        <w:rPr>
          <w:szCs w:val="22"/>
        </w:rPr>
        <w:t xml:space="preserve"> this </w:t>
      </w:r>
      <w:r w:rsidRPr="0051740A">
        <w:rPr>
          <w:szCs w:val="22"/>
        </w:rPr>
        <w:t xml:space="preserve">process </w:t>
      </w:r>
      <w:r w:rsidR="00CA4020">
        <w:rPr>
          <w:szCs w:val="22"/>
        </w:rPr>
        <w:t xml:space="preserve">must </w:t>
      </w:r>
      <w:r w:rsidRPr="00AB7EC2">
        <w:rPr>
          <w:szCs w:val="22"/>
        </w:rPr>
        <w:t xml:space="preserve">certify that the equipment for which </w:t>
      </w:r>
      <w:r w:rsidR="00437E24">
        <w:rPr>
          <w:szCs w:val="22"/>
        </w:rPr>
        <w:t>a</w:t>
      </w:r>
      <w:r w:rsidR="008A467A">
        <w:rPr>
          <w:szCs w:val="22"/>
        </w:rPr>
        <w:t xml:space="preserve"> </w:t>
      </w:r>
      <w:r w:rsidRPr="00AB7EC2">
        <w:rPr>
          <w:szCs w:val="22"/>
        </w:rPr>
        <w:t>waiver is requested complies with the following five safety conditions:</w:t>
      </w:r>
      <w:r w:rsidRPr="0051740A">
        <w:rPr>
          <w:szCs w:val="22"/>
        </w:rPr>
        <w:t xml:space="preserve"> </w:t>
      </w:r>
    </w:p>
    <w:p w:rsidR="003046CF" w:rsidRPr="00AB7EC2" w:rsidP="003046CF">
      <w:pPr>
        <w:spacing w:after="120"/>
        <w:ind w:left="720"/>
        <w:rPr>
          <w:szCs w:val="22"/>
        </w:rPr>
      </w:pPr>
      <w:r w:rsidRPr="0051740A">
        <w:rPr>
          <w:szCs w:val="22"/>
        </w:rPr>
        <w:t xml:space="preserve">(1) The volume reset override switch shall be labeled as such and located on the </w:t>
      </w:r>
      <w:r>
        <w:rPr>
          <w:szCs w:val="22"/>
        </w:rPr>
        <w:t xml:space="preserve">PSTN </w:t>
      </w:r>
      <w:r w:rsidRPr="0051740A">
        <w:rPr>
          <w:szCs w:val="22"/>
        </w:rPr>
        <w:t xml:space="preserve">telephone </w:t>
      </w:r>
      <w:r>
        <w:rPr>
          <w:szCs w:val="22"/>
        </w:rPr>
        <w:t xml:space="preserve">or ACS telephonic CPE </w:t>
      </w:r>
      <w:r w:rsidRPr="0051740A">
        <w:rPr>
          <w:szCs w:val="22"/>
        </w:rPr>
        <w:t>in such a way as to not be accessible to accidental engagement.</w:t>
      </w:r>
    </w:p>
    <w:p w:rsidR="003046CF" w:rsidRPr="00AB7EC2" w:rsidP="003046CF">
      <w:pPr>
        <w:spacing w:after="120"/>
        <w:ind w:left="720"/>
        <w:rPr>
          <w:szCs w:val="22"/>
        </w:rPr>
      </w:pPr>
      <w:r w:rsidRPr="00AB7EC2">
        <w:rPr>
          <w:szCs w:val="22"/>
        </w:rPr>
        <w:t xml:space="preserve">(2) A bright indicator light shall be prominently displayed on the front of the </w:t>
      </w:r>
      <w:r>
        <w:rPr>
          <w:szCs w:val="22"/>
        </w:rPr>
        <w:t xml:space="preserve">PSTN </w:t>
      </w:r>
      <w:r w:rsidRPr="00AB7EC2">
        <w:rPr>
          <w:szCs w:val="22"/>
        </w:rPr>
        <w:t xml:space="preserve">telephone </w:t>
      </w:r>
      <w:r>
        <w:rPr>
          <w:szCs w:val="22"/>
        </w:rPr>
        <w:t xml:space="preserve">or ACS telephonic CPE </w:t>
      </w:r>
      <w:r w:rsidRPr="00AB7EC2">
        <w:rPr>
          <w:szCs w:val="22"/>
        </w:rPr>
        <w:t>and shall light up when the override is engaged and the telephone is placed in an off-hook condition.</w:t>
      </w:r>
    </w:p>
    <w:p w:rsidR="003046CF" w:rsidRPr="000845F2" w:rsidP="003046CF">
      <w:pPr>
        <w:spacing w:after="120"/>
        <w:ind w:left="720"/>
        <w:rPr>
          <w:szCs w:val="22"/>
        </w:rPr>
      </w:pPr>
      <w:r w:rsidRPr="000845F2">
        <w:rPr>
          <w:szCs w:val="22"/>
        </w:rPr>
        <w:t>(3) Next to the light shall be a warning that the amplification is at a high level.</w:t>
      </w:r>
    </w:p>
    <w:p w:rsidR="003046CF" w:rsidRPr="000845F2" w:rsidP="003046CF">
      <w:pPr>
        <w:spacing w:after="120"/>
        <w:ind w:left="720"/>
        <w:rPr>
          <w:szCs w:val="22"/>
        </w:rPr>
      </w:pPr>
      <w:r w:rsidRPr="000845F2">
        <w:rPr>
          <w:szCs w:val="22"/>
        </w:rPr>
        <w:t>(4) A caution on the use of the volume reset override switch shall be included in the users’ manual.</w:t>
      </w:r>
    </w:p>
    <w:p w:rsidR="003046CF" w:rsidP="003046CF">
      <w:pPr>
        <w:spacing w:after="120"/>
        <w:ind w:left="720"/>
        <w:rPr>
          <w:szCs w:val="22"/>
        </w:rPr>
      </w:pPr>
      <w:r w:rsidRPr="000845F2">
        <w:rPr>
          <w:szCs w:val="22"/>
        </w:rPr>
        <w:t xml:space="preserve">(5) The </w:t>
      </w:r>
      <w:r>
        <w:rPr>
          <w:szCs w:val="22"/>
        </w:rPr>
        <w:t xml:space="preserve">PSTN </w:t>
      </w:r>
      <w:r w:rsidRPr="000845F2">
        <w:rPr>
          <w:szCs w:val="22"/>
        </w:rPr>
        <w:t xml:space="preserve">telephone </w:t>
      </w:r>
      <w:r>
        <w:rPr>
          <w:szCs w:val="22"/>
        </w:rPr>
        <w:t xml:space="preserve">or ACS telephonic CPE </w:t>
      </w:r>
      <w:r w:rsidRPr="000845F2">
        <w:rPr>
          <w:szCs w:val="22"/>
        </w:rPr>
        <w:t xml:space="preserve">shall include a warning printed in Braille that </w:t>
      </w:r>
      <w:r w:rsidRPr="000845F2">
        <w:rPr>
          <w:szCs w:val="22"/>
        </w:rPr>
        <w:t xml:space="preserve">can be securely attached to the back of the handset, or, if the </w:t>
      </w:r>
      <w:r>
        <w:rPr>
          <w:szCs w:val="22"/>
        </w:rPr>
        <w:t xml:space="preserve">equipment </w:t>
      </w:r>
      <w:r w:rsidRPr="000845F2">
        <w:rPr>
          <w:szCs w:val="22"/>
        </w:rPr>
        <w:t>has only a headset, above the dial buttons, to indicate that a high</w:t>
      </w:r>
      <w:r>
        <w:rPr>
          <w:szCs w:val="22"/>
        </w:rPr>
        <w:t>-</w:t>
      </w:r>
      <w:r w:rsidRPr="000845F2">
        <w:rPr>
          <w:szCs w:val="22"/>
        </w:rPr>
        <w:t>volume setting may be engaged.</w:t>
      </w:r>
      <w:r>
        <w:rPr>
          <w:rStyle w:val="FootnoteReference"/>
          <w:szCs w:val="22"/>
        </w:rPr>
        <w:footnoteReference w:id="14"/>
      </w:r>
      <w:r w:rsidRPr="0051740A">
        <w:rPr>
          <w:szCs w:val="22"/>
        </w:rPr>
        <w:t xml:space="preserve"> </w:t>
      </w:r>
    </w:p>
    <w:p w:rsidR="00360FA2" w:rsidRPr="000845F2" w:rsidP="002C2373">
      <w:pPr>
        <w:spacing w:after="120"/>
        <w:rPr>
          <w:szCs w:val="22"/>
        </w:rPr>
      </w:pPr>
      <w:r>
        <w:rPr>
          <w:szCs w:val="22"/>
        </w:rPr>
        <w:t xml:space="preserve">The waiver request </w:t>
      </w:r>
      <w:r w:rsidR="008A467A">
        <w:rPr>
          <w:szCs w:val="22"/>
        </w:rPr>
        <w:t xml:space="preserve">also </w:t>
      </w:r>
      <w:r>
        <w:rPr>
          <w:szCs w:val="22"/>
        </w:rPr>
        <w:t>must be signed by a company representative or officer responsible for its truthfulness.</w:t>
      </w:r>
      <w:r>
        <w:rPr>
          <w:rStyle w:val="FootnoteReference"/>
          <w:szCs w:val="22"/>
        </w:rPr>
        <w:footnoteReference w:id="15"/>
      </w:r>
      <w:r w:rsidR="002C2373">
        <w:t xml:space="preserve">  If granted </w:t>
      </w:r>
      <w:r w:rsidRPr="00B52738" w:rsidR="00F85432">
        <w:t xml:space="preserve">a waiver of </w:t>
      </w:r>
      <w:r w:rsidR="00F85432">
        <w:t xml:space="preserve">the </w:t>
      </w:r>
      <w:r w:rsidR="002C2373">
        <w:t xml:space="preserve">applicable </w:t>
      </w:r>
      <w:r w:rsidR="00A21A8E">
        <w:t xml:space="preserve">volume control </w:t>
      </w:r>
      <w:r w:rsidR="00F85432">
        <w:t>reset provision</w:t>
      </w:r>
      <w:r w:rsidR="002C2373">
        <w:t xml:space="preserve">, </w:t>
      </w:r>
      <w:r w:rsidR="00F85432">
        <w:rPr>
          <w:szCs w:val="22"/>
        </w:rPr>
        <w:t xml:space="preserve">the petitioner may then request </w:t>
      </w:r>
      <w:r>
        <w:rPr>
          <w:szCs w:val="22"/>
        </w:rPr>
        <w:t>certifi</w:t>
      </w:r>
      <w:r w:rsidR="00F85432">
        <w:rPr>
          <w:szCs w:val="22"/>
        </w:rPr>
        <w:t xml:space="preserve">cation of its telephone device </w:t>
      </w:r>
      <w:r>
        <w:rPr>
          <w:szCs w:val="22"/>
        </w:rPr>
        <w:t xml:space="preserve">by </w:t>
      </w:r>
      <w:r w:rsidRPr="0051740A">
        <w:rPr>
          <w:szCs w:val="22"/>
        </w:rPr>
        <w:t xml:space="preserve">a </w:t>
      </w:r>
      <w:r w:rsidRPr="00B52738" w:rsidR="00F85432">
        <w:t xml:space="preserve">Telecommunications Certification Body </w:t>
      </w:r>
      <w:r w:rsidR="00F85432">
        <w:t>(</w:t>
      </w:r>
      <w:r w:rsidRPr="00DA739E">
        <w:rPr>
          <w:szCs w:val="22"/>
        </w:rPr>
        <w:t>TCB</w:t>
      </w:r>
      <w:r w:rsidR="00F85432">
        <w:rPr>
          <w:szCs w:val="22"/>
        </w:rPr>
        <w:t>)</w:t>
      </w:r>
      <w:r w:rsidRPr="0051740A">
        <w:rPr>
          <w:szCs w:val="22"/>
        </w:rPr>
        <w:t xml:space="preserve"> or </w:t>
      </w:r>
      <w:r w:rsidR="00F85432">
        <w:rPr>
          <w:szCs w:val="22"/>
        </w:rPr>
        <w:t xml:space="preserve">submit </w:t>
      </w:r>
      <w:r>
        <w:rPr>
          <w:szCs w:val="22"/>
        </w:rPr>
        <w:t xml:space="preserve">a </w:t>
      </w:r>
      <w:r w:rsidRPr="00B52738" w:rsidR="00F85432">
        <w:t>Supplier’s Declaration of Conformity</w:t>
      </w:r>
      <w:r w:rsidR="00F85432">
        <w:t xml:space="preserve"> (</w:t>
      </w:r>
      <w:r w:rsidR="00F85432">
        <w:t>SDoC</w:t>
      </w:r>
      <w:r w:rsidR="00F85432">
        <w:t>).</w:t>
      </w:r>
      <w:r>
        <w:rPr>
          <w:rStyle w:val="FootnoteReference"/>
        </w:rPr>
        <w:footnoteReference w:id="16"/>
      </w:r>
    </w:p>
    <w:p w:rsidR="003046CF" w:rsidRPr="0051740A" w:rsidP="003046CF">
      <w:pPr>
        <w:spacing w:after="120"/>
        <w:ind w:firstLine="720"/>
        <w:rPr>
          <w:szCs w:val="22"/>
        </w:rPr>
      </w:pPr>
      <w:r w:rsidRPr="000845F2">
        <w:rPr>
          <w:i/>
          <w:szCs w:val="22"/>
        </w:rPr>
        <w:t>Electronic Filers</w:t>
      </w:r>
      <w:r>
        <w:rPr>
          <w:i/>
          <w:szCs w:val="22"/>
        </w:rPr>
        <w:t>.</w:t>
      </w:r>
      <w:r w:rsidRPr="00290DC6">
        <w:rPr>
          <w:szCs w:val="22"/>
        </w:rPr>
        <w:t xml:space="preserve"> </w:t>
      </w:r>
      <w:r w:rsidRPr="0051740A">
        <w:rPr>
          <w:szCs w:val="22"/>
        </w:rPr>
        <w:t xml:space="preserve"> We strongly encourage</w:t>
      </w:r>
      <w:r w:rsidRPr="00290DC6">
        <w:rPr>
          <w:szCs w:val="22"/>
        </w:rPr>
        <w:t xml:space="preserve"> </w:t>
      </w:r>
      <w:r w:rsidRPr="0051740A">
        <w:rPr>
          <w:szCs w:val="22"/>
        </w:rPr>
        <w:t xml:space="preserve">all parties filing petitions for waiver of </w:t>
      </w:r>
      <w:r w:rsidR="00D46075">
        <w:rPr>
          <w:szCs w:val="22"/>
        </w:rPr>
        <w:t xml:space="preserve">the reset requirements of </w:t>
      </w:r>
      <w:r w:rsidRPr="0051740A">
        <w:rPr>
          <w:szCs w:val="22"/>
        </w:rPr>
        <w:t>section</w:t>
      </w:r>
      <w:r w:rsidR="001863CB">
        <w:rPr>
          <w:szCs w:val="22"/>
        </w:rPr>
        <w:t>s</w:t>
      </w:r>
      <w:r w:rsidRPr="0051740A">
        <w:rPr>
          <w:szCs w:val="22"/>
        </w:rPr>
        <w:t xml:space="preserve"> 68.317(</w:t>
      </w:r>
      <w:r>
        <w:rPr>
          <w:szCs w:val="22"/>
        </w:rPr>
        <w:t>g</w:t>
      </w:r>
      <w:r w:rsidRPr="0051740A">
        <w:rPr>
          <w:szCs w:val="22"/>
        </w:rPr>
        <w:t>)</w:t>
      </w:r>
      <w:r w:rsidR="001863CB">
        <w:rPr>
          <w:szCs w:val="22"/>
        </w:rPr>
        <w:t xml:space="preserve"> or </w:t>
      </w:r>
      <w:r>
        <w:rPr>
          <w:szCs w:val="22"/>
        </w:rPr>
        <w:t>(h)</w:t>
      </w:r>
      <w:r w:rsidRPr="0051740A">
        <w:rPr>
          <w:szCs w:val="22"/>
        </w:rPr>
        <w:t>, regardless of whether they use the streamlined process, to electronically file their petitions</w:t>
      </w:r>
      <w:r w:rsidR="00DA739E">
        <w:rPr>
          <w:szCs w:val="22"/>
        </w:rPr>
        <w:t xml:space="preserve">. </w:t>
      </w:r>
      <w:r w:rsidRPr="0051740A">
        <w:rPr>
          <w:szCs w:val="22"/>
        </w:rPr>
        <w:t xml:space="preserve"> </w:t>
      </w:r>
      <w:r w:rsidR="001B08C7">
        <w:rPr>
          <w:szCs w:val="22"/>
        </w:rPr>
        <w:t>If</w:t>
      </w:r>
      <w:r w:rsidR="00696A22">
        <w:rPr>
          <w:szCs w:val="22"/>
        </w:rPr>
        <w:t xml:space="preserve"> </w:t>
      </w:r>
      <w:r w:rsidR="001B08C7">
        <w:rPr>
          <w:szCs w:val="22"/>
        </w:rPr>
        <w:t>c</w:t>
      </w:r>
      <w:r w:rsidR="00696A22">
        <w:rPr>
          <w:szCs w:val="22"/>
        </w:rPr>
        <w:t xml:space="preserve">onfidential </w:t>
      </w:r>
      <w:r w:rsidR="001B08C7">
        <w:rPr>
          <w:szCs w:val="22"/>
        </w:rPr>
        <w:t>t</w:t>
      </w:r>
      <w:r w:rsidR="00696A22">
        <w:rPr>
          <w:szCs w:val="22"/>
        </w:rPr>
        <w:t xml:space="preserve">reatment </w:t>
      </w:r>
      <w:r w:rsidR="001B08C7">
        <w:rPr>
          <w:szCs w:val="22"/>
        </w:rPr>
        <w:t xml:space="preserve">is </w:t>
      </w:r>
      <w:r w:rsidR="00696A22">
        <w:rPr>
          <w:szCs w:val="22"/>
        </w:rPr>
        <w:t>request</w:t>
      </w:r>
      <w:r w:rsidR="001B08C7">
        <w:rPr>
          <w:szCs w:val="22"/>
        </w:rPr>
        <w:t>ed for a portion of a filing</w:t>
      </w:r>
      <w:r w:rsidR="00360FA2">
        <w:rPr>
          <w:szCs w:val="22"/>
        </w:rPr>
        <w:t>,</w:t>
      </w:r>
      <w:r w:rsidR="00696A22">
        <w:rPr>
          <w:szCs w:val="22"/>
        </w:rPr>
        <w:t xml:space="preserve"> </w:t>
      </w:r>
      <w:r w:rsidR="001B08C7">
        <w:rPr>
          <w:szCs w:val="22"/>
        </w:rPr>
        <w:t xml:space="preserve">only the public, redacted version should be electronically filed.  The procedure for seeking confidential </w:t>
      </w:r>
      <w:r w:rsidRPr="00EA03AD" w:rsidR="001B08C7">
        <w:rPr>
          <w:szCs w:val="22"/>
        </w:rPr>
        <w:t xml:space="preserve">treatment is </w:t>
      </w:r>
      <w:r w:rsidRPr="00EA03AD" w:rsidR="00696A22">
        <w:rPr>
          <w:szCs w:val="22"/>
        </w:rPr>
        <w:t>discussed</w:t>
      </w:r>
      <w:r w:rsidR="00696A22">
        <w:rPr>
          <w:szCs w:val="22"/>
        </w:rPr>
        <w:t xml:space="preserve"> below</w:t>
      </w:r>
      <w:r w:rsidR="001B08C7">
        <w:rPr>
          <w:szCs w:val="22"/>
        </w:rPr>
        <w:t>.</w:t>
      </w:r>
      <w:r w:rsidR="00D03833">
        <w:rPr>
          <w:szCs w:val="22"/>
        </w:rPr>
        <w:t xml:space="preserve">  Electronic filers must</w:t>
      </w:r>
      <w:r w:rsidR="00696A22">
        <w:rPr>
          <w:szCs w:val="22"/>
        </w:rPr>
        <w:t xml:space="preserve"> </w:t>
      </w:r>
      <w:r w:rsidRPr="0051740A">
        <w:rPr>
          <w:szCs w:val="22"/>
        </w:rPr>
        <w:t>us</w:t>
      </w:r>
      <w:r w:rsidR="00D03833">
        <w:rPr>
          <w:szCs w:val="22"/>
        </w:rPr>
        <w:t>e</w:t>
      </w:r>
      <w:r w:rsidRPr="0051740A">
        <w:rPr>
          <w:szCs w:val="22"/>
        </w:rPr>
        <w:t xml:space="preserve"> the Commission’s Electronic Comment Filing System (ECFS) at </w:t>
      </w:r>
      <w:r>
        <w:fldChar w:fldCharType="begin"/>
      </w:r>
      <w:r>
        <w:instrText xml:space="preserve"> HYPERLINK "https://www.fcc.gov/ecfs/filings" </w:instrText>
      </w:r>
      <w:r>
        <w:fldChar w:fldCharType="separate"/>
      </w:r>
      <w:r>
        <w:rPr>
          <w:rStyle w:val="Hyperlink"/>
          <w:szCs w:val="22"/>
        </w:rPr>
        <w:t>https://www.fcc.gov/ecfs/filings</w:t>
      </w:r>
      <w:r>
        <w:fldChar w:fldCharType="end"/>
      </w:r>
      <w:r>
        <w:rPr>
          <w:rStyle w:val="Hyperlink"/>
          <w:szCs w:val="22"/>
        </w:rPr>
        <w:t>/</w:t>
      </w:r>
      <w:r w:rsidRPr="0051740A">
        <w:rPr>
          <w:szCs w:val="22"/>
        </w:rPr>
        <w:t xml:space="preserve">, </w:t>
      </w:r>
      <w:r>
        <w:rPr>
          <w:szCs w:val="22"/>
        </w:rPr>
        <w:t xml:space="preserve">and specify the </w:t>
      </w:r>
      <w:r w:rsidR="00D960A4">
        <w:rPr>
          <w:szCs w:val="22"/>
        </w:rPr>
        <w:t>p</w:t>
      </w:r>
      <w:r>
        <w:rPr>
          <w:szCs w:val="22"/>
        </w:rPr>
        <w:t>roceeding as 18-</w:t>
      </w:r>
      <w:r w:rsidR="00F4771F">
        <w:rPr>
          <w:szCs w:val="22"/>
        </w:rPr>
        <w:t>307</w:t>
      </w:r>
      <w:r>
        <w:rPr>
          <w:szCs w:val="22"/>
        </w:rPr>
        <w:t xml:space="preserve"> (corresponding to </w:t>
      </w:r>
      <w:r w:rsidRPr="00BC623C">
        <w:rPr>
          <w:szCs w:val="22"/>
        </w:rPr>
        <w:t>CG Docket No. 18-</w:t>
      </w:r>
      <w:r w:rsidR="00F4771F">
        <w:rPr>
          <w:szCs w:val="22"/>
        </w:rPr>
        <w:t>307</w:t>
      </w:r>
      <w:r w:rsidRPr="0008139D">
        <w:rPr>
          <w:szCs w:val="22"/>
        </w:rPr>
        <w:t xml:space="preserve">). </w:t>
      </w:r>
      <w:r w:rsidRPr="0051740A">
        <w:rPr>
          <w:szCs w:val="22"/>
        </w:rPr>
        <w:t xml:space="preserve"> </w:t>
      </w:r>
      <w:r>
        <w:rPr>
          <w:szCs w:val="22"/>
        </w:rPr>
        <w:t>A</w:t>
      </w:r>
      <w:r w:rsidRPr="0051740A">
        <w:rPr>
          <w:szCs w:val="22"/>
        </w:rPr>
        <w:t xml:space="preserve"> copy of the </w:t>
      </w:r>
      <w:r>
        <w:rPr>
          <w:szCs w:val="22"/>
        </w:rPr>
        <w:t xml:space="preserve">waiver </w:t>
      </w:r>
      <w:r w:rsidRPr="0051740A">
        <w:rPr>
          <w:szCs w:val="22"/>
        </w:rPr>
        <w:t>request shall be e-mailed to</w:t>
      </w:r>
      <w:r w:rsidR="008C5666">
        <w:rPr>
          <w:szCs w:val="22"/>
        </w:rPr>
        <w:t xml:space="preserve"> </w:t>
      </w:r>
      <w:r>
        <w:fldChar w:fldCharType="begin"/>
      </w:r>
      <w:r>
        <w:instrText xml:space="preserve"> HYPERLINK "mailto:HACVolumeControlResetWaivers@fcc.gov" </w:instrText>
      </w:r>
      <w:r>
        <w:fldChar w:fldCharType="separate"/>
      </w:r>
      <w:r w:rsidRPr="0034131A" w:rsidR="008C5666">
        <w:rPr>
          <w:rStyle w:val="Hyperlink"/>
          <w:szCs w:val="22"/>
        </w:rPr>
        <w:t>HACVolumeControlResetWaivers@fcc.gov</w:t>
      </w:r>
      <w:r>
        <w:fldChar w:fldCharType="end"/>
      </w:r>
      <w:r w:rsidR="008C5666">
        <w:rPr>
          <w:szCs w:val="22"/>
        </w:rPr>
        <w:t xml:space="preserve">. </w:t>
      </w:r>
      <w:r w:rsidRPr="0051740A">
        <w:rPr>
          <w:szCs w:val="22"/>
        </w:rPr>
        <w:t xml:space="preserve"> </w:t>
      </w:r>
    </w:p>
    <w:p w:rsidR="003046CF" w:rsidRPr="0051740A" w:rsidP="003046CF">
      <w:pPr>
        <w:spacing w:after="120"/>
        <w:ind w:firstLine="720"/>
        <w:rPr>
          <w:szCs w:val="22"/>
        </w:rPr>
      </w:pPr>
      <w:r w:rsidRPr="0051740A">
        <w:rPr>
          <w:i/>
          <w:szCs w:val="22"/>
        </w:rPr>
        <w:t>Paper Filers</w:t>
      </w:r>
      <w:r>
        <w:rPr>
          <w:i/>
          <w:szCs w:val="22"/>
        </w:rPr>
        <w:t>.</w:t>
      </w:r>
      <w:r w:rsidRPr="0051740A">
        <w:rPr>
          <w:szCs w:val="22"/>
        </w:rPr>
        <w:t xml:space="preserve">  Parties who choose to submit by paper must submit an original and </w:t>
      </w:r>
      <w:r>
        <w:rPr>
          <w:szCs w:val="22"/>
        </w:rPr>
        <w:t xml:space="preserve">four </w:t>
      </w:r>
      <w:r w:rsidRPr="0051740A">
        <w:rPr>
          <w:szCs w:val="22"/>
        </w:rPr>
        <w:t>cop</w:t>
      </w:r>
      <w:r>
        <w:rPr>
          <w:szCs w:val="22"/>
        </w:rPr>
        <w:t>ies</w:t>
      </w:r>
      <w:r w:rsidRPr="0051740A">
        <w:rPr>
          <w:szCs w:val="22"/>
        </w:rPr>
        <w:t xml:space="preserve"> of each filing.  </w:t>
      </w:r>
      <w:r>
        <w:rPr>
          <w:szCs w:val="22"/>
        </w:rPr>
        <w:t xml:space="preserve">All filings must refer to </w:t>
      </w:r>
      <w:r w:rsidRPr="00BC623C">
        <w:rPr>
          <w:szCs w:val="22"/>
        </w:rPr>
        <w:t>CG Docket No. 18-</w:t>
      </w:r>
      <w:r w:rsidR="00696A22">
        <w:rPr>
          <w:szCs w:val="22"/>
        </w:rPr>
        <w:t>307</w:t>
      </w:r>
      <w:r>
        <w:rPr>
          <w:szCs w:val="22"/>
        </w:rPr>
        <w:t>, and</w:t>
      </w:r>
      <w:r w:rsidRPr="00AB7EC2">
        <w:rPr>
          <w:szCs w:val="22"/>
        </w:rPr>
        <w:t xml:space="preserve"> must be addressed to the Commission’s Secretary, Office of the Secretary, Federal Communications Commission.  </w:t>
      </w:r>
      <w:r w:rsidRPr="0051740A">
        <w:rPr>
          <w:szCs w:val="22"/>
        </w:rPr>
        <w:t>To expedite the</w:t>
      </w:r>
      <w:r w:rsidRPr="00AB7EC2">
        <w:rPr>
          <w:szCs w:val="22"/>
        </w:rPr>
        <w:t xml:space="preserve"> processing of the petitions, parties submitting by paper are encouraged to send a copy of the request by e-mail to </w:t>
      </w:r>
      <w:r>
        <w:fldChar w:fldCharType="begin"/>
      </w:r>
      <w:r>
        <w:instrText xml:space="preserve"> HYPERLINK "mailto:HACvolumecontrolresetwaivers@fcc.gov" </w:instrText>
      </w:r>
      <w:r>
        <w:fldChar w:fldCharType="separate"/>
      </w:r>
      <w:r w:rsidRPr="0051740A">
        <w:rPr>
          <w:rStyle w:val="Hyperlink"/>
          <w:szCs w:val="22"/>
        </w:rPr>
        <w:t>HACvolumecontrolresetwaivers@fcc.gov</w:t>
      </w:r>
      <w:r>
        <w:fldChar w:fldCharType="end"/>
      </w:r>
      <w:r w:rsidRPr="0051740A">
        <w:rPr>
          <w:szCs w:val="22"/>
        </w:rPr>
        <w:t xml:space="preserve">.  </w:t>
      </w:r>
    </w:p>
    <w:p w:rsidR="003046CF" w:rsidRPr="00AB7EC2" w:rsidP="003046CF">
      <w:pPr>
        <w:spacing w:after="120"/>
        <w:ind w:firstLine="720"/>
        <w:rPr>
          <w:szCs w:val="22"/>
        </w:rPr>
      </w:pPr>
      <w:r>
        <w:rPr>
          <w:szCs w:val="22"/>
        </w:rPr>
        <w:t>Paper f</w:t>
      </w:r>
      <w:r w:rsidRPr="00AB7EC2">
        <w:rPr>
          <w:szCs w:val="22"/>
        </w:rPr>
        <w:t xml:space="preserve">ilings can be sent by hand or messenger delivery, by commercial overnight courier, or by first-class or overnight U.S. Postal Service mail.  </w:t>
      </w:r>
    </w:p>
    <w:p w:rsidR="003046CF" w:rsidRPr="000845F2" w:rsidP="003046CF">
      <w:pPr>
        <w:pStyle w:val="ListParagraph"/>
        <w:numPr>
          <w:ilvl w:val="0"/>
          <w:numId w:val="7"/>
        </w:numPr>
        <w:spacing w:after="120"/>
        <w:ind w:left="1080"/>
        <w:contextualSpacing w:val="0"/>
        <w:rPr>
          <w:szCs w:val="22"/>
        </w:rPr>
      </w:pPr>
      <w:r w:rsidRPr="000845F2">
        <w:rPr>
          <w:szCs w:val="22"/>
        </w:rPr>
        <w:t xml:space="preserve">All hand-delivered or messenger-delivered paper </w:t>
      </w:r>
      <w:r w:rsidRPr="00740882">
        <w:rPr>
          <w:szCs w:val="22"/>
        </w:rPr>
        <w:t>filing</w:t>
      </w:r>
      <w:r w:rsidRPr="00740882" w:rsidR="007923DE">
        <w:rPr>
          <w:szCs w:val="22"/>
        </w:rPr>
        <w:t>s</w:t>
      </w:r>
      <w:r w:rsidRPr="00740882">
        <w:rPr>
          <w:szCs w:val="22"/>
        </w:rPr>
        <w:t xml:space="preserve"> for</w:t>
      </w:r>
      <w:r w:rsidRPr="000845F2">
        <w:rPr>
          <w:szCs w:val="22"/>
        </w:rPr>
        <w:t xml:space="preserve"> the Commission’s Secretary must be delivered to FCC Headquarters at 445 12</w:t>
      </w:r>
      <w:r w:rsidRPr="000845F2">
        <w:rPr>
          <w:szCs w:val="22"/>
          <w:vertAlign w:val="superscript"/>
        </w:rPr>
        <w:t>th</w:t>
      </w:r>
      <w:r w:rsidRPr="000845F2">
        <w:rPr>
          <w:szCs w:val="22"/>
        </w:rPr>
        <w:t xml:space="preserve"> Street, SW, Room TW-A325, Washington, DC 20554.  The filing hours are </w:t>
      </w:r>
      <w:r>
        <w:rPr>
          <w:szCs w:val="22"/>
        </w:rPr>
        <w:t xml:space="preserve">Monday through Friday, </w:t>
      </w:r>
      <w:r w:rsidRPr="000845F2">
        <w:rPr>
          <w:szCs w:val="22"/>
        </w:rPr>
        <w:t xml:space="preserve">8:00 a.m. to 7:00 p.m.  All hand deliveries must be held together with rubber bands or fasteners.  Any envelopes must be disposed of </w:t>
      </w:r>
      <w:r w:rsidRPr="000845F2">
        <w:rPr>
          <w:i/>
          <w:szCs w:val="22"/>
        </w:rPr>
        <w:t>before</w:t>
      </w:r>
      <w:r w:rsidRPr="000845F2">
        <w:rPr>
          <w:szCs w:val="22"/>
        </w:rPr>
        <w:t xml:space="preserve"> entering the building.  </w:t>
      </w:r>
    </w:p>
    <w:p w:rsidR="003046CF" w:rsidRPr="000845F2" w:rsidP="003046CF">
      <w:pPr>
        <w:pStyle w:val="ListParagraph"/>
        <w:numPr>
          <w:ilvl w:val="0"/>
          <w:numId w:val="7"/>
        </w:numPr>
        <w:spacing w:after="120"/>
        <w:ind w:left="1080"/>
        <w:contextualSpacing w:val="0"/>
        <w:rPr>
          <w:szCs w:val="22"/>
        </w:rPr>
      </w:pPr>
      <w:r w:rsidRPr="000845F2">
        <w:rPr>
          <w:szCs w:val="22"/>
        </w:rPr>
        <w:t>Commercial overnight mail (other than U.S. Postal Service Express Mail and Priority Mail) must be sent to</w:t>
      </w:r>
      <w:r>
        <w:rPr>
          <w:szCs w:val="22"/>
        </w:rPr>
        <w:t xml:space="preserve"> 9050 Junction Drive, Annapolis Junction, MD 20701</w:t>
      </w:r>
      <w:r w:rsidRPr="000845F2">
        <w:rPr>
          <w:szCs w:val="22"/>
        </w:rPr>
        <w:t xml:space="preserve">.  </w:t>
      </w:r>
    </w:p>
    <w:p w:rsidR="003046CF" w:rsidP="003046CF">
      <w:pPr>
        <w:pStyle w:val="ListParagraph"/>
        <w:numPr>
          <w:ilvl w:val="0"/>
          <w:numId w:val="7"/>
        </w:numPr>
        <w:spacing w:after="120"/>
        <w:ind w:left="1080"/>
        <w:contextualSpacing w:val="0"/>
        <w:rPr>
          <w:szCs w:val="22"/>
        </w:rPr>
      </w:pPr>
      <w:r w:rsidRPr="000845F2">
        <w:rPr>
          <w:szCs w:val="22"/>
        </w:rPr>
        <w:t>U.S. Postal Service first-class mail, Express Mail, and Priority Mail must be addressed to 445 12</w:t>
      </w:r>
      <w:r w:rsidRPr="000845F2">
        <w:rPr>
          <w:szCs w:val="22"/>
          <w:vertAlign w:val="superscript"/>
        </w:rPr>
        <w:t>th</w:t>
      </w:r>
      <w:r w:rsidRPr="000845F2">
        <w:rPr>
          <w:szCs w:val="22"/>
        </w:rPr>
        <w:t xml:space="preserve"> Street, SW, Washington, DC 20554.</w:t>
      </w:r>
    </w:p>
    <w:p w:rsidR="003046CF" w:rsidRPr="0043396E" w:rsidP="003046CF">
      <w:pPr>
        <w:spacing w:after="120"/>
        <w:ind w:firstLine="720"/>
        <w:rPr>
          <w:szCs w:val="22"/>
        </w:rPr>
      </w:pPr>
      <w:r w:rsidRPr="003C2BFC">
        <w:rPr>
          <w:szCs w:val="22"/>
        </w:rPr>
        <w:t xml:space="preserve">More information about paper filings is online at </w:t>
      </w:r>
      <w:r>
        <w:fldChar w:fldCharType="begin"/>
      </w:r>
      <w:r>
        <w:instrText xml:space="preserve"> HYPERLINK "https://www.fcc.gov/reports-research/guides/how-file-paper-documents-fcc" </w:instrText>
      </w:r>
      <w:r>
        <w:fldChar w:fldCharType="separate"/>
      </w:r>
      <w:r w:rsidRPr="00673C67">
        <w:rPr>
          <w:rStyle w:val="Hyperlink"/>
          <w:szCs w:val="22"/>
        </w:rPr>
        <w:t>https://www.fcc.gov/reports-research/guides/how-file-paper-documents-fcc</w:t>
      </w:r>
      <w:r>
        <w:fldChar w:fldCharType="end"/>
      </w:r>
      <w:r w:rsidRPr="00673C67">
        <w:rPr>
          <w:szCs w:val="22"/>
        </w:rPr>
        <w:t>.</w:t>
      </w:r>
      <w:r>
        <w:rPr>
          <w:szCs w:val="22"/>
        </w:rPr>
        <w:t xml:space="preserve"> </w:t>
      </w:r>
    </w:p>
    <w:p w:rsidR="003046CF" w:rsidP="008618DB">
      <w:pPr>
        <w:spacing w:after="120"/>
        <w:ind w:firstLine="720"/>
        <w:rPr>
          <w:szCs w:val="22"/>
        </w:rPr>
      </w:pPr>
      <w:r w:rsidRPr="000845F2">
        <w:rPr>
          <w:i/>
          <w:szCs w:val="22"/>
        </w:rPr>
        <w:t>Confidential Treatment.</w:t>
      </w:r>
      <w:r w:rsidRPr="000845F2">
        <w:rPr>
          <w:szCs w:val="22"/>
        </w:rPr>
        <w:t xml:space="preserve">  If the petitioner needs to request confidential treatment for any of the information contained in or submitted in support of the petition, </w:t>
      </w:r>
      <w:r>
        <w:rPr>
          <w:szCs w:val="22"/>
        </w:rPr>
        <w:t>the petitioner must comply with section 0.459 of the Commission’s rules</w:t>
      </w:r>
      <w:r w:rsidRPr="000845F2">
        <w:rPr>
          <w:szCs w:val="22"/>
        </w:rPr>
        <w:t>.</w:t>
      </w:r>
      <w:r>
        <w:rPr>
          <w:szCs w:val="22"/>
          <w:vertAlign w:val="superscript"/>
        </w:rPr>
        <w:footnoteReference w:id="17"/>
      </w:r>
      <w:r w:rsidRPr="0051740A">
        <w:rPr>
          <w:szCs w:val="22"/>
        </w:rPr>
        <w:t xml:space="preserve">  A petitioner seeking such treatment for any such information must submit two separate filings:</w:t>
      </w:r>
      <w:r>
        <w:rPr>
          <w:szCs w:val="22"/>
        </w:rPr>
        <w:t xml:space="preserve"> </w:t>
      </w:r>
      <w:r w:rsidRPr="0051740A">
        <w:rPr>
          <w:szCs w:val="22"/>
        </w:rPr>
        <w:t xml:space="preserve"> (1) a written request for confidential treatment that is attached to a complete, unredacted submission; and (2) a public version that redacts any claimed confidential information.</w:t>
      </w:r>
      <w:r>
        <w:rPr>
          <w:rStyle w:val="FootnoteReference"/>
          <w:szCs w:val="22"/>
        </w:rPr>
        <w:footnoteReference w:id="18"/>
      </w:r>
      <w:r w:rsidRPr="0051740A">
        <w:rPr>
          <w:szCs w:val="22"/>
        </w:rPr>
        <w:t xml:space="preserve">  The request for confidential treatment with the unredacted submission </w:t>
      </w:r>
      <w:r w:rsidR="00E5466B">
        <w:rPr>
          <w:szCs w:val="22"/>
        </w:rPr>
        <w:t xml:space="preserve">must </w:t>
      </w:r>
      <w:r w:rsidRPr="0051740A">
        <w:rPr>
          <w:szCs w:val="22"/>
        </w:rPr>
        <w:t xml:space="preserve">not be filed via ECFS; it </w:t>
      </w:r>
      <w:r>
        <w:rPr>
          <w:szCs w:val="22"/>
        </w:rPr>
        <w:t>must</w:t>
      </w:r>
      <w:r w:rsidRPr="0051740A">
        <w:rPr>
          <w:szCs w:val="22"/>
        </w:rPr>
        <w:t xml:space="preserve"> be filed on paper.  The request for confidential treatment and its attachments should say</w:t>
      </w:r>
      <w:r w:rsidR="00BB0A56">
        <w:rPr>
          <w:szCs w:val="22"/>
        </w:rPr>
        <w:t xml:space="preserve"> </w:t>
      </w:r>
      <w:r w:rsidRPr="0051740A">
        <w:rPr>
          <w:szCs w:val="22"/>
        </w:rPr>
        <w:t>“</w:t>
      </w:r>
      <w:r w:rsidRPr="0051740A">
        <w:rPr>
          <w:b/>
          <w:bCs/>
          <w:szCs w:val="22"/>
        </w:rPr>
        <w:t>CONFIDENTIAL, NOT FOR PUBLIC INSPECTION”</w:t>
      </w:r>
      <w:r w:rsidRPr="0051740A">
        <w:rPr>
          <w:bCs/>
          <w:szCs w:val="22"/>
        </w:rPr>
        <w:t xml:space="preserve"> at the top right of each page.</w:t>
      </w:r>
      <w:r w:rsidRPr="0051740A">
        <w:rPr>
          <w:b/>
          <w:bCs/>
          <w:szCs w:val="22"/>
        </w:rPr>
        <w:t xml:space="preserve">  </w:t>
      </w:r>
      <w:r w:rsidRPr="0051740A">
        <w:rPr>
          <w:szCs w:val="22"/>
        </w:rPr>
        <w:t xml:space="preserve">The public </w:t>
      </w:r>
      <w:r w:rsidRPr="0051740A">
        <w:rPr>
          <w:szCs w:val="22"/>
        </w:rPr>
        <w:t xml:space="preserve">version—with the confidential information redacted—may be filed via ECFS or on paper.  </w:t>
      </w:r>
      <w:r>
        <w:rPr>
          <w:szCs w:val="22"/>
        </w:rPr>
        <w:t>T</w:t>
      </w:r>
      <w:r w:rsidRPr="000845F2">
        <w:rPr>
          <w:szCs w:val="22"/>
        </w:rPr>
        <w:t xml:space="preserve">he petitioner should send a notice of the filing via e-mail to </w:t>
      </w:r>
      <w:r>
        <w:fldChar w:fldCharType="begin"/>
      </w:r>
      <w:r>
        <w:instrText xml:space="preserve"> HYPERLINK "mailto:HACvolumecontrolresetwaivers@fcc.gov" </w:instrText>
      </w:r>
      <w:r>
        <w:fldChar w:fldCharType="separate"/>
      </w:r>
      <w:r w:rsidRPr="0051740A">
        <w:rPr>
          <w:rStyle w:val="Hyperlink"/>
          <w:szCs w:val="22"/>
        </w:rPr>
        <w:t>HACvolumecontrolresetwaivers@fcc.gov</w:t>
      </w:r>
      <w:r>
        <w:fldChar w:fldCharType="end"/>
      </w:r>
      <w:r w:rsidRPr="0051740A">
        <w:rPr>
          <w:szCs w:val="22"/>
        </w:rPr>
        <w:t xml:space="preserve">.  </w:t>
      </w:r>
    </w:p>
    <w:p w:rsidR="003046CF" w:rsidRPr="0051740A" w:rsidP="003046CF">
      <w:pPr>
        <w:spacing w:after="120"/>
        <w:rPr>
          <w:rFonts w:eastAsia="ヒラギノ角ゴ Pro W3"/>
          <w:color w:val="000000"/>
          <w:szCs w:val="22"/>
        </w:rPr>
      </w:pPr>
      <w:r w:rsidRPr="00290DC6">
        <w:rPr>
          <w:rFonts w:eastAsia="ヒラギノ角ゴ Pro W3"/>
          <w:color w:val="000000"/>
          <w:szCs w:val="22"/>
        </w:rPr>
        <w:tab/>
      </w:r>
      <w:r w:rsidRPr="00FB52B9">
        <w:rPr>
          <w:rFonts w:eastAsia="ヒラギノ角ゴ Pro W3"/>
          <w:i/>
          <w:color w:val="000000"/>
          <w:szCs w:val="22"/>
        </w:rPr>
        <w:t>Accessible Formats</w:t>
      </w:r>
      <w:r>
        <w:rPr>
          <w:rFonts w:eastAsia="ヒラギノ角ゴ Pro W3"/>
          <w:i/>
          <w:color w:val="000000"/>
          <w:szCs w:val="22"/>
        </w:rPr>
        <w:t>.</w:t>
      </w:r>
      <w:r w:rsidRPr="0051740A">
        <w:rPr>
          <w:rFonts w:eastAsia="ヒラギノ角ゴ Pro W3"/>
          <w:color w:val="000000"/>
          <w:szCs w:val="22"/>
        </w:rPr>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1740A">
        <w:rPr>
          <w:rFonts w:eastAsia="ヒラギノ角ゴ Pro W3"/>
          <w:color w:val="0000FF"/>
          <w:szCs w:val="22"/>
          <w:u w:val="single"/>
        </w:rPr>
        <w:t>fcc504@fcc.gov</w:t>
      </w:r>
      <w:r>
        <w:fldChar w:fldCharType="end"/>
      </w:r>
      <w:r w:rsidRPr="0051740A">
        <w:rPr>
          <w:rFonts w:eastAsia="ヒラギノ角ゴ Pro W3"/>
          <w:color w:val="000000"/>
          <w:szCs w:val="22"/>
        </w:rPr>
        <w:t xml:space="preserve"> or call </w:t>
      </w:r>
      <w:r w:rsidR="00B60BE7">
        <w:rPr>
          <w:rFonts w:eastAsia="ヒラギノ角ゴ Pro W3"/>
          <w:color w:val="000000"/>
          <w:szCs w:val="22"/>
        </w:rPr>
        <w:t xml:space="preserve">CGB </w:t>
      </w:r>
      <w:r w:rsidRPr="0051740A">
        <w:rPr>
          <w:rFonts w:eastAsia="ヒラギノ角ゴ Pro W3"/>
          <w:color w:val="000000"/>
          <w:szCs w:val="22"/>
        </w:rPr>
        <w:t>at 202-418-0530 (voice)</w:t>
      </w:r>
      <w:r>
        <w:rPr>
          <w:rFonts w:eastAsia="ヒラギノ角ゴ Pro W3"/>
          <w:color w:val="000000"/>
          <w:szCs w:val="22"/>
        </w:rPr>
        <w:t xml:space="preserve">, </w:t>
      </w:r>
      <w:r w:rsidRPr="00415306">
        <w:rPr>
          <w:szCs w:val="22"/>
        </w:rPr>
        <w:t>844-432-2275 (videophone),</w:t>
      </w:r>
      <w:r w:rsidRPr="0051740A">
        <w:rPr>
          <w:rFonts w:eastAsia="ヒラギノ角ゴ Pro W3"/>
          <w:color w:val="000000"/>
          <w:szCs w:val="22"/>
        </w:rPr>
        <w:t xml:space="preserve"> or 202-418-0432 (TTY).  </w:t>
      </w:r>
    </w:p>
    <w:p w:rsidR="003046CF" w:rsidRPr="0051740A" w:rsidP="003046CF">
      <w:pPr>
        <w:spacing w:after="120"/>
        <w:ind w:firstLine="720"/>
        <w:rPr>
          <w:rFonts w:eastAsia="ヒラギノ角ゴ Pro W3"/>
          <w:color w:val="000000"/>
          <w:szCs w:val="22"/>
        </w:rPr>
      </w:pPr>
      <w:r w:rsidRPr="00F43C97">
        <w:rPr>
          <w:rFonts w:eastAsia="ヒラギノ角ゴ Pro W3"/>
          <w:i/>
          <w:color w:val="000000"/>
          <w:szCs w:val="22"/>
        </w:rPr>
        <w:t>For Further Information</w:t>
      </w:r>
      <w:r w:rsidR="0008139D">
        <w:rPr>
          <w:rFonts w:eastAsia="ヒラギノ角ゴ Pro W3"/>
          <w:i/>
          <w:color w:val="000000"/>
          <w:szCs w:val="22"/>
        </w:rPr>
        <w:t xml:space="preserve">. </w:t>
      </w:r>
      <w:r w:rsidRPr="00F43C97">
        <w:rPr>
          <w:rFonts w:eastAsia="ヒラギノ角ゴ Pro W3"/>
          <w:i/>
          <w:color w:val="000000"/>
          <w:szCs w:val="22"/>
        </w:rPr>
        <w:t xml:space="preserve"> </w:t>
      </w:r>
      <w:r w:rsidRPr="00F66A7C">
        <w:rPr>
          <w:rFonts w:eastAsia="ヒラギノ角ゴ Pro W3"/>
          <w:color w:val="000000"/>
          <w:szCs w:val="22"/>
        </w:rPr>
        <w:t>Contact</w:t>
      </w:r>
      <w:r>
        <w:rPr>
          <w:rFonts w:eastAsia="ヒラギノ角ゴ Pro W3"/>
          <w:color w:val="000000"/>
          <w:szCs w:val="22"/>
        </w:rPr>
        <w:t xml:space="preserve"> </w:t>
      </w:r>
      <w:r w:rsidRPr="0051740A">
        <w:rPr>
          <w:rFonts w:eastAsia="ヒラギノ角ゴ Pro W3"/>
          <w:color w:val="000000"/>
          <w:szCs w:val="22"/>
        </w:rPr>
        <w:t xml:space="preserve">Susan Bahr, Disability Rights Office, </w:t>
      </w:r>
      <w:r w:rsidR="007C2BBE">
        <w:rPr>
          <w:rFonts w:eastAsia="ヒラギノ角ゴ Pro W3"/>
          <w:color w:val="000000"/>
          <w:szCs w:val="22"/>
        </w:rPr>
        <w:t>CGB</w:t>
      </w:r>
      <w:r w:rsidRPr="0051740A">
        <w:rPr>
          <w:rFonts w:eastAsia="ヒラギノ角ゴ Pro W3"/>
          <w:color w:val="000000"/>
          <w:szCs w:val="22"/>
        </w:rPr>
        <w:t xml:space="preserve">, </w:t>
      </w:r>
      <w:r>
        <w:fldChar w:fldCharType="begin"/>
      </w:r>
      <w:r>
        <w:instrText xml:space="preserve"> HYPERLINK "mailto:Susan.Bahr@fcc.gov" </w:instrText>
      </w:r>
      <w:r>
        <w:fldChar w:fldCharType="separate"/>
      </w:r>
      <w:r>
        <w:rPr>
          <w:rStyle w:val="Hyperlink"/>
          <w:rFonts w:eastAsia="ヒラギノ角ゴ Pro W3"/>
          <w:szCs w:val="22"/>
        </w:rPr>
        <w:t>Susan.Bahr@fcc.gov</w:t>
      </w:r>
      <w:r>
        <w:fldChar w:fldCharType="end"/>
      </w:r>
      <w:r w:rsidRPr="00D31C08">
        <w:rPr>
          <w:rFonts w:eastAsia="ヒラギノ角ゴ Pro W3"/>
          <w:color w:val="000000"/>
          <w:szCs w:val="22"/>
        </w:rPr>
        <w:t xml:space="preserve">, or </w:t>
      </w:r>
      <w:r w:rsidRPr="00EA03AD">
        <w:rPr>
          <w:rFonts w:eastAsia="ヒラギノ角ゴ Pro W3"/>
          <w:color w:val="000000"/>
          <w:szCs w:val="22"/>
        </w:rPr>
        <w:t>202</w:t>
      </w:r>
      <w:r w:rsidRPr="00EA03AD" w:rsidR="003B2BEA">
        <w:rPr>
          <w:rFonts w:eastAsia="ヒラギノ角ゴ Pro W3"/>
          <w:color w:val="000000"/>
          <w:szCs w:val="22"/>
        </w:rPr>
        <w:t>-</w:t>
      </w:r>
      <w:r w:rsidRPr="00EA03AD">
        <w:rPr>
          <w:rFonts w:eastAsia="ヒラギノ角ゴ Pro W3"/>
          <w:color w:val="000000"/>
          <w:szCs w:val="22"/>
        </w:rPr>
        <w:t>418-0573</w:t>
      </w:r>
      <w:r w:rsidRPr="00EA03AD">
        <w:rPr>
          <w:color w:val="212121"/>
          <w:szCs w:val="22"/>
        </w:rPr>
        <w:t>.</w:t>
      </w:r>
      <w:r w:rsidRPr="0051740A">
        <w:rPr>
          <w:rFonts w:eastAsia="ヒラギノ角ゴ Pro W3"/>
          <w:color w:val="000000"/>
          <w:szCs w:val="22"/>
        </w:rPr>
        <w:t xml:space="preserve">  </w:t>
      </w:r>
    </w:p>
    <w:p w:rsidR="003046CF" w:rsidRPr="00C55768" w:rsidP="003046CF">
      <w:pPr>
        <w:jc w:val="center"/>
        <w:rPr>
          <w:sz w:val="20"/>
        </w:rPr>
      </w:pPr>
      <w:r w:rsidRPr="00C55768">
        <w:rPr>
          <w:rFonts w:ascii="Times New Roman Bold" w:eastAsia="ヒラギノ角ゴ Pro W3" w:hAnsi="Times New Roman Bold"/>
          <w:color w:val="000000"/>
        </w:rPr>
        <w:t>-FCC-</w:t>
      </w:r>
    </w:p>
    <w:p w:rsidR="00F96F63" w:rsidRPr="00930ECF" w:rsidP="00F96F63">
      <w:pPr>
        <w:rPr>
          <w:sz w:val="24"/>
        </w:rPr>
      </w:pPr>
      <w:bookmarkEnd w:id="0"/>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4E"/>
    <w:family w:val="auto"/>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5835">
      <w:r>
        <w:separator/>
      </w:r>
    </w:p>
  </w:footnote>
  <w:footnote w:type="continuationSeparator" w:id="1">
    <w:p w:rsidR="004B5835">
      <w:pPr>
        <w:rPr>
          <w:sz w:val="20"/>
        </w:rPr>
      </w:pPr>
      <w:r>
        <w:rPr>
          <w:sz w:val="20"/>
        </w:rPr>
        <w:separator/>
      </w:r>
    </w:p>
  </w:footnote>
  <w:footnote w:type="continuationNotice" w:id="2">
    <w:p w:rsidR="004B5835" w:rsidP="00D10533">
      <w:pPr>
        <w:rPr>
          <w:sz w:val="20"/>
        </w:rPr>
      </w:pPr>
    </w:p>
  </w:footnote>
  <w:footnote w:id="3">
    <w:p w:rsidR="00DA5D15" w:rsidP="00DA5D15">
      <w:pPr>
        <w:pStyle w:val="FootnoteText"/>
      </w:pPr>
      <w:r>
        <w:rPr>
          <w:rStyle w:val="FootnoteReference"/>
        </w:rPr>
        <w:footnoteRef/>
      </w:r>
      <w:r>
        <w:t xml:space="preserve"> 47 CFR § 68.317(g)-(h).</w:t>
      </w:r>
    </w:p>
  </w:footnote>
  <w:footnote w:id="4">
    <w:p w:rsidR="003046CF" w:rsidRPr="005873A4" w:rsidP="003046CF">
      <w:pPr>
        <w:pStyle w:val="FootnoteText"/>
      </w:pPr>
      <w:r>
        <w:rPr>
          <w:rStyle w:val="FootnoteReference"/>
        </w:rPr>
        <w:footnoteRef/>
      </w:r>
      <w:r>
        <w:t xml:space="preserve"> </w:t>
      </w:r>
      <w:r w:rsidRPr="00F46BD5">
        <w:rPr>
          <w:i/>
        </w:rPr>
        <w:t>E.g.</w:t>
      </w:r>
      <w:r>
        <w:t>, 47 CFR §§ 68.1, 68.</w:t>
      </w:r>
      <w:r w:rsidR="00645592">
        <w:t>2(a)</w:t>
      </w:r>
      <w:r w:rsidR="009F510E">
        <w:t>, 68.4, 68.6</w:t>
      </w:r>
      <w:r>
        <w:t>.</w:t>
      </w:r>
      <w:r w:rsidRPr="00731393" w:rsidR="00731393">
        <w:t xml:space="preserve"> </w:t>
      </w:r>
      <w:r w:rsidR="00731393">
        <w:t xml:space="preserve"> “</w:t>
      </w:r>
      <w:r w:rsidRPr="007D7FCF" w:rsidR="00731393">
        <w:t>ACS telephonic CPE”</w:t>
      </w:r>
      <w:r w:rsidRPr="00F46BD5" w:rsidR="00731393">
        <w:t xml:space="preserve"> is “[c]</w:t>
      </w:r>
      <w:r w:rsidRPr="007D7FCF" w:rsidR="00731393">
        <w:rPr>
          <w:color w:val="000000"/>
          <w:shd w:val="clear" w:color="auto" w:fill="FFFFFF"/>
        </w:rPr>
        <w:t>ustomer</w:t>
      </w:r>
      <w:r w:rsidRPr="007D7FCF" w:rsidR="00731393">
        <w:rPr>
          <w:color w:val="000000"/>
          <w:shd w:val="clear" w:color="auto" w:fill="FFFFFF"/>
        </w:rPr>
        <w:t xml:space="preserve"> premises equipment used with advanced communications services that is designed to provide 2-way voice communication via a built-in speaker intended to be </w:t>
      </w:r>
      <w:r w:rsidRPr="005873A4" w:rsidR="00731393">
        <w:rPr>
          <w:color w:val="000000"/>
          <w:shd w:val="clear" w:color="auto" w:fill="FFFFFF"/>
        </w:rPr>
        <w:t>held to the ear in a manner functionally equivalent to a telephone, except for mobile handsets.”  47 CFR § 68.3.</w:t>
      </w:r>
      <w:r w:rsidRPr="005873A4" w:rsidR="00731393">
        <w:t xml:space="preserve"> </w:t>
      </w:r>
      <w:r w:rsidRPr="005873A4" w:rsidR="00BE5B19">
        <w:t xml:space="preserve"> </w:t>
      </w:r>
      <w:r w:rsidRPr="005873A4" w:rsidR="00731393">
        <w:t>This includes, but is not limited to, CPE used with wireline VoIP services</w:t>
      </w:r>
      <w:bookmarkStart w:id="1" w:name="_Hlk528145426"/>
      <w:r w:rsidRPr="005873A4" w:rsidR="00731393">
        <w:t>.</w:t>
      </w:r>
      <w:bookmarkEnd w:id="1"/>
    </w:p>
  </w:footnote>
  <w:footnote w:id="5">
    <w:p w:rsidR="00731393" w:rsidP="00731393">
      <w:pPr>
        <w:pStyle w:val="FootnoteText"/>
      </w:pPr>
      <w:r w:rsidRPr="005873A4">
        <w:rPr>
          <w:rStyle w:val="FootnoteReference"/>
        </w:rPr>
        <w:footnoteRef/>
      </w:r>
      <w:r w:rsidRPr="005873A4">
        <w:t xml:space="preserve"> 47 CFR § 68.317</w:t>
      </w:r>
      <w:r>
        <w:t>.</w:t>
      </w:r>
    </w:p>
  </w:footnote>
  <w:footnote w:id="6">
    <w:p w:rsidR="00731393" w:rsidP="00731393">
      <w:pPr>
        <w:pStyle w:val="FootnoteText"/>
      </w:pPr>
      <w:r>
        <w:rPr>
          <w:rStyle w:val="FootnoteReference"/>
        </w:rPr>
        <w:footnoteRef/>
      </w:r>
      <w:r>
        <w:t xml:space="preserve"> 47 CFR § 68.317(a)(1).</w:t>
      </w:r>
    </w:p>
  </w:footnote>
  <w:footnote w:id="7">
    <w:p w:rsidR="00731393" w:rsidP="00731393">
      <w:pPr>
        <w:pStyle w:val="FootnoteText"/>
      </w:pPr>
      <w:r>
        <w:rPr>
          <w:rStyle w:val="FootnoteReference"/>
        </w:rPr>
        <w:footnoteRef/>
      </w:r>
      <w:r>
        <w:t xml:space="preserve"> 47 CFR § 68.317(a)(2).</w:t>
      </w:r>
    </w:p>
  </w:footnote>
  <w:footnote w:id="8">
    <w:p w:rsidR="0035081F" w:rsidP="0035081F">
      <w:pPr>
        <w:pStyle w:val="FootnoteText"/>
      </w:pPr>
      <w:r>
        <w:rPr>
          <w:rStyle w:val="FootnoteReference"/>
        </w:rPr>
        <w:footnoteRef/>
      </w:r>
      <w:r>
        <w:t xml:space="preserve"> ROLR is the “‘</w:t>
      </w:r>
      <w:r w:rsidRPr="0048394C">
        <w:t>ratio in dB</w:t>
      </w:r>
      <w:r w:rsidRPr="005E23E1">
        <w:t xml:space="preserve"> of the voltage entering a loop and telephone to the sound pressure produced by the telephone's receiver.</w:t>
      </w:r>
      <w:r w:rsidRPr="00F022CB">
        <w:t xml:space="preserve">’”  </w:t>
      </w:r>
      <w:r w:rsidRPr="00F022CB">
        <w:rPr>
          <w:i/>
        </w:rPr>
        <w:t>Access to Telecommunications Equipment and Services by Persons with Disabilities</w:t>
      </w:r>
      <w:r w:rsidR="00C000F0">
        <w:rPr>
          <w:i/>
        </w:rPr>
        <w:t xml:space="preserve">; </w:t>
      </w:r>
      <w:r w:rsidRPr="00F022CB" w:rsidR="00C000F0">
        <w:rPr>
          <w:i/>
        </w:rPr>
        <w:t>Amendment of the Commission’s Rules Governing Hearing Aid-Compatible Mobile Handsets</w:t>
      </w:r>
      <w:r w:rsidRPr="00F022CB" w:rsidR="00C000F0">
        <w:t>;</w:t>
      </w:r>
      <w:r w:rsidRPr="00F022CB" w:rsidR="00C000F0">
        <w:rPr>
          <w:i/>
        </w:rPr>
        <w:t xml:space="preserve"> Comment Sought on 2010 Review of Hearing Aid Compatibility Regulations</w:t>
      </w:r>
      <w:r w:rsidRPr="00F022CB">
        <w:t>, Report and Order and Order on Reconsideration, 32 FCC Rcd 9063, 9067 n.24 (2017) (</w:t>
      </w:r>
      <w:r w:rsidRPr="00F022CB">
        <w:rPr>
          <w:i/>
        </w:rPr>
        <w:t>2017 HAC Order</w:t>
      </w:r>
      <w:r w:rsidRPr="00F022CB">
        <w:t>) (citation omitted).</w:t>
      </w:r>
    </w:p>
  </w:footnote>
  <w:footnote w:id="9">
    <w:p w:rsidR="002A1F2F">
      <w:pPr>
        <w:pStyle w:val="FootnoteText"/>
      </w:pPr>
      <w:r>
        <w:rPr>
          <w:rStyle w:val="FootnoteReference"/>
        </w:rPr>
        <w:footnoteRef/>
      </w:r>
      <w:r>
        <w:t xml:space="preserve"> </w:t>
      </w:r>
      <w:bookmarkStart w:id="2" w:name="_Hlk528661651"/>
      <w:r>
        <w:t>C</w:t>
      </w:r>
      <w:r w:rsidRPr="00582DC1">
        <w:t xml:space="preserve">onversational </w:t>
      </w:r>
      <w:r w:rsidRPr="005873A4">
        <w:t xml:space="preserve">gain is “the acoustic output signal from a device relative to the signal level that would be present in a face-to-face conversation at a distance of 1 meter.”  </w:t>
      </w:r>
      <w:r w:rsidRPr="005873A4" w:rsidR="00EC6E4C">
        <w:rPr>
          <w:i/>
        </w:rPr>
        <w:t>Id.</w:t>
      </w:r>
      <w:r w:rsidRPr="005873A4">
        <w:t xml:space="preserve"> at </w:t>
      </w:r>
      <w:r w:rsidRPr="005873A4" w:rsidR="00EC6E4C">
        <w:t>9083</w:t>
      </w:r>
      <w:r>
        <w:t xml:space="preserve"> n.154 (citation omitted).</w:t>
      </w:r>
      <w:bookmarkEnd w:id="2"/>
    </w:p>
  </w:footnote>
  <w:footnote w:id="10">
    <w:p w:rsidR="00C53DF9" w:rsidP="00C53DF9">
      <w:pPr>
        <w:pStyle w:val="FootnoteText"/>
      </w:pPr>
      <w:r>
        <w:rPr>
          <w:rStyle w:val="FootnoteReference"/>
        </w:rPr>
        <w:footnoteRef/>
      </w:r>
      <w:r>
        <w:t xml:space="preserve"> 47 </w:t>
      </w:r>
      <w:r w:rsidRPr="00914408">
        <w:t>CFR § 68.317</w:t>
      </w:r>
      <w:r>
        <w:t>(g)</w:t>
      </w:r>
      <w:r w:rsidRPr="00B52738">
        <w:rPr>
          <w:shd w:val="clear" w:color="auto" w:fill="FFFFFF"/>
        </w:rPr>
        <w:t>.</w:t>
      </w:r>
      <w:r>
        <w:rPr>
          <w:shd w:val="clear" w:color="auto" w:fill="FFFFFF"/>
        </w:rPr>
        <w:t xml:space="preserve">  </w:t>
      </w:r>
    </w:p>
  </w:footnote>
  <w:footnote w:id="11">
    <w:p w:rsidR="00C53DF9" w:rsidP="00C53DF9">
      <w:pPr>
        <w:pStyle w:val="FootnoteText"/>
      </w:pPr>
      <w:r>
        <w:rPr>
          <w:rStyle w:val="FootnoteReference"/>
        </w:rPr>
        <w:footnoteRef/>
      </w:r>
      <w:r>
        <w:t xml:space="preserve"> 47 CFR § 68.317(h).</w:t>
      </w:r>
    </w:p>
  </w:footnote>
  <w:footnote w:id="12">
    <w:p w:rsidR="00C93B42" w:rsidP="00C93B42">
      <w:pPr>
        <w:pStyle w:val="FootnoteText"/>
      </w:pPr>
      <w:r>
        <w:rPr>
          <w:rStyle w:val="FootnoteReference"/>
        </w:rPr>
        <w:footnoteRef/>
      </w:r>
      <w:r>
        <w:t xml:space="preserve"> </w:t>
      </w:r>
      <w:r w:rsidR="007047D5">
        <w:rPr>
          <w:i/>
        </w:rPr>
        <w:t xml:space="preserve">Tandy Corporation, Walker Equipment Company, </w:t>
      </w:r>
      <w:r w:rsidR="007047D5">
        <w:rPr>
          <w:i/>
        </w:rPr>
        <w:t>Ameriphone</w:t>
      </w:r>
      <w:r w:rsidR="007047D5">
        <w:rPr>
          <w:i/>
        </w:rPr>
        <w:t>, Inc., and Ultratec, Inc., Request for Waiver of Volume Control Reset, 47 C.F.R. § 68.317(f)</w:t>
      </w:r>
      <w:r w:rsidR="007047D5">
        <w:t xml:space="preserve">, </w:t>
      </w:r>
      <w:r w:rsidR="007047D5">
        <w:rPr>
          <w:spacing w:val="-2"/>
        </w:rPr>
        <w:t xml:space="preserve">NSD-L-00-17 et al., </w:t>
      </w:r>
      <w:r w:rsidR="007047D5">
        <w:t>Memorandum Opinion and Order</w:t>
      </w:r>
      <w:r w:rsidR="007047D5">
        <w:rPr>
          <w:spacing w:val="-2"/>
        </w:rPr>
        <w:t>, 16 FCC Rcd 5253, 5257-58, paras. 3-4, 13-15 (CCB 2001) (</w:t>
      </w:r>
      <w:r w:rsidR="007047D5">
        <w:rPr>
          <w:i/>
          <w:spacing w:val="-2"/>
        </w:rPr>
        <w:t>Tandy Corporation Waiver Order</w:t>
      </w:r>
      <w:r w:rsidR="007047D5">
        <w:rPr>
          <w:spacing w:val="-2"/>
        </w:rPr>
        <w:t>).</w:t>
      </w:r>
    </w:p>
  </w:footnote>
  <w:footnote w:id="13">
    <w:p w:rsidR="00613A17" w:rsidP="00613A17">
      <w:pPr>
        <w:pStyle w:val="FootnoteText"/>
      </w:pPr>
      <w:r>
        <w:rPr>
          <w:rStyle w:val="FootnoteReference"/>
        </w:rPr>
        <w:footnoteRef/>
      </w:r>
      <w:r>
        <w:t xml:space="preserve"> </w:t>
      </w:r>
      <w:r w:rsidRPr="007047D5" w:rsidR="007047D5">
        <w:rPr>
          <w:i/>
          <w:spacing w:val="-2"/>
        </w:rPr>
        <w:t>Id.</w:t>
      </w:r>
      <w:r w:rsidR="007047D5">
        <w:rPr>
          <w:spacing w:val="-2"/>
        </w:rPr>
        <w:t xml:space="preserve"> at</w:t>
      </w:r>
      <w:r>
        <w:rPr>
          <w:spacing w:val="-2"/>
        </w:rPr>
        <w:t xml:space="preserve"> 5258, para. 15.  </w:t>
      </w:r>
      <w:r w:rsidRPr="006A213C">
        <w:rPr>
          <w:spacing w:val="-2"/>
        </w:rPr>
        <w:t>Th</w:t>
      </w:r>
      <w:r w:rsidRPr="006A213C" w:rsidR="001863CB">
        <w:rPr>
          <w:spacing w:val="-2"/>
        </w:rPr>
        <w:t>is</w:t>
      </w:r>
      <w:r>
        <w:rPr>
          <w:spacing w:val="-2"/>
        </w:rPr>
        <w:t xml:space="preserve"> order references section 68.317(f) of the Commission’s rules</w:t>
      </w:r>
      <w:r w:rsidR="001863CB">
        <w:rPr>
          <w:spacing w:val="-2"/>
        </w:rPr>
        <w:t xml:space="preserve">, </w:t>
      </w:r>
      <w:r w:rsidRPr="006A213C" w:rsidR="001863CB">
        <w:rPr>
          <w:spacing w:val="-2"/>
        </w:rPr>
        <w:t xml:space="preserve">which originally contained the volume </w:t>
      </w:r>
      <w:r w:rsidRPr="00BE0A88" w:rsidR="001863CB">
        <w:rPr>
          <w:spacing w:val="-2"/>
        </w:rPr>
        <w:t>control reset requ</w:t>
      </w:r>
      <w:r w:rsidRPr="006A213C" w:rsidR="001863CB">
        <w:rPr>
          <w:spacing w:val="-2"/>
        </w:rPr>
        <w:t>irement</w:t>
      </w:r>
      <w:r>
        <w:rPr>
          <w:spacing w:val="-2"/>
        </w:rPr>
        <w:t xml:space="preserve">.  </w:t>
      </w:r>
      <w:r w:rsidR="003659D6">
        <w:rPr>
          <w:spacing w:val="-2"/>
        </w:rPr>
        <w:t>In the 2017 rule amendment</w:t>
      </w:r>
      <w:r>
        <w:rPr>
          <w:spacing w:val="-2"/>
        </w:rPr>
        <w:t>, section 68.317(f) was renamed section 68.317(g)</w:t>
      </w:r>
      <w:r w:rsidR="003659D6">
        <w:rPr>
          <w:spacing w:val="-2"/>
        </w:rPr>
        <w:t>,</w:t>
      </w:r>
      <w:r>
        <w:rPr>
          <w:spacing w:val="-2"/>
        </w:rPr>
        <w:t xml:space="preserve"> </w:t>
      </w:r>
      <w:r w:rsidR="00774757">
        <w:rPr>
          <w:spacing w:val="-2"/>
        </w:rPr>
        <w:t xml:space="preserve">and </w:t>
      </w:r>
      <w:r>
        <w:rPr>
          <w:spacing w:val="-2"/>
        </w:rPr>
        <w:t>section 68.317(h) was added</w:t>
      </w:r>
      <w:r w:rsidR="00774757">
        <w:rPr>
          <w:spacing w:val="-2"/>
        </w:rPr>
        <w:t xml:space="preserve"> </w:t>
      </w:r>
      <w:r w:rsidR="003659D6">
        <w:rPr>
          <w:spacing w:val="-2"/>
        </w:rPr>
        <w:t>to incorporate the revised volume control standard</w:t>
      </w:r>
      <w:r>
        <w:rPr>
          <w:spacing w:val="-2"/>
        </w:rPr>
        <w:t xml:space="preserve">.  </w:t>
      </w:r>
      <w:r w:rsidRPr="003659D6" w:rsidR="003659D6">
        <w:rPr>
          <w:i/>
        </w:rPr>
        <w:t>2017 HAC Order</w:t>
      </w:r>
      <w:r w:rsidRPr="00852BDB">
        <w:t xml:space="preserve">, 32 FCC Rcd </w:t>
      </w:r>
      <w:r w:rsidR="003659D6">
        <w:t>at</w:t>
      </w:r>
      <w:r>
        <w:t xml:space="preserve"> 9094</w:t>
      </w:r>
      <w:r w:rsidR="003659D6">
        <w:t>,</w:t>
      </w:r>
      <w:r>
        <w:t xml:space="preserve"> App. B.</w:t>
      </w:r>
      <w:r w:rsidR="001863CB">
        <w:t xml:space="preserve">  </w:t>
      </w:r>
      <w:r w:rsidRPr="003659D6" w:rsidR="003659D6">
        <w:t xml:space="preserve">Waivers of both </w:t>
      </w:r>
      <w:r w:rsidR="002C2373">
        <w:t>provisions</w:t>
      </w:r>
      <w:r w:rsidRPr="003659D6" w:rsidR="003659D6">
        <w:t xml:space="preserve"> may be needed for a telephone model that is manufactured or imported both before and after February 28, 2020</w:t>
      </w:r>
      <w:r w:rsidR="002C2373">
        <w:t>.  For telephones that will be manufactured or imported before that date, p</w:t>
      </w:r>
      <w:r w:rsidRPr="002C2373" w:rsidR="002C2373">
        <w:t>arties seeking waivers under the streamlined process should specify whether they are requesting waiver of section 68.317(g), section 68.317(h), or both</w:t>
      </w:r>
      <w:r w:rsidR="007170AC">
        <w:t xml:space="preserve">; and whether the telephones will be connected to the PSTN, </w:t>
      </w:r>
      <w:r w:rsidR="00085604">
        <w:t xml:space="preserve">or are </w:t>
      </w:r>
      <w:r w:rsidR="007170AC">
        <w:t>ACS telephonic CPE, or both</w:t>
      </w:r>
      <w:r w:rsidRPr="002C2373" w:rsidR="002C2373">
        <w:t>.</w:t>
      </w:r>
    </w:p>
  </w:footnote>
  <w:footnote w:id="14">
    <w:p w:rsidR="003046CF" w:rsidRPr="00056861" w:rsidP="003046CF">
      <w:pPr>
        <w:pStyle w:val="FootnoteText"/>
      </w:pPr>
      <w:r>
        <w:rPr>
          <w:rStyle w:val="FootnoteReference"/>
        </w:rPr>
        <w:footnoteRef/>
      </w:r>
      <w:r>
        <w:t xml:space="preserve"> </w:t>
      </w:r>
      <w:r>
        <w:rPr>
          <w:i/>
        </w:rPr>
        <w:t xml:space="preserve">See Tandy Corporation Waiver Order, </w:t>
      </w:r>
      <w:r>
        <w:t>16 FCC Rcd at 5258, para. 17.</w:t>
      </w:r>
    </w:p>
  </w:footnote>
  <w:footnote w:id="15">
    <w:p w:rsidR="003046CF" w:rsidP="003046CF">
      <w:pPr>
        <w:pStyle w:val="FootnoteText"/>
      </w:pPr>
      <w:r>
        <w:rPr>
          <w:rStyle w:val="FootnoteReference"/>
        </w:rPr>
        <w:footnoteRef/>
      </w:r>
      <w:r>
        <w:t xml:space="preserve"> </w:t>
      </w:r>
      <w:r w:rsidRPr="008811FB">
        <w:rPr>
          <w:i/>
        </w:rPr>
        <w:t>Id.</w:t>
      </w:r>
      <w:r>
        <w:t xml:space="preserve"> at 5258, para</w:t>
      </w:r>
      <w:r w:rsidRPr="00983912">
        <w:t>. 15.</w:t>
      </w:r>
    </w:p>
  </w:footnote>
  <w:footnote w:id="16">
    <w:p w:rsidR="00F85432" w:rsidP="00F85432">
      <w:pPr>
        <w:pStyle w:val="FootnoteText"/>
      </w:pPr>
      <w:r>
        <w:rPr>
          <w:rStyle w:val="FootnoteReference"/>
        </w:rPr>
        <w:footnoteRef/>
      </w:r>
      <w:r>
        <w:t xml:space="preserve"> </w:t>
      </w:r>
      <w:bookmarkStart w:id="4" w:name="_Hlk527729780"/>
      <w:r w:rsidR="007170AC">
        <w:t>These alternat</w:t>
      </w:r>
      <w:r w:rsidR="0005035C">
        <w:t>iv</w:t>
      </w:r>
      <w:r w:rsidR="007170AC">
        <w:t>e processes are used t</w:t>
      </w:r>
      <w:r>
        <w:t>o demonstrate compliance with Part 68</w:t>
      </w:r>
      <w:bookmarkEnd w:id="4"/>
      <w:r w:rsidRPr="00E83803">
        <w:t xml:space="preserve">.  </w:t>
      </w:r>
      <w:r w:rsidRPr="00E83803">
        <w:rPr>
          <w:i/>
        </w:rPr>
        <w:t>See</w:t>
      </w:r>
      <w:r w:rsidRPr="00E83803">
        <w:t xml:space="preserve"> 47 CFR § </w:t>
      </w:r>
      <w:r>
        <w:t>68.201.</w:t>
      </w:r>
    </w:p>
  </w:footnote>
  <w:footnote w:id="17">
    <w:p w:rsidR="003046CF" w:rsidRPr="00ED3544" w:rsidP="003046CF">
      <w:pPr>
        <w:pStyle w:val="FootnoteText1"/>
        <w:spacing w:after="120"/>
        <w:rPr>
          <w:rFonts w:eastAsia="Times New Roman"/>
          <w:color w:val="auto"/>
          <w:sz w:val="20"/>
        </w:rPr>
      </w:pPr>
      <w:r>
        <w:rPr>
          <w:rStyle w:val="FootnoteReference1"/>
        </w:rPr>
        <w:footnoteRef/>
      </w:r>
      <w:r>
        <w:rPr>
          <w:sz w:val="20"/>
        </w:rPr>
        <w:t xml:space="preserve"> </w:t>
      </w:r>
      <w:r w:rsidRPr="00ED3544">
        <w:rPr>
          <w:sz w:val="20"/>
        </w:rPr>
        <w:t xml:space="preserve">47 </w:t>
      </w:r>
      <w:r>
        <w:rPr>
          <w:sz w:val="20"/>
        </w:rPr>
        <w:t>CFR</w:t>
      </w:r>
      <w:r w:rsidRPr="00ED3544">
        <w:rPr>
          <w:sz w:val="20"/>
        </w:rPr>
        <w:t xml:space="preserve"> § 0.459.</w:t>
      </w:r>
    </w:p>
  </w:footnote>
  <w:footnote w:id="18">
    <w:p w:rsidR="003046CF" w:rsidRPr="009B00C4" w:rsidP="003046CF">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A213C">
      <w:rPr>
        <w:b/>
      </w:rPr>
      <w:t>DA 18-</w:t>
    </w:r>
    <w:r w:rsidR="004F6358">
      <w:rPr>
        <w:b/>
      </w:rPr>
      <w:t>1196</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path arrowok="t" textboxrect="0,0,21600,21600"/>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 xmlns:a="http://schemas.openxmlformats.org/drawingml/2006/main">
            <a:graphicData uri="http://schemas.openxmlformats.org/drawingml/2006/picture">
              <pic:pic xmlns:pic="http://schemas.openxmlformats.org/drawingml/2006/picture">
                <pic:nvPicPr>
                  <pic:cNvPr id="0"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left:9pt;mso-wrap-distance-right:9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path arrowok="t" textboxrect="0,0,21600,21600"/>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051604"/>
    <w:multiLevelType w:val="hybridMultilevel"/>
    <w:tmpl w:val="939C4A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770805"/>
    <w:multiLevelType w:val="hybridMultilevel"/>
    <w:tmpl w:val="53C872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A7304B"/>
    <w:multiLevelType w:val="hybridMultilevel"/>
    <w:tmpl w:val="9920DD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CF4D13"/>
    <w:multiLevelType w:val="hybridMultilevel"/>
    <w:tmpl w:val="B5DAFF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292756"/>
    <w:multiLevelType w:val="hybridMultilevel"/>
    <w:tmpl w:val="B1FA5C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B1E60E1"/>
    <w:multiLevelType w:val="hybridMultilevel"/>
    <w:tmpl w:val="7F1CB7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6"/>
  </w:num>
  <w:num w:numId="2">
    <w:abstractNumId w:val="11"/>
  </w:num>
  <w:num w:numId="3">
    <w:abstractNumId w:val="8"/>
  </w:num>
  <w:num w:numId="4">
    <w:abstractNumId w:val="9"/>
  </w:num>
  <w:num w:numId="5">
    <w:abstractNumId w:val="7"/>
  </w:num>
  <w:num w:numId="6">
    <w:abstractNumId w:val="0"/>
  </w:num>
  <w:num w:numId="7">
    <w:abstractNumId w:val="2"/>
  </w:num>
  <w:num w:numId="8">
    <w:abstractNumId w:val="4"/>
  </w:num>
  <w:num w:numId="9">
    <w:abstractNumId w:val="3"/>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6C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1 Char,Footnote Text Char1,Footnote Text Char1 Char Char,Footnote Text Char1 Char Char Char1 Char,Footnote Text Char2,Footnote Text Char2 Char"/>
    <w:link w:val="FootnoteTextChar"/>
    <w:rsid w:val="000E3D42"/>
    <w:pPr>
      <w:spacing w:after="120"/>
    </w:pPr>
  </w:style>
  <w:style w:type="character" w:styleId="FootnoteReference">
    <w:name w:val="footnote reference"/>
    <w:aliases w:val="(NECG) Footnote Reference,Appel note de bas de p,FR,Style 12,Style 124,Style 13,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 Char,Footnote Text Char Char Char Char Char1 Char Char,Footnote Text Char1 Char,Footnote Text Char1 Char Char Char,Footnote Text Char1 Char Char Char1 Char Char,Footnote Text Char2 Char Char"/>
    <w:link w:val="FootnoteText"/>
    <w:locked/>
    <w:rsid w:val="003046CF"/>
  </w:style>
  <w:style w:type="character" w:customStyle="1" w:styleId="FootnoteReference1">
    <w:name w:val="Footnote Reference1"/>
    <w:rsid w:val="003046CF"/>
    <w:rPr>
      <w:color w:val="000000"/>
      <w:sz w:val="20"/>
      <w:vertAlign w:val="superscript"/>
    </w:rPr>
  </w:style>
  <w:style w:type="paragraph" w:customStyle="1" w:styleId="FootnoteText1">
    <w:name w:val="Footnote Text1"/>
    <w:rsid w:val="003046CF"/>
    <w:pPr>
      <w:tabs>
        <w:tab w:val="left" w:pos="720"/>
      </w:tabs>
      <w:spacing w:after="200"/>
    </w:pPr>
    <w:rPr>
      <w:rFonts w:eastAsia="ヒラギノ角ゴ Pro W3"/>
      <w:color w:val="000000"/>
      <w:sz w:val="22"/>
    </w:rPr>
  </w:style>
  <w:style w:type="paragraph" w:styleId="ListParagraph">
    <w:name w:val="List Paragraph"/>
    <w:basedOn w:val="Normal"/>
    <w:uiPriority w:val="34"/>
    <w:qFormat/>
    <w:rsid w:val="003046CF"/>
    <w:pPr>
      <w:ind w:left="720"/>
      <w:contextualSpacing/>
    </w:pPr>
  </w:style>
  <w:style w:type="character" w:styleId="CommentReference">
    <w:name w:val="annotation reference"/>
    <w:unhideWhenUsed/>
    <w:rsid w:val="003046CF"/>
    <w:rPr>
      <w:sz w:val="16"/>
      <w:szCs w:val="16"/>
    </w:rPr>
  </w:style>
  <w:style w:type="paragraph" w:styleId="CommentText">
    <w:name w:val="annotation text"/>
    <w:basedOn w:val="Normal"/>
    <w:link w:val="CommentTextChar"/>
    <w:unhideWhenUsed/>
    <w:rsid w:val="003046CF"/>
    <w:rPr>
      <w:sz w:val="20"/>
    </w:rPr>
  </w:style>
  <w:style w:type="character" w:customStyle="1" w:styleId="CommentTextChar">
    <w:name w:val="Comment Text Char"/>
    <w:link w:val="CommentText"/>
    <w:rsid w:val="003046CF"/>
    <w:rPr>
      <w:snapToGrid w:val="0"/>
      <w:kern w:val="28"/>
    </w:rPr>
  </w:style>
  <w:style w:type="paragraph" w:styleId="BalloonText">
    <w:name w:val="Balloon Text"/>
    <w:basedOn w:val="Normal"/>
    <w:link w:val="BalloonTextChar"/>
    <w:uiPriority w:val="99"/>
    <w:semiHidden/>
    <w:unhideWhenUsed/>
    <w:rsid w:val="003046CF"/>
    <w:rPr>
      <w:rFonts w:ascii="Segoe UI" w:hAnsi="Segoe UI" w:cs="Segoe UI"/>
      <w:sz w:val="18"/>
      <w:szCs w:val="18"/>
    </w:rPr>
  </w:style>
  <w:style w:type="character" w:customStyle="1" w:styleId="BalloonTextChar">
    <w:name w:val="Balloon Text Char"/>
    <w:link w:val="BalloonText"/>
    <w:uiPriority w:val="99"/>
    <w:semiHidden/>
    <w:rsid w:val="003046CF"/>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B632C"/>
    <w:rPr>
      <w:b/>
      <w:bCs/>
    </w:rPr>
  </w:style>
  <w:style w:type="character" w:customStyle="1" w:styleId="CommentSubjectChar">
    <w:name w:val="Comment Subject Char"/>
    <w:basedOn w:val="CommentTextChar"/>
    <w:link w:val="CommentSubject"/>
    <w:uiPriority w:val="99"/>
    <w:semiHidden/>
    <w:rsid w:val="00AB632C"/>
    <w:rPr>
      <w:b/>
      <w:bCs/>
      <w:snapToGrid w:val="0"/>
      <w:kern w:val="28"/>
    </w:rPr>
  </w:style>
  <w:style w:type="paragraph" w:styleId="Revision">
    <w:name w:val="Revision"/>
    <w:hidden/>
    <w:uiPriority w:val="99"/>
    <w:semiHidden/>
    <w:rsid w:val="00C45E51"/>
    <w:rPr>
      <w:snapToGrid w:val="0"/>
      <w:kern w:val="28"/>
      <w:sz w:val="22"/>
    </w:rPr>
  </w:style>
  <w:style w:type="character" w:customStyle="1" w:styleId="UnresolvedMention">
    <w:name w:val="Unresolved Mention"/>
    <w:basedOn w:val="DefaultParagraphFont"/>
    <w:uiPriority w:val="99"/>
    <w:semiHidden/>
    <w:unhideWhenUsed/>
    <w:rsid w:val="008C5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