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B3D7E" w:rsidRPr="00CB28EE" w:rsidP="001B3D7E">
      <w:pPr>
        <w:jc w:val="right"/>
        <w:rPr>
          <w:b/>
        </w:rPr>
      </w:pPr>
      <w:r>
        <w:rPr>
          <w:b/>
        </w:rPr>
        <w:t>DA 18-1205</w:t>
      </w:r>
    </w:p>
    <w:p w:rsidR="001B3D7E" w:rsidRPr="00CB28EE" w:rsidP="001B3D7E">
      <w:pPr>
        <w:spacing w:before="60"/>
        <w:jc w:val="right"/>
        <w:rPr>
          <w:b/>
        </w:rPr>
      </w:pPr>
      <w:r w:rsidRPr="00CB28EE">
        <w:rPr>
          <w:b/>
        </w:rPr>
        <w:t xml:space="preserve">Released:  </w:t>
      </w:r>
      <w:r w:rsidR="00527DD1">
        <w:rPr>
          <w:b/>
        </w:rPr>
        <w:t>November 27, 2018</w:t>
      </w:r>
      <w:bookmarkStart w:id="0" w:name="_GoBack"/>
      <w:bookmarkEnd w:id="0"/>
    </w:p>
    <w:p w:rsidR="001B3D7E" w:rsidRPr="00CB28EE" w:rsidP="00D2495D">
      <w:pPr>
        <w:jc w:val="right"/>
      </w:pPr>
    </w:p>
    <w:p w:rsidR="001B3D7E" w:rsidRPr="00CB28EE" w:rsidP="00D2495D">
      <w:pPr>
        <w:jc w:val="center"/>
      </w:pPr>
      <w:r w:rsidRPr="00CB28EE">
        <w:rPr>
          <w:b/>
          <w:caps/>
        </w:rPr>
        <w:t>PUBLIC SAFETY AND HOMELAND SECURITY BUREAU REMINDS</w:t>
      </w:r>
    </w:p>
    <w:p w:rsidR="00D2495D" w:rsidP="00D2495D">
      <w:pPr>
        <w:jc w:val="center"/>
        <w:rPr>
          <w:b/>
          <w:caps/>
        </w:rPr>
      </w:pPr>
      <w:r w:rsidRPr="00CB28EE">
        <w:rPr>
          <w:b/>
          <w:caps/>
        </w:rPr>
        <w:t>providers of facilities-based fixed residential voice services that are not line-powered</w:t>
      </w:r>
      <w:r>
        <w:rPr>
          <w:b/>
          <w:caps/>
        </w:rPr>
        <w:t xml:space="preserve"> </w:t>
      </w:r>
      <w:r w:rsidRPr="00CB28EE">
        <w:rPr>
          <w:b/>
          <w:caps/>
        </w:rPr>
        <w:t xml:space="preserve">of upcoming requirement </w:t>
      </w:r>
      <w:r w:rsidRPr="00CB28EE" w:rsidR="005E21FB">
        <w:rPr>
          <w:b/>
          <w:caps/>
        </w:rPr>
        <w:t>to Offer sub</w:t>
      </w:r>
      <w:r w:rsidRPr="00D24A07" w:rsidR="00C57ABE">
        <w:rPr>
          <w:b/>
          <w:caps/>
        </w:rPr>
        <w:t>s</w:t>
      </w:r>
      <w:r w:rsidRPr="00D24A07" w:rsidR="005E21FB">
        <w:rPr>
          <w:b/>
          <w:caps/>
        </w:rPr>
        <w:t xml:space="preserve">cribers </w:t>
      </w:r>
    </w:p>
    <w:p w:rsidR="001B3D7E" w:rsidRPr="00CB28EE" w:rsidP="00D2495D">
      <w:pPr>
        <w:jc w:val="center"/>
        <w:rPr>
          <w:b/>
          <w:caps/>
        </w:rPr>
      </w:pPr>
      <w:r w:rsidRPr="00D24A07">
        <w:rPr>
          <w:b/>
          <w:caps/>
        </w:rPr>
        <w:t xml:space="preserve">24 hours of </w:t>
      </w:r>
      <w:r w:rsidRPr="00D24A07" w:rsidR="00C57ABE">
        <w:rPr>
          <w:b/>
          <w:caps/>
        </w:rPr>
        <w:t xml:space="preserve">BACKUP </w:t>
      </w:r>
      <w:r w:rsidRPr="00CB28EE">
        <w:rPr>
          <w:b/>
          <w:caps/>
        </w:rPr>
        <w:t>POWER</w:t>
      </w:r>
      <w:r w:rsidRPr="00CB28EE" w:rsidR="00C57ABE">
        <w:rPr>
          <w:b/>
          <w:caps/>
        </w:rPr>
        <w:t xml:space="preserve"> for customer premises equipment</w:t>
      </w:r>
    </w:p>
    <w:p w:rsidR="00D2495D" w:rsidRPr="00D2495D" w:rsidP="00D2495D">
      <w:pPr>
        <w:spacing w:before="120"/>
        <w:jc w:val="center"/>
        <w:rPr>
          <w:b/>
          <w:i/>
        </w:rPr>
      </w:pPr>
      <w:r w:rsidRPr="00214C60">
        <w:rPr>
          <w:b/>
          <w:i/>
          <w:caps/>
        </w:rPr>
        <w:t>R</w:t>
      </w:r>
      <w:r w:rsidRPr="00214C60">
        <w:rPr>
          <w:b/>
          <w:i/>
        </w:rPr>
        <w:t>equirement Takes Effect on February 13, 2019</w:t>
      </w:r>
    </w:p>
    <w:p w:rsidR="001B3D7E" w:rsidRPr="00D2495D" w:rsidP="00D2495D">
      <w:pPr>
        <w:jc w:val="center"/>
        <w:rPr>
          <w:b/>
        </w:rPr>
      </w:pPr>
      <w:r w:rsidRPr="00CB28EE">
        <w:rPr>
          <w:b/>
        </w:rPr>
        <w:t>PS Docket No. 14-174</w:t>
      </w:r>
    </w:p>
    <w:p w:rsidR="001B3D7E" w:rsidRPr="00D24A07" w:rsidP="00D2495D">
      <w:r w:rsidRPr="00CB28EE">
        <w:t xml:space="preserve">By this </w:t>
      </w:r>
      <w:r w:rsidRPr="00CB28EE">
        <w:rPr>
          <w:i/>
          <w:iCs/>
        </w:rPr>
        <w:t>Public Notice</w:t>
      </w:r>
      <w:r w:rsidRPr="00CB28EE">
        <w:t xml:space="preserve">, the Public Safety and Homeland Security Bureau (Bureau) reminds </w:t>
      </w:r>
      <w:bookmarkStart w:id="1" w:name="_Hlk528782576"/>
      <w:r w:rsidRPr="00CB28EE">
        <w:t>providers of facilities-based fixed residential voice services that are not line-powered</w:t>
      </w:r>
      <w:bookmarkEnd w:id="1"/>
      <w:r w:rsidR="00B401CE">
        <w:t xml:space="preserve"> </w:t>
      </w:r>
      <w:r w:rsidR="009309CB">
        <w:t xml:space="preserve">(fixed service providers) </w:t>
      </w:r>
      <w:r w:rsidRPr="00CB28EE" w:rsidR="00290247">
        <w:t>that</w:t>
      </w:r>
      <w:r w:rsidR="00D2495D">
        <w:t>,</w:t>
      </w:r>
      <w:r w:rsidR="00B401CE">
        <w:t xml:space="preserve"> </w:t>
      </w:r>
      <w:r w:rsidR="00A610E2">
        <w:t>as of</w:t>
      </w:r>
      <w:r w:rsidRPr="00CB28EE" w:rsidR="0045395F">
        <w:t xml:space="preserve"> February 13, 2019, </w:t>
      </w:r>
      <w:r w:rsidR="00B401CE">
        <w:t xml:space="preserve">they must </w:t>
      </w:r>
      <w:r w:rsidRPr="00CB28EE" w:rsidR="0045395F">
        <w:t xml:space="preserve">offer for sale </w:t>
      </w:r>
      <w:r w:rsidR="00B401CE">
        <w:t>to subscribers “</w:t>
      </w:r>
      <w:r w:rsidRPr="00CB28EE" w:rsidR="0045395F">
        <w:t>at least one option that provides a minimum of twenty-four hours of standby backup power”</w:t>
      </w:r>
      <w:r w:rsidRPr="00CB28EE" w:rsidR="001C6890">
        <w:t xml:space="preserve"> </w:t>
      </w:r>
      <w:r w:rsidR="00B401CE">
        <w:t>for customer premises equipment</w:t>
      </w:r>
      <w:r w:rsidRPr="00CB28EE" w:rsidR="00265C54">
        <w:t>.</w:t>
      </w:r>
      <w:r>
        <w:rPr>
          <w:rStyle w:val="FootnoteReference"/>
        </w:rPr>
        <w:footnoteReference w:id="3"/>
      </w:r>
    </w:p>
    <w:p w:rsidR="001B3D7E" w:rsidRPr="00D24A07" w:rsidP="00D2495D">
      <w:r w:rsidRPr="00CB28EE">
        <w:t>The Commission</w:t>
      </w:r>
      <w:r w:rsidR="00851409">
        <w:t xml:space="preserve">’s </w:t>
      </w:r>
      <w:r w:rsidRPr="001E4612" w:rsidR="008B5814">
        <w:rPr>
          <w:i/>
        </w:rPr>
        <w:t>Backup Power Order</w:t>
      </w:r>
      <w:r w:rsidR="00851409">
        <w:t>, adopted in 2015,</w:t>
      </w:r>
      <w:r w:rsidRPr="00CB28EE">
        <w:t xml:space="preserve"> </w:t>
      </w:r>
      <w:r w:rsidRPr="00CB28EE" w:rsidR="001E5E0D">
        <w:t>require</w:t>
      </w:r>
      <w:r w:rsidR="008B5814">
        <w:t>d</w:t>
      </w:r>
      <w:r w:rsidR="00851409">
        <w:t xml:space="preserve"> fixed service </w:t>
      </w:r>
      <w:r w:rsidRPr="00CB28EE" w:rsidR="001E5E0D">
        <w:t xml:space="preserve">providers </w:t>
      </w:r>
      <w:r w:rsidRPr="00CB28EE">
        <w:t xml:space="preserve">to </w:t>
      </w:r>
      <w:r w:rsidRPr="00CB28EE" w:rsidR="00265C54">
        <w:t>offer</w:t>
      </w:r>
      <w:r w:rsidRPr="00CB28EE" w:rsidR="00A7199E">
        <w:t xml:space="preserve"> </w:t>
      </w:r>
      <w:r w:rsidRPr="00CB28EE">
        <w:t xml:space="preserve">subscribers </w:t>
      </w:r>
      <w:r w:rsidR="008B5814">
        <w:t xml:space="preserve">at least one </w:t>
      </w:r>
      <w:r w:rsidRPr="00CB28EE">
        <w:t xml:space="preserve">option </w:t>
      </w:r>
      <w:r w:rsidR="008B5814">
        <w:t xml:space="preserve">with </w:t>
      </w:r>
      <w:r w:rsidRPr="00CB28EE" w:rsidR="001E5E0D">
        <w:t>8</w:t>
      </w:r>
      <w:r w:rsidR="008B5814">
        <w:t xml:space="preserve"> </w:t>
      </w:r>
      <w:r w:rsidRPr="00CB28EE" w:rsidR="001E5E0D">
        <w:t>hour</w:t>
      </w:r>
      <w:r w:rsidR="008B5814">
        <w:t>s of standby</w:t>
      </w:r>
      <w:r w:rsidRPr="00CB28EE">
        <w:t xml:space="preserve"> backup </w:t>
      </w:r>
      <w:r w:rsidRPr="00CB28EE" w:rsidR="00265C54">
        <w:t>power</w:t>
      </w:r>
      <w:r w:rsidRPr="00CB28EE">
        <w:t>.</w:t>
      </w:r>
      <w:r>
        <w:rPr>
          <w:rStyle w:val="FootnoteReference"/>
        </w:rPr>
        <w:footnoteReference w:id="4"/>
      </w:r>
      <w:r w:rsidRPr="00D24A07">
        <w:t xml:space="preserve"> </w:t>
      </w:r>
      <w:r w:rsidR="00D2495D">
        <w:t xml:space="preserve"> </w:t>
      </w:r>
      <w:r w:rsidR="008B5814">
        <w:t xml:space="preserve">The order also required fixed service providers </w:t>
      </w:r>
      <w:r w:rsidR="00A610E2">
        <w:t>to add a 24-hour option after three years.</w:t>
      </w:r>
      <w:r>
        <w:rPr>
          <w:rStyle w:val="FootnoteReference"/>
        </w:rPr>
        <w:footnoteReference w:id="5"/>
      </w:r>
      <w:r w:rsidR="00A610E2">
        <w:t xml:space="preserve">  This requirement takes effect on </w:t>
      </w:r>
      <w:r w:rsidRPr="001E4612">
        <w:t>February 13, 2019</w:t>
      </w:r>
      <w:r w:rsidRPr="00CB28EE" w:rsidR="00A7199E">
        <w:t>.</w:t>
      </w:r>
      <w:r>
        <w:rPr>
          <w:rStyle w:val="FootnoteReference"/>
        </w:rPr>
        <w:footnoteReference w:id="6"/>
      </w:r>
      <w:r w:rsidRPr="00D24A07" w:rsidR="00265C54">
        <w:rPr>
          <w:rStyle w:val="FootnoteReference"/>
        </w:rPr>
        <w:t xml:space="preserve"> </w:t>
      </w:r>
    </w:p>
    <w:p w:rsidR="001B3D7E" w:rsidRPr="00CB28EE" w:rsidP="00D2495D">
      <w:r>
        <w:t>We also remind fixed service p</w:t>
      </w:r>
      <w:r w:rsidR="00273FC0">
        <w:t xml:space="preserve">roviders that </w:t>
      </w:r>
      <w:r>
        <w:t xml:space="preserve">to </w:t>
      </w:r>
      <w:r w:rsidRPr="00D24A07">
        <w:t>promote consumer education and choice</w:t>
      </w:r>
      <w:r>
        <w:t xml:space="preserve">, the Commission’s rules require them to </w:t>
      </w:r>
      <w:r w:rsidRPr="00CB28EE">
        <w:t>disclose the following information</w:t>
      </w:r>
      <w:r w:rsidRPr="00CB28EE" w:rsidR="001E5E0D">
        <w:t xml:space="preserve"> to subscribers</w:t>
      </w:r>
      <w:r w:rsidR="00A01C42">
        <w:t xml:space="preserve"> at the point of sale and annually thereafter</w:t>
      </w:r>
      <w:r w:rsidRPr="00CB28EE">
        <w:t>:</w:t>
      </w:r>
      <w:r w:rsidRPr="00CB28EE" w:rsidR="00B54E31">
        <w:t xml:space="preserve"> </w:t>
      </w:r>
      <w:r w:rsidRPr="00CB28EE">
        <w:t xml:space="preserve"> </w:t>
      </w:r>
      <w:r w:rsidRPr="00CB28EE" w:rsidR="001E5E0D">
        <w:t xml:space="preserve">(a) </w:t>
      </w:r>
      <w:r w:rsidRPr="00CB28EE">
        <w:t xml:space="preserve">availability of backup power sources; </w:t>
      </w:r>
      <w:r w:rsidRPr="00CB28EE" w:rsidR="001E5E0D">
        <w:t xml:space="preserve">(b) </w:t>
      </w:r>
      <w:r w:rsidRPr="00CB28EE">
        <w:t xml:space="preserve">service limitations with and without backup power during a power outage; </w:t>
      </w:r>
      <w:r w:rsidRPr="00CB28EE" w:rsidR="001E5E0D">
        <w:t>(c</w:t>
      </w:r>
      <w:r w:rsidRPr="00CB28EE" w:rsidR="001C6890">
        <w:t>)</w:t>
      </w:r>
      <w:r w:rsidRPr="00CB28EE" w:rsidR="001E5E0D">
        <w:t xml:space="preserve"> </w:t>
      </w:r>
      <w:r w:rsidRPr="00CB28EE">
        <w:t xml:space="preserve">purchase and replacement options; </w:t>
      </w:r>
      <w:r w:rsidRPr="00CB28EE" w:rsidR="001E5E0D">
        <w:t xml:space="preserve">(d) </w:t>
      </w:r>
      <w:r w:rsidRPr="00CB28EE">
        <w:t>e</w:t>
      </w:r>
      <w:r w:rsidRPr="00CB28EE" w:rsidR="001E5E0D">
        <w:t xml:space="preserve">xpected backup power duration; (e) </w:t>
      </w:r>
      <w:r w:rsidRPr="00CB28EE">
        <w:t xml:space="preserve">proper usage and storage conditions for the backup power source; </w:t>
      </w:r>
      <w:r w:rsidRPr="00CB28EE" w:rsidR="001C6890">
        <w:t xml:space="preserve">(f) </w:t>
      </w:r>
      <w:r w:rsidRPr="00CB28EE">
        <w:t xml:space="preserve">subscriber backup power self-testing and monitoring instructions; and </w:t>
      </w:r>
      <w:r w:rsidRPr="00CB28EE" w:rsidR="001C6890">
        <w:t xml:space="preserve">(g) </w:t>
      </w:r>
      <w:r w:rsidRPr="00CB28EE">
        <w:t xml:space="preserve">backup power warranty details, if </w:t>
      </w:r>
      <w:r w:rsidRPr="00CB28EE" w:rsidR="001C6890">
        <w:t>a warranty is offered</w:t>
      </w:r>
      <w:r w:rsidRPr="00CB28EE">
        <w:t>.</w:t>
      </w:r>
      <w:r>
        <w:rPr>
          <w:rStyle w:val="FootnoteReference"/>
        </w:rPr>
        <w:footnoteReference w:id="7"/>
      </w:r>
      <w:r w:rsidRPr="00CB28EE">
        <w:t xml:space="preserve">  </w:t>
      </w:r>
    </w:p>
    <w:p w:rsidR="001B3D7E" w:rsidRPr="00CB28EE" w:rsidP="00D2495D">
      <w:pPr>
        <w:autoSpaceDE w:val="0"/>
        <w:autoSpaceDN w:val="0"/>
        <w:adjustRightInd w:val="0"/>
        <w:rPr>
          <w:b/>
          <w:bCs/>
        </w:rPr>
      </w:pPr>
      <w:r w:rsidRPr="00CB28EE">
        <w:rPr>
          <w:b/>
          <w:bCs/>
        </w:rPr>
        <w:t>For Further Information Contact:</w:t>
      </w:r>
    </w:p>
    <w:p w:rsidR="00930ECF" w:rsidRPr="00CB28EE" w:rsidP="00D2495D">
      <w:pPr>
        <w:autoSpaceDE w:val="0"/>
        <w:autoSpaceDN w:val="0"/>
        <w:adjustRightInd w:val="0"/>
      </w:pPr>
      <w:r w:rsidRPr="00CB28EE">
        <w:t>Linda M. Pintro, Policy and Licensing Division, Public Safety and Homeland Security Bureau, at 202-418-7490 or linda.pintro@fcc.gov.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736A0">
      <w:r>
        <w:separator/>
      </w:r>
    </w:p>
  </w:footnote>
  <w:footnote w:type="continuationSeparator" w:id="1">
    <w:p w:rsidR="005736A0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736A0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B05DA" w:rsidRPr="00214C60" w:rsidP="001E4612">
      <w:pPr>
        <w:autoSpaceDE w:val="0"/>
        <w:autoSpaceDN w:val="0"/>
        <w:adjustRightInd w:val="0"/>
      </w:pPr>
      <w:r w:rsidRPr="00214C60">
        <w:rPr>
          <w:rStyle w:val="FootnoteReference"/>
          <w:sz w:val="20"/>
          <w:szCs w:val="20"/>
        </w:rPr>
        <w:footnoteRef/>
      </w:r>
      <w:r w:rsidRPr="00214C60">
        <w:rPr>
          <w:sz w:val="20"/>
          <w:szCs w:val="20"/>
        </w:rPr>
        <w:t xml:space="preserve"> </w:t>
      </w:r>
      <w:r w:rsidRPr="00D24A07" w:rsidR="00236C38">
        <w:rPr>
          <w:sz w:val="20"/>
          <w:szCs w:val="20"/>
        </w:rPr>
        <w:t xml:space="preserve">47 CFR §12.5(b)(2).  </w:t>
      </w:r>
    </w:p>
  </w:footnote>
  <w:footnote w:id="4">
    <w:p w:rsidR="00B54E31" w:rsidRPr="00214C60" w:rsidP="001E4612">
      <w:pPr>
        <w:autoSpaceDE w:val="0"/>
        <w:autoSpaceDN w:val="0"/>
        <w:adjustRightInd w:val="0"/>
      </w:pPr>
      <w:r w:rsidRPr="00D24A07">
        <w:rPr>
          <w:rStyle w:val="FootnoteReference"/>
          <w:sz w:val="20"/>
          <w:szCs w:val="20"/>
        </w:rPr>
        <w:footnoteRef/>
      </w:r>
      <w:r w:rsidRPr="00214C60">
        <w:rPr>
          <w:sz w:val="20"/>
          <w:szCs w:val="20"/>
        </w:rPr>
        <w:t xml:space="preserve"> </w:t>
      </w:r>
      <w:r w:rsidRPr="00214C60" w:rsidR="00A610E2">
        <w:rPr>
          <w:i/>
          <w:sz w:val="20"/>
          <w:szCs w:val="20"/>
        </w:rPr>
        <w:t>Ensuring Continuity of 911 Communications</w:t>
      </w:r>
      <w:r w:rsidRPr="00214C60" w:rsidR="00A610E2">
        <w:rPr>
          <w:sz w:val="20"/>
          <w:szCs w:val="20"/>
        </w:rPr>
        <w:t>, Report and Order, 30 FCC Rcd 8677 (2015) (</w:t>
      </w:r>
      <w:r w:rsidRPr="00214C60" w:rsidR="00A610E2">
        <w:rPr>
          <w:i/>
          <w:sz w:val="20"/>
          <w:szCs w:val="20"/>
        </w:rPr>
        <w:t>Backup Power Order</w:t>
      </w:r>
      <w:r w:rsidRPr="00214C60" w:rsidR="00A610E2">
        <w:rPr>
          <w:sz w:val="20"/>
          <w:szCs w:val="20"/>
        </w:rPr>
        <w:t>)</w:t>
      </w:r>
      <w:r w:rsidR="00A610E2">
        <w:rPr>
          <w:sz w:val="20"/>
          <w:szCs w:val="20"/>
        </w:rPr>
        <w:t xml:space="preserve">; </w:t>
      </w:r>
      <w:r w:rsidRPr="00214C60">
        <w:rPr>
          <w:sz w:val="20"/>
          <w:szCs w:val="20"/>
        </w:rPr>
        <w:t>47 CFR § 12.5(b)(1).</w:t>
      </w:r>
      <w:r w:rsidRPr="00214C60" w:rsidR="006736E2">
        <w:rPr>
          <w:sz w:val="20"/>
          <w:szCs w:val="20"/>
        </w:rPr>
        <w:t xml:space="preserve">  </w:t>
      </w:r>
      <w:r w:rsidRPr="00214C60" w:rsidR="00542D23">
        <w:rPr>
          <w:sz w:val="20"/>
          <w:szCs w:val="20"/>
        </w:rPr>
        <w:t xml:space="preserve">  </w:t>
      </w:r>
    </w:p>
  </w:footnote>
  <w:footnote w:id="5">
    <w:p w:rsidR="00A610E2" w:rsidP="00E839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4C60">
        <w:rPr>
          <w:rFonts w:eastAsia="Calibri"/>
          <w:i/>
        </w:rPr>
        <w:t xml:space="preserve">Backup Power Order, </w:t>
      </w:r>
      <w:r w:rsidRPr="00214C60">
        <w:rPr>
          <w:rFonts w:eastAsia="Calibri"/>
        </w:rPr>
        <w:t xml:space="preserve">30 FCC Rcd at 8687, para. 31.  </w:t>
      </w:r>
    </w:p>
  </w:footnote>
  <w:footnote w:id="6">
    <w:p w:rsidR="00B54E31" w:rsidRPr="00D24A07" w:rsidP="001E4612">
      <w:pPr>
        <w:pStyle w:val="FootnoteText"/>
      </w:pPr>
      <w:r w:rsidRPr="00D24A07">
        <w:rPr>
          <w:rStyle w:val="FootnoteReference"/>
          <w:sz w:val="20"/>
        </w:rPr>
        <w:footnoteRef/>
      </w:r>
      <w:r w:rsidR="00DE1439">
        <w:t xml:space="preserve"> T</w:t>
      </w:r>
      <w:r w:rsidRPr="00214C60" w:rsidR="00DE1439">
        <w:rPr>
          <w:rFonts w:eastAsia="Calibri"/>
        </w:rPr>
        <w:t xml:space="preserve">he backup power </w:t>
      </w:r>
      <w:r w:rsidR="00DE1439">
        <w:rPr>
          <w:rFonts w:eastAsia="Calibri"/>
        </w:rPr>
        <w:t xml:space="preserve">rules became </w:t>
      </w:r>
      <w:r w:rsidRPr="00214C60" w:rsidR="00DE1439">
        <w:rPr>
          <w:rFonts w:eastAsia="Calibri"/>
        </w:rPr>
        <w:t>effective 120 days after publication in the Federal Register</w:t>
      </w:r>
      <w:r w:rsidR="00DE1439">
        <w:rPr>
          <w:rFonts w:eastAsia="Calibri"/>
        </w:rPr>
        <w:t xml:space="preserve">, and </w:t>
      </w:r>
      <w:r w:rsidR="00E839F1">
        <w:rPr>
          <w:rFonts w:eastAsia="Calibri"/>
        </w:rPr>
        <w:t xml:space="preserve">the 24-hour requirement takes </w:t>
      </w:r>
      <w:r w:rsidRPr="00214C60" w:rsidR="00DE1439">
        <w:rPr>
          <w:rFonts w:eastAsia="Calibri"/>
        </w:rPr>
        <w:t>effect three years thereafter</w:t>
      </w:r>
      <w:r w:rsidR="00E839F1">
        <w:rPr>
          <w:rFonts w:eastAsia="Calibri"/>
        </w:rPr>
        <w:t>.</w:t>
      </w:r>
      <w:r w:rsidRPr="00214C60" w:rsidR="00DE1439">
        <w:rPr>
          <w:rFonts w:eastAsia="Calibri"/>
        </w:rPr>
        <w:t xml:space="preserve"> </w:t>
      </w:r>
      <w:r w:rsidR="00D2495D">
        <w:rPr>
          <w:rFonts w:eastAsia="Calibri"/>
        </w:rPr>
        <w:t xml:space="preserve"> </w:t>
      </w:r>
      <w:r w:rsidRPr="00214C60" w:rsidR="00DE1439">
        <w:rPr>
          <w:rFonts w:eastAsia="Calibri"/>
        </w:rPr>
        <w:t xml:space="preserve">The </w:t>
      </w:r>
      <w:r w:rsidR="00E839F1">
        <w:rPr>
          <w:rFonts w:eastAsia="Calibri"/>
        </w:rPr>
        <w:t xml:space="preserve">rules were </w:t>
      </w:r>
      <w:r w:rsidRPr="00214C60" w:rsidR="00DE1439">
        <w:rPr>
          <w:rFonts w:eastAsia="Calibri"/>
        </w:rPr>
        <w:t>published in the Federal Register on October 16, 2015.  Ensuring Continuity of 911 Communications, Report and Order, 80 Fed. Reg. 62470 (October 16, 2015</w:t>
      </w:r>
      <w:r w:rsidR="00E839F1">
        <w:rPr>
          <w:rFonts w:eastAsia="Calibri"/>
        </w:rPr>
        <w:t>)</w:t>
      </w:r>
      <w:r w:rsidRPr="00214C60" w:rsidR="00DE1439">
        <w:rPr>
          <w:rFonts w:eastAsia="Calibri"/>
        </w:rPr>
        <w:t xml:space="preserve">.  </w:t>
      </w:r>
    </w:p>
  </w:footnote>
  <w:footnote w:id="7">
    <w:p w:rsidR="00A610E2" w:rsidP="00E839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1C42">
        <w:t>47 CFR §12.5(d</w:t>
      </w:r>
      <w:r w:rsidRPr="00D24A07" w:rsidR="00A01C42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7874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62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5334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2"/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1" type="#_x0000_t202" style="width:207.95pt;height:42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2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D7E"/>
    <w:pPr>
      <w:spacing w:after="120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5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E0D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E0D"/>
    <w:rPr>
      <w:rFonts w:eastAsia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