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942A6" w:rsidRPr="006519D3" w:rsidP="003942A6">
      <w:pPr>
        <w:jc w:val="center"/>
        <w:rPr>
          <w:b/>
          <w:szCs w:val="22"/>
        </w:rPr>
      </w:pPr>
      <w:bookmarkStart w:id="0" w:name="_GoBack"/>
      <w:bookmarkEnd w:id="0"/>
      <w:r w:rsidRPr="006519D3">
        <w:rPr>
          <w:b/>
          <w:szCs w:val="22"/>
        </w:rPr>
        <w:t>Before the</w:t>
      </w:r>
    </w:p>
    <w:p w:rsidR="003942A6" w:rsidRPr="006519D3" w:rsidP="003942A6">
      <w:pPr>
        <w:jc w:val="center"/>
        <w:rPr>
          <w:b/>
          <w:szCs w:val="22"/>
        </w:rPr>
      </w:pPr>
      <w:r w:rsidRPr="006519D3">
        <w:rPr>
          <w:b/>
          <w:szCs w:val="22"/>
        </w:rPr>
        <w:t>Federal Communications Commission</w:t>
      </w:r>
    </w:p>
    <w:p w:rsidR="003942A6" w:rsidRPr="006519D3" w:rsidP="003942A6">
      <w:pPr>
        <w:jc w:val="center"/>
        <w:rPr>
          <w:b/>
          <w:szCs w:val="22"/>
        </w:rPr>
      </w:pPr>
      <w:r w:rsidRPr="006519D3">
        <w:rPr>
          <w:b/>
          <w:szCs w:val="22"/>
        </w:rPr>
        <w:t>Washington, D.C. 20554</w:t>
      </w:r>
    </w:p>
    <w:p w:rsidR="003942A6" w:rsidRPr="006519D3" w:rsidP="003942A6">
      <w:pPr>
        <w:rPr>
          <w:szCs w:val="22"/>
        </w:rPr>
      </w:pPr>
    </w:p>
    <w:p w:rsidR="003942A6" w:rsidRPr="006519D3" w:rsidP="003942A6">
      <w:pPr>
        <w:rPr>
          <w:szCs w:val="22"/>
        </w:rPr>
      </w:pPr>
    </w:p>
    <w:tbl>
      <w:tblPr>
        <w:tblW w:w="0" w:type="auto"/>
        <w:tblLayout w:type="fixed"/>
        <w:tblLook w:val="0000"/>
      </w:tblPr>
      <w:tblGrid>
        <w:gridCol w:w="4698"/>
        <w:gridCol w:w="720"/>
        <w:gridCol w:w="4230"/>
      </w:tblGrid>
      <w:tr w:rsidTr="008027BC">
        <w:tblPrEx>
          <w:tblW w:w="0" w:type="auto"/>
          <w:tblLayout w:type="fixed"/>
          <w:tblLook w:val="0000"/>
        </w:tblPrEx>
        <w:tc>
          <w:tcPr>
            <w:tcW w:w="4698" w:type="dxa"/>
          </w:tcPr>
          <w:p w:rsidR="003942A6" w:rsidP="008027BC">
            <w:pPr>
              <w:ind w:right="-18"/>
              <w:rPr>
                <w:szCs w:val="22"/>
              </w:rPr>
            </w:pPr>
            <w:r w:rsidRPr="006519D3">
              <w:rPr>
                <w:szCs w:val="22"/>
              </w:rPr>
              <w:t xml:space="preserve">In the </w:t>
            </w:r>
            <w:r w:rsidR="004D3826">
              <w:rPr>
                <w:szCs w:val="22"/>
              </w:rPr>
              <w:t>M</w:t>
            </w:r>
            <w:r w:rsidRPr="006519D3">
              <w:rPr>
                <w:szCs w:val="22"/>
              </w:rPr>
              <w:t>atter of</w:t>
            </w:r>
          </w:p>
          <w:p w:rsidR="004D3826" w:rsidRPr="006519D3" w:rsidP="008027BC">
            <w:pPr>
              <w:ind w:right="-18"/>
              <w:rPr>
                <w:szCs w:val="22"/>
              </w:rPr>
            </w:pPr>
          </w:p>
          <w:p w:rsidR="004D3826" w:rsidP="008027BC">
            <w:pPr>
              <w:ind w:right="-18"/>
              <w:rPr>
                <w:szCs w:val="22"/>
              </w:rPr>
            </w:pPr>
            <w:r>
              <w:rPr>
                <w:szCs w:val="22"/>
              </w:rPr>
              <w:t>32 Technologies LLC</w:t>
            </w:r>
            <w:r>
              <w:rPr>
                <w:szCs w:val="22"/>
              </w:rPr>
              <w:t xml:space="preserve"> </w:t>
            </w:r>
            <w:r w:rsidRPr="005C2320" w:rsidR="003942A6">
              <w:rPr>
                <w:szCs w:val="22"/>
              </w:rPr>
              <w:t xml:space="preserve">Request for Waiver of </w:t>
            </w:r>
          </w:p>
          <w:p w:rsidR="003942A6" w:rsidRPr="005C2320" w:rsidP="008027BC">
            <w:pPr>
              <w:ind w:right="-18"/>
              <w:rPr>
                <w:szCs w:val="22"/>
              </w:rPr>
            </w:pPr>
            <w:r w:rsidRPr="005C2320">
              <w:rPr>
                <w:szCs w:val="22"/>
              </w:rPr>
              <w:t>Part 15 of the Commiss</w:t>
            </w:r>
            <w:r w:rsidR="00FF6C2A">
              <w:rPr>
                <w:szCs w:val="22"/>
              </w:rPr>
              <w:t>ion’s Rules Applicable to Wideband Systems</w:t>
            </w:r>
          </w:p>
          <w:p w:rsidR="003942A6" w:rsidRPr="005C2320" w:rsidP="008027BC">
            <w:pPr>
              <w:ind w:right="-18"/>
              <w:rPr>
                <w:szCs w:val="22"/>
              </w:rPr>
            </w:pPr>
          </w:p>
        </w:tc>
        <w:tc>
          <w:tcPr>
            <w:tcW w:w="720" w:type="dxa"/>
          </w:tcPr>
          <w:p w:rsidR="003942A6" w:rsidP="008027BC">
            <w:pPr>
              <w:rPr>
                <w:b/>
                <w:szCs w:val="22"/>
              </w:rPr>
            </w:pPr>
            <w:r>
              <w:rPr>
                <w:b/>
                <w:szCs w:val="22"/>
              </w:rPr>
              <w:t>)</w:t>
            </w:r>
          </w:p>
          <w:p w:rsidR="003942A6" w:rsidP="008027BC">
            <w:pPr>
              <w:rPr>
                <w:b/>
                <w:szCs w:val="22"/>
              </w:rPr>
            </w:pPr>
            <w:r>
              <w:rPr>
                <w:b/>
                <w:szCs w:val="22"/>
              </w:rPr>
              <w:t>)</w:t>
            </w:r>
          </w:p>
          <w:p w:rsidR="003942A6" w:rsidP="008027BC">
            <w:pPr>
              <w:rPr>
                <w:b/>
                <w:szCs w:val="22"/>
              </w:rPr>
            </w:pPr>
            <w:r>
              <w:rPr>
                <w:b/>
                <w:szCs w:val="22"/>
              </w:rPr>
              <w:t>)</w:t>
            </w:r>
          </w:p>
          <w:p w:rsidR="003942A6" w:rsidP="008027BC">
            <w:pPr>
              <w:rPr>
                <w:b/>
                <w:szCs w:val="22"/>
              </w:rPr>
            </w:pPr>
            <w:r>
              <w:rPr>
                <w:b/>
                <w:szCs w:val="22"/>
              </w:rPr>
              <w:t>)</w:t>
            </w:r>
          </w:p>
          <w:p w:rsidR="003942A6" w:rsidRPr="005C2320" w:rsidP="008027BC">
            <w:pPr>
              <w:rPr>
                <w:b/>
                <w:szCs w:val="22"/>
              </w:rPr>
            </w:pPr>
            <w:r>
              <w:rPr>
                <w:b/>
                <w:szCs w:val="22"/>
              </w:rPr>
              <w:t>)</w:t>
            </w:r>
          </w:p>
        </w:tc>
        <w:tc>
          <w:tcPr>
            <w:tcW w:w="4230" w:type="dxa"/>
          </w:tcPr>
          <w:p w:rsidR="003942A6" w:rsidRPr="005C2320" w:rsidP="008027BC">
            <w:pPr>
              <w:rPr>
                <w:szCs w:val="22"/>
              </w:rPr>
            </w:pPr>
          </w:p>
          <w:p w:rsidR="003942A6" w:rsidRPr="005C2320" w:rsidP="008027BC">
            <w:pPr>
              <w:rPr>
                <w:szCs w:val="22"/>
              </w:rPr>
            </w:pPr>
          </w:p>
          <w:p w:rsidR="003942A6" w:rsidRPr="005C2320" w:rsidP="008027BC">
            <w:pPr>
              <w:rPr>
                <w:szCs w:val="22"/>
              </w:rPr>
            </w:pPr>
          </w:p>
          <w:p w:rsidR="003942A6" w:rsidRPr="005C2320" w:rsidP="008027BC">
            <w:pPr>
              <w:rPr>
                <w:szCs w:val="22"/>
              </w:rPr>
            </w:pPr>
          </w:p>
        </w:tc>
      </w:tr>
    </w:tbl>
    <w:p w:rsidR="003942A6" w:rsidRPr="005C2320" w:rsidP="003942A6">
      <w:pPr>
        <w:spacing w:before="120"/>
        <w:jc w:val="center"/>
        <w:rPr>
          <w:b/>
          <w:szCs w:val="22"/>
        </w:rPr>
      </w:pPr>
      <w:r w:rsidRPr="005C2320">
        <w:rPr>
          <w:b/>
          <w:spacing w:val="-2"/>
          <w:szCs w:val="22"/>
        </w:rPr>
        <w:t>ORDER</w:t>
      </w:r>
    </w:p>
    <w:p w:rsidR="003942A6" w:rsidRPr="005C2320" w:rsidP="003942A6">
      <w:pPr>
        <w:rPr>
          <w:szCs w:val="22"/>
        </w:rPr>
      </w:pPr>
    </w:p>
    <w:p w:rsidR="003942A6" w:rsidRPr="005C2320" w:rsidP="00A127BF">
      <w:pPr>
        <w:tabs>
          <w:tab w:val="left" w:pos="6480"/>
        </w:tabs>
        <w:rPr>
          <w:b/>
          <w:szCs w:val="22"/>
        </w:rPr>
      </w:pPr>
      <w:r>
        <w:rPr>
          <w:b/>
          <w:szCs w:val="22"/>
        </w:rPr>
        <w:t xml:space="preserve">Adopted:  </w:t>
      </w:r>
      <w:r w:rsidR="00205D81">
        <w:rPr>
          <w:b/>
          <w:szCs w:val="22"/>
        </w:rPr>
        <w:t xml:space="preserve">November </w:t>
      </w:r>
      <w:r w:rsidR="00D77982">
        <w:rPr>
          <w:b/>
          <w:szCs w:val="22"/>
        </w:rPr>
        <w:t>30,</w:t>
      </w:r>
      <w:r w:rsidRPr="005C2320">
        <w:rPr>
          <w:b/>
          <w:szCs w:val="22"/>
        </w:rPr>
        <w:t xml:space="preserve"> 201</w:t>
      </w:r>
      <w:r>
        <w:rPr>
          <w:b/>
          <w:szCs w:val="22"/>
        </w:rPr>
        <w:t>8</w:t>
      </w:r>
      <w:r w:rsidRPr="005C2320">
        <w:rPr>
          <w:b/>
          <w:szCs w:val="22"/>
        </w:rPr>
        <w:tab/>
        <w:t xml:space="preserve">Released: </w:t>
      </w:r>
      <w:r>
        <w:rPr>
          <w:b/>
          <w:szCs w:val="22"/>
        </w:rPr>
        <w:t xml:space="preserve"> </w:t>
      </w:r>
      <w:r w:rsidR="004D3826">
        <w:rPr>
          <w:b/>
          <w:szCs w:val="22"/>
        </w:rPr>
        <w:t>November</w:t>
      </w:r>
      <w:r>
        <w:rPr>
          <w:b/>
          <w:szCs w:val="22"/>
        </w:rPr>
        <w:t xml:space="preserve"> </w:t>
      </w:r>
      <w:r w:rsidR="00D77982">
        <w:rPr>
          <w:b/>
          <w:szCs w:val="22"/>
        </w:rPr>
        <w:t>30</w:t>
      </w:r>
      <w:r w:rsidRPr="005C2320">
        <w:rPr>
          <w:b/>
          <w:szCs w:val="22"/>
        </w:rPr>
        <w:t>, 201</w:t>
      </w:r>
      <w:r>
        <w:rPr>
          <w:b/>
          <w:szCs w:val="22"/>
        </w:rPr>
        <w:t>8</w:t>
      </w:r>
    </w:p>
    <w:p w:rsidR="003942A6" w:rsidP="003942A6">
      <w:pPr>
        <w:tabs>
          <w:tab w:val="left" w:pos="5760"/>
        </w:tabs>
        <w:rPr>
          <w:szCs w:val="22"/>
        </w:rPr>
      </w:pPr>
    </w:p>
    <w:p w:rsidR="003942A6" w:rsidP="003942A6">
      <w:pPr>
        <w:tabs>
          <w:tab w:val="left" w:pos="5760"/>
        </w:tabs>
        <w:rPr>
          <w:spacing w:val="-2"/>
          <w:szCs w:val="22"/>
        </w:rPr>
      </w:pPr>
      <w:r w:rsidRPr="005C2320">
        <w:rPr>
          <w:szCs w:val="22"/>
        </w:rPr>
        <w:t xml:space="preserve">By the </w:t>
      </w:r>
      <w:r w:rsidRPr="005C2320">
        <w:rPr>
          <w:spacing w:val="-2"/>
          <w:szCs w:val="22"/>
        </w:rPr>
        <w:t>Chief, Office of Engineering and Technology:</w:t>
      </w:r>
    </w:p>
    <w:p w:rsidR="003942A6" w:rsidRPr="005C2320" w:rsidP="003942A6">
      <w:pPr>
        <w:tabs>
          <w:tab w:val="left" w:pos="5760"/>
        </w:tabs>
        <w:rPr>
          <w:spacing w:val="-2"/>
          <w:szCs w:val="22"/>
        </w:rPr>
      </w:pPr>
    </w:p>
    <w:p w:rsidR="00F87E84" w:rsidRPr="00A347BF" w:rsidP="00A347BF">
      <w:pPr>
        <w:pStyle w:val="ParaNum"/>
        <w:rPr>
          <w:szCs w:val="22"/>
        </w:rPr>
      </w:pPr>
      <w:bookmarkStart w:id="1" w:name="_Hlk527972448"/>
      <w:r w:rsidRPr="00A347BF">
        <w:rPr>
          <w:szCs w:val="22"/>
        </w:rPr>
        <w:t xml:space="preserve">By this Order, we grant a request by </w:t>
      </w:r>
      <w:r w:rsidRPr="00A347BF" w:rsidR="00FF6C2A">
        <w:rPr>
          <w:szCs w:val="22"/>
        </w:rPr>
        <w:t>32 Technologies LLC</w:t>
      </w:r>
      <w:r w:rsidRPr="00A347BF">
        <w:rPr>
          <w:szCs w:val="22"/>
        </w:rPr>
        <w:t xml:space="preserve"> </w:t>
      </w:r>
      <w:r w:rsidRPr="00A347BF" w:rsidR="00FF6C2A">
        <w:rPr>
          <w:szCs w:val="22"/>
        </w:rPr>
        <w:t>(32 Technologies</w:t>
      </w:r>
      <w:r w:rsidRPr="00A347BF">
        <w:rPr>
          <w:szCs w:val="22"/>
        </w:rPr>
        <w:t>) for a waiver of</w:t>
      </w:r>
      <w:r w:rsidRPr="00A347BF">
        <w:rPr>
          <w:szCs w:val="22"/>
        </w:rPr>
        <w:t xml:space="preserve"> </w:t>
      </w:r>
      <w:r w:rsidRPr="00A347BF" w:rsidR="00A55835">
        <w:rPr>
          <w:szCs w:val="22"/>
        </w:rPr>
        <w:t>Section 15.250(c)</w:t>
      </w:r>
      <w:r w:rsidR="00A55835">
        <w:rPr>
          <w:szCs w:val="22"/>
        </w:rPr>
        <w:t xml:space="preserve"> of </w:t>
      </w:r>
      <w:r w:rsidRPr="00A347BF">
        <w:rPr>
          <w:szCs w:val="22"/>
        </w:rPr>
        <w:t>our rule</w:t>
      </w:r>
      <w:r w:rsidR="00A55835">
        <w:rPr>
          <w:szCs w:val="22"/>
        </w:rPr>
        <w:t>s</w:t>
      </w:r>
      <w:r w:rsidRPr="00A347BF" w:rsidR="00FB6EE8">
        <w:rPr>
          <w:szCs w:val="22"/>
        </w:rPr>
        <w:t xml:space="preserve"> </w:t>
      </w:r>
      <w:r w:rsidRPr="00A347BF">
        <w:rPr>
          <w:szCs w:val="22"/>
        </w:rPr>
        <w:t xml:space="preserve">governing unlicensed </w:t>
      </w:r>
      <w:r w:rsidRPr="00A347BF" w:rsidR="00FF6C2A">
        <w:rPr>
          <w:szCs w:val="22"/>
        </w:rPr>
        <w:t>wideband</w:t>
      </w:r>
      <w:r w:rsidRPr="00A347BF">
        <w:rPr>
          <w:szCs w:val="22"/>
        </w:rPr>
        <w:t xml:space="preserve"> devices</w:t>
      </w:r>
      <w:r w:rsidR="00A55835">
        <w:rPr>
          <w:szCs w:val="22"/>
        </w:rPr>
        <w:t>.  Specifically, we are waiving the prohibition on the use of fixed outdoor infrastructure to allow 32 Technologies to obtain equipment</w:t>
      </w:r>
      <w:r w:rsidRPr="00A347BF">
        <w:rPr>
          <w:szCs w:val="22"/>
        </w:rPr>
        <w:t xml:space="preserve"> certification </w:t>
      </w:r>
      <w:r w:rsidR="00A55835">
        <w:rPr>
          <w:szCs w:val="22"/>
        </w:rPr>
        <w:t>for and</w:t>
      </w:r>
      <w:r w:rsidRPr="00A347BF">
        <w:rPr>
          <w:szCs w:val="22"/>
        </w:rPr>
        <w:t xml:space="preserve"> ma</w:t>
      </w:r>
      <w:r w:rsidR="00A55835">
        <w:rPr>
          <w:szCs w:val="22"/>
        </w:rPr>
        <w:t>rket</w:t>
      </w:r>
      <w:r w:rsidRPr="00A347BF">
        <w:rPr>
          <w:szCs w:val="22"/>
        </w:rPr>
        <w:t xml:space="preserve"> </w:t>
      </w:r>
      <w:r w:rsidR="007F5F6C">
        <w:rPr>
          <w:szCs w:val="22"/>
        </w:rPr>
        <w:t>a</w:t>
      </w:r>
      <w:r w:rsidRPr="00A347BF">
        <w:rPr>
          <w:szCs w:val="22"/>
        </w:rPr>
        <w:t xml:space="preserve"> </w:t>
      </w:r>
      <w:r w:rsidR="005B45EB">
        <w:rPr>
          <w:szCs w:val="22"/>
        </w:rPr>
        <w:t xml:space="preserve">pet collar </w:t>
      </w:r>
      <w:r w:rsidR="004A71DA">
        <w:rPr>
          <w:szCs w:val="22"/>
        </w:rPr>
        <w:t>product</w:t>
      </w:r>
      <w:r w:rsidR="005B45EB">
        <w:rPr>
          <w:szCs w:val="22"/>
        </w:rPr>
        <w:t xml:space="preserve"> </w:t>
      </w:r>
      <w:r w:rsidR="0058147D">
        <w:rPr>
          <w:szCs w:val="22"/>
        </w:rPr>
        <w:t xml:space="preserve">designed to operate </w:t>
      </w:r>
      <w:r w:rsidR="00E44FCA">
        <w:rPr>
          <w:szCs w:val="22"/>
        </w:rPr>
        <w:t>in the 6.240 to 6.740 GHz range.</w:t>
      </w:r>
      <w:r>
        <w:rPr>
          <w:rStyle w:val="FootnoteReference"/>
          <w:sz w:val="22"/>
          <w:szCs w:val="22"/>
        </w:rPr>
        <w:footnoteReference w:id="2"/>
      </w:r>
      <w:r w:rsidRPr="00A347BF" w:rsidR="00591918">
        <w:rPr>
          <w:szCs w:val="22"/>
        </w:rPr>
        <w:t xml:space="preserve"> </w:t>
      </w:r>
      <w:r w:rsidR="00A55835">
        <w:rPr>
          <w:szCs w:val="22"/>
        </w:rPr>
        <w:t xml:space="preserve"> </w:t>
      </w:r>
      <w:r w:rsidR="0040103E">
        <w:rPr>
          <w:szCs w:val="22"/>
        </w:rPr>
        <w:br/>
      </w:r>
      <w:r w:rsidRPr="00A347BF">
        <w:rPr>
          <w:szCs w:val="22"/>
        </w:rPr>
        <w:t>We find that thi</w:t>
      </w:r>
      <w:r w:rsidR="005B45EB">
        <w:rPr>
          <w:szCs w:val="22"/>
        </w:rPr>
        <w:t xml:space="preserve">s </w:t>
      </w:r>
      <w:r w:rsidR="00EB7A8A">
        <w:rPr>
          <w:szCs w:val="22"/>
        </w:rPr>
        <w:t>product</w:t>
      </w:r>
      <w:r w:rsidR="007F5F6C">
        <w:rPr>
          <w:szCs w:val="22"/>
        </w:rPr>
        <w:t>, when</w:t>
      </w:r>
      <w:r w:rsidRPr="00A347BF">
        <w:rPr>
          <w:szCs w:val="22"/>
        </w:rPr>
        <w:t xml:space="preserve"> operating under the specifie</w:t>
      </w:r>
      <w:r w:rsidRPr="00A347BF" w:rsidR="00394B52">
        <w:rPr>
          <w:szCs w:val="22"/>
        </w:rPr>
        <w:t>d waiver condition</w:t>
      </w:r>
      <w:r w:rsidR="007F5F6C">
        <w:rPr>
          <w:szCs w:val="22"/>
        </w:rPr>
        <w:t>s,</w:t>
      </w:r>
      <w:r w:rsidRPr="00A347BF">
        <w:rPr>
          <w:szCs w:val="22"/>
        </w:rPr>
        <w:t xml:space="preserve"> </w:t>
      </w:r>
      <w:r w:rsidRPr="00A347BF">
        <w:rPr>
          <w:szCs w:val="22"/>
        </w:rPr>
        <w:t>poses no greater risk of causing harmful interference to communication services than those devices already permitted under the existing rules</w:t>
      </w:r>
      <w:r w:rsidR="007F5F6C">
        <w:rPr>
          <w:szCs w:val="22"/>
        </w:rPr>
        <w:t>,</w:t>
      </w:r>
      <w:r w:rsidRPr="00A347BF">
        <w:rPr>
          <w:szCs w:val="22"/>
        </w:rPr>
        <w:t xml:space="preserve"> and that grant of the waiver will serve the public interest</w:t>
      </w:r>
      <w:r w:rsidRPr="00A347BF">
        <w:rPr>
          <w:szCs w:val="22"/>
        </w:rPr>
        <w:t>.</w:t>
      </w:r>
      <w:bookmarkEnd w:id="1"/>
    </w:p>
    <w:p w:rsidR="00095ED9" w:rsidRPr="00A347BF" w:rsidP="00095ED9">
      <w:pPr>
        <w:pStyle w:val="ParaNum"/>
        <w:rPr>
          <w:szCs w:val="22"/>
        </w:rPr>
      </w:pPr>
      <w:r w:rsidRPr="00A347BF">
        <w:rPr>
          <w:szCs w:val="22"/>
        </w:rPr>
        <w:t>Part 15 of the Commission’s rules permits low</w:t>
      </w:r>
      <w:r w:rsidR="007F5F6C">
        <w:rPr>
          <w:szCs w:val="22"/>
        </w:rPr>
        <w:t>-</w:t>
      </w:r>
      <w:r w:rsidRPr="00A347BF">
        <w:rPr>
          <w:szCs w:val="22"/>
        </w:rPr>
        <w:t xml:space="preserve">power radio frequency device </w:t>
      </w:r>
      <w:r w:rsidR="00C51ADE">
        <w:rPr>
          <w:szCs w:val="22"/>
        </w:rPr>
        <w:t>operation</w:t>
      </w:r>
      <w:r w:rsidRPr="00A347BF" w:rsidR="00C51ADE">
        <w:rPr>
          <w:szCs w:val="22"/>
        </w:rPr>
        <w:t xml:space="preserve"> </w:t>
      </w:r>
      <w:r w:rsidRPr="00A347BF">
        <w:rPr>
          <w:szCs w:val="22"/>
        </w:rPr>
        <w:t>without an individual license from the Commission</w:t>
      </w:r>
      <w:r w:rsidR="00205D81">
        <w:rPr>
          <w:szCs w:val="22"/>
        </w:rPr>
        <w:t>.</w:t>
      </w:r>
      <w:r>
        <w:rPr>
          <w:rStyle w:val="FootnoteReference"/>
          <w:sz w:val="22"/>
          <w:szCs w:val="22"/>
        </w:rPr>
        <w:footnoteReference w:id="3"/>
      </w:r>
      <w:r w:rsidRPr="00A347BF">
        <w:rPr>
          <w:szCs w:val="22"/>
        </w:rPr>
        <w:t xml:space="preserve"> </w:t>
      </w:r>
      <w:r w:rsidR="004D3826">
        <w:rPr>
          <w:szCs w:val="22"/>
        </w:rPr>
        <w:t xml:space="preserve"> </w:t>
      </w:r>
      <w:r w:rsidRPr="00A347BF">
        <w:rPr>
          <w:szCs w:val="22"/>
        </w:rPr>
        <w:t xml:space="preserve">In 2004, the Commission adopted rules </w:t>
      </w:r>
      <w:r w:rsidR="007F5F6C">
        <w:rPr>
          <w:szCs w:val="22"/>
        </w:rPr>
        <w:t>governing</w:t>
      </w:r>
      <w:r w:rsidRPr="00A347BF">
        <w:rPr>
          <w:szCs w:val="22"/>
        </w:rPr>
        <w:t xml:space="preserve"> wideband system </w:t>
      </w:r>
      <w:r w:rsidR="00C51ADE">
        <w:rPr>
          <w:szCs w:val="22"/>
        </w:rPr>
        <w:t xml:space="preserve">operation </w:t>
      </w:r>
      <w:r w:rsidRPr="00A347BF">
        <w:rPr>
          <w:szCs w:val="22"/>
        </w:rPr>
        <w:t>in the 5925-7250 MHz freq</w:t>
      </w:r>
      <w:r w:rsidRPr="00A347BF" w:rsidR="00A347BF">
        <w:rPr>
          <w:szCs w:val="22"/>
        </w:rPr>
        <w:t>uency band.</w:t>
      </w:r>
      <w:r>
        <w:rPr>
          <w:rStyle w:val="FootnoteReference"/>
          <w:sz w:val="22"/>
          <w:szCs w:val="22"/>
        </w:rPr>
        <w:footnoteReference w:id="4"/>
      </w:r>
      <w:r w:rsidR="00DE5E68">
        <w:rPr>
          <w:szCs w:val="22"/>
        </w:rPr>
        <w:t xml:space="preserve">  A</w:t>
      </w:r>
      <w:r w:rsidR="007F5F6C">
        <w:rPr>
          <w:szCs w:val="22"/>
        </w:rPr>
        <w:t>mong t</w:t>
      </w:r>
      <w:r w:rsidRPr="00A347BF">
        <w:rPr>
          <w:szCs w:val="22"/>
        </w:rPr>
        <w:t>hese rules i</w:t>
      </w:r>
      <w:r w:rsidR="007F5F6C">
        <w:rPr>
          <w:szCs w:val="22"/>
        </w:rPr>
        <w:t xml:space="preserve">s </w:t>
      </w:r>
      <w:r w:rsidRPr="00A347BF">
        <w:rPr>
          <w:szCs w:val="22"/>
        </w:rPr>
        <w:t>Section 15.250(c), which provides that “[e]</w:t>
      </w:r>
      <w:r w:rsidRPr="00A347BF">
        <w:rPr>
          <w:szCs w:val="22"/>
        </w:rPr>
        <w:t>xcept</w:t>
      </w:r>
      <w:r w:rsidRPr="00A347BF">
        <w:rPr>
          <w:szCs w:val="22"/>
        </w:rPr>
        <w:t xml:space="preserve"> for operation onboard a ship or terrestrial transportation vehicle, the use of a fixed outdoo</w:t>
      </w:r>
      <w:r w:rsidRPr="00A347BF" w:rsidR="00A347BF">
        <w:rPr>
          <w:szCs w:val="22"/>
        </w:rPr>
        <w:t>r infrastructure is prohibited</w:t>
      </w:r>
      <w:r w:rsidR="007F5F6C">
        <w:rPr>
          <w:szCs w:val="22"/>
        </w:rPr>
        <w:t>,</w:t>
      </w:r>
      <w:r w:rsidRPr="00A347BF" w:rsidR="00A347BF">
        <w:rPr>
          <w:szCs w:val="22"/>
        </w:rPr>
        <w:t>”</w:t>
      </w:r>
      <w:r w:rsidRPr="00A347BF">
        <w:rPr>
          <w:szCs w:val="22"/>
        </w:rPr>
        <w:t xml:space="preserve"> </w:t>
      </w:r>
      <w:r w:rsidR="007F5F6C">
        <w:rPr>
          <w:szCs w:val="22"/>
        </w:rPr>
        <w:t>and</w:t>
      </w:r>
      <w:r w:rsidRPr="00A347BF">
        <w:rPr>
          <w:szCs w:val="22"/>
        </w:rPr>
        <w:t xml:space="preserve"> </w:t>
      </w:r>
      <w:r w:rsidR="007F5F6C">
        <w:rPr>
          <w:szCs w:val="22"/>
        </w:rPr>
        <w:t xml:space="preserve">states </w:t>
      </w:r>
      <w:r w:rsidRPr="00A347BF">
        <w:rPr>
          <w:szCs w:val="22"/>
        </w:rPr>
        <w:t>that a “fixed infrastructure includes antennas mounted on outdoor structures, e.g., antennas mounted on the outside of a building or on a telephone pole.”</w:t>
      </w:r>
      <w:r w:rsidRPr="007F5F6C" w:rsidR="007F5F6C">
        <w:rPr>
          <w:rStyle w:val="FootnoteReference"/>
          <w:sz w:val="22"/>
          <w:szCs w:val="22"/>
        </w:rPr>
        <w:t xml:space="preserve"> </w:t>
      </w:r>
      <w:r>
        <w:rPr>
          <w:rStyle w:val="FootnoteReference"/>
          <w:sz w:val="22"/>
          <w:szCs w:val="22"/>
        </w:rPr>
        <w:footnoteReference w:id="5"/>
      </w:r>
    </w:p>
    <w:p w:rsidR="00E667F7" w:rsidRPr="00E667F7" w:rsidP="00AA3CF0">
      <w:pPr>
        <w:pStyle w:val="ParaNum"/>
        <w:rPr>
          <w:szCs w:val="22"/>
          <w:vertAlign w:val="superscript"/>
        </w:rPr>
      </w:pPr>
      <w:r w:rsidRPr="00A347BF">
        <w:rPr>
          <w:szCs w:val="22"/>
        </w:rPr>
        <w:t xml:space="preserve">32 Technologies states that </w:t>
      </w:r>
      <w:r w:rsidR="007F5F6C">
        <w:rPr>
          <w:szCs w:val="22"/>
        </w:rPr>
        <w:t>its</w:t>
      </w:r>
      <w:r w:rsidR="005B45EB">
        <w:rPr>
          <w:szCs w:val="22"/>
        </w:rPr>
        <w:t xml:space="preserve"> </w:t>
      </w:r>
      <w:r w:rsidR="00EB7A8A">
        <w:rPr>
          <w:szCs w:val="22"/>
        </w:rPr>
        <w:t>product</w:t>
      </w:r>
      <w:r w:rsidRPr="00A347BF" w:rsidR="0037145D">
        <w:rPr>
          <w:szCs w:val="22"/>
        </w:rPr>
        <w:t xml:space="preserve"> would provide </w:t>
      </w:r>
      <w:r w:rsidRPr="00A347BF">
        <w:rPr>
          <w:szCs w:val="22"/>
        </w:rPr>
        <w:t>accurate tracking</w:t>
      </w:r>
      <w:r w:rsidR="00336701">
        <w:rPr>
          <w:szCs w:val="22"/>
        </w:rPr>
        <w:t xml:space="preserve"> of pets within </w:t>
      </w:r>
      <w:r w:rsidRPr="00A347BF" w:rsidR="0037145D">
        <w:rPr>
          <w:szCs w:val="22"/>
        </w:rPr>
        <w:t>containment zones</w:t>
      </w:r>
      <w:r w:rsidR="00336701">
        <w:rPr>
          <w:szCs w:val="22"/>
        </w:rPr>
        <w:t xml:space="preserve"> </w:t>
      </w:r>
      <w:r w:rsidR="007F5F6C">
        <w:rPr>
          <w:szCs w:val="22"/>
        </w:rPr>
        <w:t>that</w:t>
      </w:r>
      <w:r w:rsidRPr="00A347BF" w:rsidR="005F57F3">
        <w:rPr>
          <w:szCs w:val="22"/>
        </w:rPr>
        <w:t xml:space="preserve"> would be established by using four </w:t>
      </w:r>
      <w:r w:rsidR="00336701">
        <w:rPr>
          <w:szCs w:val="22"/>
        </w:rPr>
        <w:t xml:space="preserve">portable outdoor </w:t>
      </w:r>
      <w:r w:rsidRPr="00A347BF" w:rsidR="005F57F3">
        <w:rPr>
          <w:szCs w:val="22"/>
        </w:rPr>
        <w:t>anchors s</w:t>
      </w:r>
      <w:r w:rsidRPr="00A347BF" w:rsidR="00675BB6">
        <w:rPr>
          <w:szCs w:val="22"/>
        </w:rPr>
        <w:t>paced in proximity to each</w:t>
      </w:r>
      <w:r w:rsidR="00092072">
        <w:rPr>
          <w:szCs w:val="22"/>
        </w:rPr>
        <w:t xml:space="preserve"> other</w:t>
      </w:r>
      <w:r w:rsidR="007F5F6C">
        <w:rPr>
          <w:szCs w:val="22"/>
        </w:rPr>
        <w:t xml:space="preserve">. </w:t>
      </w:r>
      <w:r w:rsidR="00793AF3">
        <w:rPr>
          <w:szCs w:val="22"/>
        </w:rPr>
        <w:t>In cases when the pet leaves the containment zone, the pet collar will switch to the integrated LTE and GPS technology for pet tracking.</w:t>
      </w:r>
      <w:r>
        <w:rPr>
          <w:rStyle w:val="FootnoteReference"/>
          <w:szCs w:val="22"/>
        </w:rPr>
        <w:footnoteReference w:id="6"/>
      </w:r>
      <w:r w:rsidR="00793AF3">
        <w:rPr>
          <w:szCs w:val="22"/>
        </w:rPr>
        <w:t xml:space="preserve"> </w:t>
      </w:r>
      <w:r w:rsidR="007F5F6C">
        <w:rPr>
          <w:szCs w:val="22"/>
        </w:rPr>
        <w:t xml:space="preserve"> This arrangement would</w:t>
      </w:r>
      <w:r w:rsidR="00911A84">
        <w:rPr>
          <w:szCs w:val="22"/>
        </w:rPr>
        <w:t xml:space="preserve"> permit </w:t>
      </w:r>
      <w:r w:rsidR="007F5F6C">
        <w:rPr>
          <w:szCs w:val="22"/>
        </w:rPr>
        <w:t xml:space="preserve">the </w:t>
      </w:r>
      <w:r w:rsidR="00911A84">
        <w:rPr>
          <w:szCs w:val="22"/>
        </w:rPr>
        <w:t xml:space="preserve">precise location </w:t>
      </w:r>
      <w:r w:rsidR="00336701">
        <w:rPr>
          <w:szCs w:val="22"/>
        </w:rPr>
        <w:t xml:space="preserve">tracking </w:t>
      </w:r>
      <w:r w:rsidR="00911A84">
        <w:rPr>
          <w:szCs w:val="22"/>
        </w:rPr>
        <w:t xml:space="preserve">of </w:t>
      </w:r>
      <w:r w:rsidR="00EB7A8A">
        <w:rPr>
          <w:szCs w:val="22"/>
        </w:rPr>
        <w:t>associated</w:t>
      </w:r>
      <w:r w:rsidR="00911A84">
        <w:rPr>
          <w:szCs w:val="22"/>
        </w:rPr>
        <w:t xml:space="preserve"> pet collar</w:t>
      </w:r>
      <w:r w:rsidR="00205D81">
        <w:rPr>
          <w:szCs w:val="22"/>
        </w:rPr>
        <w:t>s</w:t>
      </w:r>
      <w:r w:rsidR="00EA34C7">
        <w:rPr>
          <w:szCs w:val="22"/>
        </w:rPr>
        <w:t xml:space="preserve"> both within and outside of the containment zone</w:t>
      </w:r>
      <w:r w:rsidRPr="00A347BF" w:rsidR="00675BB6">
        <w:rPr>
          <w:szCs w:val="22"/>
        </w:rPr>
        <w:t>.</w:t>
      </w:r>
      <w:r>
        <w:rPr>
          <w:rStyle w:val="FootnoteReference"/>
          <w:szCs w:val="22"/>
        </w:rPr>
        <w:footnoteReference w:id="7"/>
      </w:r>
      <w:r w:rsidRPr="00A347BF" w:rsidR="005F57F3">
        <w:rPr>
          <w:szCs w:val="22"/>
        </w:rPr>
        <w:t xml:space="preserve"> </w:t>
      </w:r>
      <w:r w:rsidRPr="00A347BF" w:rsidR="0037145D">
        <w:rPr>
          <w:szCs w:val="22"/>
        </w:rPr>
        <w:t xml:space="preserve"> </w:t>
      </w:r>
      <w:r>
        <w:rPr>
          <w:szCs w:val="22"/>
        </w:rPr>
        <w:t>Given the outdoor use of its product components</w:t>
      </w:r>
      <w:r w:rsidR="00EB7A8A">
        <w:rPr>
          <w:szCs w:val="22"/>
        </w:rPr>
        <w:t xml:space="preserve">, </w:t>
      </w:r>
      <w:r w:rsidR="00336701">
        <w:rPr>
          <w:szCs w:val="22"/>
        </w:rPr>
        <w:t>32 Technologies</w:t>
      </w:r>
      <w:r>
        <w:rPr>
          <w:szCs w:val="22"/>
        </w:rPr>
        <w:t xml:space="preserve"> </w:t>
      </w:r>
      <w:r w:rsidR="00145ADA">
        <w:rPr>
          <w:szCs w:val="22"/>
        </w:rPr>
        <w:t xml:space="preserve">seeks </w:t>
      </w:r>
      <w:r w:rsidR="00336701">
        <w:rPr>
          <w:szCs w:val="22"/>
        </w:rPr>
        <w:t xml:space="preserve">a waiver of the fixed infrastructure rules </w:t>
      </w:r>
      <w:r w:rsidR="00DE5E68">
        <w:rPr>
          <w:szCs w:val="22"/>
        </w:rPr>
        <w:t>in</w:t>
      </w:r>
      <w:r w:rsidR="00336701">
        <w:rPr>
          <w:szCs w:val="22"/>
        </w:rPr>
        <w:t xml:space="preserve"> </w:t>
      </w:r>
      <w:r w:rsidR="005B45EB">
        <w:rPr>
          <w:szCs w:val="22"/>
        </w:rPr>
        <w:t>Section 15.250(c)</w:t>
      </w:r>
      <w:r>
        <w:rPr>
          <w:szCs w:val="22"/>
        </w:rPr>
        <w:t>.</w:t>
      </w:r>
    </w:p>
    <w:p w:rsidR="005B45EB" w:rsidRPr="00092072" w:rsidP="00A127BF">
      <w:pPr>
        <w:pStyle w:val="ParaNum"/>
        <w:widowControl/>
        <w:ind w:left="-86"/>
        <w:rPr>
          <w:vertAlign w:val="superscript"/>
        </w:rPr>
      </w:pPr>
      <w:r w:rsidRPr="00A347BF">
        <w:t>We are au</w:t>
      </w:r>
      <w:r>
        <w:t>thorized to grant a waiver</w:t>
      </w:r>
      <w:r w:rsidRPr="00A347BF">
        <w:t xml:space="preserve"> under Section 1.3 of the Commission’s rule</w:t>
      </w:r>
      <w:r w:rsidR="00DE5E68">
        <w:t>s</w:t>
      </w:r>
      <w:r w:rsidRPr="00A347BF">
        <w:t xml:space="preserve"> if the petitioner demonstrates good cause for such action.</w:t>
      </w:r>
      <w:r>
        <w:rPr>
          <w:rStyle w:val="FootnoteReference"/>
          <w:sz w:val="22"/>
          <w:szCs w:val="22"/>
        </w:rPr>
        <w:footnoteReference w:id="8"/>
      </w:r>
      <w:r w:rsidR="00DE5E68">
        <w:t xml:space="preserve">  G</w:t>
      </w:r>
      <w:r w:rsidRPr="00A347BF">
        <w:t>ood cause</w:t>
      </w:r>
      <w:r>
        <w:t xml:space="preserve">, in </w:t>
      </w:r>
      <w:r w:rsidRPr="00A347BF">
        <w:t>turn, may be found and a waiver granted “where particular facts would make strict compliance inconsistent with public interest.</w:t>
      </w:r>
      <w:r>
        <w:rPr>
          <w:rStyle w:val="FootnoteReference"/>
          <w:sz w:val="22"/>
          <w:szCs w:val="22"/>
        </w:rPr>
        <w:footnoteReference w:id="9"/>
      </w:r>
      <w:r w:rsidR="00DE5E68">
        <w:t xml:space="preserve">  T</w:t>
      </w:r>
      <w:r w:rsidRPr="00A347BF">
        <w:t>o make this pubic interest determination, the waiver cannot under</w:t>
      </w:r>
      <w:r>
        <w:t>mine the purpose of the rule, and</w:t>
      </w:r>
      <w:r w:rsidRPr="00A347BF">
        <w:t xml:space="preserve"> there must be a strong</w:t>
      </w:r>
      <w:r w:rsidR="00AF3BB0">
        <w:t>er</w:t>
      </w:r>
      <w:r w:rsidRPr="00A347BF">
        <w:t xml:space="preserve"> public interest benefit in granting the waiver than in applying the rule.</w:t>
      </w:r>
      <w:r>
        <w:rPr>
          <w:rStyle w:val="FootnoteReference"/>
          <w:sz w:val="22"/>
          <w:szCs w:val="22"/>
        </w:rPr>
        <w:footnoteReference w:id="10"/>
      </w:r>
      <w:r w:rsidR="00DE5E68">
        <w:t xml:space="preserve">  W</w:t>
      </w:r>
      <w:r w:rsidRPr="00A347BF">
        <w:t xml:space="preserve">e conclude that </w:t>
      </w:r>
      <w:r w:rsidR="004D3826">
        <w:t>the</w:t>
      </w:r>
      <w:r w:rsidRPr="00A347BF">
        <w:t xml:space="preserve"> waiver request mee</w:t>
      </w:r>
      <w:r>
        <w:t>t</w:t>
      </w:r>
      <w:r w:rsidR="004D3826">
        <w:t>s this standard</w:t>
      </w:r>
      <w:r w:rsidRPr="00A347BF">
        <w:t xml:space="preserve">. </w:t>
      </w:r>
    </w:p>
    <w:p w:rsidR="00500079" w:rsidRPr="00F6321E" w:rsidP="00211156">
      <w:pPr>
        <w:pStyle w:val="ParaNum"/>
        <w:rPr>
          <w:szCs w:val="22"/>
          <w:vertAlign w:val="superscript"/>
        </w:rPr>
      </w:pPr>
      <w:r w:rsidRPr="00F6321E">
        <w:rPr>
          <w:szCs w:val="22"/>
        </w:rPr>
        <w:t>The underlying purpose of Section 15.250(c) is “to prevent the establishment of wide area communications systems” in the 5925-7250 MHz frequency band</w:t>
      </w:r>
      <w:r w:rsidR="00442FC1">
        <w:rPr>
          <w:szCs w:val="22"/>
        </w:rPr>
        <w:t>.</w:t>
      </w:r>
      <w:r>
        <w:rPr>
          <w:rStyle w:val="FootnoteReference"/>
          <w:szCs w:val="22"/>
        </w:rPr>
        <w:footnoteReference w:id="11"/>
      </w:r>
      <w:r w:rsidR="00442FC1">
        <w:rPr>
          <w:szCs w:val="22"/>
        </w:rPr>
        <w:t xml:space="preserve"> </w:t>
      </w:r>
      <w:r w:rsidR="00C1176E">
        <w:rPr>
          <w:szCs w:val="22"/>
        </w:rPr>
        <w:t xml:space="preserve"> </w:t>
      </w:r>
      <w:r w:rsidRPr="00F6321E" w:rsidR="00E667F7">
        <w:rPr>
          <w:szCs w:val="22"/>
        </w:rPr>
        <w:t xml:space="preserve">32 Technologies asserts that, in establishing the containment zone, the outdoor portable anchors will not create </w:t>
      </w:r>
      <w:r w:rsidR="00DF74A9">
        <w:rPr>
          <w:szCs w:val="22"/>
        </w:rPr>
        <w:t xml:space="preserve">a </w:t>
      </w:r>
      <w:r w:rsidRPr="00F6321E" w:rsidR="00E667F7">
        <w:rPr>
          <w:szCs w:val="22"/>
        </w:rPr>
        <w:t>communications system or network.</w:t>
      </w:r>
      <w:r>
        <w:rPr>
          <w:rStyle w:val="FootnoteReference"/>
          <w:sz w:val="22"/>
          <w:szCs w:val="22"/>
        </w:rPr>
        <w:footnoteReference w:id="12"/>
      </w:r>
      <w:r w:rsidRPr="00F6321E" w:rsidR="00E667F7">
        <w:rPr>
          <w:szCs w:val="22"/>
        </w:rPr>
        <w:t xml:space="preserve">  Except for a short period of time during the initial </w:t>
      </w:r>
      <w:r w:rsidRPr="00F6321E" w:rsidR="00C1176E">
        <w:rPr>
          <w:szCs w:val="22"/>
        </w:rPr>
        <w:t xml:space="preserve">containment zone </w:t>
      </w:r>
      <w:r w:rsidRPr="00F6321E" w:rsidR="00E667F7">
        <w:rPr>
          <w:szCs w:val="22"/>
        </w:rPr>
        <w:t xml:space="preserve">set-up and/or firmware updates, the anchors will not actively communicate with each other.  In addition, the anchors will communicate </w:t>
      </w:r>
      <w:r w:rsidR="00C1176E">
        <w:rPr>
          <w:szCs w:val="22"/>
        </w:rPr>
        <w:t xml:space="preserve">only </w:t>
      </w:r>
      <w:r w:rsidRPr="00F6321E" w:rsidR="00E667F7">
        <w:rPr>
          <w:szCs w:val="22"/>
        </w:rPr>
        <w:t xml:space="preserve">with </w:t>
      </w:r>
      <w:r w:rsidR="00C1176E">
        <w:rPr>
          <w:szCs w:val="22"/>
        </w:rPr>
        <w:t xml:space="preserve">its paired pet collar and not with </w:t>
      </w:r>
      <w:r w:rsidRPr="00F6321E" w:rsidR="00E667F7">
        <w:rPr>
          <w:szCs w:val="22"/>
        </w:rPr>
        <w:t xml:space="preserve">any other devices </w:t>
      </w:r>
      <w:r w:rsidR="00C1176E">
        <w:rPr>
          <w:szCs w:val="22"/>
        </w:rPr>
        <w:t>nor</w:t>
      </w:r>
      <w:r w:rsidRPr="00F6321E" w:rsidR="00C1176E">
        <w:rPr>
          <w:szCs w:val="22"/>
        </w:rPr>
        <w:t xml:space="preserve"> </w:t>
      </w:r>
      <w:r w:rsidRPr="00F6321E" w:rsidR="00E667F7">
        <w:rPr>
          <w:szCs w:val="22"/>
        </w:rPr>
        <w:t xml:space="preserve">will </w:t>
      </w:r>
      <w:r w:rsidR="00C1176E">
        <w:rPr>
          <w:szCs w:val="22"/>
        </w:rPr>
        <w:t>it</w:t>
      </w:r>
      <w:r w:rsidRPr="00F6321E" w:rsidR="00C1176E">
        <w:rPr>
          <w:szCs w:val="22"/>
        </w:rPr>
        <w:t xml:space="preserve"> </w:t>
      </w:r>
      <w:r w:rsidRPr="00F6321E" w:rsidR="00E667F7">
        <w:rPr>
          <w:szCs w:val="22"/>
        </w:rPr>
        <w:t>be connected to the Internet.</w:t>
      </w:r>
      <w:r>
        <w:rPr>
          <w:rStyle w:val="FootnoteReference"/>
          <w:szCs w:val="22"/>
        </w:rPr>
        <w:footnoteReference w:id="13"/>
      </w:r>
      <w:r w:rsidRPr="00F6321E" w:rsidR="00211156">
        <w:rPr>
          <w:szCs w:val="22"/>
        </w:rPr>
        <w:t xml:space="preserve">  </w:t>
      </w:r>
      <w:r w:rsidR="009473FB">
        <w:rPr>
          <w:szCs w:val="22"/>
        </w:rPr>
        <w:t xml:space="preserve">We </w:t>
      </w:r>
      <w:r w:rsidRPr="00F6321E" w:rsidR="00243C09">
        <w:rPr>
          <w:szCs w:val="22"/>
        </w:rPr>
        <w:t xml:space="preserve">find that 32 Technologies has </w:t>
      </w:r>
      <w:r w:rsidR="00C1176E">
        <w:rPr>
          <w:szCs w:val="22"/>
        </w:rPr>
        <w:t>demonstrated</w:t>
      </w:r>
      <w:r w:rsidRPr="00F6321E" w:rsidR="00243C09">
        <w:rPr>
          <w:szCs w:val="22"/>
        </w:rPr>
        <w:t xml:space="preserve"> that its product </w:t>
      </w:r>
      <w:r w:rsidR="00C1176E">
        <w:rPr>
          <w:szCs w:val="22"/>
        </w:rPr>
        <w:t xml:space="preserve">operates consistent with the intent of the rule as it </w:t>
      </w:r>
      <w:r w:rsidRPr="00F6321E" w:rsidR="00243C09">
        <w:rPr>
          <w:szCs w:val="22"/>
        </w:rPr>
        <w:t xml:space="preserve">will not create </w:t>
      </w:r>
      <w:r w:rsidR="00243C09">
        <w:rPr>
          <w:szCs w:val="22"/>
        </w:rPr>
        <w:t>a</w:t>
      </w:r>
      <w:r w:rsidRPr="00F6321E" w:rsidR="00243C09">
        <w:rPr>
          <w:szCs w:val="22"/>
        </w:rPr>
        <w:t xml:space="preserve"> wide area communications system.  </w:t>
      </w:r>
      <w:r w:rsidR="00142F2F">
        <w:rPr>
          <w:szCs w:val="22"/>
        </w:rPr>
        <w:t>We observe</w:t>
      </w:r>
      <w:r w:rsidRPr="00F6321E" w:rsidR="00142F2F">
        <w:rPr>
          <w:szCs w:val="22"/>
        </w:rPr>
        <w:t xml:space="preserve"> that the 32</w:t>
      </w:r>
      <w:r w:rsidR="00016E0A">
        <w:t> </w:t>
      </w:r>
      <w:r w:rsidRPr="00F6321E" w:rsidR="00142F2F">
        <w:rPr>
          <w:szCs w:val="22"/>
        </w:rPr>
        <w:t xml:space="preserve">Technologies product </w:t>
      </w:r>
      <w:r w:rsidR="00142F2F">
        <w:rPr>
          <w:szCs w:val="22"/>
        </w:rPr>
        <w:t xml:space="preserve">is designed to comply with </w:t>
      </w:r>
      <w:r w:rsidR="00C1176E">
        <w:rPr>
          <w:szCs w:val="22"/>
        </w:rPr>
        <w:t>all</w:t>
      </w:r>
      <w:r w:rsidR="00142F2F">
        <w:rPr>
          <w:szCs w:val="22"/>
        </w:rPr>
        <w:t xml:space="preserve"> the technical limits for wideband systems under the current rules.  </w:t>
      </w:r>
      <w:r w:rsidR="00243C09">
        <w:rPr>
          <w:szCs w:val="22"/>
        </w:rPr>
        <w:t>We</w:t>
      </w:r>
      <w:r w:rsidRPr="00F6321E" w:rsidR="00211156">
        <w:rPr>
          <w:szCs w:val="22"/>
        </w:rPr>
        <w:t xml:space="preserve"> also note </w:t>
      </w:r>
      <w:r w:rsidR="00243C09">
        <w:rPr>
          <w:szCs w:val="22"/>
        </w:rPr>
        <w:t xml:space="preserve">that this product operates similarly to </w:t>
      </w:r>
      <w:r w:rsidRPr="00F6321E" w:rsidR="00211156">
        <w:rPr>
          <w:szCs w:val="22"/>
        </w:rPr>
        <w:t xml:space="preserve">a robotic lawn mower for which we </w:t>
      </w:r>
      <w:r w:rsidR="00142F2F">
        <w:rPr>
          <w:szCs w:val="22"/>
        </w:rPr>
        <w:t xml:space="preserve">previously </w:t>
      </w:r>
      <w:r w:rsidRPr="00F6321E" w:rsidR="00211156">
        <w:rPr>
          <w:szCs w:val="22"/>
        </w:rPr>
        <w:t xml:space="preserve">granted a waiver of </w:t>
      </w:r>
      <w:r w:rsidRPr="00F6321E" w:rsidR="00AC2FDE">
        <w:rPr>
          <w:szCs w:val="22"/>
        </w:rPr>
        <w:t>Section</w:t>
      </w:r>
      <w:r w:rsidRPr="00F6321E" w:rsidR="00211156">
        <w:rPr>
          <w:szCs w:val="22"/>
        </w:rPr>
        <w:t xml:space="preserve"> 15.250(c) in 2015.</w:t>
      </w:r>
      <w:r>
        <w:rPr>
          <w:rStyle w:val="FootnoteReference"/>
          <w:szCs w:val="22"/>
        </w:rPr>
        <w:footnoteReference w:id="14"/>
      </w:r>
      <w:r w:rsidR="00243C09">
        <w:rPr>
          <w:szCs w:val="22"/>
        </w:rPr>
        <w:t xml:space="preserve">  Accordingly, we</w:t>
      </w:r>
      <w:r w:rsidRPr="00F6321E" w:rsidR="00F6321E">
        <w:rPr>
          <w:szCs w:val="22"/>
        </w:rPr>
        <w:t xml:space="preserve"> </w:t>
      </w:r>
      <w:r w:rsidR="00142F2F">
        <w:rPr>
          <w:szCs w:val="22"/>
        </w:rPr>
        <w:t xml:space="preserve">conclude </w:t>
      </w:r>
      <w:r w:rsidR="00016E0A">
        <w:rPr>
          <w:szCs w:val="22"/>
        </w:rPr>
        <w:t xml:space="preserve">that applying conditions to 32 Technologies </w:t>
      </w:r>
      <w:r w:rsidR="00016E0A">
        <w:rPr>
          <w:szCs w:val="22"/>
        </w:rPr>
        <w:t>similar to</w:t>
      </w:r>
      <w:r w:rsidR="00016E0A">
        <w:rPr>
          <w:szCs w:val="22"/>
        </w:rPr>
        <w:t xml:space="preserve"> robotic lawn mower waiver does not increase the </w:t>
      </w:r>
      <w:r w:rsidRPr="00F6321E" w:rsidR="00142F2F">
        <w:rPr>
          <w:szCs w:val="22"/>
        </w:rPr>
        <w:t>potential for harmful interference to authorized services</w:t>
      </w:r>
      <w:r w:rsidR="00016E0A">
        <w:rPr>
          <w:szCs w:val="22"/>
        </w:rPr>
        <w:t xml:space="preserve"> and does not adversely affect </w:t>
      </w:r>
      <w:r w:rsidRPr="00F6321E" w:rsidR="00142F2F">
        <w:rPr>
          <w:szCs w:val="22"/>
        </w:rPr>
        <w:t>other Part 15 operations</w:t>
      </w:r>
      <w:r w:rsidRPr="00F6321E" w:rsidR="00AF3BB0">
        <w:rPr>
          <w:szCs w:val="22"/>
        </w:rPr>
        <w:t>.</w:t>
      </w:r>
      <w:r>
        <w:rPr>
          <w:rStyle w:val="FootnoteReference"/>
          <w:szCs w:val="22"/>
        </w:rPr>
        <w:footnoteReference w:id="15"/>
      </w:r>
    </w:p>
    <w:p w:rsidR="00E667F7" w:rsidRPr="00AF3BB0" w:rsidP="00AF3BB0">
      <w:pPr>
        <w:pStyle w:val="ParaNum"/>
        <w:rPr>
          <w:szCs w:val="22"/>
          <w:vertAlign w:val="superscript"/>
        </w:rPr>
      </w:pPr>
      <w:r>
        <w:rPr>
          <w:szCs w:val="22"/>
        </w:rPr>
        <w:t xml:space="preserve">We also find that there is a stronger public interest </w:t>
      </w:r>
      <w:r w:rsidRPr="00A347BF">
        <w:t>in granting the waiver than in applying the rule</w:t>
      </w:r>
      <w:r>
        <w:rPr>
          <w:szCs w:val="22"/>
        </w:rPr>
        <w:t>.  32 Technologies describes how its</w:t>
      </w:r>
      <w:r w:rsidRPr="00A347BF" w:rsidR="00AF3BB0">
        <w:rPr>
          <w:szCs w:val="22"/>
        </w:rPr>
        <w:t xml:space="preserve"> product has a potential </w:t>
      </w:r>
      <w:r w:rsidR="00006B39">
        <w:rPr>
          <w:szCs w:val="22"/>
        </w:rPr>
        <w:t xml:space="preserve">to prevent </w:t>
      </w:r>
      <w:r w:rsidRPr="00A347BF" w:rsidR="00AF3BB0">
        <w:rPr>
          <w:szCs w:val="22"/>
        </w:rPr>
        <w:t xml:space="preserve">pet </w:t>
      </w:r>
      <w:r w:rsidR="00006B39">
        <w:rPr>
          <w:szCs w:val="22"/>
        </w:rPr>
        <w:t xml:space="preserve">injuries and </w:t>
      </w:r>
      <w:r w:rsidRPr="00A347BF" w:rsidR="00AF3BB0">
        <w:rPr>
          <w:szCs w:val="22"/>
        </w:rPr>
        <w:t>fatalities</w:t>
      </w:r>
      <w:r>
        <w:rPr>
          <w:szCs w:val="22"/>
        </w:rPr>
        <w:t xml:space="preserve">, as well as </w:t>
      </w:r>
      <w:r w:rsidR="00006B39">
        <w:rPr>
          <w:szCs w:val="22"/>
        </w:rPr>
        <w:t xml:space="preserve">reduce </w:t>
      </w:r>
      <w:r>
        <w:rPr>
          <w:szCs w:val="22"/>
        </w:rPr>
        <w:t>the substantial medical and automotive repair expenses associated with vehicle-on-animal collisions.</w:t>
      </w:r>
      <w:r>
        <w:rPr>
          <w:rStyle w:val="FootnoteReference"/>
          <w:sz w:val="22"/>
          <w:szCs w:val="22"/>
        </w:rPr>
        <w:footnoteReference w:id="16"/>
      </w:r>
      <w:r w:rsidR="00AF3BB0">
        <w:rPr>
          <w:szCs w:val="22"/>
        </w:rPr>
        <w:t xml:space="preserve">  </w:t>
      </w:r>
      <w:r>
        <w:rPr>
          <w:szCs w:val="22"/>
        </w:rPr>
        <w:t xml:space="preserve">It also describes how </w:t>
      </w:r>
      <w:r w:rsidR="00AA3E2A">
        <w:rPr>
          <w:szCs w:val="22"/>
        </w:rPr>
        <w:t xml:space="preserve">relying exclusively on </w:t>
      </w:r>
      <w:r w:rsidR="002671B7">
        <w:rPr>
          <w:szCs w:val="22"/>
        </w:rPr>
        <w:t xml:space="preserve">alternative </w:t>
      </w:r>
      <w:r>
        <w:rPr>
          <w:szCs w:val="22"/>
        </w:rPr>
        <w:t>technologies, including GPS, Wi</w:t>
      </w:r>
      <w:r w:rsidR="00DF74A9">
        <w:rPr>
          <w:szCs w:val="22"/>
        </w:rPr>
        <w:t>-</w:t>
      </w:r>
      <w:r>
        <w:rPr>
          <w:szCs w:val="22"/>
        </w:rPr>
        <w:t xml:space="preserve">Fi, and Bluetooth, </w:t>
      </w:r>
      <w:r w:rsidR="002671B7">
        <w:rPr>
          <w:szCs w:val="22"/>
        </w:rPr>
        <w:t xml:space="preserve">would require larger heavier batteries and result in a </w:t>
      </w:r>
      <w:r w:rsidRPr="00AF3BB0" w:rsidR="002671B7">
        <w:rPr>
          <w:szCs w:val="22"/>
        </w:rPr>
        <w:t xml:space="preserve">commercially </w:t>
      </w:r>
      <w:r w:rsidR="002671B7">
        <w:rPr>
          <w:szCs w:val="22"/>
        </w:rPr>
        <w:t>un</w:t>
      </w:r>
      <w:r w:rsidRPr="00AF3BB0" w:rsidR="002671B7">
        <w:rPr>
          <w:szCs w:val="22"/>
        </w:rPr>
        <w:t>reasonab</w:t>
      </w:r>
      <w:r w:rsidR="002671B7">
        <w:rPr>
          <w:szCs w:val="22"/>
        </w:rPr>
        <w:t>le device.</w:t>
      </w:r>
      <w:r>
        <w:rPr>
          <w:rStyle w:val="FootnoteReference"/>
          <w:szCs w:val="22"/>
        </w:rPr>
        <w:footnoteReference w:id="17"/>
      </w:r>
    </w:p>
    <w:p w:rsidR="003A4AAA" w:rsidP="00A127BF">
      <w:pPr>
        <w:pStyle w:val="ParaNum"/>
        <w:widowControl/>
        <w:ind w:left="-86"/>
        <w:rPr>
          <w:szCs w:val="22"/>
          <w:vertAlign w:val="superscript"/>
        </w:rPr>
      </w:pPr>
      <w:r>
        <w:t xml:space="preserve">Accordingly, we find that there is good cause to grant this waiver. </w:t>
      </w:r>
      <w:r w:rsidR="00092072">
        <w:t xml:space="preserve"> </w:t>
      </w:r>
      <w:r>
        <w:t>T</w:t>
      </w:r>
      <w:r>
        <w:t xml:space="preserve">his waiver is limited to </w:t>
      </w:r>
      <w:r w:rsidRPr="00016E0A">
        <w:t>32</w:t>
      </w:r>
      <w:r w:rsidR="00016E0A">
        <w:t> </w:t>
      </w:r>
      <w:r w:rsidRPr="00016E0A">
        <w:t>Technologies</w:t>
      </w:r>
      <w:r w:rsidRPr="00016E0A">
        <w:t>’</w:t>
      </w:r>
      <w:r>
        <w:t xml:space="preserve"> pet collar product as presented in the waiver request and is subject to following conditions: </w:t>
      </w:r>
    </w:p>
    <w:p w:rsidR="003A4AAA" w:rsidP="003A4AAA">
      <w:pPr>
        <w:pStyle w:val="ParaNum"/>
        <w:numPr>
          <w:ilvl w:val="0"/>
          <w:numId w:val="4"/>
        </w:numPr>
        <w:tabs>
          <w:tab w:val="clear" w:pos="1440"/>
          <w:tab w:val="num" w:pos="1710"/>
        </w:tabs>
      </w:pPr>
      <w:r>
        <w:t xml:space="preserve">The </w:t>
      </w:r>
      <w:r w:rsidR="00911A84">
        <w:t xml:space="preserve">32 Technologies device </w:t>
      </w:r>
      <w:r>
        <w:t>must</w:t>
      </w:r>
      <w:r>
        <w:t xml:space="preserve"> be certified</w:t>
      </w:r>
      <w:r w:rsidR="00911A84">
        <w:t xml:space="preserve"> by the Commission</w:t>
      </w:r>
      <w:r>
        <w:t>.</w:t>
      </w:r>
      <w:r>
        <w:rPr>
          <w:rStyle w:val="FootnoteReference"/>
        </w:rPr>
        <w:footnoteReference w:id="18"/>
      </w:r>
    </w:p>
    <w:p w:rsidR="003A4AAA" w:rsidP="0050144F">
      <w:pPr>
        <w:pStyle w:val="ParaNum"/>
        <w:numPr>
          <w:ilvl w:val="0"/>
          <w:numId w:val="4"/>
        </w:numPr>
        <w:tabs>
          <w:tab w:val="clear" w:pos="1440"/>
          <w:tab w:val="num" w:pos="1710"/>
        </w:tabs>
      </w:pPr>
      <w:r>
        <w:t xml:space="preserve">The </w:t>
      </w:r>
      <w:r>
        <w:t>32 Technolog</w:t>
      </w:r>
      <w:r>
        <w:t>ies</w:t>
      </w:r>
      <w:r>
        <w:t xml:space="preserve"> </w:t>
      </w:r>
      <w:r w:rsidR="00911A84">
        <w:t>device</w:t>
      </w:r>
      <w:r>
        <w:t xml:space="preserve"> </w:t>
      </w:r>
      <w:r>
        <w:t>must</w:t>
      </w:r>
      <w:r>
        <w:t xml:space="preserve"> comply with all other technical and operational requirements applicable to </w:t>
      </w:r>
      <w:r w:rsidR="00911A84">
        <w:t>Wideband device</w:t>
      </w:r>
      <w:r>
        <w:t xml:space="preserve"> rules under Part 15, Subpart C of the Commission’s rule</w:t>
      </w:r>
      <w:r w:rsidR="002E1B04">
        <w:t>s</w:t>
      </w:r>
      <w:r>
        <w:t>.</w:t>
      </w:r>
    </w:p>
    <w:p w:rsidR="00B81F95" w:rsidP="0050144F">
      <w:pPr>
        <w:pStyle w:val="ParaNum"/>
        <w:numPr>
          <w:ilvl w:val="0"/>
          <w:numId w:val="4"/>
        </w:numPr>
        <w:tabs>
          <w:tab w:val="clear" w:pos="1440"/>
          <w:tab w:val="num" w:pos="1710"/>
        </w:tabs>
      </w:pPr>
      <w:r>
        <w:t>Anchors</w:t>
      </w:r>
      <w:r w:rsidR="00313B94">
        <w:t xml:space="preserve"> shall be no higher than the 36</w:t>
      </w:r>
      <w:r>
        <w:t xml:space="preserve"> inches from the ground level</w:t>
      </w:r>
      <w:r w:rsidR="00567F09">
        <w:t>.</w:t>
      </w:r>
      <w:r>
        <w:rPr>
          <w:rStyle w:val="FootnoteReference"/>
        </w:rPr>
        <w:footnoteReference w:id="19"/>
      </w:r>
    </w:p>
    <w:p w:rsidR="00FB4E38" w:rsidP="0050144F">
      <w:pPr>
        <w:pStyle w:val="ParaNum"/>
        <w:numPr>
          <w:ilvl w:val="0"/>
          <w:numId w:val="4"/>
        </w:numPr>
        <w:tabs>
          <w:tab w:val="clear" w:pos="1440"/>
        </w:tabs>
      </w:pPr>
      <w:r>
        <w:t>Operation under this waiver is limited to residential use only.</w:t>
      </w:r>
    </w:p>
    <w:p w:rsidR="0050144F" w:rsidP="0050144F">
      <w:pPr>
        <w:pStyle w:val="ParaNum"/>
        <w:numPr>
          <w:ilvl w:val="0"/>
          <w:numId w:val="4"/>
        </w:numPr>
        <w:tabs>
          <w:tab w:val="clear" w:pos="1440"/>
        </w:tabs>
      </w:pPr>
      <w:r>
        <w:t xml:space="preserve">32 Technologies </w:t>
      </w:r>
      <w:r w:rsidR="0066538A">
        <w:t>must</w:t>
      </w:r>
      <w:r>
        <w:t xml:space="preserve"> take appropriate steps (including device and instruction manual labeling) to convey to users</w:t>
      </w:r>
      <w:r w:rsidR="00FB4E38">
        <w:t xml:space="preserve"> the residential use and anchor height conditions</w:t>
      </w:r>
      <w:r>
        <w:t xml:space="preserve"> and </w:t>
      </w:r>
      <w:r w:rsidR="0066538A">
        <w:t>must</w:t>
      </w:r>
      <w:r>
        <w:t xml:space="preserve"> </w:t>
      </w:r>
      <w:r w:rsidR="0066538A">
        <w:t xml:space="preserve">only </w:t>
      </w:r>
      <w:r>
        <w:t>market the device as a residential-use product</w:t>
      </w:r>
    </w:p>
    <w:p w:rsidR="0050144F" w:rsidP="0050144F">
      <w:pPr>
        <w:pStyle w:val="ParaNum"/>
        <w:numPr>
          <w:ilvl w:val="0"/>
          <w:numId w:val="4"/>
        </w:numPr>
        <w:tabs>
          <w:tab w:val="clear" w:pos="1440"/>
        </w:tabs>
      </w:pPr>
      <w:r>
        <w:t xml:space="preserve">The 32 Technologies device must </w:t>
      </w:r>
      <w:r>
        <w:t xml:space="preserve">comply with the emission limits contained in Section 15.250 of the Commission’s rules, as well as the out of band emission limits and other technical requirements for operation in the 5925-7250 MHz frequency band. </w:t>
      </w:r>
    </w:p>
    <w:p w:rsidR="003942A6" w:rsidRPr="00A347BF" w:rsidP="00092072">
      <w:pPr>
        <w:rPr>
          <w:color w:val="141414"/>
          <w:szCs w:val="22"/>
        </w:rPr>
      </w:pPr>
      <w:bookmarkStart w:id="2" w:name="FN[FN17]"/>
      <w:bookmarkStart w:id="3" w:name="FN[FN18]"/>
      <w:bookmarkStart w:id="4" w:name="FN[FN19]"/>
      <w:bookmarkEnd w:id="2"/>
      <w:bookmarkEnd w:id="3"/>
      <w:bookmarkEnd w:id="4"/>
    </w:p>
    <w:p w:rsidR="003942A6" w:rsidRPr="00A347BF" w:rsidP="00A127BF">
      <w:pPr>
        <w:pStyle w:val="ParaNum"/>
        <w:spacing w:after="0"/>
        <w:ind w:left="-86"/>
        <w:rPr>
          <w:szCs w:val="22"/>
        </w:rPr>
      </w:pPr>
      <w:r w:rsidRPr="00A347BF">
        <w:rPr>
          <w:szCs w:val="22"/>
        </w:rPr>
        <w:t xml:space="preserve">Accordingly, pursuant to authority in Sections 0.31, 0.241, and 1.3 of the Commission’s rules, 47 C.F.R. §§ 0.21, 0.241, and 1.3, and Sections 4(i), 302, 303(e), and 303(r) of the Communications Act of 1934, as amended, 47 U.S.C. §§ 154(i), 302, 303(e), and 303(r), IT IS ORDERED that the Request for Waiver filed by </w:t>
      </w:r>
      <w:r w:rsidRPr="00A347BF" w:rsidR="00CF1BC0">
        <w:rPr>
          <w:szCs w:val="22"/>
        </w:rPr>
        <w:t>32 Technologies LLC</w:t>
      </w:r>
      <w:r w:rsidRPr="00A347BF">
        <w:rPr>
          <w:szCs w:val="22"/>
        </w:rPr>
        <w:t>., IS GRANTED, consistent with the terms of this Order.  This action is effective upon release of this Order</w:t>
      </w:r>
      <w:r w:rsidRPr="00A347BF">
        <w:rPr>
          <w:b/>
          <w:szCs w:val="22"/>
        </w:rPr>
        <w:t>.</w:t>
      </w:r>
    </w:p>
    <w:p w:rsidR="003942A6" w:rsidP="0040103E">
      <w:pPr>
        <w:pStyle w:val="ParaNum"/>
        <w:numPr>
          <w:ilvl w:val="0"/>
          <w:numId w:val="0"/>
        </w:numPr>
        <w:tabs>
          <w:tab w:val="left" w:pos="720"/>
          <w:tab w:val="num" w:pos="1260"/>
          <w:tab w:val="left" w:pos="1800"/>
        </w:tabs>
        <w:spacing w:after="0"/>
        <w:ind w:left="187"/>
        <w:rPr>
          <w:szCs w:val="22"/>
        </w:rPr>
      </w:pPr>
    </w:p>
    <w:p w:rsidR="0040103E" w:rsidRPr="00A347BF" w:rsidP="00A127BF">
      <w:pPr>
        <w:pStyle w:val="ParaNum"/>
        <w:numPr>
          <w:ilvl w:val="0"/>
          <w:numId w:val="0"/>
        </w:numPr>
        <w:tabs>
          <w:tab w:val="left" w:pos="720"/>
          <w:tab w:val="num" w:pos="1260"/>
          <w:tab w:val="left" w:pos="1800"/>
        </w:tabs>
        <w:spacing w:after="0"/>
        <w:ind w:left="187"/>
        <w:rPr>
          <w:szCs w:val="22"/>
        </w:rPr>
      </w:pPr>
    </w:p>
    <w:p w:rsidR="003942A6" w:rsidRPr="00A347BF" w:rsidP="00A127BF">
      <w:pPr>
        <w:pStyle w:val="Style3"/>
        <w:spacing w:after="0" w:line="960" w:lineRule="auto"/>
        <w:ind w:firstLine="0"/>
        <w:rPr>
          <w:szCs w:val="22"/>
        </w:rPr>
      </w:pPr>
      <w:r w:rsidRPr="00A347BF">
        <w:rPr>
          <w:szCs w:val="22"/>
        </w:rPr>
        <w:tab/>
      </w:r>
      <w:r w:rsidRPr="00A347BF">
        <w:rPr>
          <w:szCs w:val="22"/>
        </w:rPr>
        <w:tab/>
      </w:r>
      <w:r w:rsidRPr="00A347BF">
        <w:rPr>
          <w:szCs w:val="22"/>
        </w:rPr>
        <w:tab/>
      </w:r>
      <w:r w:rsidRPr="00A347BF">
        <w:rPr>
          <w:szCs w:val="22"/>
        </w:rPr>
        <w:tab/>
      </w:r>
      <w:r w:rsidRPr="00A347BF">
        <w:rPr>
          <w:szCs w:val="22"/>
        </w:rPr>
        <w:tab/>
      </w:r>
      <w:r w:rsidRPr="00A347BF">
        <w:rPr>
          <w:szCs w:val="22"/>
        </w:rPr>
        <w:tab/>
        <w:t>FEDERAL COMMUNICATIONS COMMISSION</w:t>
      </w:r>
    </w:p>
    <w:p w:rsidR="003942A6" w:rsidRPr="00A347BF" w:rsidP="003942A6">
      <w:pPr>
        <w:pStyle w:val="Style3"/>
        <w:spacing w:after="0"/>
        <w:ind w:firstLine="0"/>
        <w:rPr>
          <w:szCs w:val="22"/>
        </w:rPr>
      </w:pPr>
      <w:r w:rsidRPr="00A347BF">
        <w:rPr>
          <w:szCs w:val="22"/>
        </w:rPr>
        <w:tab/>
      </w:r>
      <w:r w:rsidRPr="00A347BF">
        <w:rPr>
          <w:szCs w:val="22"/>
        </w:rPr>
        <w:tab/>
      </w:r>
      <w:r w:rsidRPr="00A347BF">
        <w:rPr>
          <w:szCs w:val="22"/>
        </w:rPr>
        <w:tab/>
      </w:r>
      <w:r w:rsidRPr="00A347BF">
        <w:rPr>
          <w:szCs w:val="22"/>
        </w:rPr>
        <w:tab/>
      </w:r>
      <w:r w:rsidRPr="00A347BF">
        <w:rPr>
          <w:szCs w:val="22"/>
        </w:rPr>
        <w:tab/>
      </w:r>
      <w:r w:rsidRPr="00A347BF">
        <w:rPr>
          <w:szCs w:val="22"/>
        </w:rPr>
        <w:tab/>
        <w:t>Julius P. Knapp</w:t>
      </w:r>
    </w:p>
    <w:p w:rsidR="00D641D3" w:rsidP="00A127BF">
      <w:pPr>
        <w:pStyle w:val="Style3"/>
        <w:ind w:firstLine="0"/>
      </w:pPr>
      <w:r w:rsidRPr="00A347BF">
        <w:rPr>
          <w:szCs w:val="22"/>
        </w:rPr>
        <w:tab/>
      </w:r>
      <w:r w:rsidRPr="00A347BF">
        <w:rPr>
          <w:szCs w:val="22"/>
        </w:rPr>
        <w:tab/>
      </w:r>
      <w:r w:rsidRPr="00A347BF">
        <w:rPr>
          <w:szCs w:val="22"/>
        </w:rPr>
        <w:tab/>
      </w:r>
      <w:r w:rsidRPr="00A347BF">
        <w:rPr>
          <w:szCs w:val="22"/>
        </w:rPr>
        <w:tab/>
      </w:r>
      <w:r w:rsidRPr="00A347BF">
        <w:rPr>
          <w:szCs w:val="22"/>
        </w:rPr>
        <w:tab/>
      </w:r>
      <w:r w:rsidRPr="00A347BF">
        <w:rPr>
          <w:szCs w:val="22"/>
        </w:rPr>
        <w:tab/>
        <w:t>Chief, Office of Engineering and Technology</w:t>
      </w: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8B3">
    <w:pPr>
      <w:pStyle w:val="Footer"/>
      <w:jc w:val="center"/>
    </w:pPr>
    <w:r>
      <w:rPr>
        <w:rStyle w:val="PageNumber"/>
      </w:rPr>
      <w:fldChar w:fldCharType="begin"/>
    </w:r>
    <w:r>
      <w:rPr>
        <w:rStyle w:val="PageNumber"/>
      </w:rPr>
      <w:instrText xml:space="preserve"> PAGE </w:instrText>
    </w:r>
    <w:r>
      <w:rPr>
        <w:rStyle w:val="PageNumber"/>
      </w:rPr>
      <w:fldChar w:fldCharType="separate"/>
    </w:r>
    <w:r w:rsidR="00A347B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0704" w:rsidP="003942A6">
      <w:r>
        <w:separator/>
      </w:r>
    </w:p>
  </w:footnote>
  <w:footnote w:type="continuationSeparator" w:id="1">
    <w:p w:rsidR="00AD0704" w:rsidP="003942A6">
      <w:r>
        <w:continuationSeparator/>
      </w:r>
    </w:p>
  </w:footnote>
  <w:footnote w:id="2">
    <w:p w:rsidR="00A347BF">
      <w:pPr>
        <w:pStyle w:val="FootnoteText"/>
      </w:pPr>
      <w:r>
        <w:rPr>
          <w:rStyle w:val="FootnoteReference"/>
        </w:rPr>
        <w:footnoteRef/>
      </w:r>
      <w:r>
        <w:t xml:space="preserve"> </w:t>
      </w:r>
      <w:r>
        <w:rPr>
          <w:i/>
        </w:rPr>
        <w:t xml:space="preserve">Petition of 32 Technologies LLC for Waiver of Section 15.250(c) </w:t>
      </w:r>
      <w:r w:rsidRPr="007F5F6C">
        <w:rPr>
          <w:i/>
        </w:rPr>
        <w:t>of the Commission’s Rules Applicable to Wideband Devices</w:t>
      </w:r>
      <w:r>
        <w:rPr>
          <w:i/>
        </w:rPr>
        <w:t xml:space="preserve"> </w:t>
      </w:r>
      <w:r>
        <w:t>(filed October 11, 2018</w:t>
      </w:r>
      <w:r w:rsidR="007F5F6C">
        <w:t>)</w:t>
      </w:r>
      <w:r>
        <w:t xml:space="preserve"> (32 Technologies Waiver Request).</w:t>
      </w:r>
      <w:r w:rsidR="002E1B04">
        <w:t xml:space="preserve"> </w:t>
      </w:r>
      <w:r>
        <w:t xml:space="preserve"> </w:t>
      </w:r>
      <w:r>
        <w:rPr>
          <w:i/>
        </w:rPr>
        <w:t>See also</w:t>
      </w:r>
      <w:r>
        <w:t xml:space="preserve"> </w:t>
      </w:r>
      <w:r w:rsidR="00A55835">
        <w:t>47 C.F.R § 15.250(c)</w:t>
      </w:r>
      <w:r>
        <w:t>.</w:t>
      </w:r>
    </w:p>
  </w:footnote>
  <w:footnote w:id="3">
    <w:p w:rsidR="00A347BF">
      <w:pPr>
        <w:pStyle w:val="FootnoteText"/>
      </w:pPr>
      <w:r>
        <w:rPr>
          <w:rStyle w:val="FootnoteReference"/>
        </w:rPr>
        <w:footnoteRef/>
      </w:r>
      <w:r>
        <w:t xml:space="preserve"> Such devices are permitted to operate only after they have been verified to comply with existing operational restrictions. </w:t>
      </w:r>
      <w:r w:rsidR="002E1B04">
        <w:t xml:space="preserve"> </w:t>
      </w:r>
      <w:r w:rsidRPr="00DE5E68">
        <w:rPr>
          <w:i/>
        </w:rPr>
        <w:t>See</w:t>
      </w:r>
      <w:r>
        <w:t xml:space="preserve"> 47 C.F.R. §§ 2.901 </w:t>
      </w:r>
      <w:r w:rsidRPr="00471B74">
        <w:rPr>
          <w:i/>
        </w:rPr>
        <w:t>et seq</w:t>
      </w:r>
      <w:r>
        <w:t xml:space="preserve">. &amp; </w:t>
      </w:r>
      <w:r w:rsidR="00DE5E68">
        <w:t>1</w:t>
      </w:r>
      <w:r>
        <w:t xml:space="preserve">5.1 </w:t>
      </w:r>
      <w:r w:rsidRPr="00471B74">
        <w:rPr>
          <w:i/>
        </w:rPr>
        <w:t>et seq</w:t>
      </w:r>
      <w:r>
        <w:t>.</w:t>
      </w:r>
    </w:p>
  </w:footnote>
  <w:footnote w:id="4">
    <w:p w:rsidR="00A347BF">
      <w:pPr>
        <w:pStyle w:val="FootnoteText"/>
      </w:pPr>
      <w:r>
        <w:rPr>
          <w:rStyle w:val="FootnoteReference"/>
        </w:rPr>
        <w:footnoteRef/>
      </w:r>
      <w:r>
        <w:t xml:space="preserve"> </w:t>
      </w:r>
      <w:r w:rsidRPr="00DE5E68">
        <w:rPr>
          <w:i/>
        </w:rPr>
        <w:t>Revision of Part 15 of the Commission’s Rules Regarding Ultra-Wideband Transmission Systems</w:t>
      </w:r>
      <w:r>
        <w:t xml:space="preserve">, ET Docket 87- 153, </w:t>
      </w:r>
      <w:r w:rsidRPr="00DE5E68">
        <w:t>Second Report and Order and Second Memorandum Opinion and Order</w:t>
      </w:r>
      <w:r>
        <w:t xml:space="preserve">, 19 FCC </w:t>
      </w:r>
      <w:r>
        <w:t>Rcd</w:t>
      </w:r>
      <w:r>
        <w:t xml:space="preserve"> 24558, 24570-71</w:t>
      </w:r>
      <w:r w:rsidR="00F33469">
        <w:t>,</w:t>
      </w:r>
      <w:r>
        <w:t xml:space="preserve"> para. 27 (2004) (</w:t>
      </w:r>
      <w:r w:rsidRPr="00336701">
        <w:rPr>
          <w:i/>
        </w:rPr>
        <w:t>UWB Second R&amp;O</w:t>
      </w:r>
      <w:r>
        <w:t>).</w:t>
      </w:r>
    </w:p>
  </w:footnote>
  <w:footnote w:id="5">
    <w:p w:rsidR="007F5F6C" w:rsidP="007F5F6C">
      <w:pPr>
        <w:pStyle w:val="FootnoteText"/>
      </w:pPr>
      <w:r>
        <w:rPr>
          <w:rStyle w:val="FootnoteReference"/>
        </w:rPr>
        <w:footnoteRef/>
      </w:r>
      <w:r>
        <w:t xml:space="preserve"> 47 C.F.R. § 15.250(c).</w:t>
      </w:r>
    </w:p>
  </w:footnote>
  <w:footnote w:id="6">
    <w:p w:rsidR="00793AF3">
      <w:pPr>
        <w:pStyle w:val="FootnoteText"/>
      </w:pPr>
      <w:r>
        <w:rPr>
          <w:rStyle w:val="FootnoteReference"/>
        </w:rPr>
        <w:footnoteRef/>
      </w:r>
      <w:r>
        <w:t xml:space="preserve"> 32 Technologies Waiver Request at 2</w:t>
      </w:r>
      <w:r w:rsidR="00471B74">
        <w:t>.</w:t>
      </w:r>
    </w:p>
  </w:footnote>
  <w:footnote w:id="7">
    <w:p w:rsidR="00092072">
      <w:pPr>
        <w:pStyle w:val="FootnoteText"/>
      </w:pPr>
      <w:r>
        <w:rPr>
          <w:rStyle w:val="FootnoteReference"/>
        </w:rPr>
        <w:footnoteRef/>
      </w:r>
      <w:r>
        <w:t xml:space="preserve"> </w:t>
      </w:r>
      <w:r w:rsidR="00AA3E2A">
        <w:rPr>
          <w:i/>
        </w:rPr>
        <w:t>Id.</w:t>
      </w:r>
      <w:r w:rsidR="00E86545">
        <w:t xml:space="preserve"> at 1.</w:t>
      </w:r>
    </w:p>
  </w:footnote>
  <w:footnote w:id="8">
    <w:p w:rsidR="005B45EB" w:rsidP="005B45EB">
      <w:pPr>
        <w:pStyle w:val="FootnoteText"/>
      </w:pPr>
      <w:r>
        <w:rPr>
          <w:rStyle w:val="FootnoteReference"/>
        </w:rPr>
        <w:footnoteRef/>
      </w:r>
      <w:r>
        <w:t xml:space="preserve"> </w:t>
      </w:r>
      <w:r>
        <w:fldChar w:fldCharType="begin"/>
      </w:r>
      <w:r>
        <w:instrText xml:space="preserve"> HYPERLINK "https://web2.westlaw.com/find/default.wl?tf=-1&amp;rs=WLW8.08&amp;fn=_top&amp;sv=Split&amp;tc=-1&amp;docname=47CFRS1.3&amp;ordoc=2011591254&amp;findtype=L&amp;db=1000547&amp;vr=2.0&amp;rp=%2ffind%2fdefault.wl&amp;mt=Westlaw" \t "_top" </w:instrText>
      </w:r>
      <w:r>
        <w:fldChar w:fldCharType="separate"/>
      </w:r>
      <w:r>
        <w:t>47 C.F.R. § 1.3</w:t>
      </w:r>
      <w:r>
        <w:fldChar w:fldCharType="end"/>
      </w:r>
      <w:r>
        <w:t>.</w:t>
      </w:r>
      <w:r w:rsidR="00DE5E68">
        <w:t xml:space="preserve"> </w:t>
      </w:r>
      <w:r>
        <w:t xml:space="preserve"> </w:t>
      </w:r>
      <w:r>
        <w:rPr>
          <w:i/>
          <w:iCs/>
        </w:rPr>
        <w:t>See also</w:t>
      </w:r>
      <w:r>
        <w:rPr>
          <w:iCs/>
        </w:rPr>
        <w:t xml:space="preserve"> </w:t>
      </w:r>
      <w:r>
        <w:fldChar w:fldCharType="begin"/>
      </w:r>
      <w:r>
        <w:instrText xml:space="preserve"> HYPERLINK "https://web2.westlaw.com/find/default.wl?tf=-1&amp;rs=WLW8.08&amp;serialnum=2007579635&amp;fn=_top&amp;sv=Split&amp;tc=-1&amp;findtype=Y&amp;ordoc=2011591254&amp;db=506&amp;vr=2.0&amp;rp=%2ffind%2fdefault.wl&amp;mt=Westlaw" \t "_top" </w:instrText>
      </w:r>
      <w:r>
        <w:fldChar w:fldCharType="separate"/>
      </w:r>
      <w:r>
        <w:rPr>
          <w:i/>
          <w:iCs/>
        </w:rPr>
        <w:t>ICO Global Communications (Holdings) Limited v. FCC</w:t>
      </w:r>
      <w:r>
        <w:t>, 428 F.3d 264 (D.C. Cir. 2005)</w:t>
      </w:r>
      <w:r>
        <w:fldChar w:fldCharType="end"/>
      </w:r>
      <w:r>
        <w:t xml:space="preserve">; </w:t>
      </w:r>
      <w:r>
        <w:fldChar w:fldCharType="begin"/>
      </w:r>
      <w:r>
        <w:instrText xml:space="preserve"> HYPERLINK "https://web2.westlaw.com/find/default.wl?tf=-1&amp;rs=WLW8.08&amp;serialnum=1990047144&amp;fn=_top&amp;sv=Split&amp;tc=-1&amp;findtype=Y&amp;ordoc=2011591254&amp;db=350&amp;vr=2.0&amp;rp=%2ffind%2fdefault.wl&amp;mt=Westlaw" \t "_top" </w:instrText>
      </w:r>
      <w:r>
        <w:fldChar w:fldCharType="separate"/>
      </w:r>
      <w:r>
        <w:rPr>
          <w:i/>
          <w:iCs/>
        </w:rPr>
        <w:t>Northeast Cellular Telephone Co. v. FCC</w:t>
      </w:r>
      <w:r>
        <w:t>, 897 F.2d 1164 (D.C. Cir. 1990)</w:t>
      </w:r>
      <w:r>
        <w:fldChar w:fldCharType="end"/>
      </w:r>
      <w:r>
        <w:t xml:space="preserve">; </w:t>
      </w:r>
      <w:r>
        <w:fldChar w:fldCharType="begin"/>
      </w:r>
      <w:r>
        <w:instrText xml:space="preserve"> HYPERLINK "https://web2.westlaw.com/find/default.wl?tf=-1&amp;rs=WLW8.08&amp;serialnum=1969121124&amp;fn=_top&amp;sv=Split&amp;tc=-1&amp;findtype=Y&amp;ordoc=2011591254&amp;db=350&amp;vr=2.0&amp;rp=%2ffind%2fdefault.wl&amp;mt=Westlaw" \t "_top" </w:instrText>
      </w:r>
      <w:r>
        <w:fldChar w:fldCharType="separate"/>
      </w:r>
      <w:r>
        <w:rPr>
          <w:i/>
          <w:iCs/>
        </w:rPr>
        <w:t>WAIT Radio v. FCC</w:t>
      </w:r>
      <w:r>
        <w:t>, 418 F.2d 1153 (D.C. Cir. 1969)</w:t>
      </w:r>
      <w:r>
        <w:fldChar w:fldCharType="end"/>
      </w:r>
      <w:r>
        <w:t>.</w:t>
      </w:r>
    </w:p>
  </w:footnote>
  <w:footnote w:id="9">
    <w:p w:rsidR="005B45EB" w:rsidP="005B45EB">
      <w:pPr>
        <w:pStyle w:val="FootnoteText"/>
      </w:pPr>
      <w:r>
        <w:rPr>
          <w:rStyle w:val="FootnoteReference"/>
        </w:rPr>
        <w:footnoteRef/>
      </w:r>
      <w:r>
        <w:t xml:space="preserve"> </w:t>
      </w:r>
      <w:r>
        <w:rPr>
          <w:i/>
          <w:iCs/>
        </w:rPr>
        <w:t>Northeast Cellular</w:t>
      </w:r>
      <w:r>
        <w:t xml:space="preserve">, </w:t>
      </w:r>
      <w:r w:rsidRPr="00BC3CDD">
        <w:t>897 F.2d</w:t>
      </w:r>
      <w:r>
        <w:t xml:space="preserve"> at 1166</w:t>
      </w:r>
      <w:r w:rsidR="00DE5E68">
        <w:t xml:space="preserve">.  </w:t>
      </w:r>
      <w:r w:rsidR="00DE5E68">
        <w:rPr>
          <w:i/>
        </w:rPr>
        <w:t>S</w:t>
      </w:r>
      <w:r>
        <w:rPr>
          <w:i/>
        </w:rPr>
        <w:t>ee also</w:t>
      </w:r>
      <w:r>
        <w:t xml:space="preserve"> </w:t>
      </w:r>
      <w:r>
        <w:fldChar w:fldCharType="begin"/>
      </w:r>
      <w:r>
        <w:instrText xml:space="preserve"> HYPERLINK "https://web2.westlaw.com/find/default.wl?tf=-1&amp;rs=WLW8.08&amp;referencepositiontype=S&amp;serialnum=2007579635&amp;fn=_top&amp;sv=Split&amp;referenceposition=269&amp;findtype=Y&amp;tc=-1&amp;ordoc=2011591254&amp;db=506&amp;vr=2.0&amp;rp=%2ffind%2fdefault.wl&amp;mt=Westlaw" \t "_top" </w:instrText>
      </w:r>
      <w:r>
        <w:fldChar w:fldCharType="separate"/>
      </w:r>
      <w:r>
        <w:rPr>
          <w:i/>
          <w:iCs/>
        </w:rPr>
        <w:t>ICO Global Communications</w:t>
      </w:r>
      <w:r>
        <w:t xml:space="preserve">, </w:t>
      </w:r>
      <w:r w:rsidRPr="00BC3CDD">
        <w:t xml:space="preserve">428 F.3d </w:t>
      </w:r>
      <w:r>
        <w:t>at 269</w:t>
      </w:r>
      <w:r>
        <w:fldChar w:fldCharType="end"/>
      </w:r>
      <w:r>
        <w:t xml:space="preserve"> (quoting </w:t>
      </w:r>
      <w:r>
        <w:rPr>
          <w:i/>
          <w:iCs/>
        </w:rPr>
        <w:t>Northeast Cellular</w:t>
      </w:r>
      <w:r>
        <w:t xml:space="preserve">); </w:t>
      </w:r>
      <w:r>
        <w:fldChar w:fldCharType="begin"/>
      </w:r>
      <w:r>
        <w:instrText xml:space="preserve"> HYPERLINK "https://web2.westlaw.com/find/default.wl?tf=-1&amp;rs=WLW8.08&amp;referencepositiontype=S&amp;serialnum=1969121124&amp;fn=_top&amp;sv=Split&amp;referenceposition=1157&amp;findtype=Y&amp;tc=-1&amp;ordoc=2011591254&amp;db=350&amp;vr=2.0&amp;rp=%2ffind%2fdefault.wl&amp;mt=Westlaw" \t "_top" </w:instrText>
      </w:r>
      <w:r>
        <w:fldChar w:fldCharType="separate"/>
      </w:r>
      <w:r>
        <w:rPr>
          <w:i/>
          <w:iCs/>
        </w:rPr>
        <w:t>WAIT Radio</w:t>
      </w:r>
      <w:r>
        <w:t xml:space="preserve">, </w:t>
      </w:r>
      <w:r w:rsidRPr="00BC3CDD">
        <w:t>418 F.2d</w:t>
      </w:r>
      <w:r>
        <w:rPr>
          <w:i/>
        </w:rPr>
        <w:t xml:space="preserve"> </w:t>
      </w:r>
      <w:r>
        <w:t>at 1157-59</w:t>
      </w:r>
      <w:r>
        <w:fldChar w:fldCharType="end"/>
      </w:r>
      <w:r>
        <w:t>.</w:t>
      </w:r>
    </w:p>
  </w:footnote>
  <w:footnote w:id="10">
    <w:p w:rsidR="005B45EB" w:rsidRPr="00A347BF" w:rsidP="005B45EB">
      <w:pPr>
        <w:spacing w:after="120"/>
        <w:rPr>
          <w:sz w:val="20"/>
          <w:szCs w:val="19"/>
        </w:rPr>
      </w:pPr>
      <w:r>
        <w:rPr>
          <w:rStyle w:val="FootnoteReference"/>
        </w:rPr>
        <w:footnoteRef/>
      </w:r>
      <w:r>
        <w:t xml:space="preserve"> </w:t>
      </w:r>
      <w:r>
        <w:rPr>
          <w:i/>
          <w:iCs/>
          <w:sz w:val="20"/>
          <w:szCs w:val="19"/>
        </w:rPr>
        <w:t>See, e.g.</w:t>
      </w:r>
      <w:r>
        <w:rPr>
          <w:iCs/>
          <w:sz w:val="20"/>
          <w:szCs w:val="19"/>
        </w:rPr>
        <w:t xml:space="preserve">, </w:t>
      </w:r>
      <w:r>
        <w:fldChar w:fldCharType="begin"/>
      </w:r>
      <w:r>
        <w:instrText xml:space="preserve"> HYPERLINK "https://web2.westlaw.com/find/default.wl?tf=-1&amp;rs=WLW8.08&amp;referencepositiontype=S&amp;serialnum=1969121124&amp;fn=_top&amp;sv=Split&amp;referenceposition=1157&amp;findtype=Y&amp;tc=-1&amp;ordoc=2011591254&amp;db=350&amp;vr=2.0&amp;rp=%2ffind%2fdefault.wl&amp;mt=Westlaw" \t "_top" </w:instrText>
      </w:r>
      <w:r>
        <w:fldChar w:fldCharType="separate"/>
      </w:r>
      <w:r>
        <w:rPr>
          <w:i/>
          <w:iCs/>
          <w:sz w:val="20"/>
        </w:rPr>
        <w:t>WAIT Radio</w:t>
      </w:r>
      <w:r>
        <w:rPr>
          <w:iCs/>
          <w:sz w:val="20"/>
        </w:rPr>
        <w:t xml:space="preserve">, </w:t>
      </w:r>
      <w:r w:rsidRPr="00BC3CDD">
        <w:rPr>
          <w:iCs/>
          <w:sz w:val="20"/>
        </w:rPr>
        <w:t>418 F.2d</w:t>
      </w:r>
      <w:r w:rsidRPr="00BC3CDD">
        <w:rPr>
          <w:i/>
          <w:iCs/>
          <w:sz w:val="20"/>
        </w:rPr>
        <w:t xml:space="preserve"> </w:t>
      </w:r>
      <w:r>
        <w:rPr>
          <w:sz w:val="20"/>
        </w:rPr>
        <w:t>at 1157</w:t>
      </w:r>
      <w:r>
        <w:fldChar w:fldCharType="end"/>
      </w:r>
      <w:r>
        <w:rPr>
          <w:sz w:val="20"/>
          <w:szCs w:val="19"/>
        </w:rPr>
        <w:t xml:space="preserve"> (stating that even though the overall objectives of a general rule have been adjudged to be in the public interest, it is possible that application of the rule to a specific case may not serve the public interest if an applicant</w:t>
      </w:r>
      <w:r w:rsidR="00DE5E68">
        <w:rPr>
          <w:sz w:val="20"/>
          <w:szCs w:val="19"/>
        </w:rPr>
        <w:t>’</w:t>
      </w:r>
      <w:r>
        <w:rPr>
          <w:sz w:val="20"/>
          <w:szCs w:val="19"/>
        </w:rPr>
        <w:t xml:space="preserve">s proposal does not undermine the public interest policy served by the rule); </w:t>
      </w:r>
      <w:r w:rsidR="00DE5E68">
        <w:rPr>
          <w:sz w:val="20"/>
          <w:szCs w:val="19"/>
        </w:rPr>
        <w:t xml:space="preserve"> </w:t>
      </w:r>
      <w:r>
        <w:rPr>
          <w:i/>
          <w:iCs/>
          <w:sz w:val="20"/>
          <w:szCs w:val="19"/>
        </w:rPr>
        <w:t>Northeast Cellular</w:t>
      </w:r>
      <w:r>
        <w:rPr>
          <w:sz w:val="20"/>
          <w:szCs w:val="19"/>
        </w:rPr>
        <w:t>, 897 F.2d at 1166 (stating that in granting a waiver, an agency must explain why deviation from the general rule better serves the public interest than would strict adherence to the rule).</w:t>
      </w:r>
    </w:p>
  </w:footnote>
  <w:footnote w:id="11">
    <w:p w:rsidR="005B64F1">
      <w:pPr>
        <w:pStyle w:val="FootnoteText"/>
      </w:pPr>
      <w:r>
        <w:rPr>
          <w:rStyle w:val="FootnoteReference"/>
        </w:rPr>
        <w:footnoteRef/>
      </w:r>
      <w:r>
        <w:t xml:space="preserve"> </w:t>
      </w:r>
      <w:r w:rsidRPr="005B64F1" w:rsidR="00CF4C5F">
        <w:rPr>
          <w:i/>
        </w:rPr>
        <w:t>UWB Second R&amp;O</w:t>
      </w:r>
      <w:r w:rsidRPr="005B64F1" w:rsidR="00CF4C5F">
        <w:t xml:space="preserve">, 19 FCC </w:t>
      </w:r>
      <w:r w:rsidRPr="005B64F1" w:rsidR="00CF4C5F">
        <w:t>Rcd</w:t>
      </w:r>
      <w:r w:rsidRPr="005B64F1" w:rsidR="00CF4C5F">
        <w:t xml:space="preserve"> at 24571</w:t>
      </w:r>
      <w:r w:rsidR="00DE5E68">
        <w:t>,</w:t>
      </w:r>
      <w:r w:rsidRPr="005B64F1" w:rsidR="00CF4C5F">
        <w:t xml:space="preserve"> para. 27.</w:t>
      </w:r>
      <w:r w:rsidR="00CF4C5F">
        <w:t xml:space="preserve">  </w:t>
      </w:r>
    </w:p>
  </w:footnote>
  <w:footnote w:id="12">
    <w:p w:rsidR="00F259AE" w:rsidP="00E667F7">
      <w:pPr>
        <w:pStyle w:val="FootnoteText"/>
      </w:pPr>
      <w:r w:rsidRPr="005B64F1">
        <w:rPr>
          <w:rStyle w:val="FootnoteReference"/>
        </w:rPr>
        <w:footnoteRef/>
      </w:r>
      <w:r w:rsidRPr="00341F20">
        <w:rPr>
          <w:i/>
        </w:rPr>
        <w:t xml:space="preserve"> </w:t>
      </w:r>
      <w:r w:rsidR="00F91E73">
        <w:t>32 Technologies Waiver Request</w:t>
      </w:r>
      <w:r w:rsidR="00E86545">
        <w:t xml:space="preserve"> at 2.</w:t>
      </w:r>
    </w:p>
  </w:footnote>
  <w:footnote w:id="13">
    <w:p w:rsidR="00E667F7" w:rsidRPr="00341F20">
      <w:pPr>
        <w:pStyle w:val="FootnoteText"/>
      </w:pPr>
      <w:r>
        <w:rPr>
          <w:rStyle w:val="FootnoteReference"/>
        </w:rPr>
        <w:footnoteRef/>
      </w:r>
      <w:r>
        <w:t xml:space="preserve"> </w:t>
      </w:r>
      <w:r w:rsidR="00F259AE">
        <w:rPr>
          <w:i/>
        </w:rPr>
        <w:t xml:space="preserve">Id. </w:t>
      </w:r>
    </w:p>
  </w:footnote>
  <w:footnote w:id="14">
    <w:p w:rsidR="00500079" w:rsidRPr="005B45EB" w:rsidP="00500079">
      <w:pPr>
        <w:pStyle w:val="FootnoteText"/>
      </w:pPr>
      <w:r>
        <w:rPr>
          <w:rStyle w:val="FootnoteReference"/>
        </w:rPr>
        <w:footnoteRef/>
      </w:r>
      <w:r>
        <w:t xml:space="preserve"> </w:t>
      </w:r>
      <w:r w:rsidRPr="00477A3A" w:rsidR="00477A3A">
        <w:rPr>
          <w:i/>
        </w:rPr>
        <w:t>Id</w:t>
      </w:r>
      <w:r w:rsidR="00477A3A">
        <w:t xml:space="preserve">. at 4 (citing </w:t>
      </w:r>
      <w:r w:rsidRPr="00477A3A">
        <w:t>iRobot</w:t>
      </w:r>
      <w:r>
        <w:rPr>
          <w:i/>
        </w:rPr>
        <w:t xml:space="preserve"> Corporation Request for Waiver of Section 15.250 of the Commission’s Rules</w:t>
      </w:r>
      <w:r>
        <w:t xml:space="preserve">, Order, 30 FCC </w:t>
      </w:r>
      <w:r>
        <w:t>Rcd</w:t>
      </w:r>
      <w:r>
        <w:t xml:space="preserve"> 8377 (OET 2015)</w:t>
      </w:r>
      <w:r w:rsidR="00477A3A">
        <w:t xml:space="preserve"> (</w:t>
      </w:r>
      <w:r w:rsidRPr="00477A3A" w:rsidR="00477A3A">
        <w:t>iRobot Order</w:t>
      </w:r>
      <w:r w:rsidR="00477A3A">
        <w:t>)</w:t>
      </w:r>
      <w:r w:rsidR="00211156">
        <w:t>)</w:t>
      </w:r>
      <w:r>
        <w:t>.</w:t>
      </w:r>
    </w:p>
  </w:footnote>
  <w:footnote w:id="15">
    <w:p w:rsidR="00F6321E">
      <w:pPr>
        <w:pStyle w:val="FootnoteText"/>
      </w:pPr>
      <w:r>
        <w:rPr>
          <w:rStyle w:val="FootnoteReference"/>
        </w:rPr>
        <w:footnoteRef/>
      </w:r>
      <w:r>
        <w:t xml:space="preserve"> </w:t>
      </w:r>
      <w:r w:rsidRPr="00477A3A" w:rsidR="00477A3A">
        <w:rPr>
          <w:i/>
        </w:rPr>
        <w:t>S</w:t>
      </w:r>
      <w:r w:rsidRPr="00477A3A">
        <w:rPr>
          <w:i/>
        </w:rPr>
        <w:t>ee</w:t>
      </w:r>
      <w:r>
        <w:t xml:space="preserve"> iRobot</w:t>
      </w:r>
      <w:r w:rsidR="00477A3A">
        <w:t xml:space="preserve"> Order, 30 FCC </w:t>
      </w:r>
      <w:r w:rsidR="00477A3A">
        <w:t>Rcd</w:t>
      </w:r>
      <w:r w:rsidR="00477A3A">
        <w:t xml:space="preserve"> at 8380,</w:t>
      </w:r>
      <w:r>
        <w:t xml:space="preserve"> para</w:t>
      </w:r>
      <w:r w:rsidR="00477A3A">
        <w:t>.</w:t>
      </w:r>
      <w:r>
        <w:t xml:space="preserve"> 8 (discussing </w:t>
      </w:r>
      <w:r w:rsidR="00D17A98">
        <w:t>the iRobot system design).</w:t>
      </w:r>
    </w:p>
  </w:footnote>
  <w:footnote w:id="16">
    <w:p w:rsidR="00AF3BB0" w:rsidP="00AF3BB0">
      <w:pPr>
        <w:pStyle w:val="FootnoteText"/>
      </w:pPr>
      <w:r>
        <w:rPr>
          <w:rStyle w:val="FootnoteReference"/>
        </w:rPr>
        <w:footnoteRef/>
      </w:r>
      <w:r>
        <w:t xml:space="preserve"> </w:t>
      </w:r>
      <w:r w:rsidR="00F91E73">
        <w:t>32 Technologies Waiver Request</w:t>
      </w:r>
      <w:r w:rsidR="00E86545">
        <w:t xml:space="preserve"> at 6.</w:t>
      </w:r>
    </w:p>
  </w:footnote>
  <w:footnote w:id="17">
    <w:p w:rsidR="001E53CE">
      <w:pPr>
        <w:pStyle w:val="FootnoteText"/>
      </w:pPr>
      <w:r>
        <w:rPr>
          <w:rStyle w:val="FootnoteReference"/>
        </w:rPr>
        <w:footnoteRef/>
      </w:r>
      <w:r>
        <w:t xml:space="preserve"> </w:t>
      </w:r>
      <w:r w:rsidR="00AA3E2A">
        <w:t xml:space="preserve">While </w:t>
      </w:r>
      <w:r w:rsidR="00AA3E2A">
        <w:rPr>
          <w:szCs w:val="22"/>
        </w:rPr>
        <w:t xml:space="preserve">32 Technologies plans to </w:t>
      </w:r>
      <w:r w:rsidR="00BD4163">
        <w:rPr>
          <w:szCs w:val="22"/>
        </w:rPr>
        <w:t>incorporate</w:t>
      </w:r>
      <w:r w:rsidR="00AA3E2A">
        <w:rPr>
          <w:szCs w:val="22"/>
        </w:rPr>
        <w:t xml:space="preserve"> GPS, and LTE </w:t>
      </w:r>
      <w:r w:rsidR="00BD4163">
        <w:rPr>
          <w:szCs w:val="22"/>
        </w:rPr>
        <w:t>functionalities</w:t>
      </w:r>
      <w:r w:rsidR="00AA3E2A">
        <w:rPr>
          <w:szCs w:val="22"/>
        </w:rPr>
        <w:t xml:space="preserve"> </w:t>
      </w:r>
      <w:r w:rsidR="00BD4163">
        <w:rPr>
          <w:szCs w:val="22"/>
        </w:rPr>
        <w:t xml:space="preserve">into its device </w:t>
      </w:r>
      <w:r w:rsidR="00AA3E2A">
        <w:rPr>
          <w:szCs w:val="22"/>
        </w:rPr>
        <w:t xml:space="preserve">to provide tracking capabilities in the event a pet escapes the containment zone, </w:t>
      </w:r>
      <w:r w:rsidR="00BD4163">
        <w:rPr>
          <w:szCs w:val="22"/>
        </w:rPr>
        <w:t>it describes how such technologies do not provide sufficient accuracy, allow for timely stimuli, or employ reasonable power consumption to be used during normal operation.</w:t>
      </w:r>
      <w:r w:rsidR="00AA3E2A">
        <w:rPr>
          <w:szCs w:val="22"/>
        </w:rPr>
        <w:t xml:space="preserve"> </w:t>
      </w:r>
      <w:r w:rsidR="00AA3E2A">
        <w:t xml:space="preserve"> </w:t>
      </w:r>
      <w:r w:rsidR="00BD4163">
        <w:rPr>
          <w:i/>
        </w:rPr>
        <w:t xml:space="preserve">See </w:t>
      </w:r>
      <w:r>
        <w:t xml:space="preserve">32 Technologies Waiver Request </w:t>
      </w:r>
      <w:r w:rsidR="00B81F95">
        <w:t xml:space="preserve">at </w:t>
      </w:r>
      <w:r>
        <w:t>2</w:t>
      </w:r>
      <w:r w:rsidR="00BD4163">
        <w:t xml:space="preserve"> and 6.</w:t>
      </w:r>
    </w:p>
  </w:footnote>
  <w:footnote w:id="18">
    <w:p w:rsidR="00911A84">
      <w:pPr>
        <w:pStyle w:val="FootnoteText"/>
      </w:pPr>
      <w:r>
        <w:rPr>
          <w:rStyle w:val="FootnoteReference"/>
        </w:rPr>
        <w:footnoteRef/>
      </w:r>
      <w:r>
        <w:t xml:space="preserve"> The filing for certification should include a copy of this waiver order.</w:t>
      </w:r>
    </w:p>
  </w:footnote>
  <w:footnote w:id="19">
    <w:p w:rsidR="002F1CC0" w:rsidP="00FB4E38">
      <w:pPr>
        <w:pStyle w:val="FootnoteText"/>
      </w:pPr>
      <w:r>
        <w:rPr>
          <w:rStyle w:val="FootnoteReference"/>
        </w:rPr>
        <w:footnoteRef/>
      </w:r>
      <w:r>
        <w:t xml:space="preserve"> </w:t>
      </w:r>
      <w:r w:rsidR="00FB4E38">
        <w:t xml:space="preserve">In its </w:t>
      </w:r>
      <w:r w:rsidR="00CF447C">
        <w:t xml:space="preserve">Supplement to </w:t>
      </w:r>
      <w:r w:rsidR="00CF447C">
        <w:rPr>
          <w:i/>
        </w:rPr>
        <w:t xml:space="preserve">Petition of 32 Technologies LLC for Waiver of Section 15.250(c) </w:t>
      </w:r>
      <w:r w:rsidRPr="007F5F6C" w:rsidR="00CF447C">
        <w:rPr>
          <w:i/>
        </w:rPr>
        <w:t>of the Commission’s Rules Applicable to Wideband Devices</w:t>
      </w:r>
      <w:r w:rsidR="00CF447C">
        <w:rPr>
          <w:i/>
        </w:rPr>
        <w:t xml:space="preserve"> </w:t>
      </w:r>
      <w:r w:rsidR="00CF447C">
        <w:t>(filed November 14, 2018)</w:t>
      </w:r>
      <w:r w:rsidR="00FB4E38">
        <w:t>, 32 Technologies states that this is the lowest acceptable height that will account for different-sized pets, and that placing anchors at such a height would not present new interference concerns.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8B3">
    <w:pPr>
      <w:pStyle w:val="Header"/>
      <w:rPr>
        <w:b w:val="0"/>
      </w:rPr>
    </w:pPr>
    <w:r>
      <w:tab/>
      <w:t>Federal Communications Commission</w:t>
    </w:r>
    <w:r>
      <w:tab/>
      <w:t xml:space="preserve">DA 18-251 </w:t>
    </w:r>
  </w:p>
  <w:p w:rsidR="001728B3">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3"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72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8B3">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align>right</wp:align>
              </wp:positionH>
              <wp:positionV relativeFrom="paragraph">
                <wp:posOffset>231775</wp:posOffset>
              </wp:positionV>
              <wp:extent cx="5943600" cy="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59264" from="416.8pt,18.25pt" to="884.8pt,18.25pt" o:allowincell="f" strokeweight="1.5pt">
              <w10:wrap anchorx="margin"/>
            </v:line>
          </w:pict>
        </mc:Fallback>
      </mc:AlternateContent>
    </w:r>
    <w:r w:rsidR="0044489A">
      <w:tab/>
      <w:t>Federal Communications Commission</w:t>
    </w:r>
    <w:r w:rsidR="0044489A">
      <w:tab/>
      <w:t>DA 18-</w:t>
    </w:r>
    <w:r>
      <w:t>1210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4EE7975"/>
    <w:multiLevelType w:val="hybridMultilevel"/>
    <w:tmpl w:val="E596581A"/>
    <w:lvl w:ilvl="0">
      <w:start w:val="1"/>
      <w:numFmt w:val="decimal"/>
      <w:lvlText w:val="%1)"/>
      <w:lvlJc w:val="left"/>
      <w:pPr>
        <w:ind w:left="1710" w:hanging="360"/>
      </w:pPr>
      <w:rPr>
        <w:rFonts w:hint="default"/>
        <w:b w:val="0"/>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1">
    <w:nsid w:val="61182925"/>
    <w:multiLevelType w:val="singleLevel"/>
    <w:tmpl w:val="9B082922"/>
    <w:lvl w:ilvl="0">
      <w:start w:val="1"/>
      <w:numFmt w:val="decimal"/>
      <w:pStyle w:val="ParaNum"/>
      <w:lvlText w:val="%1."/>
      <w:lvlJc w:val="left"/>
      <w:pPr>
        <w:tabs>
          <w:tab w:val="num" w:pos="990"/>
        </w:tabs>
        <w:ind w:left="-90" w:firstLine="720"/>
      </w:pPr>
      <w:rPr>
        <w:vertAlign w:val="baseline"/>
      </w:rPr>
    </w:lvl>
  </w:abstractNum>
  <w:abstractNum w:abstractNumId="2">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2A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3942A6"/>
    <w:pPr>
      <w:numPr>
        <w:numId w:val="2"/>
      </w:numPr>
      <w:tabs>
        <w:tab w:val="num" w:pos="1440"/>
      </w:tabs>
      <w:spacing w:after="120"/>
    </w:pPr>
  </w:style>
  <w:style w:type="paragraph" w:styleId="FootnoteText">
    <w:name w:val="footnote text"/>
    <w:aliases w:val="Footnote Text Char Char2 Char,Footnote Text Char Char2 Char Char Char,Footnote Text Char1,Footnote Text Char1 Char2,Footnote Text Char1 Char2 Char Char,Footnote Text Char1 Char2 Char Char Char Char,fn,footnote text"/>
    <w:link w:val="FootnoteTextChar2"/>
    <w:rsid w:val="003942A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3942A6"/>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
    <w:rsid w:val="003942A6"/>
    <w:rPr>
      <w:rFonts w:ascii="Times New Roman" w:hAnsi="Times New Roman"/>
      <w:dstrike w:val="0"/>
      <w:color w:val="auto"/>
      <w:sz w:val="20"/>
      <w:vertAlign w:val="superscript"/>
    </w:rPr>
  </w:style>
  <w:style w:type="paragraph" w:styleId="Header">
    <w:name w:val="header"/>
    <w:basedOn w:val="Normal"/>
    <w:link w:val="HeaderChar"/>
    <w:autoRedefine/>
    <w:rsid w:val="003942A6"/>
    <w:pPr>
      <w:tabs>
        <w:tab w:val="center" w:pos="4680"/>
        <w:tab w:val="right" w:pos="9360"/>
      </w:tabs>
    </w:pPr>
    <w:rPr>
      <w:b/>
    </w:rPr>
  </w:style>
  <w:style w:type="character" w:customStyle="1" w:styleId="HeaderChar">
    <w:name w:val="Header Char"/>
    <w:basedOn w:val="DefaultParagraphFont"/>
    <w:link w:val="Header"/>
    <w:rsid w:val="003942A6"/>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3942A6"/>
    <w:pPr>
      <w:tabs>
        <w:tab w:val="center" w:pos="4320"/>
        <w:tab w:val="right" w:pos="8640"/>
      </w:tabs>
    </w:pPr>
  </w:style>
  <w:style w:type="character" w:customStyle="1" w:styleId="FooterChar">
    <w:name w:val="Footer Char"/>
    <w:basedOn w:val="DefaultParagraphFont"/>
    <w:link w:val="Footer"/>
    <w:uiPriority w:val="99"/>
    <w:rsid w:val="003942A6"/>
    <w:rPr>
      <w:rFonts w:ascii="Times New Roman" w:eastAsia="Times New Roman" w:hAnsi="Times New Roman" w:cs="Times New Roman"/>
      <w:snapToGrid w:val="0"/>
      <w:kern w:val="28"/>
      <w:szCs w:val="20"/>
    </w:rPr>
  </w:style>
  <w:style w:type="character" w:styleId="PageNumber">
    <w:name w:val="page number"/>
    <w:basedOn w:val="DefaultParagraphFont"/>
    <w:rsid w:val="003942A6"/>
  </w:style>
  <w:style w:type="character" w:customStyle="1" w:styleId="documentbody1">
    <w:name w:val="documentbody1"/>
    <w:rsid w:val="003942A6"/>
    <w:rPr>
      <w:rFonts w:ascii="Verdana" w:hAnsi="Verdana" w:hint="default"/>
      <w:sz w:val="19"/>
      <w:szCs w:val="19"/>
    </w:rPr>
  </w:style>
  <w:style w:type="paragraph" w:customStyle="1" w:styleId="Style3">
    <w:name w:val="Style3"/>
    <w:basedOn w:val="ParaNum"/>
    <w:rsid w:val="003942A6"/>
    <w:pPr>
      <w:numPr>
        <w:numId w:val="0"/>
      </w:numPr>
      <w:tabs>
        <w:tab w:val="left" w:pos="720"/>
        <w:tab w:val="left" w:pos="1800"/>
      </w:tabs>
      <w:ind w:firstLine="720"/>
    </w:pPr>
  </w:style>
  <w:style w:type="character" w:customStyle="1" w:styleId="FootnoteTextChar2">
    <w:name w:val="Footnote Text Char2"/>
    <w:aliases w:val="Footnote Text Char Char2 Char Char,Footnote Text Char Char2 Char Char Char Char,Footnote Text Char1 Char,Footnote Text Char1 Char2 Char,Footnote Text Char1 Char2 Char Char Char,Footnote Text Char1 Char2 Char Char Char Char Char"/>
    <w:link w:val="FootnoteText"/>
    <w:rsid w:val="003942A6"/>
    <w:rPr>
      <w:rFonts w:ascii="Times New Roman" w:eastAsia="Times New Roman" w:hAnsi="Times New Roman" w:cs="Times New Roman"/>
      <w:sz w:val="20"/>
      <w:szCs w:val="20"/>
    </w:rPr>
  </w:style>
  <w:style w:type="paragraph" w:styleId="ListParagraph">
    <w:name w:val="List Paragraph"/>
    <w:basedOn w:val="Normal"/>
    <w:uiPriority w:val="34"/>
    <w:qFormat/>
    <w:rsid w:val="00095ED9"/>
    <w:pPr>
      <w:ind w:left="720"/>
      <w:contextualSpacing/>
    </w:pPr>
  </w:style>
  <w:style w:type="paragraph" w:styleId="BalloonText">
    <w:name w:val="Balloon Text"/>
    <w:basedOn w:val="Normal"/>
    <w:link w:val="BalloonTextChar"/>
    <w:uiPriority w:val="99"/>
    <w:semiHidden/>
    <w:unhideWhenUsed/>
    <w:rsid w:val="005B6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F1"/>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C51ADE"/>
    <w:rPr>
      <w:sz w:val="16"/>
      <w:szCs w:val="16"/>
    </w:rPr>
  </w:style>
  <w:style w:type="paragraph" w:styleId="CommentText">
    <w:name w:val="annotation text"/>
    <w:basedOn w:val="Normal"/>
    <w:link w:val="CommentTextChar"/>
    <w:uiPriority w:val="99"/>
    <w:semiHidden/>
    <w:unhideWhenUsed/>
    <w:rsid w:val="00C51ADE"/>
    <w:rPr>
      <w:sz w:val="20"/>
    </w:rPr>
  </w:style>
  <w:style w:type="character" w:customStyle="1" w:styleId="CommentTextChar">
    <w:name w:val="Comment Text Char"/>
    <w:basedOn w:val="DefaultParagraphFont"/>
    <w:link w:val="CommentText"/>
    <w:uiPriority w:val="99"/>
    <w:semiHidden/>
    <w:rsid w:val="00C51AD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C51ADE"/>
    <w:rPr>
      <w:b/>
      <w:bCs/>
    </w:rPr>
  </w:style>
  <w:style w:type="character" w:customStyle="1" w:styleId="CommentSubjectChar">
    <w:name w:val="Comment Subject Char"/>
    <w:basedOn w:val="CommentTextChar"/>
    <w:link w:val="CommentSubject"/>
    <w:uiPriority w:val="99"/>
    <w:semiHidden/>
    <w:rsid w:val="00C51ADE"/>
    <w:rPr>
      <w:rFonts w:ascii="Times New Roman" w:eastAsia="Times New Roman" w:hAnsi="Times New Roman" w:cs="Times New Roman"/>
      <w:b/>
      <w:bCs/>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