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E5884" w:rsidP="00C82B6B">
      <w:pPr>
        <w:jc w:val="right"/>
        <w:rPr>
          <w:sz w:val="24"/>
        </w:rPr>
      </w:pPr>
    </w:p>
    <w:p w:rsidR="00013A8B" w:rsidRPr="00B20363" w:rsidP="00013A8B">
      <w:pPr>
        <w:jc w:val="right"/>
        <w:rPr>
          <w:b/>
          <w:sz w:val="24"/>
        </w:rPr>
      </w:pPr>
      <w:r>
        <w:rPr>
          <w:b/>
          <w:sz w:val="24"/>
        </w:rPr>
        <w:fldChar w:fldCharType="begin">
          <w:ffData>
            <w:name w:val="Text1"/>
            <w:enabled/>
            <w:calcOnExit w:val="0"/>
            <w:textInput>
              <w:default w:val="[Click to enter DA or FCC No.]"/>
            </w:textInput>
          </w:ffData>
        </w:fldChar>
      </w:r>
      <w:r>
        <w:rPr>
          <w:b/>
          <w:sz w:val="24"/>
        </w:rPr>
        <w:instrText xml:space="preserve"> </w:instrText>
      </w:r>
      <w:bookmarkStart w:id="0" w:name="Text1"/>
      <w:r>
        <w:rPr>
          <w:b/>
          <w:sz w:val="24"/>
        </w:rPr>
        <w:instrText xml:space="preserve">FORMTEXT </w:instrText>
      </w:r>
      <w:r>
        <w:rPr>
          <w:b/>
          <w:sz w:val="24"/>
        </w:rPr>
        <w:fldChar w:fldCharType="separate"/>
      </w:r>
      <w:r>
        <w:rPr>
          <w:b/>
          <w:noProof/>
          <w:sz w:val="24"/>
        </w:rPr>
        <w:t>[DA</w:t>
      </w:r>
      <w:r w:rsidR="00A05543">
        <w:rPr>
          <w:b/>
          <w:noProof/>
          <w:sz w:val="24"/>
        </w:rPr>
        <w:t xml:space="preserve"> No</w:t>
      </w:r>
      <w:r>
        <w:rPr>
          <w:b/>
          <w:noProof/>
          <w:sz w:val="24"/>
        </w:rPr>
        <w:t>.</w:t>
      </w:r>
      <w:r w:rsidR="00A05543">
        <w:rPr>
          <w:b/>
          <w:noProof/>
          <w:sz w:val="24"/>
        </w:rPr>
        <w:t xml:space="preserve"> </w:t>
      </w:r>
      <w:r w:rsidRPr="00A05543" w:rsidR="00A05543">
        <w:rPr>
          <w:b/>
          <w:noProof/>
          <w:sz w:val="24"/>
        </w:rPr>
        <w:t>18-1212</w:t>
      </w:r>
      <w:r>
        <w:rPr>
          <w:b/>
          <w:noProof/>
          <w:sz w:val="24"/>
        </w:rPr>
        <w:t>]</w:t>
      </w:r>
      <w:r>
        <w:rPr>
          <w:b/>
          <w:sz w:val="24"/>
        </w:rPr>
        <w:fldChar w:fldCharType="end"/>
      </w:r>
      <w:bookmarkEnd w:id="0"/>
    </w:p>
    <w:p w:rsidR="00013A8B" w:rsidRPr="00B20363" w:rsidP="00013A8B">
      <w:pPr>
        <w:spacing w:before="60"/>
        <w:jc w:val="right"/>
        <w:rPr>
          <w:b/>
          <w:sz w:val="24"/>
        </w:rPr>
      </w:pPr>
      <w:r>
        <w:rPr>
          <w:b/>
          <w:sz w:val="24"/>
        </w:rPr>
        <w:t xml:space="preserve">Released:  </w:t>
      </w:r>
      <w:r w:rsidRPr="00F62FFB" w:rsidR="00454CFF">
        <w:rPr>
          <w:b/>
          <w:sz w:val="24"/>
        </w:rPr>
        <w:t xml:space="preserve">November </w:t>
      </w:r>
      <w:r w:rsidRPr="00F62FFB" w:rsidR="00F62FFB">
        <w:rPr>
          <w:b/>
          <w:sz w:val="24"/>
        </w:rPr>
        <w:t>29</w:t>
      </w:r>
      <w:r w:rsidRPr="00F62FFB" w:rsidR="00454CFF">
        <w:rPr>
          <w:b/>
          <w:sz w:val="24"/>
        </w:rPr>
        <w:t>, 2018</w:t>
      </w:r>
    </w:p>
    <w:p w:rsidR="00013A8B" w:rsidP="00013A8B">
      <w:pPr>
        <w:jc w:val="right"/>
        <w:rPr>
          <w:sz w:val="24"/>
        </w:rPr>
      </w:pPr>
      <w:bookmarkStart w:id="1" w:name="_GoBack"/>
      <w:bookmarkEnd w:id="1"/>
    </w:p>
    <w:p w:rsidR="003229AE" w:rsidRPr="003229AE" w:rsidP="00EE1788">
      <w:pPr>
        <w:spacing w:after="240"/>
        <w:jc w:val="center"/>
        <w:rPr>
          <w:rFonts w:ascii="Times New Roman Bold" w:hAnsi="Times New Roman Bold"/>
          <w:b/>
          <w:caps/>
          <w:szCs w:val="22"/>
        </w:rPr>
      </w:pPr>
      <w:r>
        <w:rPr>
          <w:rFonts w:ascii="Times New Roman Bold" w:hAnsi="Times New Roman Bold"/>
          <w:b/>
          <w:caps/>
          <w:szCs w:val="22"/>
        </w:rPr>
        <w:t xml:space="preserve">wireline competition bureau announces comment deadlines </w:t>
      </w:r>
      <w:r w:rsidR="002711F1">
        <w:rPr>
          <w:rFonts w:ascii="Times New Roman Bold" w:hAnsi="Times New Roman Bold"/>
          <w:b/>
          <w:caps/>
          <w:szCs w:val="22"/>
        </w:rPr>
        <w:t xml:space="preserve">on </w:t>
      </w:r>
      <w:r w:rsidRPr="009B1244" w:rsidR="002711F1">
        <w:rPr>
          <w:rFonts w:ascii="Times New Roman Bold" w:hAnsi="Times New Roman Bold"/>
          <w:b/>
          <w:i/>
          <w:caps/>
          <w:szCs w:val="22"/>
        </w:rPr>
        <w:t>second F</w:t>
      </w:r>
      <w:r w:rsidRPr="009B1244" w:rsidR="00304E33">
        <w:rPr>
          <w:rFonts w:ascii="Times New Roman Bold" w:hAnsi="Times New Roman Bold"/>
          <w:b/>
          <w:i/>
          <w:caps/>
          <w:szCs w:val="22"/>
        </w:rPr>
        <w:t>urther notice</w:t>
      </w:r>
      <w:r w:rsidRPr="009B1244" w:rsidR="002711F1">
        <w:rPr>
          <w:rFonts w:ascii="Times New Roman Bold" w:hAnsi="Times New Roman Bold"/>
          <w:b/>
          <w:i/>
          <w:caps/>
          <w:szCs w:val="22"/>
        </w:rPr>
        <w:t xml:space="preserve"> </w:t>
      </w:r>
      <w:r w:rsidR="008A43C9">
        <w:rPr>
          <w:rFonts w:ascii="Times New Roman Bold" w:hAnsi="Times New Roman Bold"/>
          <w:b/>
          <w:i/>
          <w:caps/>
          <w:szCs w:val="22"/>
        </w:rPr>
        <w:t xml:space="preserve">and </w:t>
      </w:r>
      <w:r w:rsidRPr="009638DD" w:rsidR="008A43C9">
        <w:rPr>
          <w:rFonts w:ascii="Times New Roman Bold" w:hAnsi="Times New Roman Bold"/>
          <w:b/>
          <w:i/>
          <w:caps/>
          <w:szCs w:val="22"/>
        </w:rPr>
        <w:t>Further NOtice</w:t>
      </w:r>
      <w:r w:rsidR="008A43C9">
        <w:rPr>
          <w:rFonts w:ascii="Times New Roman Bold" w:hAnsi="Times New Roman Bold"/>
          <w:b/>
          <w:caps/>
          <w:szCs w:val="22"/>
        </w:rPr>
        <w:t xml:space="preserve"> </w:t>
      </w:r>
      <w:r>
        <w:rPr>
          <w:rFonts w:ascii="Times New Roman Bold" w:hAnsi="Times New Roman Bold"/>
          <w:b/>
          <w:caps/>
          <w:szCs w:val="22"/>
        </w:rPr>
        <w:t>in business data services proceeding</w:t>
      </w:r>
      <w:r w:rsidR="00D469DB">
        <w:rPr>
          <w:rFonts w:ascii="Times New Roman Bold" w:hAnsi="Times New Roman Bold"/>
          <w:b/>
          <w:caps/>
          <w:szCs w:val="22"/>
        </w:rPr>
        <w:t>s</w:t>
      </w:r>
      <w:r>
        <w:rPr>
          <w:rFonts w:ascii="Times New Roman Bold" w:hAnsi="Times New Roman Bold"/>
          <w:b/>
          <w:caps/>
          <w:szCs w:val="22"/>
        </w:rPr>
        <w:t xml:space="preserve"> and reopening of </w:t>
      </w:r>
      <w:r w:rsidRPr="003229AE">
        <w:rPr>
          <w:rFonts w:ascii="Times New Roman Bold" w:hAnsi="Times New Roman Bold"/>
          <w:b/>
          <w:caps/>
          <w:szCs w:val="22"/>
        </w:rPr>
        <w:t>secure</w:t>
      </w:r>
      <w:r>
        <w:rPr>
          <w:rFonts w:ascii="Times New Roman Bold" w:hAnsi="Times New Roman Bold"/>
          <w:b/>
          <w:caps/>
          <w:szCs w:val="22"/>
        </w:rPr>
        <w:t xml:space="preserve"> data enclave</w:t>
      </w:r>
    </w:p>
    <w:p w:rsidR="003229AE" w:rsidRPr="001D616C" w:rsidP="008F22A8">
      <w:pPr>
        <w:spacing w:after="240"/>
        <w:jc w:val="center"/>
        <w:rPr>
          <w:b/>
          <w:szCs w:val="22"/>
        </w:rPr>
      </w:pPr>
      <w:r w:rsidRPr="001D616C">
        <w:rPr>
          <w:b/>
          <w:szCs w:val="22"/>
        </w:rPr>
        <w:t xml:space="preserve">WC Docket Nos. </w:t>
      </w:r>
      <w:r w:rsidR="00D469DB">
        <w:rPr>
          <w:b/>
          <w:szCs w:val="22"/>
        </w:rPr>
        <w:t xml:space="preserve">17-144, </w:t>
      </w:r>
      <w:r w:rsidRPr="001D616C">
        <w:rPr>
          <w:b/>
          <w:szCs w:val="22"/>
        </w:rPr>
        <w:t>16-143, 05-25; RM-10593</w:t>
      </w:r>
    </w:p>
    <w:p w:rsidR="00AB79B1" w:rsidRPr="00AB79B1" w:rsidP="00AB79B1">
      <w:pPr>
        <w:widowControl/>
        <w:tabs>
          <w:tab w:val="num" w:pos="1440"/>
        </w:tabs>
        <w:spacing w:after="120"/>
        <w:rPr>
          <w:b/>
          <w:szCs w:val="22"/>
        </w:rPr>
      </w:pPr>
      <w:r w:rsidRPr="00AB79B1">
        <w:rPr>
          <w:b/>
          <w:szCs w:val="22"/>
        </w:rPr>
        <w:t xml:space="preserve">Comments Due: </w:t>
      </w:r>
      <w:r w:rsidRPr="00F62FFB" w:rsidR="008F22A8">
        <w:rPr>
          <w:b/>
          <w:szCs w:val="22"/>
        </w:rPr>
        <w:t>January 14, 2019</w:t>
      </w:r>
    </w:p>
    <w:p w:rsidR="00AB79B1" w:rsidRPr="00AB79B1" w:rsidP="00AB79B1">
      <w:pPr>
        <w:widowControl/>
        <w:tabs>
          <w:tab w:val="num" w:pos="1440"/>
        </w:tabs>
        <w:spacing w:after="120"/>
        <w:rPr>
          <w:b/>
          <w:szCs w:val="22"/>
        </w:rPr>
      </w:pPr>
      <w:r w:rsidRPr="00AB79B1">
        <w:rPr>
          <w:b/>
          <w:szCs w:val="22"/>
        </w:rPr>
        <w:t xml:space="preserve">Replies Due: </w:t>
      </w:r>
      <w:r w:rsidRPr="00F62FFB" w:rsidR="00E84495">
        <w:rPr>
          <w:b/>
          <w:szCs w:val="22"/>
        </w:rPr>
        <w:t>February 12, 2019</w:t>
      </w:r>
    </w:p>
    <w:p w:rsidR="00382FF0" w:rsidRPr="003F4021" w:rsidP="003229AE">
      <w:pPr>
        <w:widowControl/>
        <w:tabs>
          <w:tab w:val="num" w:pos="1440"/>
        </w:tabs>
        <w:spacing w:after="120"/>
        <w:ind w:firstLine="720"/>
        <w:rPr>
          <w:szCs w:val="22"/>
        </w:rPr>
      </w:pPr>
      <w:r>
        <w:rPr>
          <w:szCs w:val="22"/>
        </w:rPr>
        <w:t>By</w:t>
      </w:r>
      <w:r w:rsidR="00641A85">
        <w:rPr>
          <w:szCs w:val="22"/>
        </w:rPr>
        <w:t xml:space="preserve"> this Public N</w:t>
      </w:r>
      <w:r>
        <w:rPr>
          <w:szCs w:val="22"/>
        </w:rPr>
        <w:t>otice, the Wireline Competition</w:t>
      </w:r>
      <w:r w:rsidR="006248C0">
        <w:rPr>
          <w:szCs w:val="22"/>
        </w:rPr>
        <w:t xml:space="preserve"> Bureau (Bureau) </w:t>
      </w:r>
      <w:r w:rsidR="00AB79B1">
        <w:rPr>
          <w:szCs w:val="22"/>
        </w:rPr>
        <w:t xml:space="preserve">announces </w:t>
      </w:r>
      <w:r w:rsidR="002711F1">
        <w:rPr>
          <w:szCs w:val="22"/>
        </w:rPr>
        <w:t>th</w:t>
      </w:r>
      <w:r w:rsidR="0041520A">
        <w:rPr>
          <w:szCs w:val="22"/>
        </w:rPr>
        <w:t>at the</w:t>
      </w:r>
      <w:r w:rsidR="002711F1">
        <w:rPr>
          <w:szCs w:val="22"/>
        </w:rPr>
        <w:t xml:space="preserve"> deadline for filing comments </w:t>
      </w:r>
      <w:r w:rsidR="0041520A">
        <w:rPr>
          <w:szCs w:val="22"/>
        </w:rPr>
        <w:t xml:space="preserve">on </w:t>
      </w:r>
      <w:r w:rsidRPr="00AB79B1" w:rsidR="0041520A">
        <w:rPr>
          <w:szCs w:val="22"/>
        </w:rPr>
        <w:t xml:space="preserve">the </w:t>
      </w:r>
      <w:r w:rsidRPr="00AB79B1" w:rsidR="0041520A">
        <w:rPr>
          <w:i/>
          <w:szCs w:val="22"/>
        </w:rPr>
        <w:t>Second Further Notice</w:t>
      </w:r>
      <w:r w:rsidRPr="00BB25A0" w:rsidR="0041520A">
        <w:rPr>
          <w:i/>
          <w:szCs w:val="22"/>
        </w:rPr>
        <w:t xml:space="preserve"> and </w:t>
      </w:r>
      <w:r w:rsidRPr="00C83056" w:rsidR="0041520A">
        <w:rPr>
          <w:i/>
          <w:szCs w:val="22"/>
        </w:rPr>
        <w:t>Further Notice</w:t>
      </w:r>
      <w:r w:rsidR="0041520A">
        <w:rPr>
          <w:szCs w:val="22"/>
        </w:rPr>
        <w:t xml:space="preserve"> in the business data services (BDS) proceedings</w:t>
      </w:r>
      <w:r>
        <w:rPr>
          <w:rStyle w:val="FootnoteReference"/>
          <w:szCs w:val="22"/>
        </w:rPr>
        <w:footnoteReference w:id="3"/>
      </w:r>
      <w:r w:rsidR="0041520A">
        <w:rPr>
          <w:szCs w:val="22"/>
        </w:rPr>
        <w:t xml:space="preserve"> is </w:t>
      </w:r>
      <w:r w:rsidRPr="00F62FFB" w:rsidR="008F22A8">
        <w:rPr>
          <w:b/>
          <w:szCs w:val="22"/>
        </w:rPr>
        <w:t>January 14, 2019</w:t>
      </w:r>
      <w:r w:rsidRPr="00F62FFB" w:rsidR="0041520A">
        <w:rPr>
          <w:szCs w:val="22"/>
        </w:rPr>
        <w:t xml:space="preserve"> a</w:t>
      </w:r>
      <w:r w:rsidRPr="00F62FFB" w:rsidR="002711F1">
        <w:rPr>
          <w:szCs w:val="22"/>
        </w:rPr>
        <w:t xml:space="preserve">nd </w:t>
      </w:r>
      <w:r w:rsidRPr="00F62FFB" w:rsidR="0041520A">
        <w:rPr>
          <w:szCs w:val="22"/>
        </w:rPr>
        <w:t xml:space="preserve">the deadline for filing </w:t>
      </w:r>
      <w:r w:rsidRPr="00F62FFB" w:rsidR="002711F1">
        <w:rPr>
          <w:szCs w:val="22"/>
        </w:rPr>
        <w:t xml:space="preserve">reply comments </w:t>
      </w:r>
      <w:r w:rsidRPr="00F62FFB" w:rsidR="0041520A">
        <w:rPr>
          <w:szCs w:val="22"/>
        </w:rPr>
        <w:t xml:space="preserve">is </w:t>
      </w:r>
      <w:r w:rsidRPr="00F62FFB" w:rsidR="008F22A8">
        <w:rPr>
          <w:b/>
          <w:szCs w:val="22"/>
        </w:rPr>
        <w:t>February 12, 2019</w:t>
      </w:r>
      <w:r w:rsidR="0041520A">
        <w:rPr>
          <w:szCs w:val="22"/>
        </w:rPr>
        <w:t xml:space="preserve">.  </w:t>
      </w:r>
      <w:r w:rsidR="003A2C7B">
        <w:rPr>
          <w:szCs w:val="22"/>
        </w:rPr>
        <w:t xml:space="preserve">We </w:t>
      </w:r>
      <w:r w:rsidR="00F56FDC">
        <w:rPr>
          <w:szCs w:val="22"/>
        </w:rPr>
        <w:t>also announce t</w:t>
      </w:r>
      <w:r w:rsidRPr="00AB79B1" w:rsidR="00F56FDC">
        <w:rPr>
          <w:szCs w:val="22"/>
        </w:rPr>
        <w:t>hat the</w:t>
      </w:r>
      <w:r w:rsidR="002A5E4E">
        <w:rPr>
          <w:szCs w:val="22"/>
        </w:rPr>
        <w:t xml:space="preserve"> </w:t>
      </w:r>
      <w:r w:rsidRPr="00AB79B1" w:rsidR="00F56FDC">
        <w:rPr>
          <w:szCs w:val="22"/>
        </w:rPr>
        <w:t xml:space="preserve">secure data enclave </w:t>
      </w:r>
      <w:r w:rsidR="00F56FDC">
        <w:rPr>
          <w:szCs w:val="22"/>
        </w:rPr>
        <w:t xml:space="preserve">containing highly confidential data filed in </w:t>
      </w:r>
      <w:r w:rsidR="00D469DB">
        <w:rPr>
          <w:szCs w:val="22"/>
        </w:rPr>
        <w:t>the price cap BDS</w:t>
      </w:r>
      <w:r w:rsidR="00F56FDC">
        <w:rPr>
          <w:szCs w:val="22"/>
        </w:rPr>
        <w:t xml:space="preserve"> proceeding will reopen on </w:t>
      </w:r>
      <w:r w:rsidR="009A1525">
        <w:rPr>
          <w:b/>
          <w:szCs w:val="22"/>
        </w:rPr>
        <w:t>December 5, 2018</w:t>
      </w:r>
      <w:r w:rsidR="00F56FDC">
        <w:rPr>
          <w:b/>
          <w:szCs w:val="22"/>
        </w:rPr>
        <w:t xml:space="preserve"> </w:t>
      </w:r>
      <w:r w:rsidRPr="00A426B7" w:rsidR="00F56FDC">
        <w:rPr>
          <w:szCs w:val="22"/>
        </w:rPr>
        <w:t>and close on</w:t>
      </w:r>
      <w:r w:rsidR="00F56FDC">
        <w:rPr>
          <w:b/>
          <w:szCs w:val="22"/>
        </w:rPr>
        <w:t xml:space="preserve"> </w:t>
      </w:r>
      <w:r w:rsidRPr="00C02D39" w:rsidR="00C02D39">
        <w:rPr>
          <w:b/>
          <w:szCs w:val="22"/>
        </w:rPr>
        <w:t xml:space="preserve">March </w:t>
      </w:r>
      <w:r w:rsidR="00934103">
        <w:rPr>
          <w:b/>
          <w:szCs w:val="22"/>
        </w:rPr>
        <w:t>1</w:t>
      </w:r>
      <w:r w:rsidRPr="00C02D39" w:rsidR="00E84495">
        <w:rPr>
          <w:b/>
          <w:szCs w:val="22"/>
        </w:rPr>
        <w:t>, 2019</w:t>
      </w:r>
      <w:r w:rsidR="00F56FDC">
        <w:rPr>
          <w:b/>
          <w:szCs w:val="22"/>
        </w:rPr>
        <w:t xml:space="preserve"> </w:t>
      </w:r>
      <w:r w:rsidRPr="00A426B7" w:rsidR="00F56FDC">
        <w:rPr>
          <w:szCs w:val="22"/>
        </w:rPr>
        <w:t xml:space="preserve">unless an interested party demonstrates </w:t>
      </w:r>
      <w:r w:rsidR="00F56FDC">
        <w:rPr>
          <w:szCs w:val="22"/>
        </w:rPr>
        <w:t>the</w:t>
      </w:r>
      <w:r w:rsidRPr="00A426B7" w:rsidR="00F56FDC">
        <w:rPr>
          <w:szCs w:val="22"/>
        </w:rPr>
        <w:t xml:space="preserve"> need for continuing access</w:t>
      </w:r>
      <w:r w:rsidR="00F56FDC">
        <w:rPr>
          <w:szCs w:val="22"/>
        </w:rPr>
        <w:t xml:space="preserve">. </w:t>
      </w:r>
      <w:r w:rsidR="003A2C7B">
        <w:rPr>
          <w:szCs w:val="22"/>
        </w:rPr>
        <w:t xml:space="preserve"> </w:t>
      </w:r>
      <w:r w:rsidRPr="000E5644" w:rsidR="003A2C7B">
        <w:rPr>
          <w:szCs w:val="22"/>
        </w:rPr>
        <w:t>Parties that were</w:t>
      </w:r>
      <w:r w:rsidRPr="008368BC" w:rsidR="003A2C7B">
        <w:rPr>
          <w:szCs w:val="22"/>
        </w:rPr>
        <w:t xml:space="preserve"> not previously authorized to access the </w:t>
      </w:r>
      <w:r w:rsidR="00B8084E">
        <w:rPr>
          <w:szCs w:val="22"/>
        </w:rPr>
        <w:t xml:space="preserve">secure data enclave </w:t>
      </w:r>
      <w:r w:rsidR="003A2C7B">
        <w:rPr>
          <w:szCs w:val="22"/>
        </w:rPr>
        <w:t xml:space="preserve">and </w:t>
      </w:r>
      <w:r w:rsidRPr="00A55B36" w:rsidR="003A2C7B">
        <w:rPr>
          <w:szCs w:val="22"/>
        </w:rPr>
        <w:t xml:space="preserve">now seek access must </w:t>
      </w:r>
      <w:r w:rsidR="003A2C7B">
        <w:rPr>
          <w:szCs w:val="22"/>
        </w:rPr>
        <w:t>file</w:t>
      </w:r>
      <w:r w:rsidRPr="00A55B36" w:rsidR="003A2C7B">
        <w:rPr>
          <w:szCs w:val="22"/>
        </w:rPr>
        <w:t xml:space="preserve"> signed Acknowledgments</w:t>
      </w:r>
      <w:r w:rsidR="005A1468">
        <w:rPr>
          <w:szCs w:val="22"/>
        </w:rPr>
        <w:t xml:space="preserve"> pursuant to the Protective O</w:t>
      </w:r>
      <w:r w:rsidR="003A2C7B">
        <w:rPr>
          <w:szCs w:val="22"/>
        </w:rPr>
        <w:t>rders governing access to the secure data enclave.</w:t>
      </w:r>
      <w:r>
        <w:rPr>
          <w:rStyle w:val="FootnoteReference"/>
          <w:szCs w:val="22"/>
        </w:rPr>
        <w:footnoteReference w:id="4"/>
      </w:r>
      <w:r w:rsidRPr="00A35521" w:rsidR="003A2C7B">
        <w:rPr>
          <w:szCs w:val="22"/>
        </w:rPr>
        <w:t xml:space="preserve">  </w:t>
      </w:r>
    </w:p>
    <w:p w:rsidR="009A1452" w:rsidRPr="009A1452" w:rsidP="00D848DE">
      <w:pPr>
        <w:widowControl/>
        <w:spacing w:after="120"/>
        <w:ind w:firstLine="720"/>
        <w:rPr>
          <w:snapToGrid/>
          <w:kern w:val="0"/>
          <w:szCs w:val="22"/>
        </w:rPr>
      </w:pPr>
      <w:r>
        <w:rPr>
          <w:szCs w:val="22"/>
        </w:rPr>
        <w:t xml:space="preserve">On October </w:t>
      </w:r>
      <w:r w:rsidR="00F56FDC">
        <w:rPr>
          <w:szCs w:val="22"/>
        </w:rPr>
        <w:t>24</w:t>
      </w:r>
      <w:r>
        <w:rPr>
          <w:szCs w:val="22"/>
        </w:rPr>
        <w:t xml:space="preserve">, 2018, </w:t>
      </w:r>
      <w:r w:rsidR="008A43C9">
        <w:rPr>
          <w:szCs w:val="22"/>
        </w:rPr>
        <w:t>t</w:t>
      </w:r>
      <w:r w:rsidR="00035F48">
        <w:rPr>
          <w:szCs w:val="22"/>
        </w:rPr>
        <w:t xml:space="preserve">he Commission released the </w:t>
      </w:r>
      <w:r w:rsidRPr="00641A85" w:rsidR="0093557B">
        <w:rPr>
          <w:i/>
          <w:szCs w:val="22"/>
        </w:rPr>
        <w:t>Second Further Notice</w:t>
      </w:r>
      <w:r w:rsidR="0093557B">
        <w:rPr>
          <w:szCs w:val="22"/>
        </w:rPr>
        <w:t xml:space="preserve"> </w:t>
      </w:r>
      <w:r w:rsidR="000B338B">
        <w:rPr>
          <w:szCs w:val="22"/>
        </w:rPr>
        <w:t>proposing to</w:t>
      </w:r>
      <w:r w:rsidR="0093557B">
        <w:rPr>
          <w:szCs w:val="22"/>
        </w:rPr>
        <w:t xml:space="preserve"> eliminat</w:t>
      </w:r>
      <w:r w:rsidR="000B338B">
        <w:rPr>
          <w:szCs w:val="22"/>
        </w:rPr>
        <w:t>e</w:t>
      </w:r>
      <w:r w:rsidRPr="00641A85" w:rsidR="0093557B">
        <w:rPr>
          <w:szCs w:val="22"/>
        </w:rPr>
        <w:t xml:space="preserve"> ex ante pricing regulation of </w:t>
      </w:r>
      <w:r w:rsidR="0093557B">
        <w:rPr>
          <w:szCs w:val="22"/>
        </w:rPr>
        <w:t xml:space="preserve">price cap carriers’ TDM-based </w:t>
      </w:r>
      <w:r w:rsidRPr="00641A85" w:rsidR="0093557B">
        <w:rPr>
          <w:szCs w:val="22"/>
        </w:rPr>
        <w:t xml:space="preserve">transport services and </w:t>
      </w:r>
      <w:r w:rsidR="000B338B">
        <w:rPr>
          <w:szCs w:val="22"/>
        </w:rPr>
        <w:t xml:space="preserve">seeking </w:t>
      </w:r>
      <w:r w:rsidRPr="00641A85" w:rsidR="0093557B">
        <w:rPr>
          <w:szCs w:val="22"/>
        </w:rPr>
        <w:t>comment on this proposal.</w:t>
      </w:r>
      <w:r>
        <w:rPr>
          <w:szCs w:val="22"/>
          <w:vertAlign w:val="superscript"/>
        </w:rPr>
        <w:footnoteReference w:id="5"/>
      </w:r>
      <w:r w:rsidR="0093557B">
        <w:rPr>
          <w:szCs w:val="22"/>
        </w:rPr>
        <w:t xml:space="preserve">  </w:t>
      </w:r>
      <w:r w:rsidR="008A43C9">
        <w:rPr>
          <w:szCs w:val="22"/>
        </w:rPr>
        <w:t xml:space="preserve">The Commission also released the </w:t>
      </w:r>
      <w:r w:rsidRPr="005E4B1E" w:rsidR="008A43C9">
        <w:rPr>
          <w:i/>
          <w:szCs w:val="22"/>
        </w:rPr>
        <w:t>Further Notice</w:t>
      </w:r>
      <w:r w:rsidR="008A43C9">
        <w:rPr>
          <w:szCs w:val="22"/>
        </w:rPr>
        <w:t xml:space="preserve"> seeking comment on </w:t>
      </w:r>
      <w:r w:rsidRPr="00D469DB" w:rsidR="008A43C9">
        <w:rPr>
          <w:szCs w:val="22"/>
        </w:rPr>
        <w:t xml:space="preserve">the appropriate regulatory framework to apply </w:t>
      </w:r>
      <w:r w:rsidR="001710EA">
        <w:rPr>
          <w:szCs w:val="22"/>
        </w:rPr>
        <w:t xml:space="preserve">to </w:t>
      </w:r>
      <w:r w:rsidRPr="00D469DB" w:rsidR="008A43C9">
        <w:rPr>
          <w:szCs w:val="22"/>
        </w:rPr>
        <w:t>lower capacity</w:t>
      </w:r>
      <w:r w:rsidR="001710EA">
        <w:rPr>
          <w:szCs w:val="22"/>
        </w:rPr>
        <w:t xml:space="preserve"> (at or below the capacity of a DS3)</w:t>
      </w:r>
      <w:r w:rsidRPr="00D469DB" w:rsidR="008A43C9">
        <w:rPr>
          <w:szCs w:val="22"/>
        </w:rPr>
        <w:t xml:space="preserve"> TDM-based transport services </w:t>
      </w:r>
      <w:r w:rsidR="008A43C9">
        <w:rPr>
          <w:szCs w:val="22"/>
        </w:rPr>
        <w:t xml:space="preserve">provided by rate-of-return carriers that elect incentive regulation provided for in the accompanying </w:t>
      </w:r>
      <w:r w:rsidRPr="005E4B1E" w:rsidR="008A43C9">
        <w:rPr>
          <w:i/>
          <w:szCs w:val="22"/>
        </w:rPr>
        <w:t>Report and Order</w:t>
      </w:r>
      <w:r w:rsidR="008A43C9">
        <w:rPr>
          <w:szCs w:val="22"/>
        </w:rPr>
        <w:t>.</w:t>
      </w:r>
      <w:r>
        <w:rPr>
          <w:rStyle w:val="FootnoteReference"/>
          <w:szCs w:val="22"/>
        </w:rPr>
        <w:footnoteReference w:id="6"/>
      </w:r>
      <w:r w:rsidR="008A43C9">
        <w:rPr>
          <w:szCs w:val="22"/>
        </w:rPr>
        <w:t xml:space="preserve">  </w:t>
      </w:r>
      <w:r w:rsidR="004C577E">
        <w:rPr>
          <w:szCs w:val="22"/>
        </w:rPr>
        <w:t>T</w:t>
      </w:r>
      <w:r w:rsidRPr="009E6C3E" w:rsidR="009E6C3E">
        <w:rPr>
          <w:szCs w:val="22"/>
        </w:rPr>
        <w:t xml:space="preserve">he Commission specified that comments would be due </w:t>
      </w:r>
      <w:r w:rsidR="009E6C3E">
        <w:rPr>
          <w:szCs w:val="22"/>
        </w:rPr>
        <w:t>45</w:t>
      </w:r>
      <w:r w:rsidR="00035F48">
        <w:rPr>
          <w:szCs w:val="22"/>
        </w:rPr>
        <w:t xml:space="preserve"> days following Federal Register publication,</w:t>
      </w:r>
      <w:r w:rsidRPr="009E6C3E" w:rsidR="009E6C3E">
        <w:rPr>
          <w:szCs w:val="22"/>
        </w:rPr>
        <w:t xml:space="preserve"> </w:t>
      </w:r>
      <w:r w:rsidR="009E6C3E">
        <w:rPr>
          <w:szCs w:val="22"/>
        </w:rPr>
        <w:t xml:space="preserve">and </w:t>
      </w:r>
      <w:r w:rsidR="00035F48">
        <w:rPr>
          <w:szCs w:val="22"/>
        </w:rPr>
        <w:t xml:space="preserve">that reply comments would be due </w:t>
      </w:r>
      <w:r w:rsidR="009E6C3E">
        <w:rPr>
          <w:szCs w:val="22"/>
        </w:rPr>
        <w:t>75 days</w:t>
      </w:r>
      <w:r w:rsidR="00035F48">
        <w:rPr>
          <w:szCs w:val="22"/>
        </w:rPr>
        <w:t xml:space="preserve"> </w:t>
      </w:r>
      <w:r w:rsidR="009E6C3E">
        <w:rPr>
          <w:szCs w:val="22"/>
        </w:rPr>
        <w:t>following</w:t>
      </w:r>
      <w:r w:rsidRPr="009E6C3E" w:rsidR="009E6C3E">
        <w:rPr>
          <w:szCs w:val="22"/>
        </w:rPr>
        <w:t xml:space="preserve"> </w:t>
      </w:r>
      <w:r w:rsidR="00035F48">
        <w:rPr>
          <w:szCs w:val="22"/>
        </w:rPr>
        <w:t xml:space="preserve">Federal Register </w:t>
      </w:r>
      <w:r w:rsidRPr="009E6C3E" w:rsidR="009E6C3E">
        <w:rPr>
          <w:szCs w:val="22"/>
        </w:rPr>
        <w:t>publication</w:t>
      </w:r>
      <w:r w:rsidR="009E6C3E">
        <w:rPr>
          <w:szCs w:val="22"/>
        </w:rPr>
        <w:t>.</w:t>
      </w:r>
      <w:r>
        <w:rPr>
          <w:rStyle w:val="FootnoteReference"/>
          <w:szCs w:val="22"/>
        </w:rPr>
        <w:footnoteReference w:id="7"/>
      </w:r>
      <w:r w:rsidR="009E6C3E">
        <w:rPr>
          <w:szCs w:val="22"/>
        </w:rPr>
        <w:t xml:space="preserve">  On </w:t>
      </w:r>
      <w:r w:rsidRPr="003E0E93" w:rsidR="00714F9C">
        <w:rPr>
          <w:szCs w:val="22"/>
        </w:rPr>
        <w:t>November 29, 2018</w:t>
      </w:r>
      <w:r w:rsidR="009E6C3E">
        <w:rPr>
          <w:szCs w:val="22"/>
        </w:rPr>
        <w:t xml:space="preserve">, </w:t>
      </w:r>
      <w:r w:rsidR="008A43C9">
        <w:rPr>
          <w:szCs w:val="22"/>
        </w:rPr>
        <w:t>a summary of the</w:t>
      </w:r>
      <w:r w:rsidRPr="00A35521" w:rsidR="008A43C9">
        <w:rPr>
          <w:szCs w:val="22"/>
        </w:rPr>
        <w:t xml:space="preserve"> </w:t>
      </w:r>
      <w:r w:rsidRPr="00A35521" w:rsidR="009A0ADB">
        <w:rPr>
          <w:i/>
          <w:szCs w:val="22"/>
        </w:rPr>
        <w:t>Second Further Notice</w:t>
      </w:r>
      <w:r w:rsidR="009A0ADB">
        <w:rPr>
          <w:szCs w:val="22"/>
        </w:rPr>
        <w:t xml:space="preserve"> </w:t>
      </w:r>
      <w:r w:rsidRPr="00BB25A0" w:rsidR="008A43C9">
        <w:rPr>
          <w:i/>
          <w:szCs w:val="22"/>
        </w:rPr>
        <w:t>and</w:t>
      </w:r>
      <w:r w:rsidR="008A43C9">
        <w:rPr>
          <w:szCs w:val="22"/>
        </w:rPr>
        <w:t xml:space="preserve"> </w:t>
      </w:r>
      <w:r w:rsidRPr="0067627F" w:rsidR="008A43C9">
        <w:rPr>
          <w:i/>
          <w:szCs w:val="22"/>
        </w:rPr>
        <w:t>Further Notice</w:t>
      </w:r>
      <w:r w:rsidR="008A43C9">
        <w:rPr>
          <w:szCs w:val="22"/>
        </w:rPr>
        <w:t xml:space="preserve"> was </w:t>
      </w:r>
      <w:r w:rsidR="009A0ADB">
        <w:rPr>
          <w:szCs w:val="22"/>
        </w:rPr>
        <w:t>published in the Federal Register</w:t>
      </w:r>
      <w:r w:rsidRPr="00A426B7" w:rsidR="00A426B7">
        <w:t xml:space="preserve"> </w:t>
      </w:r>
      <w:r w:rsidR="00A426B7">
        <w:t>specifying</w:t>
      </w:r>
      <w:r w:rsidRPr="00A426B7" w:rsidR="00A426B7">
        <w:rPr>
          <w:szCs w:val="22"/>
        </w:rPr>
        <w:t xml:space="preserve"> that comments will be due on </w:t>
      </w:r>
      <w:r w:rsidRPr="003E0E93" w:rsidR="008F22A8">
        <w:rPr>
          <w:b/>
          <w:szCs w:val="22"/>
        </w:rPr>
        <w:t>January 14, 2019</w:t>
      </w:r>
      <w:r w:rsidR="00A426B7">
        <w:rPr>
          <w:szCs w:val="22"/>
        </w:rPr>
        <w:t xml:space="preserve"> </w:t>
      </w:r>
      <w:r w:rsidR="00A426B7">
        <w:rPr>
          <w:szCs w:val="22"/>
        </w:rPr>
        <w:t>and reply comments due</w:t>
      </w:r>
      <w:r w:rsidRPr="00A426B7" w:rsidR="00A426B7">
        <w:rPr>
          <w:szCs w:val="22"/>
        </w:rPr>
        <w:t xml:space="preserve"> on </w:t>
      </w:r>
      <w:r w:rsidRPr="00481788" w:rsidR="008F22A8">
        <w:rPr>
          <w:b/>
          <w:szCs w:val="22"/>
        </w:rPr>
        <w:t>February 12, 2019</w:t>
      </w:r>
      <w:r w:rsidRPr="009E6C3E" w:rsidR="009A0ADB">
        <w:rPr>
          <w:szCs w:val="22"/>
        </w:rPr>
        <w:t>.</w:t>
      </w:r>
      <w:r>
        <w:rPr>
          <w:rStyle w:val="FootnoteReference"/>
          <w:szCs w:val="22"/>
        </w:rPr>
        <w:footnoteReference w:id="8"/>
      </w:r>
      <w:r w:rsidR="009A0ADB">
        <w:rPr>
          <w:szCs w:val="22"/>
        </w:rPr>
        <w:t xml:space="preserve"> </w:t>
      </w:r>
      <w:r w:rsidR="009E6C3E">
        <w:rPr>
          <w:szCs w:val="22"/>
        </w:rPr>
        <w:t xml:space="preserve"> </w:t>
      </w:r>
      <w:r w:rsidRPr="009A1452">
        <w:rPr>
          <w:snapToGrid/>
          <w:kern w:val="0"/>
          <w:szCs w:val="22"/>
        </w:rPr>
        <w:t>Complete filing instructions are provided in the</w:t>
      </w:r>
      <w:r w:rsidR="00DD0681">
        <w:rPr>
          <w:snapToGrid/>
          <w:kern w:val="0"/>
          <w:szCs w:val="22"/>
        </w:rPr>
        <w:t xml:space="preserve"> </w:t>
      </w:r>
      <w:r w:rsidRPr="00DD0681" w:rsidR="00DD0681">
        <w:rPr>
          <w:i/>
          <w:snapToGrid/>
          <w:kern w:val="0"/>
          <w:szCs w:val="22"/>
        </w:rPr>
        <w:t xml:space="preserve">Second </w:t>
      </w:r>
      <w:r w:rsidR="008A43C9">
        <w:rPr>
          <w:i/>
          <w:snapToGrid/>
          <w:kern w:val="0"/>
          <w:szCs w:val="22"/>
        </w:rPr>
        <w:t xml:space="preserve">Further Notice and </w:t>
      </w:r>
      <w:r w:rsidRPr="00DD0681" w:rsidR="00DD0681">
        <w:rPr>
          <w:i/>
          <w:snapToGrid/>
          <w:kern w:val="0"/>
          <w:szCs w:val="22"/>
        </w:rPr>
        <w:t>Further Notice</w:t>
      </w:r>
      <w:r>
        <w:rPr>
          <w:rStyle w:val="FootnoteReference"/>
          <w:snapToGrid/>
          <w:kern w:val="0"/>
          <w:szCs w:val="22"/>
        </w:rPr>
        <w:footnoteReference w:id="9"/>
      </w:r>
      <w:r w:rsidRPr="009A1452">
        <w:rPr>
          <w:snapToGrid/>
          <w:kern w:val="0"/>
          <w:szCs w:val="22"/>
        </w:rPr>
        <w:t xml:space="preserve"> and the Federal Register</w:t>
      </w:r>
      <w:r w:rsidR="001D7731">
        <w:rPr>
          <w:snapToGrid/>
          <w:kern w:val="0"/>
          <w:szCs w:val="22"/>
        </w:rPr>
        <w:t xml:space="preserve"> notice</w:t>
      </w:r>
      <w:r w:rsidRPr="009A1452">
        <w:rPr>
          <w:snapToGrid/>
          <w:kern w:val="0"/>
          <w:szCs w:val="22"/>
        </w:rPr>
        <w:t>.</w:t>
      </w:r>
      <w:r>
        <w:rPr>
          <w:snapToGrid/>
          <w:kern w:val="0"/>
          <w:szCs w:val="22"/>
          <w:vertAlign w:val="superscript"/>
        </w:rPr>
        <w:footnoteReference w:id="10"/>
      </w:r>
    </w:p>
    <w:p w:rsidR="003229AE" w:rsidRPr="008B7680" w:rsidP="00BB25A0">
      <w:pPr>
        <w:widowControl/>
        <w:tabs>
          <w:tab w:val="num" w:pos="1440"/>
        </w:tabs>
        <w:spacing w:after="120"/>
        <w:ind w:firstLine="720"/>
      </w:pPr>
      <w:r>
        <w:rPr>
          <w:szCs w:val="22"/>
        </w:rPr>
        <w:t>In</w:t>
      </w:r>
      <w:r w:rsidR="009A1452">
        <w:rPr>
          <w:szCs w:val="22"/>
        </w:rPr>
        <w:t xml:space="preserve"> the </w:t>
      </w:r>
      <w:r w:rsidRPr="009A1452" w:rsidR="009A1452">
        <w:rPr>
          <w:i/>
          <w:szCs w:val="22"/>
        </w:rPr>
        <w:t>Second Further Notice</w:t>
      </w:r>
      <w:r w:rsidR="009A1452">
        <w:rPr>
          <w:szCs w:val="22"/>
        </w:rPr>
        <w:t xml:space="preserve">, the </w:t>
      </w:r>
      <w:r w:rsidRPr="009A1452" w:rsidR="009A1452">
        <w:rPr>
          <w:szCs w:val="22"/>
        </w:rPr>
        <w:t>Commission directed the Bureau to make</w:t>
      </w:r>
      <w:r w:rsidR="00085928">
        <w:rPr>
          <w:szCs w:val="22"/>
        </w:rPr>
        <w:t xml:space="preserve"> available</w:t>
      </w:r>
      <w:r w:rsidRPr="009A1452" w:rsidR="009A1452">
        <w:rPr>
          <w:szCs w:val="22"/>
        </w:rPr>
        <w:t xml:space="preserve"> </w:t>
      </w:r>
      <w:r w:rsidRPr="009A1452" w:rsidR="00085928">
        <w:rPr>
          <w:szCs w:val="22"/>
        </w:rPr>
        <w:t>to interested parties</w:t>
      </w:r>
      <w:r w:rsidR="00085928">
        <w:rPr>
          <w:szCs w:val="22"/>
        </w:rPr>
        <w:t xml:space="preserve"> </w:t>
      </w:r>
      <w:r w:rsidR="009A1452">
        <w:rPr>
          <w:szCs w:val="22"/>
        </w:rPr>
        <w:t xml:space="preserve">highly confidential data filed in </w:t>
      </w:r>
      <w:r w:rsidR="00085928">
        <w:rPr>
          <w:szCs w:val="22"/>
        </w:rPr>
        <w:t xml:space="preserve">a data collection that is part of the record in </w:t>
      </w:r>
      <w:r w:rsidR="009A1452">
        <w:rPr>
          <w:szCs w:val="22"/>
        </w:rPr>
        <w:t xml:space="preserve">the </w:t>
      </w:r>
      <w:r w:rsidR="0018263D">
        <w:rPr>
          <w:szCs w:val="22"/>
        </w:rPr>
        <w:t xml:space="preserve">price cap </w:t>
      </w:r>
      <w:r w:rsidR="009A1452">
        <w:rPr>
          <w:szCs w:val="22"/>
        </w:rPr>
        <w:t>BDS proceeding</w:t>
      </w:r>
      <w:r w:rsidR="00613AD7">
        <w:rPr>
          <w:szCs w:val="22"/>
        </w:rPr>
        <w:t>.</w:t>
      </w:r>
      <w:r>
        <w:rPr>
          <w:rStyle w:val="FootnoteReference"/>
          <w:szCs w:val="22"/>
        </w:rPr>
        <w:footnoteReference w:id="11"/>
      </w:r>
      <w:r w:rsidR="0017219F">
        <w:rPr>
          <w:szCs w:val="22"/>
        </w:rPr>
        <w:t xml:space="preserve"> </w:t>
      </w:r>
      <w:r w:rsidR="008A60F7">
        <w:rPr>
          <w:szCs w:val="22"/>
        </w:rPr>
        <w:t xml:space="preserve"> </w:t>
      </w:r>
      <w:r w:rsidR="004F5C31">
        <w:rPr>
          <w:szCs w:val="22"/>
        </w:rPr>
        <w:t>Since the</w:t>
      </w:r>
      <w:r w:rsidR="00085928">
        <w:rPr>
          <w:szCs w:val="22"/>
        </w:rPr>
        <w:t xml:space="preserve"> secure data enclave hosted by NORC at the University of Chicago is the </w:t>
      </w:r>
      <w:r w:rsidRPr="00085928" w:rsidR="00085928">
        <w:rPr>
          <w:szCs w:val="22"/>
        </w:rPr>
        <w:t xml:space="preserve">exclusive method to access and analyze </w:t>
      </w:r>
      <w:r w:rsidR="00085928">
        <w:rPr>
          <w:szCs w:val="22"/>
        </w:rPr>
        <w:t>this data</w:t>
      </w:r>
      <w:r w:rsidR="004F5C31">
        <w:rPr>
          <w:szCs w:val="22"/>
        </w:rPr>
        <w:t>, o</w:t>
      </w:r>
      <w:r w:rsidR="00C94604">
        <w:rPr>
          <w:szCs w:val="22"/>
        </w:rPr>
        <w:t xml:space="preserve">n November 5, 2018, </w:t>
      </w:r>
      <w:r w:rsidR="003A2C7B">
        <w:rPr>
          <w:szCs w:val="22"/>
        </w:rPr>
        <w:t xml:space="preserve">we </w:t>
      </w:r>
      <w:r w:rsidR="00C94604">
        <w:rPr>
          <w:szCs w:val="22"/>
        </w:rPr>
        <w:t xml:space="preserve">released a </w:t>
      </w:r>
      <w:r w:rsidRPr="00382FF0" w:rsidR="00C94604">
        <w:rPr>
          <w:i/>
          <w:szCs w:val="22"/>
        </w:rPr>
        <w:t>Public Notice</w:t>
      </w:r>
      <w:r w:rsidR="00C94604">
        <w:rPr>
          <w:szCs w:val="22"/>
        </w:rPr>
        <w:t xml:space="preserve"> announcing</w:t>
      </w:r>
      <w:r w:rsidRPr="00A55B36">
        <w:rPr>
          <w:szCs w:val="22"/>
        </w:rPr>
        <w:t xml:space="preserve"> th</w:t>
      </w:r>
      <w:r>
        <w:rPr>
          <w:szCs w:val="22"/>
        </w:rPr>
        <w:t>at</w:t>
      </w:r>
      <w:r w:rsidRPr="00382FF0" w:rsidR="00382FF0">
        <w:t xml:space="preserve"> </w:t>
      </w:r>
      <w:r w:rsidR="003A2C7B">
        <w:t>we</w:t>
      </w:r>
      <w:r>
        <w:t xml:space="preserve"> would reopen </w:t>
      </w:r>
      <w:r w:rsidR="00EC4925">
        <w:t>access</w:t>
      </w:r>
      <w:r w:rsidR="00382FF0">
        <w:t xml:space="preserve"> </w:t>
      </w:r>
      <w:r w:rsidR="0041520A">
        <w:t xml:space="preserve">to the secure data enclave </w:t>
      </w:r>
      <w:r w:rsidR="00613AD7">
        <w:t xml:space="preserve">for purposes of commenting on the </w:t>
      </w:r>
      <w:r w:rsidRPr="00BB25A0" w:rsidR="00613AD7">
        <w:rPr>
          <w:i/>
        </w:rPr>
        <w:t>Second Further Notice</w:t>
      </w:r>
      <w:r w:rsidR="004F5C31">
        <w:t>.</w:t>
      </w:r>
      <w:r>
        <w:rPr>
          <w:rStyle w:val="FootnoteReference"/>
          <w:szCs w:val="22"/>
        </w:rPr>
        <w:footnoteReference w:id="12"/>
      </w:r>
      <w:r>
        <w:rPr>
          <w:szCs w:val="22"/>
        </w:rPr>
        <w:t xml:space="preserve">  </w:t>
      </w:r>
      <w:r w:rsidR="003A2C7B">
        <w:rPr>
          <w:szCs w:val="22"/>
        </w:rPr>
        <w:t xml:space="preserve">We </w:t>
      </w:r>
      <w:r w:rsidR="000706BE">
        <w:rPr>
          <w:szCs w:val="22"/>
        </w:rPr>
        <w:t>specified</w:t>
      </w:r>
      <w:r>
        <w:rPr>
          <w:szCs w:val="22"/>
        </w:rPr>
        <w:t xml:space="preserve"> that the secure data enclave would reopen</w:t>
      </w:r>
      <w:r w:rsidR="004C490B">
        <w:rPr>
          <w:szCs w:val="22"/>
        </w:rPr>
        <w:t xml:space="preserve"> </w:t>
      </w:r>
      <w:r w:rsidRPr="007B3409" w:rsidR="004C490B">
        <w:rPr>
          <w:szCs w:val="22"/>
        </w:rPr>
        <w:t xml:space="preserve">after the </w:t>
      </w:r>
      <w:r w:rsidRPr="00A03B69" w:rsidR="004C490B">
        <w:rPr>
          <w:i/>
          <w:szCs w:val="22"/>
        </w:rPr>
        <w:t>Second Further Notice</w:t>
      </w:r>
      <w:r w:rsidRPr="007B3409" w:rsidR="004C490B">
        <w:rPr>
          <w:szCs w:val="22"/>
        </w:rPr>
        <w:t xml:space="preserve"> </w:t>
      </w:r>
      <w:r w:rsidRPr="007B3409" w:rsidR="008328FE">
        <w:rPr>
          <w:szCs w:val="22"/>
        </w:rPr>
        <w:t>summary</w:t>
      </w:r>
      <w:r w:rsidR="008328FE">
        <w:rPr>
          <w:szCs w:val="22"/>
        </w:rPr>
        <w:t xml:space="preserve"> </w:t>
      </w:r>
      <w:r w:rsidR="00371ECB">
        <w:rPr>
          <w:szCs w:val="22"/>
        </w:rPr>
        <w:t xml:space="preserve">is </w:t>
      </w:r>
      <w:r w:rsidRPr="007B3409" w:rsidR="004C490B">
        <w:rPr>
          <w:szCs w:val="22"/>
        </w:rPr>
        <w:t>published in the Federal Register</w:t>
      </w:r>
      <w:r w:rsidR="00646AE7">
        <w:rPr>
          <w:szCs w:val="22"/>
        </w:rPr>
        <w:t>,</w:t>
      </w:r>
      <w:r w:rsidRPr="007B3409" w:rsidR="004C490B">
        <w:rPr>
          <w:szCs w:val="22"/>
        </w:rPr>
        <w:t xml:space="preserve"> and close 14 days after reply comments </w:t>
      </w:r>
      <w:r w:rsidR="00371ECB">
        <w:rPr>
          <w:szCs w:val="22"/>
        </w:rPr>
        <w:t>are</w:t>
      </w:r>
      <w:r w:rsidRPr="007B3409" w:rsidR="004C490B">
        <w:rPr>
          <w:szCs w:val="22"/>
        </w:rPr>
        <w:t xml:space="preserve"> due, unless </w:t>
      </w:r>
      <w:r w:rsidR="009A1452">
        <w:rPr>
          <w:szCs w:val="22"/>
        </w:rPr>
        <w:t>an</w:t>
      </w:r>
      <w:r w:rsidRPr="007B3409" w:rsidR="004C490B">
        <w:rPr>
          <w:szCs w:val="22"/>
        </w:rPr>
        <w:t xml:space="preserve"> interested party demonstrat</w:t>
      </w:r>
      <w:r w:rsidR="00B85BE4">
        <w:rPr>
          <w:szCs w:val="22"/>
        </w:rPr>
        <w:t>es</w:t>
      </w:r>
      <w:r w:rsidRPr="007B3409" w:rsidR="004C490B">
        <w:rPr>
          <w:szCs w:val="22"/>
        </w:rPr>
        <w:t xml:space="preserve"> that </w:t>
      </w:r>
      <w:r w:rsidR="00F56FDC">
        <w:rPr>
          <w:szCs w:val="22"/>
        </w:rPr>
        <w:t>“</w:t>
      </w:r>
      <w:r w:rsidRPr="007B3409" w:rsidR="004C490B">
        <w:rPr>
          <w:szCs w:val="22"/>
        </w:rPr>
        <w:t>continued access to the data is necessary to their meaningful participation in the proceeding</w:t>
      </w:r>
      <w:r w:rsidRPr="007B3409" w:rsidR="007B3409">
        <w:rPr>
          <w:szCs w:val="22"/>
        </w:rPr>
        <w:t>.</w:t>
      </w:r>
      <w:r w:rsidR="00F56FDC">
        <w:rPr>
          <w:szCs w:val="22"/>
        </w:rPr>
        <w:t>”</w:t>
      </w:r>
      <w:r>
        <w:rPr>
          <w:rStyle w:val="FootnoteReference"/>
          <w:szCs w:val="22"/>
        </w:rPr>
        <w:footnoteReference w:id="13"/>
      </w:r>
      <w:r w:rsidRPr="0018263D" w:rsidR="0018263D">
        <w:rPr>
          <w:rStyle w:val="FootnoteReference"/>
          <w:szCs w:val="22"/>
        </w:rPr>
        <w:t xml:space="preserve"> </w:t>
      </w:r>
      <w:r w:rsidR="00865128">
        <w:rPr>
          <w:szCs w:val="22"/>
        </w:rPr>
        <w:t xml:space="preserve"> </w:t>
      </w:r>
      <w:r w:rsidR="004838D7">
        <w:rPr>
          <w:szCs w:val="22"/>
        </w:rPr>
        <w:t xml:space="preserve">Accordingly, </w:t>
      </w:r>
      <w:r w:rsidR="00D3661A">
        <w:rPr>
          <w:szCs w:val="22"/>
        </w:rPr>
        <w:t xml:space="preserve">access to </w:t>
      </w:r>
      <w:r w:rsidR="00667388">
        <w:rPr>
          <w:szCs w:val="22"/>
        </w:rPr>
        <w:t xml:space="preserve">the </w:t>
      </w:r>
      <w:r w:rsidR="002A648A">
        <w:rPr>
          <w:szCs w:val="22"/>
        </w:rPr>
        <w:t xml:space="preserve">secure data enclave </w:t>
      </w:r>
      <w:r w:rsidR="008328FE">
        <w:rPr>
          <w:szCs w:val="22"/>
        </w:rPr>
        <w:t xml:space="preserve">will </w:t>
      </w:r>
      <w:r w:rsidR="002A648A">
        <w:rPr>
          <w:szCs w:val="22"/>
        </w:rPr>
        <w:t>reopen</w:t>
      </w:r>
      <w:r w:rsidR="008328FE">
        <w:rPr>
          <w:szCs w:val="22"/>
        </w:rPr>
        <w:t xml:space="preserve"> </w:t>
      </w:r>
      <w:r w:rsidR="00D3661A">
        <w:rPr>
          <w:szCs w:val="22"/>
        </w:rPr>
        <w:t xml:space="preserve">on </w:t>
      </w:r>
      <w:r w:rsidR="009A1525">
        <w:rPr>
          <w:b/>
          <w:szCs w:val="22"/>
        </w:rPr>
        <w:t>December 5, 2018</w:t>
      </w:r>
      <w:r w:rsidR="00D3661A">
        <w:rPr>
          <w:szCs w:val="22"/>
        </w:rPr>
        <w:t xml:space="preserve"> </w:t>
      </w:r>
      <w:r w:rsidR="009A0ADB">
        <w:rPr>
          <w:szCs w:val="22"/>
        </w:rPr>
        <w:t xml:space="preserve">and </w:t>
      </w:r>
      <w:r w:rsidR="009A1452">
        <w:rPr>
          <w:szCs w:val="22"/>
        </w:rPr>
        <w:t>close</w:t>
      </w:r>
      <w:r w:rsidR="0018263D">
        <w:rPr>
          <w:szCs w:val="22"/>
        </w:rPr>
        <w:t xml:space="preserve"> on </w:t>
      </w:r>
      <w:r w:rsidRPr="00C02D39" w:rsidR="00C02D39">
        <w:rPr>
          <w:b/>
          <w:szCs w:val="22"/>
        </w:rPr>
        <w:t xml:space="preserve">March </w:t>
      </w:r>
      <w:r w:rsidR="00A6673E">
        <w:rPr>
          <w:b/>
          <w:szCs w:val="22"/>
        </w:rPr>
        <w:t>1</w:t>
      </w:r>
      <w:r w:rsidRPr="00C02D39" w:rsidR="00E84495">
        <w:rPr>
          <w:b/>
          <w:szCs w:val="22"/>
        </w:rPr>
        <w:t>, 2019</w:t>
      </w:r>
      <w:r w:rsidR="009A1452">
        <w:rPr>
          <w:szCs w:val="22"/>
        </w:rPr>
        <w:t>,</w:t>
      </w:r>
      <w:r w:rsidR="009A0ADB">
        <w:rPr>
          <w:b/>
          <w:szCs w:val="22"/>
        </w:rPr>
        <w:t xml:space="preserve"> </w:t>
      </w:r>
      <w:r w:rsidR="004C490B">
        <w:rPr>
          <w:szCs w:val="22"/>
        </w:rPr>
        <w:t xml:space="preserve">unless an interested party </w:t>
      </w:r>
      <w:r w:rsidR="00B85BE4">
        <w:rPr>
          <w:szCs w:val="22"/>
        </w:rPr>
        <w:t xml:space="preserve">demonstrates the need </w:t>
      </w:r>
      <w:r w:rsidR="004C490B">
        <w:rPr>
          <w:szCs w:val="22"/>
        </w:rPr>
        <w:t xml:space="preserve">for </w:t>
      </w:r>
      <w:r w:rsidR="002740DF">
        <w:rPr>
          <w:szCs w:val="22"/>
        </w:rPr>
        <w:t>continuing</w:t>
      </w:r>
      <w:r w:rsidR="00667388">
        <w:rPr>
          <w:szCs w:val="22"/>
        </w:rPr>
        <w:t xml:space="preserve"> access</w:t>
      </w:r>
      <w:r w:rsidR="004C490B">
        <w:rPr>
          <w:szCs w:val="22"/>
        </w:rPr>
        <w:t>.</w:t>
      </w:r>
      <w:r>
        <w:rPr>
          <w:rStyle w:val="FootnoteReference"/>
          <w:szCs w:val="22"/>
        </w:rPr>
        <w:footnoteReference w:id="14"/>
      </w:r>
      <w:r w:rsidRPr="001D616C">
        <w:rPr>
          <w:szCs w:val="22"/>
        </w:rPr>
        <w:t xml:space="preserve"> </w:t>
      </w:r>
      <w:r w:rsidR="00382FF0">
        <w:rPr>
          <w:szCs w:val="22"/>
        </w:rPr>
        <w:t xml:space="preserve"> </w:t>
      </w:r>
      <w:r w:rsidR="000856EF">
        <w:rPr>
          <w:szCs w:val="22"/>
        </w:rPr>
        <w:t xml:space="preserve">Instructions on requesting access to the secure data enclave are provided in the </w:t>
      </w:r>
      <w:r w:rsidRPr="000856EF" w:rsidR="000856EF">
        <w:rPr>
          <w:i/>
          <w:szCs w:val="22"/>
        </w:rPr>
        <w:t>Public Notice</w:t>
      </w:r>
      <w:r w:rsidR="000856EF">
        <w:rPr>
          <w:szCs w:val="22"/>
        </w:rPr>
        <w:t>.</w:t>
      </w:r>
    </w:p>
    <w:p w:rsidR="003229AE" w:rsidRPr="003229AE" w:rsidP="003229AE">
      <w:pPr>
        <w:widowControl/>
        <w:tabs>
          <w:tab w:val="num" w:pos="1440"/>
        </w:tabs>
        <w:spacing w:after="120"/>
        <w:ind w:firstLine="720"/>
        <w:rPr>
          <w:szCs w:val="22"/>
        </w:rPr>
      </w:pPr>
      <w:r w:rsidRPr="003229AE">
        <w:rPr>
          <w:szCs w:val="22"/>
        </w:rPr>
        <w:t xml:space="preserve">For further information, please contact Christopher Koves, Pricing Policy Division, Wireline Competition Bureau, at (202) 418-8209 or via email at </w:t>
      </w:r>
      <w:r>
        <w:fldChar w:fldCharType="begin"/>
      </w:r>
      <w:r>
        <w:instrText xml:space="preserve"> HYPERLINK "mailto:Christopher.Koves@fcc.gov" </w:instrText>
      </w:r>
      <w:r>
        <w:fldChar w:fldCharType="separate"/>
      </w:r>
      <w:r w:rsidRPr="003229AE">
        <w:rPr>
          <w:color w:val="0000FF"/>
          <w:szCs w:val="22"/>
          <w:u w:val="single"/>
        </w:rPr>
        <w:t>Christopher.Koves@fcc.gov</w:t>
      </w:r>
      <w:r>
        <w:fldChar w:fldCharType="end"/>
      </w:r>
      <w:r w:rsidRPr="003229AE">
        <w:rPr>
          <w:szCs w:val="22"/>
        </w:rPr>
        <w:t>.</w:t>
      </w:r>
    </w:p>
    <w:p w:rsidR="003229AE" w:rsidRPr="003229AE" w:rsidP="003229AE">
      <w:pPr>
        <w:widowControl/>
        <w:suppressAutoHyphens/>
        <w:jc w:val="center"/>
      </w:pPr>
      <w:r w:rsidRPr="003229AE">
        <w:rPr>
          <w:b/>
        </w:rPr>
        <w:t>–FCC–</w:t>
      </w:r>
    </w:p>
    <w:p w:rsidR="003229AE" w:rsidRPr="001D616C" w:rsidP="003229AE">
      <w:pPr>
        <w:widowControl/>
        <w:tabs>
          <w:tab w:val="num" w:pos="1440"/>
        </w:tabs>
        <w:spacing w:after="120"/>
        <w:ind w:firstLine="720"/>
        <w:rPr>
          <w:szCs w:val="22"/>
        </w:rPr>
      </w:pPr>
    </w:p>
    <w:p w:rsidR="003229AE" w:rsidRPr="00930ECF" w:rsidP="003229AE">
      <w:pPr>
        <w:jc w:val="center"/>
        <w:rPr>
          <w:sz w:val="24"/>
        </w:rPr>
      </w:pPr>
    </w:p>
    <w:sectPr w:rsidSect="000E5884">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sidR="0011031E">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85B9A">
      <w:r>
        <w:separator/>
      </w:r>
    </w:p>
  </w:footnote>
  <w:footnote w:type="continuationSeparator" w:id="1">
    <w:p w:rsidR="00385B9A">
      <w:pPr>
        <w:rPr>
          <w:sz w:val="20"/>
        </w:rPr>
      </w:pPr>
      <w:r>
        <w:rPr>
          <w:sz w:val="20"/>
        </w:rPr>
        <w:t xml:space="preserve">(Continued from previous page)  </w:t>
      </w:r>
      <w:r>
        <w:rPr>
          <w:sz w:val="20"/>
        </w:rPr>
        <w:separator/>
      </w:r>
    </w:p>
  </w:footnote>
  <w:footnote w:type="continuationNotice" w:id="2">
    <w:p w:rsidR="00385B9A" w:rsidP="00910F12">
      <w:pPr>
        <w:jc w:val="right"/>
        <w:rPr>
          <w:sz w:val="20"/>
        </w:rPr>
      </w:pPr>
      <w:r>
        <w:rPr>
          <w:sz w:val="20"/>
        </w:rPr>
        <w:t>(continued….)</w:t>
      </w:r>
    </w:p>
  </w:footnote>
  <w:footnote w:id="3">
    <w:p w:rsidR="0041520A" w:rsidP="0041520A">
      <w:pPr>
        <w:pStyle w:val="FootnoteText"/>
      </w:pPr>
      <w:r>
        <w:rPr>
          <w:rStyle w:val="FootnoteReference"/>
        </w:rPr>
        <w:footnoteRef/>
      </w:r>
      <w:r>
        <w:t xml:space="preserve"> </w:t>
      </w:r>
      <w:r w:rsidRPr="00A54D03">
        <w:rPr>
          <w:i/>
        </w:rPr>
        <w:t>See Regulation of Business Data Services for Rate-of-Return Local Exchange Carriers et al.</w:t>
      </w:r>
      <w:r w:rsidRPr="00A54D03">
        <w:t>, WC Docket Nos. 17-144</w:t>
      </w:r>
      <w:r>
        <w:t xml:space="preserve"> et al.</w:t>
      </w:r>
      <w:r w:rsidRPr="00A54D03">
        <w:t>, Report and Order, Second Further Notice of Proposed Rulemaking, and Further Notice of Proposed Rulemaking, FCC 18-146, at 5</w:t>
      </w:r>
      <w:r>
        <w:t>2</w:t>
      </w:r>
      <w:r w:rsidRPr="00A54D03">
        <w:t>-5</w:t>
      </w:r>
      <w:r>
        <w:t>7</w:t>
      </w:r>
      <w:r w:rsidRPr="00A54D03">
        <w:t>, paras. 147-1</w:t>
      </w:r>
      <w:r>
        <w:t>62</w:t>
      </w:r>
      <w:r w:rsidRPr="00A54D03">
        <w:t xml:space="preserve"> (Oct. 24, 2018) (</w:t>
      </w:r>
      <w:r w:rsidRPr="00BB25A0">
        <w:rPr>
          <w:i/>
        </w:rPr>
        <w:t>Second Further Notice</w:t>
      </w:r>
      <w:r w:rsidRPr="008A43C9">
        <w:rPr>
          <w:i/>
        </w:rPr>
        <w:t xml:space="preserve"> </w:t>
      </w:r>
      <w:r>
        <w:rPr>
          <w:i/>
        </w:rPr>
        <w:t>and Further Notice</w:t>
      </w:r>
      <w:r w:rsidRPr="00A54D03">
        <w:t xml:space="preserve">).  </w:t>
      </w:r>
    </w:p>
  </w:footnote>
  <w:footnote w:id="4">
    <w:p w:rsidR="003A2C7B" w:rsidRPr="00A55B36" w:rsidP="003A2C7B">
      <w:pPr>
        <w:pStyle w:val="FootnoteText"/>
      </w:pPr>
      <w:r w:rsidRPr="008368BC">
        <w:rPr>
          <w:rStyle w:val="FootnoteReference"/>
          <w:sz w:val="20"/>
        </w:rPr>
        <w:footnoteRef/>
      </w:r>
      <w:r w:rsidRPr="00A55B36">
        <w:t xml:space="preserve"> </w:t>
      </w:r>
      <w:r w:rsidRPr="00A55B36">
        <w:rPr>
          <w:i/>
        </w:rPr>
        <w:t>See</w:t>
      </w:r>
      <w:r w:rsidRPr="00A55B36">
        <w:t xml:space="preserve"> </w:t>
      </w:r>
      <w:r w:rsidRPr="00E113DB" w:rsidR="00905DD9">
        <w:rPr>
          <w:i/>
        </w:rPr>
        <w:t>Special Access for Price Cap Local Exchange Carriers et al</w:t>
      </w:r>
      <w:r w:rsidRPr="00905DD9" w:rsidR="00905DD9">
        <w:t>., WC Docket No. 05-25, RM-10593, Order and Data Collection Protective Order, 29 FCC Rcd 11657 (WCB 2014)</w:t>
      </w:r>
      <w:r w:rsidR="00CF59E3">
        <w:t xml:space="preserve">; </w:t>
      </w:r>
      <w:r w:rsidRPr="00905DD9" w:rsidR="00905DD9">
        <w:t>Order and Modified Data Collection Protective Order, 30 FCC Rcd 10027 (WCB 2015)</w:t>
      </w:r>
      <w:r w:rsidR="00CF59E3">
        <w:t xml:space="preserve">; </w:t>
      </w:r>
      <w:r w:rsidRPr="00E113DB" w:rsidR="00CF59E3">
        <w:rPr>
          <w:i/>
        </w:rPr>
        <w:t>Business Data Services in an Internet Protocol Environment et al</w:t>
      </w:r>
      <w:r w:rsidR="00CF59E3">
        <w:t>., WC Docket No</w:t>
      </w:r>
      <w:r w:rsidRPr="00CF59E3" w:rsidR="00CF59E3">
        <w:t>. 16-143</w:t>
      </w:r>
      <w:r w:rsidR="00CF59E3">
        <w:t xml:space="preserve"> et al.</w:t>
      </w:r>
      <w:r w:rsidRPr="00CF59E3" w:rsidR="00CF59E3">
        <w:t>, Or</w:t>
      </w:r>
      <w:r w:rsidR="00CF59E3">
        <w:t xml:space="preserve">der, 31 FCC Rcd 7104 (WCB 2016) </w:t>
      </w:r>
      <w:r w:rsidRPr="00905DD9" w:rsidR="00905DD9">
        <w:t>(</w:t>
      </w:r>
      <w:r w:rsidR="005A1468">
        <w:t>together the P</w:t>
      </w:r>
      <w:r w:rsidRPr="00905DD9" w:rsidR="00905DD9">
        <w:t>rotective Order</w:t>
      </w:r>
      <w:r w:rsidR="005A1468">
        <w:t>s</w:t>
      </w:r>
      <w:r w:rsidRPr="00905DD9" w:rsidR="00905DD9">
        <w:t>).</w:t>
      </w:r>
      <w:r w:rsidRPr="00BF12DD">
        <w:t xml:space="preserve">  </w:t>
      </w:r>
    </w:p>
  </w:footnote>
  <w:footnote w:id="5">
    <w:p w:rsidR="0093557B" w:rsidRPr="00B90E0A" w:rsidP="0093557B">
      <w:pPr>
        <w:pStyle w:val="FootnoteText"/>
      </w:pPr>
      <w:r w:rsidRPr="00B90E0A">
        <w:rPr>
          <w:rStyle w:val="FootnoteReference"/>
          <w:sz w:val="20"/>
        </w:rPr>
        <w:footnoteRef/>
      </w:r>
      <w:r w:rsidRPr="00B90E0A">
        <w:t xml:space="preserve"> </w:t>
      </w:r>
      <w:r w:rsidRPr="00CF59E3" w:rsidR="00CF59E3">
        <w:rPr>
          <w:i/>
        </w:rPr>
        <w:t>Second Further Notice and Further Notice</w:t>
      </w:r>
      <w:r w:rsidRPr="00CF59E3" w:rsidR="00CF59E3">
        <w:rPr>
          <w:i/>
        </w:rPr>
        <w:t xml:space="preserve"> </w:t>
      </w:r>
      <w:r w:rsidRPr="00BB25A0" w:rsidR="008A43C9">
        <w:t xml:space="preserve">at 52-55, paras. 148-56. </w:t>
      </w:r>
    </w:p>
  </w:footnote>
  <w:footnote w:id="6">
    <w:p w:rsidR="008A43C9" w:rsidP="008A43C9">
      <w:pPr>
        <w:pStyle w:val="FootnoteText"/>
      </w:pPr>
      <w:r>
        <w:rPr>
          <w:rStyle w:val="FootnoteReference"/>
        </w:rPr>
        <w:footnoteRef/>
      </w:r>
      <w:r>
        <w:t xml:space="preserve"> </w:t>
      </w:r>
      <w:r w:rsidRPr="00BF016C" w:rsidR="001D7731">
        <w:rPr>
          <w:i/>
        </w:rPr>
        <w:t>Id</w:t>
      </w:r>
      <w:r w:rsidR="001D7731">
        <w:t>. at</w:t>
      </w:r>
      <w:r>
        <w:t xml:space="preserve"> 55-5</w:t>
      </w:r>
      <w:r w:rsidR="00936028">
        <w:t>7</w:t>
      </w:r>
      <w:r>
        <w:t>, paras. 157-62.</w:t>
      </w:r>
    </w:p>
  </w:footnote>
  <w:footnote w:id="7">
    <w:p w:rsidR="009E6C3E">
      <w:pPr>
        <w:pStyle w:val="FootnoteText"/>
      </w:pPr>
      <w:r>
        <w:rPr>
          <w:rStyle w:val="FootnoteReference"/>
        </w:rPr>
        <w:footnoteRef/>
      </w:r>
      <w:r>
        <w:t xml:space="preserve"> </w:t>
      </w:r>
      <w:r w:rsidR="001D7731">
        <w:rPr>
          <w:i/>
        </w:rPr>
        <w:t>Id.</w:t>
      </w:r>
      <w:r w:rsidR="00DD0681">
        <w:t xml:space="preserve"> at 1.</w:t>
      </w:r>
      <w:r>
        <w:t xml:space="preserve"> </w:t>
      </w:r>
    </w:p>
  </w:footnote>
  <w:footnote w:id="8">
    <w:p w:rsidR="009A0ADB" w:rsidRPr="00A54D03" w:rsidP="009A0ADB">
      <w:pPr>
        <w:pStyle w:val="FootnoteText"/>
      </w:pPr>
      <w:r w:rsidRPr="00A54D03">
        <w:rPr>
          <w:rStyle w:val="FootnoteReference"/>
          <w:sz w:val="20"/>
        </w:rPr>
        <w:footnoteRef/>
      </w:r>
      <w:r w:rsidRPr="00A54D03">
        <w:t xml:space="preserve"> </w:t>
      </w:r>
      <w:r>
        <w:t xml:space="preserve">FCC, </w:t>
      </w:r>
      <w:r w:rsidRPr="00861942">
        <w:t>Regulation of Business Data Services for Rate-of-Return Local Exchange Carriers; Business Data Services in an Internet Protocol Environment; Special Access for Price Cap Local Exchange Carriers,</w:t>
      </w:r>
      <w:r>
        <w:t xml:space="preserve"> </w:t>
      </w:r>
      <w:r w:rsidRPr="00481788" w:rsidR="00936028">
        <w:t xml:space="preserve">83 </w:t>
      </w:r>
      <w:r w:rsidRPr="00481788">
        <w:t xml:space="preserve">Fed. Reg. </w:t>
      </w:r>
      <w:r w:rsidR="00481788">
        <w:t>61358</w:t>
      </w:r>
      <w:r w:rsidR="00936028">
        <w:t xml:space="preserve"> </w:t>
      </w:r>
      <w:r>
        <w:t xml:space="preserve">(Nov. </w:t>
      </w:r>
      <w:r w:rsidRPr="00481788" w:rsidR="00A6673E">
        <w:t>2</w:t>
      </w:r>
      <w:r w:rsidRPr="00481788" w:rsidR="00B27B44">
        <w:t>9</w:t>
      </w:r>
      <w:r w:rsidR="00936028">
        <w:t xml:space="preserve">, </w:t>
      </w:r>
      <w:r>
        <w:t>2018)</w:t>
      </w:r>
      <w:r w:rsidR="009A1452">
        <w:t xml:space="preserve"> (Notice)</w:t>
      </w:r>
      <w:r>
        <w:t>.</w:t>
      </w:r>
    </w:p>
  </w:footnote>
  <w:footnote w:id="9">
    <w:p w:rsidR="00DD0681">
      <w:pPr>
        <w:pStyle w:val="FootnoteText"/>
      </w:pPr>
      <w:r>
        <w:rPr>
          <w:rStyle w:val="FootnoteReference"/>
        </w:rPr>
        <w:footnoteRef/>
      </w:r>
      <w:r>
        <w:t xml:space="preserve"> </w:t>
      </w:r>
      <w:r w:rsidRPr="00BB25A0">
        <w:rPr>
          <w:i/>
        </w:rPr>
        <w:t>Second Further Notice</w:t>
      </w:r>
      <w:r w:rsidRPr="00BF016C">
        <w:rPr>
          <w:i/>
        </w:rPr>
        <w:t xml:space="preserve"> </w:t>
      </w:r>
      <w:r w:rsidRPr="00BF016C" w:rsidR="001D7731">
        <w:rPr>
          <w:i/>
        </w:rPr>
        <w:t>and Further Notice</w:t>
      </w:r>
      <w:r w:rsidR="001D7731">
        <w:t xml:space="preserve"> </w:t>
      </w:r>
      <w:r>
        <w:t xml:space="preserve">at </w:t>
      </w:r>
      <w:r w:rsidR="005E1A2F">
        <w:t>5</w:t>
      </w:r>
      <w:r w:rsidR="00CD10DB">
        <w:t>7</w:t>
      </w:r>
      <w:r w:rsidR="005E1A2F">
        <w:t>-5</w:t>
      </w:r>
      <w:r w:rsidR="00CD10DB">
        <w:t>8</w:t>
      </w:r>
      <w:r w:rsidR="005E1A2F">
        <w:t xml:space="preserve">, </w:t>
      </w:r>
      <w:r>
        <w:t>paras.</w:t>
      </w:r>
      <w:r w:rsidR="005E1A2F">
        <w:t xml:space="preserve"> 163-64. </w:t>
      </w:r>
    </w:p>
  </w:footnote>
  <w:footnote w:id="10">
    <w:p w:rsidR="009A1452" w:rsidRPr="00363CCC" w:rsidP="009A1452">
      <w:pPr>
        <w:pStyle w:val="FootnoteText"/>
        <w:spacing w:after="80"/>
      </w:pPr>
      <w:r>
        <w:rPr>
          <w:rStyle w:val="FootnoteReference"/>
        </w:rPr>
        <w:footnoteRef/>
      </w:r>
      <w:r>
        <w:t xml:space="preserve"> </w:t>
      </w:r>
      <w:r w:rsidRPr="001052F2">
        <w:rPr>
          <w:i/>
        </w:rPr>
        <w:t>See</w:t>
      </w:r>
      <w:r w:rsidRPr="001052F2">
        <w:t xml:space="preserve"> Notice</w:t>
      </w:r>
      <w:r w:rsidRPr="001052F2" w:rsidR="00804FEE">
        <w:t xml:space="preserve">, 83 Fed. Reg. at </w:t>
      </w:r>
      <w:r w:rsidRPr="001052F2" w:rsidR="001052F2">
        <w:t>61364-65</w:t>
      </w:r>
      <w:r w:rsidRPr="001052F2">
        <w:t>.</w:t>
      </w:r>
    </w:p>
  </w:footnote>
  <w:footnote w:id="11">
    <w:p w:rsidR="0017219F">
      <w:pPr>
        <w:pStyle w:val="FootnoteText"/>
      </w:pPr>
      <w:r>
        <w:rPr>
          <w:rStyle w:val="FootnoteReference"/>
        </w:rPr>
        <w:footnoteRef/>
      </w:r>
      <w:r>
        <w:t xml:space="preserve"> </w:t>
      </w:r>
      <w:r w:rsidRPr="000856EF" w:rsidR="000856EF">
        <w:rPr>
          <w:i/>
        </w:rPr>
        <w:t>Second Further Notice</w:t>
      </w:r>
      <w:r w:rsidR="001D7731">
        <w:rPr>
          <w:i/>
        </w:rPr>
        <w:t xml:space="preserve"> and Further Notice</w:t>
      </w:r>
      <w:r w:rsidRPr="000856EF" w:rsidR="000856EF">
        <w:t xml:space="preserve"> at 55, para. 156.</w:t>
      </w:r>
    </w:p>
  </w:footnote>
  <w:footnote w:id="12">
    <w:p w:rsidR="008B7680" w:rsidP="008B7680">
      <w:pPr>
        <w:pStyle w:val="FootnoteText"/>
      </w:pPr>
      <w:r>
        <w:rPr>
          <w:rStyle w:val="FootnoteReference"/>
        </w:rPr>
        <w:footnoteRef/>
      </w:r>
      <w:r>
        <w:t xml:space="preserve"> </w:t>
      </w:r>
      <w:r w:rsidRPr="00C94604">
        <w:rPr>
          <w:i/>
        </w:rPr>
        <w:t>Secure Data Enclave for Accessing Highly Confidential Business Data Services Data to Reopen</w:t>
      </w:r>
      <w:r>
        <w:t>, WC Docket Nos. 16-143, 05-25, RM-10593, Public Notice, DA 18-1133 (WCB Nov. 5, 2018) (</w:t>
      </w:r>
      <w:r w:rsidRPr="007529EE">
        <w:rPr>
          <w:i/>
        </w:rPr>
        <w:t>Public Notice</w:t>
      </w:r>
      <w:r>
        <w:t xml:space="preserve">). </w:t>
      </w:r>
    </w:p>
  </w:footnote>
  <w:footnote w:id="13">
    <w:p w:rsidR="008B7680">
      <w:pPr>
        <w:pStyle w:val="FootnoteText"/>
      </w:pPr>
      <w:r>
        <w:rPr>
          <w:rStyle w:val="FootnoteReference"/>
        </w:rPr>
        <w:footnoteRef/>
      </w:r>
      <w:r>
        <w:t xml:space="preserve"> </w:t>
      </w:r>
      <w:r w:rsidRPr="008B7680">
        <w:rPr>
          <w:i/>
        </w:rPr>
        <w:t>Id</w:t>
      </w:r>
      <w:r>
        <w:t>. at 1.</w:t>
      </w:r>
    </w:p>
  </w:footnote>
  <w:footnote w:id="14">
    <w:p w:rsidR="007529EE">
      <w:pPr>
        <w:pStyle w:val="FootnoteText"/>
      </w:pPr>
      <w:r>
        <w:rPr>
          <w:rStyle w:val="FootnoteReference"/>
        </w:rPr>
        <w:footnoteRef/>
      </w:r>
      <w:r>
        <w:t xml:space="preserve"> </w:t>
      </w:r>
      <w:r w:rsidR="008B7680">
        <w:rPr>
          <w:i/>
        </w:rPr>
        <w:t>Id</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A05543">
      <w:rPr>
        <w:b/>
      </w:rPr>
      <w:t xml:space="preserve">DA No. </w:t>
    </w:r>
    <w:r w:rsidRPr="00A05543" w:rsidR="00A05543">
      <w:rPr>
        <w:b/>
      </w:rPr>
      <w:t>18-1212</w:t>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19050" b="1905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2"/>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2"/>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1 Char,Footnote Text Char Char1 Char Char Char,Footnote Text Char1 Char1 Char Char Char Char,Footnote Text Char2 Char Char,Footnote Text Char2 Char2,Footnote Text Char2 Char2 Char Char,f,fn,fn ,fn Char1"/>
    <w:link w:val="FootnoteTextChar"/>
    <w:rsid w:val="000E3D42"/>
    <w:pPr>
      <w:spacing w:after="120"/>
    </w:pPr>
  </w:style>
  <w:style w:type="character" w:styleId="FootnoteReference">
    <w:name w:val="footnote reference"/>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Footnote Text Char Char1 Char Char,Footnote Text Char Char1 Char Char Char Char,Footnote Text Char1 Char1 Char Char Char Char Char,Footnote Text Char2 Char Char Char,Footnote Text Char2 Char2 Char,f Char,fn Char"/>
    <w:link w:val="FootnoteText"/>
    <w:rsid w:val="003229AE"/>
  </w:style>
  <w:style w:type="paragraph" w:styleId="BalloonText">
    <w:name w:val="Balloon Text"/>
    <w:basedOn w:val="Normal"/>
    <w:link w:val="BalloonTextChar"/>
    <w:uiPriority w:val="99"/>
    <w:semiHidden/>
    <w:unhideWhenUsed/>
    <w:rsid w:val="008103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3CA"/>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764863"/>
    <w:rPr>
      <w:sz w:val="16"/>
      <w:szCs w:val="16"/>
    </w:rPr>
  </w:style>
  <w:style w:type="paragraph" w:styleId="CommentText">
    <w:name w:val="annotation text"/>
    <w:basedOn w:val="Normal"/>
    <w:link w:val="CommentTextChar"/>
    <w:uiPriority w:val="99"/>
    <w:semiHidden/>
    <w:unhideWhenUsed/>
    <w:rsid w:val="00764863"/>
    <w:rPr>
      <w:sz w:val="20"/>
    </w:rPr>
  </w:style>
  <w:style w:type="character" w:customStyle="1" w:styleId="CommentTextChar">
    <w:name w:val="Comment Text Char"/>
    <w:basedOn w:val="DefaultParagraphFont"/>
    <w:link w:val="CommentText"/>
    <w:uiPriority w:val="99"/>
    <w:semiHidden/>
    <w:rsid w:val="00764863"/>
    <w:rPr>
      <w:snapToGrid w:val="0"/>
      <w:kern w:val="28"/>
    </w:rPr>
  </w:style>
  <w:style w:type="paragraph" w:styleId="CommentSubject">
    <w:name w:val="annotation subject"/>
    <w:basedOn w:val="CommentText"/>
    <w:next w:val="CommentText"/>
    <w:link w:val="CommentSubjectChar"/>
    <w:uiPriority w:val="99"/>
    <w:semiHidden/>
    <w:unhideWhenUsed/>
    <w:rsid w:val="00764863"/>
    <w:rPr>
      <w:b/>
      <w:bCs/>
    </w:rPr>
  </w:style>
  <w:style w:type="character" w:customStyle="1" w:styleId="CommentSubjectChar">
    <w:name w:val="Comment Subject Char"/>
    <w:basedOn w:val="CommentTextChar"/>
    <w:link w:val="CommentSubject"/>
    <w:uiPriority w:val="99"/>
    <w:semiHidden/>
    <w:rsid w:val="00764863"/>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