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91F1A" w:rsidRPr="004C403E" w:rsidP="00E91F1A">
      <w:pPr>
        <w:jc w:val="center"/>
        <w:rPr>
          <w:b/>
        </w:rPr>
      </w:pPr>
      <w:r w:rsidRPr="004C403E">
        <w:rPr>
          <w:rFonts w:ascii="Times New Roman Bold" w:hAnsi="Times New Roman Bold"/>
          <w:b/>
          <w:kern w:val="0"/>
          <w:szCs w:val="22"/>
        </w:rPr>
        <w:t>Before</w:t>
      </w:r>
      <w:r w:rsidRPr="004C403E">
        <w:rPr>
          <w:b/>
        </w:rPr>
        <w:t xml:space="preserve"> the</w:t>
      </w:r>
    </w:p>
    <w:p w:rsidR="00E91F1A" w:rsidRPr="004C403E" w:rsidP="00E91F1A">
      <w:pPr>
        <w:pStyle w:val="StyleBoldCentered"/>
      </w:pPr>
      <w:r w:rsidRPr="004C403E">
        <w:t>F</w:t>
      </w:r>
      <w:r w:rsidRPr="004C403E">
        <w:rPr>
          <w:caps w:val="0"/>
        </w:rPr>
        <w:t>ederal Communications Commission</w:t>
      </w:r>
    </w:p>
    <w:p w:rsidR="00E91F1A" w:rsidRPr="004C403E" w:rsidP="00E91F1A">
      <w:pPr>
        <w:pStyle w:val="StyleBoldCentered"/>
      </w:pPr>
      <w:r w:rsidRPr="004C403E">
        <w:rPr>
          <w:caps w:val="0"/>
        </w:rPr>
        <w:t>Washington, D.C. 20554</w:t>
      </w:r>
    </w:p>
    <w:p w:rsidR="00E91F1A" w:rsidRPr="004C403E" w:rsidP="00E91F1A"/>
    <w:p w:rsidR="00E91F1A" w:rsidRPr="004C403E" w:rsidP="00E91F1A"/>
    <w:tbl>
      <w:tblPr>
        <w:tblW w:w="0" w:type="auto"/>
        <w:tblLayout w:type="fixed"/>
        <w:tblLook w:val="0000"/>
      </w:tblPr>
      <w:tblGrid>
        <w:gridCol w:w="4698"/>
        <w:gridCol w:w="630"/>
        <w:gridCol w:w="4248"/>
      </w:tblGrid>
      <w:tr w:rsidTr="00685FD7">
        <w:tblPrEx>
          <w:tblW w:w="0" w:type="auto"/>
          <w:tblLayout w:type="fixed"/>
          <w:tblLook w:val="0000"/>
        </w:tblPrEx>
        <w:tc>
          <w:tcPr>
            <w:tcW w:w="4698" w:type="dxa"/>
          </w:tcPr>
          <w:p w:rsidR="00625E7A" w:rsidP="00685FD7">
            <w:pPr>
              <w:tabs>
                <w:tab w:val="center" w:pos="4680"/>
              </w:tabs>
              <w:suppressAutoHyphens/>
              <w:rPr>
                <w:spacing w:val="-2"/>
              </w:rPr>
            </w:pPr>
            <w:r w:rsidRPr="004C403E">
              <w:rPr>
                <w:spacing w:val="-2"/>
              </w:rPr>
              <w:t>In the Matter of</w:t>
            </w:r>
          </w:p>
          <w:p w:rsidR="002458B1" w:rsidRPr="004C403E" w:rsidP="00685FD7">
            <w:pPr>
              <w:tabs>
                <w:tab w:val="center" w:pos="4680"/>
              </w:tabs>
              <w:suppressAutoHyphens/>
              <w:rPr>
                <w:spacing w:val="-2"/>
              </w:rPr>
            </w:pPr>
          </w:p>
          <w:p w:rsidR="00E91F1A" w:rsidRPr="004C403E" w:rsidP="00685FD7">
            <w:pPr>
              <w:tabs>
                <w:tab w:val="center" w:pos="4680"/>
              </w:tabs>
              <w:suppressAutoHyphens/>
              <w:rPr>
                <w:spacing w:val="-2"/>
              </w:rPr>
            </w:pPr>
            <w:r>
              <w:rPr>
                <w:spacing w:val="-2"/>
              </w:rPr>
              <w:t>July 1, 2018 Annual Access Charge Tariff Filings</w:t>
            </w:r>
          </w:p>
          <w:p w:rsidR="00BA45DE" w:rsidP="00685FD7">
            <w:pPr>
              <w:ind w:right="-18"/>
              <w:rPr>
                <w:szCs w:val="24"/>
              </w:rPr>
            </w:pPr>
          </w:p>
          <w:p w:rsidR="00BA45DE" w:rsidP="00685FD7">
            <w:pPr>
              <w:ind w:right="-18"/>
              <w:rPr>
                <w:szCs w:val="24"/>
              </w:rPr>
            </w:pPr>
            <w:r>
              <w:rPr>
                <w:szCs w:val="24"/>
              </w:rPr>
              <w:t>South Dakota</w:t>
            </w:r>
            <w:r w:rsidRPr="004C403E" w:rsidR="00E91F1A">
              <w:rPr>
                <w:szCs w:val="24"/>
              </w:rPr>
              <w:t xml:space="preserve"> Network</w:t>
            </w:r>
            <w:r>
              <w:rPr>
                <w:szCs w:val="24"/>
              </w:rPr>
              <w:t>, LLC</w:t>
            </w:r>
            <w:r w:rsidRPr="004C403E" w:rsidR="00E91F1A">
              <w:rPr>
                <w:szCs w:val="24"/>
              </w:rPr>
              <w:t xml:space="preserve"> </w:t>
            </w:r>
          </w:p>
          <w:p w:rsidR="00E91F1A" w:rsidRPr="00575E35" w:rsidP="00685FD7">
            <w:pPr>
              <w:ind w:right="-18"/>
              <w:rPr>
                <w:szCs w:val="24"/>
              </w:rPr>
            </w:pPr>
            <w:r w:rsidRPr="004C403E">
              <w:rPr>
                <w:szCs w:val="24"/>
              </w:rPr>
              <w:t>Tariff</w:t>
            </w:r>
            <w:r w:rsidR="00BA45DE">
              <w:rPr>
                <w:szCs w:val="24"/>
              </w:rPr>
              <w:t xml:space="preserve"> </w:t>
            </w:r>
            <w:r w:rsidRPr="004C403E">
              <w:rPr>
                <w:szCs w:val="24"/>
              </w:rPr>
              <w:t>F.C.C. No. 1</w:t>
            </w:r>
          </w:p>
        </w:tc>
        <w:tc>
          <w:tcPr>
            <w:tcW w:w="630" w:type="dxa"/>
          </w:tcPr>
          <w:p w:rsidR="00E91F1A" w:rsidRPr="004C403E" w:rsidP="00685FD7">
            <w:pPr>
              <w:tabs>
                <w:tab w:val="center" w:pos="4680"/>
              </w:tabs>
              <w:suppressAutoHyphens/>
              <w:rPr>
                <w:b/>
                <w:spacing w:val="-2"/>
              </w:rPr>
            </w:pPr>
            <w:r w:rsidRPr="004C403E">
              <w:rPr>
                <w:b/>
                <w:spacing w:val="-2"/>
              </w:rPr>
              <w:t>)</w:t>
            </w:r>
          </w:p>
          <w:p w:rsidR="00E91F1A" w:rsidRPr="004C403E" w:rsidP="00685FD7">
            <w:pPr>
              <w:tabs>
                <w:tab w:val="center" w:pos="4680"/>
              </w:tabs>
              <w:suppressAutoHyphens/>
              <w:rPr>
                <w:b/>
                <w:spacing w:val="-2"/>
              </w:rPr>
            </w:pPr>
            <w:r w:rsidRPr="004C403E">
              <w:rPr>
                <w:b/>
                <w:spacing w:val="-2"/>
              </w:rPr>
              <w:t>)</w:t>
            </w:r>
          </w:p>
          <w:p w:rsidR="00E91F1A" w:rsidRPr="004C403E" w:rsidP="00685FD7">
            <w:pPr>
              <w:tabs>
                <w:tab w:val="center" w:pos="4680"/>
              </w:tabs>
              <w:suppressAutoHyphens/>
              <w:rPr>
                <w:b/>
                <w:spacing w:val="-2"/>
              </w:rPr>
            </w:pPr>
            <w:r w:rsidRPr="004C403E">
              <w:rPr>
                <w:b/>
                <w:spacing w:val="-2"/>
              </w:rPr>
              <w:t>)</w:t>
            </w:r>
          </w:p>
          <w:p w:rsidR="00E91F1A" w:rsidRPr="004C403E" w:rsidP="00685FD7">
            <w:pPr>
              <w:tabs>
                <w:tab w:val="center" w:pos="4680"/>
              </w:tabs>
              <w:suppressAutoHyphens/>
              <w:rPr>
                <w:b/>
                <w:spacing w:val="-2"/>
              </w:rPr>
            </w:pPr>
            <w:r w:rsidRPr="004C403E">
              <w:rPr>
                <w:b/>
                <w:spacing w:val="-2"/>
              </w:rPr>
              <w:t>)</w:t>
            </w:r>
          </w:p>
          <w:p w:rsidR="00625E7A" w:rsidP="00685FD7">
            <w:pPr>
              <w:tabs>
                <w:tab w:val="center" w:pos="4680"/>
              </w:tabs>
              <w:suppressAutoHyphens/>
              <w:rPr>
                <w:b/>
                <w:spacing w:val="-2"/>
              </w:rPr>
            </w:pPr>
            <w:r>
              <w:rPr>
                <w:b/>
                <w:spacing w:val="-2"/>
              </w:rPr>
              <w:t>)</w:t>
            </w:r>
          </w:p>
          <w:p w:rsidR="002458B1" w:rsidRPr="004C403E" w:rsidP="00685FD7">
            <w:pPr>
              <w:tabs>
                <w:tab w:val="center" w:pos="4680"/>
              </w:tabs>
              <w:suppressAutoHyphens/>
              <w:rPr>
                <w:b/>
                <w:spacing w:val="-2"/>
              </w:rPr>
            </w:pPr>
            <w:r>
              <w:rPr>
                <w:b/>
                <w:spacing w:val="-2"/>
              </w:rPr>
              <w:t>)</w:t>
            </w:r>
          </w:p>
        </w:tc>
        <w:tc>
          <w:tcPr>
            <w:tcW w:w="4248" w:type="dxa"/>
          </w:tcPr>
          <w:p w:rsidR="00BA45DE" w:rsidP="00685FD7">
            <w:pPr>
              <w:rPr>
                <w:szCs w:val="24"/>
              </w:rPr>
            </w:pPr>
          </w:p>
          <w:p w:rsidR="0075573D" w:rsidP="00685FD7">
            <w:pPr>
              <w:rPr>
                <w:szCs w:val="24"/>
              </w:rPr>
            </w:pPr>
          </w:p>
          <w:p w:rsidR="00E91F1A" w:rsidRPr="004C403E" w:rsidP="00685FD7">
            <w:pPr>
              <w:rPr>
                <w:szCs w:val="24"/>
              </w:rPr>
            </w:pPr>
            <w:r>
              <w:rPr>
                <w:szCs w:val="24"/>
              </w:rPr>
              <w:t>WC Docket No. 18-10</w:t>
            </w:r>
            <w:r w:rsidRPr="004C403E">
              <w:rPr>
                <w:szCs w:val="24"/>
              </w:rPr>
              <w:t>0</w:t>
            </w:r>
          </w:p>
          <w:p w:rsidR="00E91F1A" w:rsidRPr="004C403E" w:rsidP="00685FD7">
            <w:pPr>
              <w:rPr>
                <w:szCs w:val="24"/>
              </w:rPr>
            </w:pPr>
          </w:p>
          <w:p w:rsidR="00E91F1A" w:rsidRPr="004C403E" w:rsidP="00685FD7">
            <w:pPr>
              <w:rPr>
                <w:szCs w:val="24"/>
              </w:rPr>
            </w:pPr>
            <w:r w:rsidRPr="004C403E">
              <w:rPr>
                <w:szCs w:val="24"/>
              </w:rPr>
              <w:t xml:space="preserve">Transmittal No. </w:t>
            </w:r>
            <w:r w:rsidR="00BA45DE">
              <w:rPr>
                <w:szCs w:val="24"/>
              </w:rPr>
              <w:t>13</w:t>
            </w:r>
          </w:p>
          <w:p w:rsidR="00E91F1A" w:rsidRPr="004C403E" w:rsidP="00685FD7">
            <w:pPr>
              <w:rPr>
                <w:szCs w:val="24"/>
              </w:rPr>
            </w:pPr>
          </w:p>
          <w:p w:rsidR="00E91F1A" w:rsidRPr="004C403E" w:rsidP="00685FD7">
            <w:pPr>
              <w:tabs>
                <w:tab w:val="center" w:pos="4680"/>
              </w:tabs>
              <w:suppressAutoHyphens/>
              <w:rPr>
                <w:spacing w:val="-2"/>
              </w:rPr>
            </w:pPr>
          </w:p>
        </w:tc>
      </w:tr>
    </w:tbl>
    <w:p w:rsidR="00E91F1A" w:rsidRPr="004C403E" w:rsidP="00E91F1A">
      <w:pPr>
        <w:spacing w:before="120" w:after="120"/>
        <w:jc w:val="center"/>
        <w:rPr>
          <w:b/>
          <w:szCs w:val="22"/>
        </w:rPr>
      </w:pPr>
      <w:r w:rsidRPr="004C403E">
        <w:rPr>
          <w:b/>
          <w:szCs w:val="22"/>
        </w:rPr>
        <w:fldChar w:fldCharType="begin"/>
      </w:r>
      <w:r w:rsidRPr="004C403E">
        <w:rPr>
          <w:b/>
          <w:szCs w:val="22"/>
        </w:rPr>
        <w:instrText xml:space="preserve"> AUTOTEXTLIST  \* MERGEFORMAT </w:instrText>
      </w:r>
      <w:r w:rsidRPr="004C403E">
        <w:rPr>
          <w:b/>
          <w:szCs w:val="22"/>
        </w:rPr>
        <w:fldChar w:fldCharType="separate"/>
      </w:r>
      <w:r w:rsidRPr="004C403E">
        <w:rPr>
          <w:b/>
          <w:szCs w:val="22"/>
        </w:rPr>
        <w:t>ORDER</w:t>
      </w:r>
      <w:r w:rsidRPr="004C403E">
        <w:rPr>
          <w:b/>
          <w:szCs w:val="22"/>
        </w:rPr>
        <w:fldChar w:fldCharType="end"/>
      </w:r>
      <w:r w:rsidRPr="004C403E">
        <w:rPr>
          <w:b/>
          <w:szCs w:val="22"/>
        </w:rPr>
        <w:t xml:space="preserve"> DESIGNATING ISSUES FOR INVESTIGATION</w:t>
      </w:r>
    </w:p>
    <w:p w:rsidR="00E91F1A" w:rsidRPr="004C403E" w:rsidP="00E91F1A">
      <w:pPr>
        <w:spacing w:before="120" w:after="120"/>
        <w:jc w:val="center"/>
        <w:rPr>
          <w:b/>
          <w:szCs w:val="22"/>
        </w:rPr>
      </w:pPr>
    </w:p>
    <w:p w:rsidR="00E91F1A" w:rsidRPr="004C403E" w:rsidP="00AD33F5">
      <w:pPr>
        <w:tabs>
          <w:tab w:val="left" w:pos="720"/>
          <w:tab w:val="left" w:pos="5760"/>
          <w:tab w:val="right" w:pos="9270"/>
        </w:tabs>
        <w:suppressAutoHyphens/>
        <w:spacing w:line="227" w:lineRule="auto"/>
        <w:rPr>
          <w:b/>
          <w:spacing w:val="-2"/>
          <w:szCs w:val="22"/>
        </w:rPr>
      </w:pPr>
      <w:r w:rsidRPr="004C403E">
        <w:rPr>
          <w:b/>
          <w:spacing w:val="-2"/>
          <w:szCs w:val="22"/>
        </w:rPr>
        <w:t xml:space="preserve">Adopted:  </w:t>
      </w:r>
      <w:r w:rsidR="0024003D">
        <w:rPr>
          <w:b/>
          <w:spacing w:val="-2"/>
          <w:szCs w:val="22"/>
        </w:rPr>
        <w:t>November 29</w:t>
      </w:r>
      <w:r w:rsidRPr="004C403E">
        <w:rPr>
          <w:b/>
          <w:spacing w:val="-2"/>
          <w:szCs w:val="22"/>
        </w:rPr>
        <w:t>, 2018</w:t>
      </w:r>
      <w:r w:rsidRPr="004C403E">
        <w:rPr>
          <w:b/>
          <w:spacing w:val="-2"/>
          <w:szCs w:val="22"/>
        </w:rPr>
        <w:tab/>
        <w:t xml:space="preserve">Released:  </w:t>
      </w:r>
      <w:r w:rsidR="0024003D">
        <w:rPr>
          <w:b/>
          <w:spacing w:val="-2"/>
          <w:szCs w:val="22"/>
        </w:rPr>
        <w:t>November 29</w:t>
      </w:r>
      <w:r w:rsidRPr="004C403E">
        <w:rPr>
          <w:b/>
          <w:spacing w:val="-2"/>
          <w:szCs w:val="22"/>
        </w:rPr>
        <w:t>, 2018</w:t>
      </w:r>
    </w:p>
    <w:p w:rsidR="00E91F1A" w:rsidRPr="004C403E" w:rsidP="00AD33F5">
      <w:pPr>
        <w:tabs>
          <w:tab w:val="left" w:pos="720"/>
          <w:tab w:val="left" w:pos="5760"/>
          <w:tab w:val="right" w:pos="9270"/>
        </w:tabs>
        <w:suppressAutoHyphens/>
        <w:spacing w:line="227" w:lineRule="auto"/>
        <w:rPr>
          <w:b/>
          <w:spacing w:val="-2"/>
          <w:szCs w:val="22"/>
        </w:rPr>
      </w:pPr>
    </w:p>
    <w:p w:rsidR="00AD33F5" w:rsidP="00AD33F5">
      <w:pPr>
        <w:tabs>
          <w:tab w:val="left" w:pos="720"/>
          <w:tab w:val="left" w:pos="5760"/>
          <w:tab w:val="right" w:pos="9270"/>
        </w:tabs>
        <w:suppressAutoHyphens/>
        <w:rPr>
          <w:b/>
          <w:spacing w:val="-2"/>
          <w:szCs w:val="22"/>
        </w:rPr>
      </w:pPr>
      <w:r w:rsidRPr="004C403E">
        <w:rPr>
          <w:b/>
          <w:spacing w:val="-2"/>
          <w:szCs w:val="22"/>
        </w:rPr>
        <w:t xml:space="preserve">Direct Case Due for </w:t>
      </w:r>
      <w:r w:rsidR="00BA45DE">
        <w:rPr>
          <w:b/>
          <w:spacing w:val="-2"/>
          <w:szCs w:val="22"/>
        </w:rPr>
        <w:t>SDN</w:t>
      </w:r>
      <w:r w:rsidRPr="004C403E">
        <w:rPr>
          <w:b/>
          <w:spacing w:val="-2"/>
          <w:szCs w:val="22"/>
        </w:rPr>
        <w:t xml:space="preserve"> by:  </w:t>
      </w:r>
      <w:r w:rsidR="00816400">
        <w:rPr>
          <w:b/>
          <w:spacing w:val="-2"/>
          <w:szCs w:val="22"/>
        </w:rPr>
        <w:t>December 11</w:t>
      </w:r>
      <w:r w:rsidR="00BA45DE">
        <w:rPr>
          <w:b/>
          <w:spacing w:val="-2"/>
          <w:szCs w:val="22"/>
        </w:rPr>
        <w:t>,</w:t>
      </w:r>
      <w:r w:rsidRPr="004C403E">
        <w:rPr>
          <w:b/>
          <w:spacing w:val="-2"/>
          <w:szCs w:val="22"/>
        </w:rPr>
        <w:t xml:space="preserve"> 2018</w:t>
      </w:r>
    </w:p>
    <w:p w:rsidR="00E91F1A" w:rsidRPr="004C403E" w:rsidP="00AD33F5">
      <w:pPr>
        <w:tabs>
          <w:tab w:val="left" w:pos="720"/>
          <w:tab w:val="left" w:pos="5760"/>
          <w:tab w:val="right" w:pos="9270"/>
        </w:tabs>
        <w:suppressAutoHyphens/>
        <w:rPr>
          <w:b/>
          <w:spacing w:val="-2"/>
          <w:szCs w:val="22"/>
        </w:rPr>
      </w:pPr>
      <w:r w:rsidRPr="004C403E">
        <w:rPr>
          <w:b/>
          <w:spacing w:val="-2"/>
          <w:szCs w:val="22"/>
        </w:rPr>
        <w:t xml:space="preserve">Oppositions to Direct Case Due by:  </w:t>
      </w:r>
      <w:r w:rsidR="00816400">
        <w:rPr>
          <w:b/>
          <w:spacing w:val="-2"/>
          <w:szCs w:val="22"/>
        </w:rPr>
        <w:t>December 18</w:t>
      </w:r>
      <w:r w:rsidRPr="004C403E">
        <w:rPr>
          <w:b/>
          <w:spacing w:val="-2"/>
          <w:szCs w:val="22"/>
        </w:rPr>
        <w:t>, 2018</w:t>
      </w:r>
    </w:p>
    <w:p w:rsidR="00AD33F5" w:rsidRPr="00AD33F5" w:rsidP="00AD33F5">
      <w:pPr>
        <w:tabs>
          <w:tab w:val="left" w:pos="720"/>
          <w:tab w:val="left" w:pos="5760"/>
          <w:tab w:val="right" w:pos="9270"/>
        </w:tabs>
        <w:suppressAutoHyphens/>
        <w:rPr>
          <w:spacing w:val="-2"/>
          <w:szCs w:val="22"/>
        </w:rPr>
      </w:pPr>
    </w:p>
    <w:p w:rsidR="00E91F1A" w:rsidRPr="004C403E" w:rsidP="00E91F1A">
      <w:pPr>
        <w:pStyle w:val="Heading1"/>
        <w:spacing w:before="120"/>
      </w:pPr>
      <w:r w:rsidRPr="004C403E">
        <w:t>INTRODUCTION</w:t>
      </w:r>
    </w:p>
    <w:p w:rsidR="00E91F1A" w:rsidP="00E91F1A">
      <w:pPr>
        <w:pStyle w:val="ParaNum"/>
        <w:rPr>
          <w:szCs w:val="22"/>
        </w:rPr>
      </w:pPr>
      <w:r w:rsidRPr="004C403E">
        <w:rPr>
          <w:szCs w:val="22"/>
        </w:rPr>
        <w:t>In this Order</w:t>
      </w:r>
      <w:r w:rsidR="000729DB">
        <w:rPr>
          <w:szCs w:val="22"/>
        </w:rPr>
        <w:t xml:space="preserve">, pursuant to our authority in </w:t>
      </w:r>
      <w:r w:rsidR="00F0333D">
        <w:rPr>
          <w:szCs w:val="22"/>
        </w:rPr>
        <w:t>s</w:t>
      </w:r>
      <w:r w:rsidRPr="004C403E">
        <w:rPr>
          <w:szCs w:val="22"/>
        </w:rPr>
        <w:t>ections 204 and 205 of the Communications Act of 1934, as amended (Act)</w:t>
      </w:r>
      <w:r>
        <w:rPr>
          <w:szCs w:val="22"/>
        </w:rPr>
        <w:t>,</w:t>
      </w:r>
      <w:r>
        <w:rPr>
          <w:rStyle w:val="FootnoteReference"/>
          <w:szCs w:val="22"/>
        </w:rPr>
        <w:footnoteReference w:id="3"/>
      </w:r>
      <w:r w:rsidR="001814FD">
        <w:rPr>
          <w:szCs w:val="22"/>
        </w:rPr>
        <w:t xml:space="preserve"> we designate one issue</w:t>
      </w:r>
      <w:r w:rsidRPr="004C403E">
        <w:rPr>
          <w:szCs w:val="22"/>
        </w:rPr>
        <w:t xml:space="preserve"> for investigation regarding the lawfulness of the </w:t>
      </w:r>
      <w:r w:rsidR="0023264B">
        <w:rPr>
          <w:szCs w:val="22"/>
        </w:rPr>
        <w:t xml:space="preserve">tariff revisions that </w:t>
      </w:r>
      <w:r w:rsidR="00FD3D91">
        <w:rPr>
          <w:szCs w:val="22"/>
        </w:rPr>
        <w:t>South Dakota Network, LLC (SDN) filed with the Commission on September 17, 2018,</w:t>
      </w:r>
      <w:r>
        <w:rPr>
          <w:rStyle w:val="FootnoteReference"/>
          <w:szCs w:val="22"/>
        </w:rPr>
        <w:footnoteReference w:id="4"/>
      </w:r>
      <w:r w:rsidR="00FD3D91">
        <w:rPr>
          <w:szCs w:val="22"/>
        </w:rPr>
        <w:t xml:space="preserve"> and were advanced for a day,</w:t>
      </w:r>
      <w:r>
        <w:rPr>
          <w:rStyle w:val="FootnoteReference"/>
          <w:szCs w:val="22"/>
        </w:rPr>
        <w:footnoteReference w:id="5"/>
      </w:r>
      <w:r w:rsidR="00FD3D91">
        <w:rPr>
          <w:szCs w:val="22"/>
        </w:rPr>
        <w:t xml:space="preserve"> suspended for a day and became effective on October 2, 2018.  Specifically, we designate </w:t>
      </w:r>
      <w:r w:rsidR="001814FD">
        <w:rPr>
          <w:szCs w:val="22"/>
        </w:rPr>
        <w:t xml:space="preserve">for investigation </w:t>
      </w:r>
      <w:r w:rsidR="00FD3D91">
        <w:rPr>
          <w:szCs w:val="22"/>
        </w:rPr>
        <w:t>the appropriate benchmark rate for SDN’s int</w:t>
      </w:r>
      <w:r w:rsidR="001814FD">
        <w:rPr>
          <w:szCs w:val="22"/>
        </w:rPr>
        <w:t>erstate switched access service</w:t>
      </w:r>
      <w:r w:rsidR="00FD3D91">
        <w:rPr>
          <w:szCs w:val="22"/>
        </w:rPr>
        <w:t xml:space="preserve">.  </w:t>
      </w:r>
    </w:p>
    <w:p w:rsidR="00E91F1A" w:rsidRPr="004C403E" w:rsidP="00E91F1A">
      <w:pPr>
        <w:pStyle w:val="Heading1"/>
        <w:spacing w:before="120"/>
      </w:pPr>
      <w:r w:rsidRPr="004C403E">
        <w:t>background</w:t>
      </w:r>
    </w:p>
    <w:p w:rsidR="00E91F1A" w:rsidRPr="004C403E" w:rsidP="00AE0C78">
      <w:pPr>
        <w:pStyle w:val="Heading2"/>
      </w:pPr>
      <w:r w:rsidRPr="004C403E">
        <w:t>Procedural History</w:t>
      </w:r>
      <w:r w:rsidR="006A2DB7">
        <w:t xml:space="preserve"> and Recent Precedent</w:t>
      </w:r>
    </w:p>
    <w:p w:rsidR="00B957E4" w:rsidP="00B957E4">
      <w:pPr>
        <w:pStyle w:val="ParaNum"/>
      </w:pPr>
      <w:r>
        <w:t xml:space="preserve">SDN is one of three centralized equal access (CEA) service providers </w:t>
      </w:r>
      <w:r w:rsidR="006359E1">
        <w:t>that</w:t>
      </w:r>
      <w:r>
        <w:t xml:space="preserve"> </w:t>
      </w:r>
      <w:r w:rsidR="00474831">
        <w:t xml:space="preserve">were formed to </w:t>
      </w:r>
      <w:r>
        <w:t xml:space="preserve">implement long distance equal access obligations and aggregate traffic for connection between rural incumbent local exchange carrier (LEC) and interexchange carrier (IXC) networks.  The other </w:t>
      </w:r>
      <w:r w:rsidR="001814FD">
        <w:t xml:space="preserve">two </w:t>
      </w:r>
      <w:r>
        <w:t>CEA providers are Iowa Network Access Division d/b/a Aureon (Aureon) and Minnesota Independent Equal Access Cor</w:t>
      </w:r>
      <w:r w:rsidR="000729DB">
        <w:t xml:space="preserve">poration (MIEAC).  Pursuant to </w:t>
      </w:r>
      <w:r w:rsidR="00F0333D">
        <w:t>s</w:t>
      </w:r>
      <w:r>
        <w:t xml:space="preserve">ection 69.3(f)(1) of the Commission’s rules, SDN was required to submit an </w:t>
      </w:r>
      <w:r w:rsidR="006359E1">
        <w:t xml:space="preserve">annual </w:t>
      </w:r>
      <w:r>
        <w:t xml:space="preserve">access </w:t>
      </w:r>
      <w:r w:rsidR="006359E1">
        <w:t xml:space="preserve">charge </w:t>
      </w:r>
      <w:r>
        <w:t>tariff filing for the biennial period July 1, 2018 through June 30, 2020, with an effective date of July 1, 2018.</w:t>
      </w:r>
      <w:r>
        <w:rPr>
          <w:rStyle w:val="FootnoteReference"/>
        </w:rPr>
        <w:footnoteReference w:id="6"/>
      </w:r>
      <w:r>
        <w:t xml:space="preserve">  On May 4, 2018, SDN sought a waiver of the tariff filing date, citing an ongoing investigation into the lawfulness of Aureon’s interstate switched access </w:t>
      </w:r>
      <w:r>
        <w:t>transport rate.</w:t>
      </w:r>
      <w:r>
        <w:rPr>
          <w:rStyle w:val="FootnoteReference"/>
        </w:rPr>
        <w:footnoteReference w:id="7"/>
      </w:r>
      <w:r>
        <w:t xml:space="preserve">  The investigation </w:t>
      </w:r>
      <w:r w:rsidR="006359E1">
        <w:t xml:space="preserve">of the Aureon rate </w:t>
      </w:r>
      <w:r>
        <w:t xml:space="preserve">arose, in part, </w:t>
      </w:r>
      <w:r w:rsidR="0023264B">
        <w:t>because of</w:t>
      </w:r>
      <w:r>
        <w:t xml:space="preserve"> Aureon’s status as a CEA provider.  SDN argued that</w:t>
      </w:r>
      <w:r w:rsidR="0023264B">
        <w:t>, absent a waiver,</w:t>
      </w:r>
      <w:r>
        <w:t xml:space="preserve"> it might need to refile its tariff </w:t>
      </w:r>
      <w:r>
        <w:t>at the conclusion of</w:t>
      </w:r>
      <w:r>
        <w:t xml:space="preserve"> the then-pending Commission investigation of Aureon’s tariffed rate for CEA service.</w:t>
      </w:r>
      <w:r>
        <w:rPr>
          <w:rStyle w:val="FootnoteReference"/>
        </w:rPr>
        <w:footnoteReference w:id="8"/>
      </w:r>
      <w:r>
        <w:t xml:space="preserve">  The Wireline Competition Bureau (Bureau) granted SDN’s waiver request allowing SDN to submit its biennial access tariff filing with an effective date of October 2, 2018.</w:t>
      </w:r>
      <w:r>
        <w:rPr>
          <w:rStyle w:val="FootnoteReference"/>
        </w:rPr>
        <w:footnoteReference w:id="9"/>
      </w:r>
    </w:p>
    <w:p w:rsidR="00BE0F7D" w:rsidP="00B957E4">
      <w:pPr>
        <w:pStyle w:val="ParaNum"/>
      </w:pPr>
      <w:r>
        <w:t xml:space="preserve">On July </w:t>
      </w:r>
      <w:r w:rsidR="00F20F4E">
        <w:t>3</w:t>
      </w:r>
      <w:r>
        <w:t xml:space="preserve">1, 2018, the Commission released the </w:t>
      </w:r>
      <w:r w:rsidRPr="00B30B86">
        <w:rPr>
          <w:i/>
        </w:rPr>
        <w:t xml:space="preserve">Aureon Tariff </w:t>
      </w:r>
      <w:r w:rsidR="00E16304">
        <w:rPr>
          <w:i/>
        </w:rPr>
        <w:t xml:space="preserve">Investigation </w:t>
      </w:r>
      <w:r w:rsidRPr="00B30B86">
        <w:rPr>
          <w:i/>
        </w:rPr>
        <w:t>Order</w:t>
      </w:r>
      <w:r>
        <w:t xml:space="preserve"> terminating the Aureon tariff investigation.</w:t>
      </w:r>
      <w:r>
        <w:rPr>
          <w:rStyle w:val="FootnoteReference"/>
        </w:rPr>
        <w:footnoteReference w:id="10"/>
      </w:r>
      <w:r>
        <w:t xml:space="preserve">  In that order, the Commission </w:t>
      </w:r>
      <w:r w:rsidR="00474831">
        <w:t xml:space="preserve">confirmed </w:t>
      </w:r>
      <w:r>
        <w:t xml:space="preserve">that as a CEA provider Aureon was required to comply with both </w:t>
      </w:r>
      <w:r w:rsidR="007E7F0A">
        <w:t>the Commission’s</w:t>
      </w:r>
      <w:r>
        <w:t xml:space="preserve"> transitional switched access rate rules and rules governing cost-based rates</w:t>
      </w:r>
      <w:r w:rsidR="00FC6487">
        <w:t>.</w:t>
      </w:r>
      <w:r>
        <w:rPr>
          <w:rStyle w:val="FootnoteReference"/>
        </w:rPr>
        <w:footnoteReference w:id="11"/>
      </w:r>
      <w:r w:rsidR="00FC6487">
        <w:t xml:space="preserve">  The Commission found that CenturyLink was the competing incumbent LEC for purposes of calculating Aureon’s benchmark rate for switched access services.  </w:t>
      </w:r>
      <w:r>
        <w:t>The Commission declined to find that Aureon’s subtending LECs were the competing incumbent LECs for the purpose of Aureon’s benchmarking obligation, because Aureon’s “subtending LECs’ inability to provide the portion of the access services that Aureon provides is the reason they subtend Aureon’s network, and therefore they would not provide those services in the event those services were not provided by Aureon.”</w:t>
      </w:r>
      <w:r>
        <w:rPr>
          <w:rStyle w:val="FootnoteReference"/>
        </w:rPr>
        <w:footnoteReference w:id="12"/>
      </w:r>
      <w:r>
        <w:t xml:space="preserve">  </w:t>
      </w:r>
    </w:p>
    <w:p w:rsidR="00B957E4" w:rsidP="00B957E4">
      <w:pPr>
        <w:pStyle w:val="ParaNum"/>
      </w:pPr>
      <w:r>
        <w:t xml:space="preserve">The Commission </w:t>
      </w:r>
      <w:r w:rsidR="00FC6487">
        <w:t xml:space="preserve">also found that CenturyLink’s </w:t>
      </w:r>
      <w:r w:rsidR="009516EF">
        <w:t xml:space="preserve">switched access </w:t>
      </w:r>
      <w:r w:rsidR="00FC6487">
        <w:t xml:space="preserve">rate was the appropriate </w:t>
      </w:r>
      <w:r w:rsidR="006A2DB7">
        <w:t xml:space="preserve">rate </w:t>
      </w:r>
      <w:r w:rsidR="00FC6487">
        <w:t xml:space="preserve">regardless of whether CenturyLink provided equal access functionality because “CenturyLink or its predecessors did provide equal access capability to its customers when </w:t>
      </w:r>
      <w:r w:rsidR="001814FD">
        <w:t xml:space="preserve">it was </w:t>
      </w:r>
      <w:r w:rsidR="00FC6487">
        <w:t>required . . . thus, it has or had the technical capability to offer that functionality were Aureon [here SDN] not providing it, to the extent still necessary, and the Aureon [here SDN] subtending LECs do not.”</w:t>
      </w:r>
      <w:r>
        <w:rPr>
          <w:rStyle w:val="FootnoteReference"/>
        </w:rPr>
        <w:footnoteReference w:id="13"/>
      </w:r>
      <w:r w:rsidR="00FC6487">
        <w:t xml:space="preserve">  </w:t>
      </w:r>
      <w:r w:rsidR="009516EF">
        <w:t>The Commission also questioned the continuing need for an equal access function as the Commission previously “adopted an order terminating the remaining obligation of incumbent LECs to maintain equal access for existing customers presubscribed to a stand-alone long-distance provider as of December 28, 2015.”</w:t>
      </w:r>
      <w:r>
        <w:rPr>
          <w:rStyle w:val="FootnoteReference"/>
        </w:rPr>
        <w:footnoteReference w:id="14"/>
      </w:r>
      <w:r w:rsidR="009516EF">
        <w:t xml:space="preserve">  The Commission </w:t>
      </w:r>
      <w:r>
        <w:t xml:space="preserve">directed Aureon to amend its tariff to reflect the lower of </w:t>
      </w:r>
      <w:r w:rsidR="009516EF">
        <w:t>Aureon’s benchmark rate (</w:t>
      </w:r>
      <w:r>
        <w:t xml:space="preserve">the </w:t>
      </w:r>
      <w:r w:rsidR="009516EF">
        <w:t xml:space="preserve">CenturyLink switched access services </w:t>
      </w:r>
      <w:r>
        <w:t>rate</w:t>
      </w:r>
      <w:r w:rsidR="009516EF">
        <w:t>)</w:t>
      </w:r>
      <w:r>
        <w:t xml:space="preserve"> or </w:t>
      </w:r>
      <w:r w:rsidR="009516EF">
        <w:t>Aureon’s</w:t>
      </w:r>
      <w:r>
        <w:t xml:space="preserve"> corrected cost-based rate.</w:t>
      </w:r>
      <w:r>
        <w:rPr>
          <w:rStyle w:val="FootnoteReference"/>
        </w:rPr>
        <w:footnoteReference w:id="15"/>
      </w:r>
    </w:p>
    <w:p w:rsidR="00B957E4" w:rsidP="008271CB">
      <w:pPr>
        <w:pStyle w:val="ParaNum"/>
        <w:widowControl/>
      </w:pPr>
      <w:r>
        <w:t xml:space="preserve">After release of the </w:t>
      </w:r>
      <w:r w:rsidRPr="00445369">
        <w:rPr>
          <w:i/>
        </w:rPr>
        <w:t xml:space="preserve">Aureon Tariff </w:t>
      </w:r>
      <w:r w:rsidR="00E16304">
        <w:rPr>
          <w:i/>
        </w:rPr>
        <w:t xml:space="preserve">Investigation </w:t>
      </w:r>
      <w:r w:rsidRPr="00445369">
        <w:rPr>
          <w:i/>
        </w:rPr>
        <w:t>Order</w:t>
      </w:r>
      <w:r>
        <w:t xml:space="preserve">, SDN filed proposed </w:t>
      </w:r>
      <w:r w:rsidR="00E145A2">
        <w:t xml:space="preserve">tariff revisions </w:t>
      </w:r>
      <w:r>
        <w:t>on September 17, 2018, to become effective on October 2, 2018.</w:t>
      </w:r>
      <w:r>
        <w:rPr>
          <w:vertAlign w:val="superscript"/>
        </w:rPr>
        <w:footnoteReference w:id="16"/>
      </w:r>
      <w:r>
        <w:t xml:space="preserve">  </w:t>
      </w:r>
      <w:r w:rsidR="0023264B">
        <w:t xml:space="preserve">In its proposed tariff </w:t>
      </w:r>
      <w:r w:rsidR="00816400">
        <w:t>revisions,</w:t>
      </w:r>
      <w:r>
        <w:t xml:space="preserve"> SDN filed a CEA rate of $0.004871 per minute based on its cost support.</w:t>
      </w:r>
      <w:r>
        <w:rPr>
          <w:rStyle w:val="FootnoteReference"/>
        </w:rPr>
        <w:footnoteReference w:id="17"/>
      </w:r>
      <w:r>
        <w:t xml:space="preserve">  Although </w:t>
      </w:r>
      <w:r w:rsidR="00816400">
        <w:t>SD</w:t>
      </w:r>
      <w:r w:rsidR="00C77185">
        <w:t>N</w:t>
      </w:r>
      <w:r w:rsidR="00816400">
        <w:t xml:space="preserve"> takes</w:t>
      </w:r>
      <w:r>
        <w:t xml:space="preserve"> issue with the</w:t>
      </w:r>
      <w:r w:rsidR="00F20F4E">
        <w:t xml:space="preserve"> Commission’s decision in the</w:t>
      </w:r>
      <w:r>
        <w:t xml:space="preserve"> </w:t>
      </w:r>
      <w:r w:rsidRPr="00445369">
        <w:rPr>
          <w:i/>
        </w:rPr>
        <w:t>Aureon</w:t>
      </w:r>
      <w:r>
        <w:t xml:space="preserve"> </w:t>
      </w:r>
      <w:r>
        <w:rPr>
          <w:i/>
        </w:rPr>
        <w:t xml:space="preserve">Tariff </w:t>
      </w:r>
      <w:r w:rsidR="00E16304">
        <w:rPr>
          <w:i/>
        </w:rPr>
        <w:t xml:space="preserve">Investigation </w:t>
      </w:r>
      <w:r>
        <w:rPr>
          <w:i/>
        </w:rPr>
        <w:t>Order</w:t>
      </w:r>
      <w:r>
        <w:t xml:space="preserve"> on interstate switched access rates, SDN also calculated </w:t>
      </w:r>
      <w:r w:rsidR="00303316">
        <w:t>what it calls a “</w:t>
      </w:r>
      <w:r>
        <w:t>unified</w:t>
      </w:r>
      <w:r>
        <w:t xml:space="preserve"> benchmark rate</w:t>
      </w:r>
      <w:r w:rsidR="00303316">
        <w:t>”</w:t>
      </w:r>
      <w:r>
        <w:t xml:space="preserve"> of $0.014203 per minute</w:t>
      </w:r>
      <w:r w:rsidR="00303316">
        <w:t>.  As described by SDN</w:t>
      </w:r>
      <w:r w:rsidR="00B12A41">
        <w:t>,</w:t>
      </w:r>
      <w:r w:rsidR="00303316">
        <w:t xml:space="preserve"> </w:t>
      </w:r>
      <w:r w:rsidR="006D5CEC">
        <w:t>its</w:t>
      </w:r>
      <w:r w:rsidR="00303316">
        <w:t xml:space="preserve"> </w:t>
      </w:r>
      <w:r>
        <w:t xml:space="preserve">“unified benchmark rate” </w:t>
      </w:r>
      <w:r w:rsidR="00303316">
        <w:t xml:space="preserve">is a combination of </w:t>
      </w:r>
      <w:r>
        <w:t>CenturyLink’s tandem switching rate ($0.002288 per minute) and an “equal acce</w:t>
      </w:r>
      <w:r w:rsidR="00C77185">
        <w:t>ss service benchmark” ($0.01195</w:t>
      </w:r>
      <w:r>
        <w:t xml:space="preserve"> per minute).</w:t>
      </w:r>
      <w:r>
        <w:rPr>
          <w:rStyle w:val="FootnoteReference"/>
        </w:rPr>
        <w:footnoteReference w:id="18"/>
      </w:r>
      <w:r>
        <w:t xml:space="preserve">  According to SDN, because its cost-based rate of $0.004871 is lower than its </w:t>
      </w:r>
      <w:r w:rsidR="000C46CF">
        <w:t>“</w:t>
      </w:r>
      <w:r>
        <w:t>unified benchmark rate</w:t>
      </w:r>
      <w:r w:rsidR="000C46CF">
        <w:t>”</w:t>
      </w:r>
      <w:r>
        <w:t xml:space="preserve"> of $0.014203, </w:t>
      </w:r>
      <w:r w:rsidR="00303316">
        <w:t>SDN</w:t>
      </w:r>
      <w:r>
        <w:t xml:space="preserve"> used the former rate for purposes of its proposed </w:t>
      </w:r>
      <w:r w:rsidR="00E145A2">
        <w:t>tariff revisions</w:t>
      </w:r>
      <w:r>
        <w:t>.</w:t>
      </w:r>
      <w:r>
        <w:rPr>
          <w:rStyle w:val="FootnoteReference"/>
        </w:rPr>
        <w:footnoteReference w:id="19"/>
      </w:r>
    </w:p>
    <w:p w:rsidR="00B957E4" w:rsidRPr="00DA4CD6" w:rsidP="007E7F0A">
      <w:pPr>
        <w:pStyle w:val="ParaNum"/>
      </w:pPr>
      <w:r>
        <w:t>On September 24, 2018, James Valley Cooperative Telephone Company and North</w:t>
      </w:r>
      <w:r w:rsidR="00E145A2">
        <w:t>ern</w:t>
      </w:r>
      <w:r>
        <w:t xml:space="preserve"> Valley Communications, LLC (Petitioners) filed a petition asking the Commission to reject, or to suspend and investigate, the SDN </w:t>
      </w:r>
      <w:r w:rsidR="000C46CF">
        <w:t>tariff revisions</w:t>
      </w:r>
      <w:r>
        <w:t>.</w:t>
      </w:r>
      <w:r>
        <w:rPr>
          <w:rStyle w:val="FootnoteReference"/>
        </w:rPr>
        <w:footnoteReference w:id="20"/>
      </w:r>
      <w:r>
        <w:t xml:space="preserve"> </w:t>
      </w:r>
      <w:r w:rsidR="0070381F">
        <w:t xml:space="preserve"> Petitioners argued that</w:t>
      </w:r>
      <w:r w:rsidR="00846106">
        <w:t>:</w:t>
      </w:r>
      <w:r w:rsidR="00C77185">
        <w:t xml:space="preserve"> </w:t>
      </w:r>
      <w:r w:rsidR="00970BF4">
        <w:t>(1)</w:t>
      </w:r>
      <w:r w:rsidR="0070381F">
        <w:t xml:space="preserve"> language in the tariff revision</w:t>
      </w:r>
      <w:r w:rsidR="00970BF4">
        <w:t xml:space="preserve"> was discrim</w:t>
      </w:r>
      <w:r w:rsidR="00560296">
        <w:t>in</w:t>
      </w:r>
      <w:r w:rsidR="00970BF4">
        <w:t>atory; (2) SDN’s benchmark calculation does not comply with decision</w:t>
      </w:r>
      <w:r w:rsidR="000729DB">
        <w:t>s</w:t>
      </w:r>
      <w:r w:rsidR="00970BF4">
        <w:t xml:space="preserve"> in the </w:t>
      </w:r>
      <w:r w:rsidR="00970BF4">
        <w:rPr>
          <w:i/>
        </w:rPr>
        <w:t>Aureon Tariff Investigation Order</w:t>
      </w:r>
      <w:r w:rsidR="00970BF4">
        <w:t>, and (3) SDN’s traffic projections should be investigated.</w:t>
      </w:r>
      <w:r>
        <w:rPr>
          <w:rStyle w:val="FootnoteReference"/>
        </w:rPr>
        <w:footnoteReference w:id="21"/>
      </w:r>
      <w:r w:rsidR="00C77185">
        <w:t xml:space="preserve"> </w:t>
      </w:r>
      <w:r>
        <w:t xml:space="preserve"> SDN filed a reply to the Petition on September 28, 2018, requesting that the </w:t>
      </w:r>
      <w:r w:rsidR="00C548E1">
        <w:t xml:space="preserve">Petition </w:t>
      </w:r>
      <w:r>
        <w:t>be denied.</w:t>
      </w:r>
      <w:r>
        <w:rPr>
          <w:rStyle w:val="FootnoteReference"/>
        </w:rPr>
        <w:footnoteReference w:id="22"/>
      </w:r>
      <w:r>
        <w:t xml:space="preserve">  </w:t>
      </w:r>
      <w:r w:rsidR="00023C44">
        <w:t xml:space="preserve">SDN argued </w:t>
      </w:r>
      <w:r w:rsidR="007E7F0A">
        <w:t xml:space="preserve">that Petitioners do not have standing to </w:t>
      </w:r>
      <w:r w:rsidR="0093752E">
        <w:t>challenge</w:t>
      </w:r>
      <w:r w:rsidR="007E7F0A">
        <w:t xml:space="preserve"> the tariff filing because they are not customers of SDN and that S</w:t>
      </w:r>
      <w:r w:rsidR="0093752E">
        <w:t>DN’s benchmark rate calculation</w:t>
      </w:r>
      <w:r w:rsidR="007E7F0A">
        <w:t xml:space="preserve"> and traffic projections are reasonable</w:t>
      </w:r>
      <w:r w:rsidR="00023C44">
        <w:t>.</w:t>
      </w:r>
      <w:r>
        <w:rPr>
          <w:rStyle w:val="FootnoteReference"/>
        </w:rPr>
        <w:footnoteReference w:id="23"/>
      </w:r>
      <w:r w:rsidR="007E7F0A">
        <w:t xml:space="preserve">  </w:t>
      </w:r>
      <w:r w:rsidRPr="007E7F0A">
        <w:rPr>
          <w:iCs/>
          <w:szCs w:val="22"/>
        </w:rPr>
        <w:t xml:space="preserve">On October 1, </w:t>
      </w:r>
      <w:r w:rsidR="00C50F01">
        <w:rPr>
          <w:iCs/>
          <w:szCs w:val="22"/>
        </w:rPr>
        <w:t xml:space="preserve">2018, </w:t>
      </w:r>
      <w:r w:rsidRPr="007E7F0A">
        <w:rPr>
          <w:iCs/>
          <w:szCs w:val="22"/>
        </w:rPr>
        <w:t>Petitioners fil</w:t>
      </w:r>
      <w:r w:rsidR="007E7F0A">
        <w:rPr>
          <w:iCs/>
          <w:szCs w:val="22"/>
        </w:rPr>
        <w:t>ed a letter withdrawing in part</w:t>
      </w:r>
      <w:r w:rsidRPr="007E7F0A">
        <w:rPr>
          <w:iCs/>
          <w:szCs w:val="22"/>
        </w:rPr>
        <w:t xml:space="preserve"> their objection to SDN’s tariff revisions.</w:t>
      </w:r>
      <w:r>
        <w:rPr>
          <w:rStyle w:val="FootnoteReference"/>
          <w:iCs/>
          <w:szCs w:val="22"/>
        </w:rPr>
        <w:footnoteReference w:id="24"/>
      </w:r>
    </w:p>
    <w:p w:rsidR="00E91F1A" w:rsidP="00E91F1A">
      <w:pPr>
        <w:pStyle w:val="ParaNum"/>
      </w:pPr>
      <w:r>
        <w:t xml:space="preserve">In the </w:t>
      </w:r>
      <w:r>
        <w:rPr>
          <w:i/>
        </w:rPr>
        <w:t>SDN Suspension Order</w:t>
      </w:r>
      <w:r>
        <w:t>, we</w:t>
      </w:r>
      <w:r w:rsidR="009D5536">
        <w:t xml:space="preserve"> </w:t>
      </w:r>
      <w:r w:rsidRPr="004C403E">
        <w:t>concluded that substantial questions of l</w:t>
      </w:r>
      <w:r w:rsidR="00BA45DE">
        <w:t>awfulness exist regarding SDN</w:t>
      </w:r>
      <w:r w:rsidRPr="004C403E">
        <w:t>’s revised switched transport rate that require further investigation.</w:t>
      </w:r>
      <w:r>
        <w:rPr>
          <w:rStyle w:val="FootnoteReference"/>
        </w:rPr>
        <w:footnoteReference w:id="25"/>
      </w:r>
      <w:r w:rsidRPr="004C403E">
        <w:t xml:space="preserve">  Therefore, pursuant </w:t>
      </w:r>
      <w:r w:rsidRPr="004C403E">
        <w:t xml:space="preserve">to </w:t>
      </w:r>
      <w:r w:rsidR="00F0333D">
        <w:t>s</w:t>
      </w:r>
      <w:r w:rsidRPr="004C403E">
        <w:t xml:space="preserve">ection 204 of the Act, </w:t>
      </w:r>
      <w:r w:rsidR="009D5536">
        <w:t xml:space="preserve">we </w:t>
      </w:r>
      <w:r w:rsidRPr="004C403E">
        <w:t xml:space="preserve">advanced the effective date for one day to </w:t>
      </w:r>
      <w:r w:rsidR="00CD3423">
        <w:t>October 1, 2018</w:t>
      </w:r>
      <w:r w:rsidRPr="004C403E">
        <w:t xml:space="preserve"> and then suspended the rate for one day, allowing the rate to become effective on </w:t>
      </w:r>
      <w:r w:rsidR="00CD3423">
        <w:t>October 2, 2018</w:t>
      </w:r>
      <w:r w:rsidR="00C548E1">
        <w:t>,</w:t>
      </w:r>
      <w:r w:rsidRPr="004C403E">
        <w:t xml:space="preserve"> imposed an accounting order, and instituted an investigati</w:t>
      </w:r>
      <w:r w:rsidR="00B957E4">
        <w:t>on into the lawfulness of SDN</w:t>
      </w:r>
      <w:r w:rsidRPr="004C403E">
        <w:t xml:space="preserve">’s </w:t>
      </w:r>
      <w:r w:rsidR="00C77185">
        <w:t xml:space="preserve">revised interstate </w:t>
      </w:r>
      <w:r w:rsidRPr="004C403E">
        <w:t xml:space="preserve">switched </w:t>
      </w:r>
      <w:r w:rsidR="00C77185">
        <w:t>access service</w:t>
      </w:r>
      <w:r w:rsidRPr="004C403E">
        <w:t xml:space="preserve"> rate.</w:t>
      </w:r>
      <w:r>
        <w:rPr>
          <w:rStyle w:val="FootnoteReference"/>
        </w:rPr>
        <w:footnoteReference w:id="26"/>
      </w:r>
    </w:p>
    <w:p w:rsidR="00E91F1A" w:rsidRPr="004C403E" w:rsidP="00AE0C78">
      <w:pPr>
        <w:pStyle w:val="Heading2"/>
      </w:pPr>
      <w:r w:rsidRPr="004C403E">
        <w:t>Commission Authority and Duty to Investigate Tariffs and Prescribe Rates</w:t>
      </w:r>
    </w:p>
    <w:p w:rsidR="00E91F1A" w:rsidRPr="004C403E" w:rsidP="00E91F1A">
      <w:pPr>
        <w:pStyle w:val="ParaNum"/>
      </w:pPr>
      <w:r w:rsidRPr="004C403E">
        <w:t xml:space="preserve">Under </w:t>
      </w:r>
      <w:r w:rsidR="00F0333D">
        <w:t>s</w:t>
      </w:r>
      <w:r w:rsidRPr="004C403E">
        <w:t>ection 201(b) of the Act, a common carrier may not charge unjust or unreasonable rates for its services.</w:t>
      </w:r>
      <w:r>
        <w:rPr>
          <w:rStyle w:val="FootnoteReference"/>
        </w:rPr>
        <w:footnoteReference w:id="27"/>
      </w:r>
      <w:r w:rsidRPr="004C403E">
        <w:t xml:space="preserve">  Pursuant to </w:t>
      </w:r>
      <w:r w:rsidR="00F0333D">
        <w:t>s</w:t>
      </w:r>
      <w:r w:rsidRPr="004C403E">
        <w:t>ection 204 of the Act, if a tariff filing has been suspended, the burden of proof is on the tariffing carrier to show that the new or revised charge is just and reasonable.</w:t>
      </w:r>
      <w:r>
        <w:rPr>
          <w:rStyle w:val="FootnoteReference"/>
        </w:rPr>
        <w:footnoteReference w:id="28"/>
      </w:r>
      <w:r w:rsidRPr="004C403E">
        <w:t xml:space="preserve">  Pursuant to </w:t>
      </w:r>
      <w:r w:rsidR="00F0333D">
        <w:t>s</w:t>
      </w:r>
      <w:r w:rsidRPr="004C403E">
        <w:t>ect</w:t>
      </w:r>
      <w:r w:rsidR="00B957E4">
        <w:t>ion 204(a)(1) of the Act, SDN</w:t>
      </w:r>
      <w:r w:rsidRPr="004C403E">
        <w:t>’s provision of the information requested in this Order is neces</w:t>
      </w:r>
      <w:r w:rsidR="00B957E4">
        <w:t>sary to determine whether SDN</w:t>
      </w:r>
      <w:r w:rsidRPr="004C403E">
        <w:t xml:space="preserve">’s revised switched </w:t>
      </w:r>
      <w:r w:rsidR="007E7F0A">
        <w:t>access</w:t>
      </w:r>
      <w:r w:rsidRPr="004C403E">
        <w:t xml:space="preserve"> rate is just and reasonable.</w:t>
      </w:r>
      <w:r>
        <w:rPr>
          <w:rStyle w:val="FootnoteReference"/>
        </w:rPr>
        <w:footnoteReference w:id="29"/>
      </w:r>
      <w:r w:rsidRPr="004C403E">
        <w:t xml:space="preserve">  At the conclusion of an investigation under </w:t>
      </w:r>
      <w:r w:rsidR="00F0333D">
        <w:t>s</w:t>
      </w:r>
      <w:r w:rsidRPr="004C403E">
        <w:t xml:space="preserve">ection 204, the Commission may, pursuant to </w:t>
      </w:r>
      <w:r w:rsidR="00F0333D">
        <w:t>s</w:t>
      </w:r>
      <w:r w:rsidRPr="004C403E">
        <w:t>ection 205, determine and prescribe what will be the just and reasonable charge or the maximum and/or minimum, charge or charges going forward.</w:t>
      </w:r>
      <w:r>
        <w:rPr>
          <w:rStyle w:val="FootnoteReference"/>
        </w:rPr>
        <w:footnoteReference w:id="30"/>
      </w:r>
    </w:p>
    <w:p w:rsidR="00E91F1A" w:rsidRPr="004C403E" w:rsidP="00E91F1A">
      <w:pPr>
        <w:pStyle w:val="Heading1"/>
        <w:spacing w:before="120"/>
      </w:pPr>
      <w:r>
        <w:t>issue</w:t>
      </w:r>
      <w:r w:rsidRPr="004C403E">
        <w:t xml:space="preserve"> designated for investigation</w:t>
      </w:r>
    </w:p>
    <w:p w:rsidR="00E91F1A" w:rsidRPr="004C403E" w:rsidP="00846106">
      <w:pPr>
        <w:pStyle w:val="ParaNum"/>
        <w:widowControl/>
        <w:rPr>
          <w:szCs w:val="22"/>
        </w:rPr>
      </w:pPr>
      <w:bookmarkStart w:id="4" w:name="_Hlk510431248"/>
      <w:r>
        <w:rPr>
          <w:szCs w:val="22"/>
        </w:rPr>
        <w:t>As a CEA provider, SDN</w:t>
      </w:r>
      <w:r w:rsidRPr="004C403E">
        <w:rPr>
          <w:szCs w:val="22"/>
        </w:rPr>
        <w:t xml:space="preserve"> is a competitive LEC for purposes of the Commission’s intercarrier compensation rules.</w:t>
      </w:r>
      <w:r>
        <w:rPr>
          <w:rStyle w:val="FootnoteReference"/>
          <w:szCs w:val="22"/>
        </w:rPr>
        <w:footnoteReference w:id="31"/>
      </w:r>
      <w:r w:rsidRPr="004C403E">
        <w:rPr>
          <w:szCs w:val="22"/>
        </w:rPr>
        <w:t xml:space="preserve">  Section 51.911(c) of the rules sets forth the competitive LEC benchmark obligation, and specifies that:</w:t>
      </w:r>
    </w:p>
    <w:p w:rsidR="00E91F1A" w:rsidP="00E91F1A">
      <w:pPr>
        <w:pStyle w:val="ParaNum"/>
        <w:numPr>
          <w:ilvl w:val="0"/>
          <w:numId w:val="0"/>
        </w:numPr>
        <w:spacing w:after="0"/>
        <w:ind w:left="720" w:firstLine="720"/>
        <w:rPr>
          <w:szCs w:val="22"/>
        </w:rPr>
      </w:pPr>
      <w:r w:rsidRPr="004C403E">
        <w:rPr>
          <w:szCs w:val="22"/>
        </w:rPr>
        <w:t>[b]eginning July 1, 2013, notwithstanding any other provision of the</w:t>
      </w:r>
    </w:p>
    <w:p w:rsidR="00E91F1A" w:rsidP="00E91F1A">
      <w:pPr>
        <w:pStyle w:val="ParaNum"/>
        <w:numPr>
          <w:ilvl w:val="0"/>
          <w:numId w:val="0"/>
        </w:numPr>
        <w:spacing w:after="0"/>
        <w:ind w:left="720" w:firstLine="720"/>
        <w:rPr>
          <w:szCs w:val="22"/>
        </w:rPr>
      </w:pPr>
      <w:r w:rsidRPr="004C403E">
        <w:rPr>
          <w:szCs w:val="22"/>
        </w:rPr>
        <w:t>Commission’s rules, all Competitive Local Exchange Carrier Access</w:t>
      </w:r>
    </w:p>
    <w:p w:rsidR="00E91F1A" w:rsidP="00E91F1A">
      <w:pPr>
        <w:pStyle w:val="ParaNum"/>
        <w:numPr>
          <w:ilvl w:val="0"/>
          <w:numId w:val="0"/>
        </w:numPr>
        <w:spacing w:after="0"/>
        <w:ind w:left="720" w:firstLine="720"/>
        <w:rPr>
          <w:szCs w:val="22"/>
        </w:rPr>
      </w:pPr>
      <w:r w:rsidRPr="004C403E">
        <w:rPr>
          <w:szCs w:val="22"/>
        </w:rPr>
        <w:t>Reciprocal Compensation rates for switched exchange access services</w:t>
      </w:r>
    </w:p>
    <w:p w:rsidR="00E91F1A" w:rsidP="00E91F1A">
      <w:pPr>
        <w:pStyle w:val="ParaNum"/>
        <w:numPr>
          <w:ilvl w:val="0"/>
          <w:numId w:val="0"/>
        </w:numPr>
        <w:spacing w:after="0"/>
        <w:ind w:left="720" w:firstLine="720"/>
        <w:rPr>
          <w:szCs w:val="22"/>
        </w:rPr>
      </w:pPr>
      <w:r w:rsidRPr="004C403E">
        <w:rPr>
          <w:szCs w:val="22"/>
        </w:rPr>
        <w:t>subject to this subpart shall be no higher than the Access Reciprocal</w:t>
      </w:r>
    </w:p>
    <w:p w:rsidR="00E91F1A" w:rsidP="00E91F1A">
      <w:pPr>
        <w:pStyle w:val="ParaNum"/>
        <w:numPr>
          <w:ilvl w:val="0"/>
          <w:numId w:val="0"/>
        </w:numPr>
        <w:spacing w:after="0"/>
        <w:ind w:left="720" w:firstLine="720"/>
        <w:rPr>
          <w:szCs w:val="22"/>
        </w:rPr>
      </w:pPr>
      <w:r w:rsidRPr="004C403E">
        <w:rPr>
          <w:szCs w:val="22"/>
        </w:rPr>
        <w:t>Compensation rates charged by the competing incumbent local exchange</w:t>
      </w:r>
    </w:p>
    <w:p w:rsidR="00E91F1A" w:rsidRPr="004C403E" w:rsidP="00B63E33">
      <w:pPr>
        <w:pStyle w:val="ParaNum"/>
        <w:numPr>
          <w:ilvl w:val="0"/>
          <w:numId w:val="0"/>
        </w:numPr>
        <w:ind w:left="720" w:firstLine="720"/>
        <w:rPr>
          <w:szCs w:val="22"/>
        </w:rPr>
      </w:pPr>
      <w:r w:rsidRPr="004C403E">
        <w:rPr>
          <w:szCs w:val="22"/>
        </w:rPr>
        <w:t xml:space="preserve">carrier, in accordance with the same procedures specified in § 61.26 </w:t>
      </w:r>
      <w:r w:rsidRPr="00F75218" w:rsidR="00F75218">
        <w:rPr>
          <w:szCs w:val="22"/>
        </w:rPr>
        <w:t>. . . .</w:t>
      </w:r>
      <w:r>
        <w:rPr>
          <w:rStyle w:val="FootnoteReference"/>
          <w:szCs w:val="22"/>
        </w:rPr>
        <w:footnoteReference w:id="32"/>
      </w:r>
    </w:p>
    <w:p w:rsidR="007E7F0A" w:rsidP="00E91F1A">
      <w:pPr>
        <w:pStyle w:val="ParaNum"/>
        <w:numPr>
          <w:ilvl w:val="0"/>
          <w:numId w:val="0"/>
        </w:numPr>
        <w:rPr>
          <w:szCs w:val="22"/>
        </w:rPr>
      </w:pPr>
      <w:r w:rsidRPr="004C403E">
        <w:rPr>
          <w:szCs w:val="22"/>
        </w:rPr>
        <w:t>The term “competin</w:t>
      </w:r>
      <w:r w:rsidR="000729DB">
        <w:rPr>
          <w:szCs w:val="22"/>
        </w:rPr>
        <w:t xml:space="preserve">g incumbent LEC” is defined in </w:t>
      </w:r>
      <w:r w:rsidR="00F0333D">
        <w:rPr>
          <w:szCs w:val="22"/>
        </w:rPr>
        <w:t>s</w:t>
      </w:r>
      <w:r w:rsidRPr="004C403E">
        <w:rPr>
          <w:szCs w:val="22"/>
        </w:rPr>
        <w:t>ection 61.26(a)(2) to be the “incumbent local exchange carrier, as defined in 47 U.S.C. 251(h), that would provide interstate exchange access services, in whole or in part, to the extent those services were not provided by the CLEC.”</w:t>
      </w:r>
      <w:r>
        <w:rPr>
          <w:rStyle w:val="FootnoteReference"/>
          <w:szCs w:val="22"/>
        </w:rPr>
        <w:footnoteReference w:id="33"/>
      </w:r>
      <w:r w:rsidRPr="004C403E">
        <w:rPr>
          <w:szCs w:val="22"/>
        </w:rPr>
        <w:t xml:space="preserve">  </w:t>
      </w:r>
      <w:r w:rsidR="009D5536">
        <w:rPr>
          <w:szCs w:val="22"/>
        </w:rPr>
        <w:t xml:space="preserve">Because </w:t>
      </w:r>
      <w:r w:rsidR="00037465">
        <w:rPr>
          <w:szCs w:val="22"/>
        </w:rPr>
        <w:t>SDN</w:t>
      </w:r>
      <w:r w:rsidRPr="004C403E" w:rsidR="00037465">
        <w:rPr>
          <w:szCs w:val="22"/>
        </w:rPr>
        <w:t xml:space="preserve"> </w:t>
      </w:r>
      <w:r w:rsidRPr="004C403E">
        <w:rPr>
          <w:szCs w:val="22"/>
        </w:rPr>
        <w:t xml:space="preserve">is a CEA provider </w:t>
      </w:r>
      <w:r w:rsidR="009D5536">
        <w:rPr>
          <w:szCs w:val="22"/>
        </w:rPr>
        <w:t xml:space="preserve">that </w:t>
      </w:r>
      <w:r w:rsidRPr="004C403E">
        <w:rPr>
          <w:szCs w:val="22"/>
        </w:rPr>
        <w:t>does not serve end users, the procedure for its benchmark</w:t>
      </w:r>
      <w:r w:rsidR="000729DB">
        <w:rPr>
          <w:szCs w:val="22"/>
        </w:rPr>
        <w:t xml:space="preserve">ing obligation is contained in </w:t>
      </w:r>
      <w:r w:rsidR="00F0333D">
        <w:rPr>
          <w:szCs w:val="22"/>
        </w:rPr>
        <w:t>s</w:t>
      </w:r>
      <w:r w:rsidRPr="004C403E">
        <w:rPr>
          <w:szCs w:val="22"/>
        </w:rPr>
        <w:t>ection 61.26(f) of the Commission’s rules.  Section 61.26(f) requires that “[i]f a CLEC provides some portion of the switched exchange access services used to send traffic to or from an end user not served by that CLEC, the rate for the access services provided may not exceed the rate charged by the competing ILEC for the same access services</w:t>
      </w:r>
      <w:r w:rsidR="006854E1">
        <w:rPr>
          <w:szCs w:val="22"/>
        </w:rPr>
        <w:t xml:space="preserve"> </w:t>
      </w:r>
      <w:r w:rsidRPr="004C403E">
        <w:rPr>
          <w:szCs w:val="22"/>
        </w:rPr>
        <w:t>. . . .”</w:t>
      </w:r>
      <w:r>
        <w:rPr>
          <w:rStyle w:val="FootnoteReference"/>
          <w:szCs w:val="22"/>
        </w:rPr>
        <w:footnoteReference w:id="34"/>
      </w:r>
      <w:r w:rsidRPr="004C403E">
        <w:rPr>
          <w:szCs w:val="22"/>
        </w:rPr>
        <w:t xml:space="preserve">  </w:t>
      </w:r>
    </w:p>
    <w:p w:rsidR="00E91F1A" w:rsidRPr="004C403E" w:rsidP="00D2347E">
      <w:pPr>
        <w:pStyle w:val="ParaNum"/>
      </w:pPr>
      <w:r>
        <w:t>W</w:t>
      </w:r>
      <w:r w:rsidRPr="004C403E">
        <w:t>e des</w:t>
      </w:r>
      <w:r w:rsidR="000729DB">
        <w:t xml:space="preserve">ignate for investigation under </w:t>
      </w:r>
      <w:r w:rsidR="00F0333D">
        <w:t>s</w:t>
      </w:r>
      <w:r w:rsidRPr="004C403E">
        <w:t xml:space="preserve">ections 204 and 205 of the Act whether </w:t>
      </w:r>
      <w:r w:rsidR="00F551CD">
        <w:t xml:space="preserve">in </w:t>
      </w:r>
      <w:r w:rsidRPr="004C403E">
        <w:t xml:space="preserve">Transmittal No. </w:t>
      </w:r>
      <w:r w:rsidR="00037465">
        <w:t>1</w:t>
      </w:r>
      <w:r w:rsidRPr="004C403E">
        <w:t>3</w:t>
      </w:r>
      <w:r w:rsidR="00F551CD">
        <w:t xml:space="preserve"> SDN</w:t>
      </w:r>
      <w:r w:rsidRPr="004C403E">
        <w:t xml:space="preserve"> </w:t>
      </w:r>
      <w:r w:rsidR="00E17DE5">
        <w:t xml:space="preserve">properly </w:t>
      </w:r>
      <w:r w:rsidR="00037465">
        <w:t>calculate</w:t>
      </w:r>
      <w:r w:rsidR="00C71253">
        <w:t>d</w:t>
      </w:r>
      <w:r w:rsidR="00037465">
        <w:t xml:space="preserve"> </w:t>
      </w:r>
      <w:r w:rsidR="00C71253">
        <w:t xml:space="preserve">its </w:t>
      </w:r>
      <w:r w:rsidRPr="004C403E">
        <w:t xml:space="preserve">benchmark </w:t>
      </w:r>
      <w:r w:rsidR="00037465">
        <w:t>rate</w:t>
      </w:r>
      <w:r w:rsidR="00E30F2D">
        <w:t xml:space="preserve">. </w:t>
      </w:r>
      <w:r w:rsidR="007F44C5">
        <w:t xml:space="preserve"> </w:t>
      </w:r>
      <w:r w:rsidR="00E30F2D">
        <w:t>Sp</w:t>
      </w:r>
      <w:r w:rsidR="00E17DE5">
        <w:t>ecifically,</w:t>
      </w:r>
      <w:r w:rsidR="00C80773">
        <w:t xml:space="preserve"> </w:t>
      </w:r>
      <w:r w:rsidR="00D2347E">
        <w:t>w</w:t>
      </w:r>
      <w:r w:rsidRPr="00D2347E" w:rsidR="00D2347E">
        <w:t xml:space="preserve">e designate for investigation </w:t>
      </w:r>
      <w:r w:rsidR="007F44C5">
        <w:t>whether SDN is u</w:t>
      </w:r>
      <w:r w:rsidR="00037465">
        <w:t>sing</w:t>
      </w:r>
      <w:r w:rsidRPr="004C403E">
        <w:t xml:space="preserve"> the correct competing incumbent LEC</w:t>
      </w:r>
      <w:r w:rsidR="007F44C5">
        <w:t>(s) in calculatin</w:t>
      </w:r>
      <w:r w:rsidR="004176A7">
        <w:t>g</w:t>
      </w:r>
      <w:r w:rsidR="007F44C5">
        <w:t xml:space="preserve"> its benchmark rate</w:t>
      </w:r>
      <w:r w:rsidRPr="004C403E">
        <w:t xml:space="preserve">, and whether </w:t>
      </w:r>
      <w:r w:rsidR="00037465">
        <w:t>SDN’s calculated</w:t>
      </w:r>
      <w:r w:rsidRPr="004C403E">
        <w:t xml:space="preserve"> benchmark</w:t>
      </w:r>
      <w:r w:rsidR="00037465">
        <w:t xml:space="preserve"> rate</w:t>
      </w:r>
      <w:r w:rsidRPr="004C403E">
        <w:t xml:space="preserve"> </w:t>
      </w:r>
      <w:r w:rsidR="00037465">
        <w:t>is based on</w:t>
      </w:r>
      <w:r w:rsidRPr="004C403E">
        <w:t xml:space="preserve"> the rate(s) for the appropriate service(s) of </w:t>
      </w:r>
      <w:r w:rsidR="009516EF">
        <w:t xml:space="preserve">the </w:t>
      </w:r>
      <w:r w:rsidRPr="004C403E">
        <w:t>competing incumbent LEC</w:t>
      </w:r>
      <w:r w:rsidR="009516EF">
        <w:t>(s)</w:t>
      </w:r>
      <w:r w:rsidRPr="004C403E">
        <w:t>.</w:t>
      </w:r>
      <w:r w:rsidR="00C33E46">
        <w:t xml:space="preserve">  </w:t>
      </w:r>
      <w:r w:rsidR="000C4C6E">
        <w:t>As discussed above, i</w:t>
      </w:r>
      <w:r w:rsidR="00E30F2D">
        <w:t xml:space="preserve">n the </w:t>
      </w:r>
      <w:r w:rsidRPr="006D5CEC" w:rsidR="00E30F2D">
        <w:rPr>
          <w:i/>
        </w:rPr>
        <w:t>Aureon Tariff Investigation Order</w:t>
      </w:r>
      <w:r w:rsidR="00E30F2D">
        <w:t xml:space="preserve">, the Commission found that CenturyLink was the competing incumbent LEC Aureon should benchmark to, and not </w:t>
      </w:r>
      <w:r w:rsidR="00345CF2">
        <w:t xml:space="preserve">the </w:t>
      </w:r>
      <w:r w:rsidR="00E30F2D">
        <w:t>NECA.</w:t>
      </w:r>
      <w:r>
        <w:rPr>
          <w:rStyle w:val="FootnoteReference"/>
        </w:rPr>
        <w:footnoteReference w:id="35"/>
      </w:r>
      <w:r w:rsidR="00E30F2D">
        <w:t xml:space="preserve">  </w:t>
      </w:r>
      <w:r w:rsidR="000C4C6E">
        <w:t>In its Direct Case</w:t>
      </w:r>
      <w:r w:rsidR="00474831">
        <w:t>,</w:t>
      </w:r>
      <w:r w:rsidR="000C4C6E">
        <w:t xml:space="preserve"> </w:t>
      </w:r>
      <w:r w:rsidR="00E30F2D">
        <w:t xml:space="preserve">SDN must justify its use of both CenturyLink and NECA as the carriers to which it </w:t>
      </w:r>
      <w:r w:rsidR="008C7A90">
        <w:t xml:space="preserve">should </w:t>
      </w:r>
      <w:r w:rsidR="00E30F2D">
        <w:t xml:space="preserve">benchmark.  </w:t>
      </w:r>
    </w:p>
    <w:p w:rsidR="003024BD" w:rsidP="00BE0F7D">
      <w:pPr>
        <w:pStyle w:val="ParaNum"/>
        <w:widowControl/>
      </w:pPr>
      <w:r>
        <w:t>As an initial matter, w</w:t>
      </w:r>
      <w:r w:rsidR="00745982">
        <w:t>e recognize that SDN has tariffed a rate based on its cost</w:t>
      </w:r>
      <w:r w:rsidR="0051790C">
        <w:t>s</w:t>
      </w:r>
      <w:r w:rsidR="00745982">
        <w:t xml:space="preserve"> </w:t>
      </w:r>
      <w:r>
        <w:t>rather than</w:t>
      </w:r>
      <w:r w:rsidR="00745982">
        <w:t xml:space="preserve"> a benchmark rate, because the benchmark rate it calculated was higher than its cost-based rate.</w:t>
      </w:r>
      <w:r>
        <w:rPr>
          <w:rStyle w:val="FootnoteReference"/>
          <w:szCs w:val="22"/>
        </w:rPr>
        <w:footnoteReference w:id="36"/>
      </w:r>
      <w:r w:rsidR="00745982">
        <w:t xml:space="preserve">  We nonetheless must determine if SDN’s benchmark rate calculation was accurate to determine if the benchmark rate </w:t>
      </w:r>
      <w:r w:rsidR="00745982">
        <w:t>actually might</w:t>
      </w:r>
      <w:r w:rsidR="00745982">
        <w:t xml:space="preserve"> be lower than the cost-based rate.  </w:t>
      </w:r>
      <w:r w:rsidR="00037465">
        <w:t>SDN</w:t>
      </w:r>
      <w:r w:rsidRPr="004C403E" w:rsidR="00037465">
        <w:t xml:space="preserve"> </w:t>
      </w:r>
      <w:r w:rsidR="007F44C5">
        <w:t xml:space="preserve">created a </w:t>
      </w:r>
      <w:r w:rsidRPr="004C403E" w:rsidR="00E91F1A">
        <w:t xml:space="preserve">benchmark </w:t>
      </w:r>
      <w:r w:rsidR="00037465">
        <w:t xml:space="preserve">rate </w:t>
      </w:r>
      <w:r w:rsidR="00C71253">
        <w:t xml:space="preserve">for </w:t>
      </w:r>
      <w:r w:rsidR="00E30F2D">
        <w:t>its tariffed interstate switched access service</w:t>
      </w:r>
      <w:r w:rsidR="00C71253">
        <w:t xml:space="preserve"> </w:t>
      </w:r>
      <w:r w:rsidR="007F44C5">
        <w:t xml:space="preserve">by combining a rate of </w:t>
      </w:r>
      <w:r w:rsidR="005075D2">
        <w:t>$</w:t>
      </w:r>
      <w:r w:rsidR="007152B8">
        <w:t>0</w:t>
      </w:r>
      <w:r w:rsidR="00F55A8A">
        <w:t>.</w:t>
      </w:r>
      <w:r w:rsidR="005075D2">
        <w:t>002288 for</w:t>
      </w:r>
      <w:r w:rsidRPr="004C403E" w:rsidR="00E91F1A">
        <w:t xml:space="preserve"> </w:t>
      </w:r>
      <w:r w:rsidR="00037465">
        <w:t xml:space="preserve">tandem </w:t>
      </w:r>
      <w:r w:rsidRPr="004C403E" w:rsidR="00037465">
        <w:t>switch</w:t>
      </w:r>
      <w:r w:rsidR="00037465">
        <w:t>ing</w:t>
      </w:r>
      <w:r w:rsidRPr="004C403E" w:rsidR="00E91F1A">
        <w:t xml:space="preserve"> service </w:t>
      </w:r>
      <w:r w:rsidR="005075D2">
        <w:t>from CenturyLink Tariff F</w:t>
      </w:r>
      <w:r w:rsidR="00474831">
        <w:t>.</w:t>
      </w:r>
      <w:r w:rsidR="005075D2">
        <w:t>C</w:t>
      </w:r>
      <w:r w:rsidR="00474831">
        <w:t>.</w:t>
      </w:r>
      <w:r w:rsidR="005075D2">
        <w:t>C</w:t>
      </w:r>
      <w:r w:rsidR="00474831">
        <w:t>.</w:t>
      </w:r>
      <w:r w:rsidR="005075D2">
        <w:t xml:space="preserve"> No. 11 and a </w:t>
      </w:r>
      <w:r w:rsidR="007152B8">
        <w:t>rate</w:t>
      </w:r>
      <w:r w:rsidR="005075D2">
        <w:t xml:space="preserve"> of $</w:t>
      </w:r>
      <w:r w:rsidR="007152B8">
        <w:t>0</w:t>
      </w:r>
      <w:r w:rsidR="005075D2">
        <w:t xml:space="preserve">.01195 for equal access service </w:t>
      </w:r>
      <w:r w:rsidR="00C149DD">
        <w:t xml:space="preserve">based on the “weighted average differential between premium and non-premium originating local switching rates in the NECA tariff,” which SDN claims </w:t>
      </w:r>
      <w:r w:rsidR="00E30F2D">
        <w:t>includes the</w:t>
      </w:r>
      <w:r w:rsidR="00C149DD">
        <w:t xml:space="preserve"> provision </w:t>
      </w:r>
      <w:r w:rsidR="007152B8">
        <w:t>of equal access functionality</w:t>
      </w:r>
      <w:r w:rsidR="00100E30">
        <w:t>,</w:t>
      </w:r>
      <w:r w:rsidR="00C149DD">
        <w:t xml:space="preserve"> </w:t>
      </w:r>
      <w:r w:rsidR="005075D2">
        <w:t xml:space="preserve">for a combined </w:t>
      </w:r>
      <w:r w:rsidR="00C63A27">
        <w:t>“</w:t>
      </w:r>
      <w:r w:rsidR="005075D2">
        <w:t>unified benchmark rate</w:t>
      </w:r>
      <w:r w:rsidR="00C63A27">
        <w:t>”</w:t>
      </w:r>
      <w:r w:rsidR="005075D2">
        <w:t xml:space="preserve"> of $</w:t>
      </w:r>
      <w:r w:rsidR="000C4C6E">
        <w:t>0</w:t>
      </w:r>
      <w:r w:rsidR="005075D2">
        <w:t>.014203.</w:t>
      </w:r>
      <w:r>
        <w:rPr>
          <w:rStyle w:val="FootnoteReference"/>
        </w:rPr>
        <w:footnoteReference w:id="37"/>
      </w:r>
      <w:r w:rsidR="005075D2">
        <w:t xml:space="preserve"> </w:t>
      </w:r>
      <w:r w:rsidR="007152B8">
        <w:t xml:space="preserve"> </w:t>
      </w:r>
      <w:r w:rsidR="00C149DD">
        <w:t xml:space="preserve">Neither SDN’s tariff filing nor its reply provide </w:t>
      </w:r>
      <w:r w:rsidR="007152B8">
        <w:t>sufficient</w:t>
      </w:r>
      <w:r w:rsidR="00C149DD">
        <w:t xml:space="preserve"> explanation or justification for its use of two different carriers</w:t>
      </w:r>
      <w:r w:rsidR="00474831">
        <w:t>, where one of them is NECA,</w:t>
      </w:r>
      <w:r w:rsidR="00C149DD">
        <w:t xml:space="preserve"> as “the competing incumbent LEC.”  It must provide an explanation and justification for doing so.</w:t>
      </w:r>
    </w:p>
    <w:p w:rsidR="009516EF" w:rsidP="00BE0F7D">
      <w:pPr>
        <w:pStyle w:val="ParaNum"/>
        <w:widowControl/>
      </w:pPr>
      <w:r>
        <w:t xml:space="preserve">Moreover, SDN effectively </w:t>
      </w:r>
      <w:r>
        <w:t>concedes that CenturyLink is the competing incumbent LEC to which it mu</w:t>
      </w:r>
      <w:r w:rsidR="00100E30">
        <w:t>st benchmark for purposes of</w:t>
      </w:r>
      <w:r>
        <w:t xml:space="preserve"> provision of</w:t>
      </w:r>
      <w:r w:rsidR="00E30F2D">
        <w:t xml:space="preserve"> its</w:t>
      </w:r>
      <w:r>
        <w:t xml:space="preserve"> </w:t>
      </w:r>
      <w:r w:rsidR="00100E30">
        <w:t>interstate</w:t>
      </w:r>
      <w:r>
        <w:t xml:space="preserve"> switching services.  </w:t>
      </w:r>
      <w:r w:rsidR="00E31EB5">
        <w:t>However,</w:t>
      </w:r>
      <w:r w:rsidR="003024BD">
        <w:t xml:space="preserve"> SDN’s tariff filing fails to assert that CenturyLink does not or would not provide the equal access </w:t>
      </w:r>
      <w:r w:rsidR="003024BD">
        <w:t>capability that SDN provides if SDN did not provide it.  In its reply</w:t>
      </w:r>
      <w:r w:rsidR="00E30F2D">
        <w:t>,</w:t>
      </w:r>
      <w:r w:rsidR="003024BD">
        <w:t xml:space="preserve"> SDN does assert that CenturyLink does not offer equal access functionality,</w:t>
      </w:r>
      <w:r>
        <w:rPr>
          <w:rStyle w:val="FootnoteReference"/>
        </w:rPr>
        <w:footnoteReference w:id="38"/>
      </w:r>
      <w:r w:rsidR="003024BD">
        <w:t xml:space="preserve"> but SDN does not explain why the Commission should allow SDN to include an equal access functionality in its tariffed rate when it is no longer obligated to provide such a service.</w:t>
      </w:r>
      <w:r>
        <w:rPr>
          <w:rStyle w:val="FootnoteReference"/>
        </w:rPr>
        <w:footnoteReference w:id="39"/>
      </w:r>
      <w:r w:rsidR="005C157C">
        <w:t xml:space="preserve"> </w:t>
      </w:r>
      <w:r w:rsidR="003024BD">
        <w:t xml:space="preserve"> </w:t>
      </w:r>
      <w:r>
        <w:t xml:space="preserve">In light of the Commission’s findings in the </w:t>
      </w:r>
      <w:r w:rsidRPr="006D5CEC">
        <w:rPr>
          <w:i/>
        </w:rPr>
        <w:t>Aureon Tariff Investigation Order</w:t>
      </w:r>
      <w:r>
        <w:t xml:space="preserve"> </w:t>
      </w:r>
      <w:r w:rsidR="001B6DF4">
        <w:t>that CenturyLink’</w:t>
      </w:r>
      <w:r w:rsidR="003024BD">
        <w:t xml:space="preserve">s switched </w:t>
      </w:r>
      <w:r w:rsidR="001B6DF4">
        <w:t>access rates</w:t>
      </w:r>
      <w:r w:rsidR="00474831">
        <w:t>, and not NECA’s,</w:t>
      </w:r>
      <w:r w:rsidR="001B6DF4">
        <w:t xml:space="preserve"> were the appropriate benchmark for Aureon, </w:t>
      </w:r>
      <w:r>
        <w:t xml:space="preserve">SDN must justify its decision to </w:t>
      </w:r>
      <w:r w:rsidR="008C7A90">
        <w:t>assert that</w:t>
      </w:r>
      <w:r>
        <w:t xml:space="preserve"> </w:t>
      </w:r>
      <w:r w:rsidR="003024BD">
        <w:t xml:space="preserve">SDN’s </w:t>
      </w:r>
      <w:r>
        <w:t xml:space="preserve">appropriate benchmark is not </w:t>
      </w:r>
      <w:r w:rsidR="003024BD">
        <w:t xml:space="preserve">limited to the CenturyLink rate, including its basis for interpreting the Commission’s rules to allow </w:t>
      </w:r>
      <w:r w:rsidR="00474831">
        <w:t>it to include NECA as a</w:t>
      </w:r>
      <w:r w:rsidR="003024BD">
        <w:t xml:space="preserve"> competing </w:t>
      </w:r>
      <w:r w:rsidR="00474831">
        <w:t xml:space="preserve">incumbent </w:t>
      </w:r>
      <w:r w:rsidR="003024BD">
        <w:t>LEC to which it m</w:t>
      </w:r>
      <w:r w:rsidR="00E30F2D">
        <w:t xml:space="preserve">ay </w:t>
      </w:r>
      <w:r w:rsidR="003024BD">
        <w:t>benchmark its rates.</w:t>
      </w:r>
      <w:r w:rsidR="00BB2476">
        <w:t xml:space="preserve">  </w:t>
      </w:r>
    </w:p>
    <w:p w:rsidR="00BC43C9" w:rsidP="00745982">
      <w:pPr>
        <w:pStyle w:val="ParaNum"/>
      </w:pPr>
      <w:r>
        <w:t xml:space="preserve">Even if SDN </w:t>
      </w:r>
      <w:r w:rsidR="00E30F2D">
        <w:t>i</w:t>
      </w:r>
      <w:r w:rsidR="00C149DD">
        <w:t>s justified in i</w:t>
      </w:r>
      <w:r w:rsidR="003024BD">
        <w:t xml:space="preserve">dentifying a second competing </w:t>
      </w:r>
      <w:r w:rsidR="00C149DD">
        <w:t xml:space="preserve">incumbent LEC to reflect </w:t>
      </w:r>
      <w:r>
        <w:t xml:space="preserve">the CEA services SDN offers, </w:t>
      </w:r>
      <w:r w:rsidR="003024BD">
        <w:t>in its D</w:t>
      </w:r>
      <w:r w:rsidR="00D40D6A">
        <w:t>irect C</w:t>
      </w:r>
      <w:r w:rsidR="003024BD">
        <w:t xml:space="preserve">ase </w:t>
      </w:r>
      <w:r>
        <w:t xml:space="preserve">SDN </w:t>
      </w:r>
      <w:r w:rsidR="00C149DD">
        <w:t xml:space="preserve">must justify its use of </w:t>
      </w:r>
      <w:r w:rsidR="00E30F2D">
        <w:t xml:space="preserve">a </w:t>
      </w:r>
      <w:r w:rsidR="00C149DD">
        <w:t>weighted average differential between premium and non-premium originating local switching rates in the NECA tariff</w:t>
      </w:r>
      <w:r w:rsidR="003024BD">
        <w:t xml:space="preserve">.  </w:t>
      </w:r>
      <w:r w:rsidR="00BE0F7D">
        <w:t xml:space="preserve">According to </w:t>
      </w:r>
      <w:r w:rsidR="00C11BB1">
        <w:t>S</w:t>
      </w:r>
      <w:r w:rsidR="00140AB3">
        <w:t>DN</w:t>
      </w:r>
      <w:r w:rsidR="00BE0F7D">
        <w:t>,</w:t>
      </w:r>
      <w:r w:rsidR="00140AB3">
        <w:t xml:space="preserve"> NECA’s tariff for local end office switching contains different rates </w:t>
      </w:r>
      <w:r w:rsidR="00ED0BD3">
        <w:t xml:space="preserve">depending on whether </w:t>
      </w:r>
      <w:r w:rsidR="00140AB3">
        <w:t xml:space="preserve">equal access </w:t>
      </w:r>
      <w:r w:rsidR="00774341">
        <w:t xml:space="preserve">functionality </w:t>
      </w:r>
      <w:r w:rsidR="00140AB3">
        <w:t>is provided.</w:t>
      </w:r>
      <w:r>
        <w:rPr>
          <w:rStyle w:val="FootnoteReference"/>
        </w:rPr>
        <w:footnoteReference w:id="40"/>
      </w:r>
      <w:r w:rsidR="00140AB3">
        <w:t xml:space="preserve">  SDN does not provide local end office switching service</w:t>
      </w:r>
      <w:r>
        <w:rPr>
          <w:rStyle w:val="FootnoteReference"/>
        </w:rPr>
        <w:footnoteReference w:id="41"/>
      </w:r>
      <w:r w:rsidR="00140AB3">
        <w:t xml:space="preserve"> so </w:t>
      </w:r>
      <w:r w:rsidR="0056573B">
        <w:t xml:space="preserve">it must explain and justify </w:t>
      </w:r>
      <w:r w:rsidR="00140AB3">
        <w:t xml:space="preserve">why NECA rates </w:t>
      </w:r>
      <w:r w:rsidR="00FE2CF5">
        <w:t xml:space="preserve">for that </w:t>
      </w:r>
      <w:r w:rsidR="0056573B">
        <w:t xml:space="preserve">local end office </w:t>
      </w:r>
      <w:r w:rsidR="00FE2CF5">
        <w:t xml:space="preserve">service </w:t>
      </w:r>
      <w:r w:rsidR="00F42676">
        <w:t xml:space="preserve">functionality </w:t>
      </w:r>
      <w:r w:rsidR="0056573B">
        <w:t xml:space="preserve">should </w:t>
      </w:r>
      <w:r w:rsidR="00FE2CF5">
        <w:t xml:space="preserve">be used </w:t>
      </w:r>
      <w:r w:rsidR="00140AB3">
        <w:t xml:space="preserve">in </w:t>
      </w:r>
      <w:r w:rsidR="00FE2CF5">
        <w:t>SDN’s</w:t>
      </w:r>
      <w:r w:rsidR="00140AB3">
        <w:t xml:space="preserve"> benchmark calculation</w:t>
      </w:r>
      <w:r w:rsidR="0056573B">
        <w:t>.</w:t>
      </w:r>
      <w:r>
        <w:rPr>
          <w:rStyle w:val="FootnoteReference"/>
        </w:rPr>
        <w:footnoteReference w:id="42"/>
      </w:r>
      <w:r w:rsidR="00140AB3">
        <w:t xml:space="preserve">  </w:t>
      </w:r>
      <w:r w:rsidR="008C7A90">
        <w:t xml:space="preserve">In the </w:t>
      </w:r>
      <w:r w:rsidRPr="00BE0F7D" w:rsidR="008C7A90">
        <w:rPr>
          <w:i/>
        </w:rPr>
        <w:t>Aureon Tariff Investigation Order</w:t>
      </w:r>
      <w:r w:rsidR="008C7A90">
        <w:t>, the Commission found that CenturyLink would provide the switched access service that Aureon provided (here SDN) if Aureon did not, and not the NECA carriers.</w:t>
      </w:r>
      <w:r>
        <w:rPr>
          <w:rStyle w:val="FootnoteReference"/>
        </w:rPr>
        <w:footnoteReference w:id="43"/>
      </w:r>
      <w:r w:rsidR="008C7A90">
        <w:t xml:space="preserve">  SDN must explain and justify why these same questions, regarding which carrier would provide the switched access service if SDN did not, do or do not apply to it.  </w:t>
      </w:r>
    </w:p>
    <w:p w:rsidR="00E91F1A" w:rsidP="00E91F1A">
      <w:pPr>
        <w:pStyle w:val="ParaNum"/>
      </w:pPr>
      <w:r>
        <w:t>In apparent support of using the NECA rate, S</w:t>
      </w:r>
      <w:r w:rsidR="00B8337E">
        <w:t>DN asserts that “[t]he majority of SDN’s CEA minutes are associated with Routing Exchange Carriers [SDN’s subtending LECs] participating in the NECA tariff.”</w:t>
      </w:r>
      <w:r>
        <w:rPr>
          <w:rStyle w:val="FootnoteReference"/>
        </w:rPr>
        <w:footnoteReference w:id="44"/>
      </w:r>
      <w:r w:rsidR="00B8337E">
        <w:t xml:space="preserve">  </w:t>
      </w:r>
      <w:r w:rsidR="002268E0">
        <w:t xml:space="preserve">In its Direct Case, SDN must </w:t>
      </w:r>
      <w:r w:rsidR="00B63E33">
        <w:t>tell us</w:t>
      </w:r>
      <w:r w:rsidR="002268E0">
        <w:t xml:space="preserve"> h</w:t>
      </w:r>
      <w:r w:rsidRPr="004C403E">
        <w:t xml:space="preserve">ow many of </w:t>
      </w:r>
      <w:r w:rsidR="004D7BA7">
        <w:t>SDN</w:t>
      </w:r>
      <w:r w:rsidRPr="004C403E" w:rsidR="004D7BA7">
        <w:t xml:space="preserve">’s </w:t>
      </w:r>
      <w:r w:rsidRPr="004C403E">
        <w:t xml:space="preserve">subtending LECs participate in the NECA tariff and </w:t>
      </w:r>
      <w:r>
        <w:t xml:space="preserve">in </w:t>
      </w:r>
      <w:r w:rsidRPr="004C403E">
        <w:t>which NECA rate</w:t>
      </w:r>
      <w:r>
        <w:t>(</w:t>
      </w:r>
      <w:r w:rsidRPr="004C403E">
        <w:t>s</w:t>
      </w:r>
      <w:r>
        <w:t>)</w:t>
      </w:r>
      <w:r w:rsidR="001814FD">
        <w:t xml:space="preserve"> they participate.</w:t>
      </w:r>
      <w:r w:rsidRPr="004C403E">
        <w:t xml:space="preserve">  </w:t>
      </w:r>
      <w:r w:rsidR="004D7BA7">
        <w:t>SDN</w:t>
      </w:r>
      <w:r w:rsidRPr="004C403E" w:rsidR="004D7BA7">
        <w:t xml:space="preserve"> </w:t>
      </w:r>
      <w:r w:rsidR="008B4385">
        <w:t>must also</w:t>
      </w:r>
      <w:r w:rsidRPr="004C403E">
        <w:t xml:space="preserve"> address how </w:t>
      </w:r>
      <w:r>
        <w:t>a subtending incumbent LEC</w:t>
      </w:r>
      <w:r w:rsidRPr="004C403E">
        <w:t xml:space="preserve"> that partners with </w:t>
      </w:r>
      <w:r w:rsidR="004D7BA7">
        <w:t>SDN</w:t>
      </w:r>
      <w:r w:rsidRPr="004C403E" w:rsidR="004D7BA7">
        <w:t xml:space="preserve"> </w:t>
      </w:r>
      <w:r w:rsidRPr="004C403E">
        <w:t>to provide access services to IXCs for the origination and termination of traffic</w:t>
      </w:r>
      <w:r>
        <w:t xml:space="preserve"> </w:t>
      </w:r>
      <w:r w:rsidR="004D7BA7">
        <w:t xml:space="preserve">could </w:t>
      </w:r>
      <w:r w:rsidR="004D7BA7">
        <w:t>be</w:t>
      </w:r>
      <w:r w:rsidRPr="004C403E" w:rsidR="004D7BA7">
        <w:t xml:space="preserve"> </w:t>
      </w:r>
      <w:r w:rsidRPr="004C403E">
        <w:t>considered to be</w:t>
      </w:r>
      <w:r w:rsidRPr="004C403E">
        <w:t xml:space="preserve"> competing with </w:t>
      </w:r>
      <w:r w:rsidR="004D7BA7">
        <w:t>SDN</w:t>
      </w:r>
      <w:r w:rsidRPr="004C403E" w:rsidR="004D7BA7">
        <w:t xml:space="preserve"> </w:t>
      </w:r>
      <w:r w:rsidRPr="004C403E">
        <w:t>as that term was intended and defined in the Commission’s rules</w:t>
      </w:r>
      <w:r w:rsidR="004D7BA7">
        <w:t>, and therefore might justify SDN benchmarking its rate to the NECA</w:t>
      </w:r>
      <w:r>
        <w:t xml:space="preserve"> </w:t>
      </w:r>
      <w:r w:rsidR="004D7BA7">
        <w:t>rate</w:t>
      </w:r>
      <w:r w:rsidRPr="004C403E">
        <w:t>.</w:t>
      </w:r>
      <w:r>
        <w:t xml:space="preserve">  </w:t>
      </w:r>
      <w:r w:rsidR="00D25C82">
        <w:t xml:space="preserve">In doing so, SDN </w:t>
      </w:r>
      <w:r>
        <w:t xml:space="preserve">should explain why the </w:t>
      </w:r>
      <w:r w:rsidR="00816400">
        <w:t>Commission</w:t>
      </w:r>
      <w:r>
        <w:t xml:space="preserve"> should find it appropriate for </w:t>
      </w:r>
      <w:r w:rsidR="008C7A90">
        <w:t xml:space="preserve">SDN to benchmark in part to the NECA </w:t>
      </w:r>
      <w:r>
        <w:t xml:space="preserve">rates, when </w:t>
      </w:r>
      <w:r w:rsidR="0075573D">
        <w:t>the Commission</w:t>
      </w:r>
      <w:r>
        <w:t xml:space="preserve"> rejected doing so in the case of Aureon.</w:t>
      </w:r>
    </w:p>
    <w:p w:rsidR="00AE0C78" w:rsidP="00AE0C78">
      <w:pPr>
        <w:pStyle w:val="ParaNum"/>
      </w:pPr>
      <w:r>
        <w:t>Further, as SDN concedes, the NECA equal access charge only applies to originating access service.</w:t>
      </w:r>
      <w:r>
        <w:rPr>
          <w:rStyle w:val="FootnoteReference"/>
        </w:rPr>
        <w:footnoteReference w:id="45"/>
      </w:r>
      <w:r>
        <w:t xml:space="preserve">  Yet, SDN’s calculated benchmark rate would apply to both originating and terminating access</w:t>
      </w:r>
      <w:r w:rsidR="001814FD">
        <w:t xml:space="preserve"> services</w:t>
      </w:r>
      <w:r>
        <w:t>.</w:t>
      </w:r>
      <w:r>
        <w:rPr>
          <w:rStyle w:val="FootnoteReference"/>
        </w:rPr>
        <w:footnoteReference w:id="46"/>
      </w:r>
      <w:r>
        <w:t xml:space="preserve">  In its Direct Case SDN must provide a justification for including the equal access service component in the terminating switched access rate when SDN’s terminating switched access does not include the provision of that functionality.  </w:t>
      </w:r>
      <w:r w:rsidR="00474831">
        <w:t>In addition, SDN must explain and justify including the equal access service component in all originating switched access rates as that functionality may not be provided for all calls originating from every one of its subtending LECs.</w:t>
      </w:r>
    </w:p>
    <w:p w:rsidR="00E91F1A" w:rsidRPr="004C403E" w:rsidP="00E91F1A">
      <w:pPr>
        <w:pStyle w:val="Heading1"/>
        <w:spacing w:before="120"/>
      </w:pPr>
      <w:bookmarkEnd w:id="4"/>
      <w:r w:rsidRPr="004C403E">
        <w:t>procedural matters</w:t>
      </w:r>
    </w:p>
    <w:p w:rsidR="00E91F1A" w:rsidRPr="004C403E" w:rsidP="00E91F1A">
      <w:pPr>
        <w:pStyle w:val="ParaNum"/>
        <w:spacing w:before="120"/>
      </w:pPr>
      <w:r>
        <w:rPr>
          <w:i/>
          <w:szCs w:val="22"/>
        </w:rPr>
        <w:t>Filing Schedules</w:t>
      </w:r>
      <w:r>
        <w:rPr>
          <w:szCs w:val="22"/>
        </w:rPr>
        <w:t xml:space="preserve">. </w:t>
      </w:r>
      <w:r>
        <w:rPr>
          <w:i/>
          <w:szCs w:val="22"/>
        </w:rPr>
        <w:t xml:space="preserve"> </w:t>
      </w:r>
      <w:r w:rsidRPr="004C403E">
        <w:rPr>
          <w:szCs w:val="22"/>
        </w:rPr>
        <w:t xml:space="preserve">This investigation </w:t>
      </w:r>
      <w:r w:rsidR="00B957E4">
        <w:rPr>
          <w:szCs w:val="22"/>
        </w:rPr>
        <w:t>is designated WC Docket No. 18-10</w:t>
      </w:r>
      <w:r w:rsidRPr="004C403E">
        <w:rPr>
          <w:szCs w:val="22"/>
        </w:rPr>
        <w:t xml:space="preserve">0.  </w:t>
      </w:r>
      <w:r w:rsidR="00B957E4">
        <w:rPr>
          <w:szCs w:val="22"/>
        </w:rPr>
        <w:t>South Dakota</w:t>
      </w:r>
      <w:r w:rsidRPr="004C403E">
        <w:rPr>
          <w:szCs w:val="22"/>
        </w:rPr>
        <w:t xml:space="preserve"> Network</w:t>
      </w:r>
      <w:r w:rsidR="00B957E4">
        <w:rPr>
          <w:szCs w:val="22"/>
        </w:rPr>
        <w:t>, LLC</w:t>
      </w:r>
      <w:r w:rsidRPr="004C403E">
        <w:rPr>
          <w:szCs w:val="22"/>
        </w:rPr>
        <w:t xml:space="preserve"> (d/b/a </w:t>
      </w:r>
      <w:r w:rsidR="00B957E4">
        <w:rPr>
          <w:szCs w:val="22"/>
        </w:rPr>
        <w:t>SDN</w:t>
      </w:r>
      <w:r w:rsidRPr="004C403E">
        <w:rPr>
          <w:szCs w:val="22"/>
        </w:rPr>
        <w:t>) is designated as a party to this investigation of the listed tariff filing.</w:t>
      </w:r>
    </w:p>
    <w:p w:rsidR="00E91F1A" w:rsidRPr="004C403E" w:rsidP="00BF17F5">
      <w:pPr>
        <w:pStyle w:val="ParaNum"/>
      </w:pPr>
      <w:r>
        <w:rPr>
          <w:szCs w:val="22"/>
        </w:rPr>
        <w:t>SDN shall file its Direct C</w:t>
      </w:r>
      <w:r w:rsidRPr="004C403E">
        <w:rPr>
          <w:szCs w:val="22"/>
        </w:rPr>
        <w:t xml:space="preserve">ase no later than </w:t>
      </w:r>
      <w:r w:rsidR="00816400">
        <w:rPr>
          <w:b/>
          <w:szCs w:val="22"/>
        </w:rPr>
        <w:t>December 11</w:t>
      </w:r>
      <w:r w:rsidRPr="004C403E">
        <w:rPr>
          <w:szCs w:val="22"/>
        </w:rPr>
        <w:t>,</w:t>
      </w:r>
      <w:r w:rsidRPr="004C403E">
        <w:rPr>
          <w:b/>
          <w:szCs w:val="22"/>
        </w:rPr>
        <w:t xml:space="preserve"> 2018</w:t>
      </w:r>
      <w:r>
        <w:rPr>
          <w:szCs w:val="22"/>
        </w:rPr>
        <w:t>.  The Direct C</w:t>
      </w:r>
      <w:r w:rsidRPr="004C403E">
        <w:rPr>
          <w:szCs w:val="22"/>
        </w:rPr>
        <w:t xml:space="preserve">ase must present </w:t>
      </w:r>
      <w:r>
        <w:rPr>
          <w:szCs w:val="22"/>
        </w:rPr>
        <w:t>SDN’s</w:t>
      </w:r>
      <w:r w:rsidRPr="004C403E">
        <w:rPr>
          <w:szCs w:val="22"/>
        </w:rPr>
        <w:t xml:space="preserve"> position with respect to the issues described in this Order</w:t>
      </w:r>
      <w:r>
        <w:rPr>
          <w:szCs w:val="22"/>
        </w:rPr>
        <w:t>.  Pleadings responding to the Direct Case</w:t>
      </w:r>
      <w:r w:rsidRPr="004C403E">
        <w:rPr>
          <w:szCs w:val="22"/>
        </w:rPr>
        <w:t xml:space="preserve"> may be filed no later than </w:t>
      </w:r>
      <w:r w:rsidR="00816400">
        <w:rPr>
          <w:b/>
          <w:szCs w:val="22"/>
        </w:rPr>
        <w:t>December 18</w:t>
      </w:r>
      <w:r w:rsidRPr="004C403E">
        <w:rPr>
          <w:b/>
          <w:szCs w:val="22"/>
        </w:rPr>
        <w:t>, 2018</w:t>
      </w:r>
      <w:r w:rsidRPr="004C403E">
        <w:rPr>
          <w:szCs w:val="22"/>
        </w:rPr>
        <w:t>, and</w:t>
      </w:r>
      <w:r w:rsidRPr="004C403E">
        <w:rPr>
          <w:szCs w:val="22"/>
        </w:rPr>
        <w:t xml:space="preserve"> must be captioned “Oppositions to Direct Case” or “Comments on Direct Case.”  </w:t>
      </w:r>
      <w:r w:rsidR="008353AE">
        <w:rPr>
          <w:szCs w:val="22"/>
        </w:rPr>
        <w:t>Additional pleadings will not be permitted or considered,</w:t>
      </w:r>
      <w:r>
        <w:rPr>
          <w:rStyle w:val="FootnoteReference"/>
          <w:szCs w:val="22"/>
        </w:rPr>
        <w:footnoteReference w:id="47"/>
      </w:r>
      <w:r w:rsidR="008353AE">
        <w:rPr>
          <w:szCs w:val="22"/>
        </w:rPr>
        <w:t xml:space="preserve"> but </w:t>
      </w:r>
      <w:r w:rsidRPr="00D850F7" w:rsidR="008353AE">
        <w:rPr>
          <w:i/>
          <w:szCs w:val="22"/>
        </w:rPr>
        <w:t>ex parte</w:t>
      </w:r>
      <w:r w:rsidR="008353AE">
        <w:rPr>
          <w:szCs w:val="22"/>
        </w:rPr>
        <w:t xml:space="preserve"> presentations will be accepted until </w:t>
      </w:r>
      <w:r w:rsidRPr="00D850F7" w:rsidR="008353AE">
        <w:rPr>
          <w:b/>
          <w:szCs w:val="22"/>
        </w:rPr>
        <w:t>February 14, 2019</w:t>
      </w:r>
      <w:r w:rsidR="008353AE">
        <w:rPr>
          <w:szCs w:val="22"/>
        </w:rPr>
        <w:t>.</w:t>
      </w:r>
      <w:r>
        <w:rPr>
          <w:rStyle w:val="FootnoteReference"/>
          <w:szCs w:val="22"/>
        </w:rPr>
        <w:footnoteReference w:id="48"/>
      </w:r>
      <w:r w:rsidR="008353AE">
        <w:rPr>
          <w:szCs w:val="22"/>
        </w:rPr>
        <w:t xml:space="preserve">   </w:t>
      </w:r>
    </w:p>
    <w:p w:rsidR="00E91F1A" w:rsidRPr="004C403E" w:rsidP="00E91F1A">
      <w:pPr>
        <w:widowControl/>
        <w:numPr>
          <w:ilvl w:val="0"/>
          <w:numId w:val="8"/>
        </w:numPr>
        <w:spacing w:before="120" w:after="120"/>
      </w:pPr>
      <w:r w:rsidRPr="004C403E">
        <w:t xml:space="preserve">Electronic Filers:  Direct cases and other pleadings may be filed electronically using the Internet by accessing the ECFS: </w:t>
      </w:r>
      <w:r>
        <w:fldChar w:fldCharType="begin"/>
      </w:r>
      <w:r>
        <w:instrText xml:space="preserve"> HYPERLINK "http://fjallfoss.fcc.gov/ecfs2/" </w:instrText>
      </w:r>
      <w:r>
        <w:fldChar w:fldCharType="separate"/>
      </w:r>
      <w:r w:rsidRPr="004C403E">
        <w:rPr>
          <w:rStyle w:val="Hyperlink"/>
        </w:rPr>
        <w:t>http://fjallfoss.fcc.gov/ecfs2/</w:t>
      </w:r>
      <w:r>
        <w:fldChar w:fldCharType="end"/>
      </w:r>
      <w:r w:rsidRPr="004C403E">
        <w:t>.</w:t>
      </w:r>
    </w:p>
    <w:p w:rsidR="00E91F1A" w:rsidRPr="004C403E" w:rsidP="00E91F1A">
      <w:pPr>
        <w:widowControl/>
        <w:numPr>
          <w:ilvl w:val="0"/>
          <w:numId w:val="7"/>
        </w:numPr>
        <w:spacing w:before="120" w:after="120"/>
      </w:pPr>
      <w:r w:rsidRPr="004C403E">
        <w:t>Paper Filers:  Parties who choose to file by paper must file an original and one copy of each filing.  Paper filings can be sent by hand or messenger delivery, by commercial overnight courier, or by first-class or overnight U.S. Postal Service mail.</w:t>
      </w:r>
    </w:p>
    <w:p w:rsidR="00E91F1A" w:rsidRPr="004C403E" w:rsidP="00E91F1A">
      <w:pPr>
        <w:widowControl/>
        <w:numPr>
          <w:ilvl w:val="1"/>
          <w:numId w:val="9"/>
        </w:numPr>
        <w:spacing w:before="120" w:after="120"/>
        <w:rPr>
          <w:color w:val="000000"/>
          <w:szCs w:val="22"/>
        </w:rPr>
      </w:pPr>
      <w:r w:rsidRPr="004C403E">
        <w:rPr>
          <w:color w:val="000000"/>
          <w:szCs w:val="22"/>
        </w:rPr>
        <w:t>All hand-delivered or messenger-delivered paper filings for the Commission’s Secretary must be delivered to FCC Headquarters at 445 12</w:t>
      </w:r>
      <w:r w:rsidR="00CE554F">
        <w:rPr>
          <w:color w:val="000000"/>
          <w:szCs w:val="22"/>
        </w:rPr>
        <w:t>th</w:t>
      </w:r>
      <w:r w:rsidRPr="004C403E">
        <w:rPr>
          <w:color w:val="000000"/>
          <w:szCs w:val="22"/>
        </w:rPr>
        <w:t> St., SW, Room TW-A325, Washington, DC 20554.  The filing hours are 8:00 a.m. to 7:00 p.m.  All hand deliveries must be held together with rubber bands or fasteners.  All envelopes and boxes must be disposed of before entering the building.</w:t>
      </w:r>
    </w:p>
    <w:p w:rsidR="00E91F1A" w:rsidRPr="004C403E" w:rsidP="00E91F1A">
      <w:pPr>
        <w:widowControl/>
        <w:numPr>
          <w:ilvl w:val="1"/>
          <w:numId w:val="10"/>
        </w:numPr>
        <w:spacing w:before="120" w:after="120"/>
        <w:rPr>
          <w:color w:val="000000"/>
          <w:szCs w:val="22"/>
        </w:rPr>
      </w:pPr>
      <w:r w:rsidRPr="004C403E">
        <w:rPr>
          <w:color w:val="000000"/>
          <w:szCs w:val="22"/>
        </w:rPr>
        <w:t>Commercial overnight mail (other than U.S. Postal Service Express Mail and Priority Mail) must be sent to 9050 Junction</w:t>
      </w:r>
      <w:r w:rsidR="00647334">
        <w:rPr>
          <w:color w:val="000000"/>
          <w:szCs w:val="22"/>
        </w:rPr>
        <w:t xml:space="preserve"> Drive, Annapolis Junction, MD </w:t>
      </w:r>
      <w:r w:rsidRPr="004C403E">
        <w:rPr>
          <w:color w:val="000000"/>
          <w:szCs w:val="22"/>
        </w:rPr>
        <w:t>20701.</w:t>
      </w:r>
    </w:p>
    <w:p w:rsidR="00E91F1A" w:rsidRPr="004C403E" w:rsidP="00E91F1A">
      <w:pPr>
        <w:widowControl/>
        <w:numPr>
          <w:ilvl w:val="1"/>
          <w:numId w:val="11"/>
        </w:numPr>
        <w:spacing w:before="120" w:after="120"/>
        <w:rPr>
          <w:color w:val="000000"/>
          <w:szCs w:val="22"/>
        </w:rPr>
      </w:pPr>
      <w:r w:rsidRPr="004C403E">
        <w:rPr>
          <w:color w:val="000000"/>
          <w:szCs w:val="22"/>
        </w:rPr>
        <w:t>U.S. Postal Service first-class, Express, and Priority mail must be addressed to 445 12</w:t>
      </w:r>
      <w:r w:rsidR="00A15D9C">
        <w:rPr>
          <w:color w:val="000000"/>
          <w:szCs w:val="22"/>
        </w:rPr>
        <w:t>th</w:t>
      </w:r>
      <w:r w:rsidRPr="004C403E">
        <w:rPr>
          <w:color w:val="000000"/>
          <w:szCs w:val="22"/>
        </w:rPr>
        <w:t> Street, SW, Washington</w:t>
      </w:r>
      <w:r w:rsidR="00CE554F">
        <w:rPr>
          <w:color w:val="000000"/>
          <w:szCs w:val="22"/>
        </w:rPr>
        <w:t>, DC </w:t>
      </w:r>
      <w:r w:rsidRPr="004C403E">
        <w:rPr>
          <w:color w:val="000000"/>
          <w:szCs w:val="22"/>
        </w:rPr>
        <w:t>20554.</w:t>
      </w:r>
    </w:p>
    <w:p w:rsidR="00E91F1A" w:rsidRPr="004C403E" w:rsidP="00846106">
      <w:pPr>
        <w:widowControl/>
        <w:spacing w:before="120" w:after="120"/>
        <w:ind w:firstLine="720"/>
      </w:pPr>
      <w:r w:rsidRPr="004C403E">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4C403E">
        <w:rPr>
          <w:rStyle w:val="Hyperlink"/>
        </w:rPr>
        <w:t>fcc504@fcc.gov</w:t>
      </w:r>
      <w:r>
        <w:fldChar w:fldCharType="end"/>
      </w:r>
      <w:r w:rsidRPr="004C403E">
        <w:t xml:space="preserve"> or call the Consumer &amp; Governmental Affairs Bureau at </w:t>
      </w:r>
      <w:r w:rsidR="00CE554F">
        <w:t xml:space="preserve">(202) </w:t>
      </w:r>
      <w:r w:rsidRPr="004C403E">
        <w:t xml:space="preserve">418-0530 (voice), </w:t>
      </w:r>
      <w:r w:rsidR="00CE554F">
        <w:t>(</w:t>
      </w:r>
      <w:r w:rsidRPr="004C403E">
        <w:t>202</w:t>
      </w:r>
      <w:r w:rsidR="00CE554F">
        <w:t xml:space="preserve">) </w:t>
      </w:r>
      <w:r w:rsidRPr="004C403E">
        <w:t>418-0432 (tty).</w:t>
      </w:r>
    </w:p>
    <w:p w:rsidR="00E91F1A" w:rsidRPr="002268E0" w:rsidP="00E91F1A">
      <w:pPr>
        <w:pStyle w:val="ParaNum"/>
        <w:spacing w:before="120"/>
      </w:pPr>
      <w:r w:rsidRPr="002268E0">
        <w:rPr>
          <w:color w:val="000000"/>
          <w:szCs w:val="22"/>
        </w:rPr>
        <w:t xml:space="preserve">There is a </w:t>
      </w:r>
      <w:r w:rsidRPr="002268E0">
        <w:rPr>
          <w:i/>
          <w:color w:val="000000"/>
          <w:szCs w:val="22"/>
        </w:rPr>
        <w:t>Protective Order</w:t>
      </w:r>
      <w:r w:rsidRPr="002268E0">
        <w:rPr>
          <w:color w:val="000000"/>
          <w:szCs w:val="22"/>
        </w:rPr>
        <w:t xml:space="preserve"> in this proceeding.</w:t>
      </w:r>
      <w:r>
        <w:rPr>
          <w:rStyle w:val="FootnoteReference"/>
          <w:szCs w:val="22"/>
        </w:rPr>
        <w:footnoteReference w:id="49"/>
      </w:r>
      <w:r w:rsidRPr="002268E0">
        <w:rPr>
          <w:color w:val="000000"/>
          <w:szCs w:val="22"/>
        </w:rPr>
        <w:t xml:space="preserve">  Commenters should file any information they want afforded confidential treatment pursuant to the guidance and limitations in the </w:t>
      </w:r>
      <w:r w:rsidRPr="002268E0">
        <w:rPr>
          <w:i/>
          <w:color w:val="000000"/>
          <w:szCs w:val="22"/>
        </w:rPr>
        <w:t>Protective Order</w:t>
      </w:r>
      <w:r w:rsidRPr="002268E0">
        <w:rPr>
          <w:color w:val="000000"/>
          <w:szCs w:val="22"/>
        </w:rPr>
        <w:t>.</w:t>
      </w:r>
    </w:p>
    <w:p w:rsidR="00E91F1A" w:rsidRPr="004C403E" w:rsidP="00E91F1A">
      <w:pPr>
        <w:pStyle w:val="ParaNum"/>
      </w:pPr>
      <w:r>
        <w:rPr>
          <w:i/>
        </w:rPr>
        <w:t>Requirements for Filing of Spreadsheets</w:t>
      </w:r>
      <w:r>
        <w:t xml:space="preserve">. </w:t>
      </w:r>
      <w:r>
        <w:rPr>
          <w:i/>
        </w:rPr>
        <w:t xml:space="preserve"> </w:t>
      </w:r>
      <w:r w:rsidRPr="004C403E">
        <w:t xml:space="preserve">All spreadsheets filed </w:t>
      </w:r>
      <w:r w:rsidR="00B15125">
        <w:t>in this proceeding</w:t>
      </w:r>
      <w:r w:rsidRPr="004C403E">
        <w:t xml:space="preserve"> must be filed in fully-operational spreadsheet in native Microsoft Excel electronic format.  All spreadsheet cells </w:t>
      </w:r>
      <w:r w:rsidRPr="004C403E">
        <w:t>that contain entries that are references to or calculations based on other spreadsheet cells must inclu</w:t>
      </w:r>
      <w:bookmarkStart w:id="5" w:name="_GoBack"/>
      <w:bookmarkEnd w:id="5"/>
      <w:r w:rsidRPr="004C403E">
        <w:t>de the formula for such reference or calculation.  This includes references and calculations based on entries in different worksheets within the same workbook file.</w:t>
      </w:r>
    </w:p>
    <w:p w:rsidR="00E91F1A" w:rsidRPr="004C403E" w:rsidP="00647334">
      <w:pPr>
        <w:pStyle w:val="ParaNum"/>
        <w:widowControl/>
        <w:spacing w:before="120"/>
      </w:pPr>
      <w:r>
        <w:rPr>
          <w:i/>
          <w:szCs w:val="22"/>
        </w:rPr>
        <w:t>Ex Parte Requirements</w:t>
      </w:r>
      <w:r>
        <w:rPr>
          <w:szCs w:val="22"/>
        </w:rPr>
        <w:t xml:space="preserve">. </w:t>
      </w:r>
      <w:r>
        <w:rPr>
          <w:i/>
          <w:szCs w:val="22"/>
        </w:rPr>
        <w:t xml:space="preserve"> </w:t>
      </w:r>
      <w:r w:rsidRPr="004C403E">
        <w:rPr>
          <w:szCs w:val="22"/>
        </w:rPr>
        <w:t xml:space="preserve">This proceeding shall be treated as a “permit-but-disclose” proceeding in accordance with the Commission’s </w:t>
      </w:r>
      <w:r w:rsidRPr="004C403E">
        <w:rPr>
          <w:i/>
          <w:iCs/>
          <w:szCs w:val="22"/>
        </w:rPr>
        <w:t xml:space="preserve">ex parte </w:t>
      </w:r>
      <w:r w:rsidRPr="004C403E">
        <w:rPr>
          <w:szCs w:val="22"/>
        </w:rPr>
        <w:t>rules.</w:t>
      </w:r>
      <w:r>
        <w:rPr>
          <w:rStyle w:val="FootnoteReference"/>
          <w:szCs w:val="22"/>
        </w:rPr>
        <w:footnoteReference w:id="50"/>
      </w:r>
      <w:r w:rsidRPr="004C403E">
        <w:rPr>
          <w:szCs w:val="22"/>
        </w:rPr>
        <w:t xml:space="preserve">  Persons making </w:t>
      </w:r>
      <w:r w:rsidRPr="004C403E">
        <w:rPr>
          <w:i/>
          <w:szCs w:val="22"/>
        </w:rPr>
        <w:t xml:space="preserve">ex parte </w:t>
      </w:r>
      <w:r w:rsidRPr="004C403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C403E">
        <w:rPr>
          <w:i/>
          <w:iCs/>
          <w:szCs w:val="22"/>
        </w:rPr>
        <w:t xml:space="preserve">ex parte </w:t>
      </w:r>
      <w:r w:rsidRPr="004C403E">
        <w:rPr>
          <w:szCs w:val="22"/>
        </w:rPr>
        <w:t xml:space="preserve">presentations are reminded that memoranda summarizing the presentation must (1) list all persons attending or otherwise participating in the meeting at which the </w:t>
      </w:r>
      <w:r w:rsidRPr="004C403E">
        <w:rPr>
          <w:i/>
          <w:iCs/>
          <w:szCs w:val="22"/>
        </w:rPr>
        <w:t xml:space="preserve">ex parte </w:t>
      </w:r>
      <w:r w:rsidRPr="004C403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C403E">
        <w:rPr>
          <w:i/>
          <w:iCs/>
          <w:szCs w:val="22"/>
        </w:rPr>
        <w:t xml:space="preserve">ex parte </w:t>
      </w:r>
      <w:r w:rsidRPr="004C403E">
        <w:rPr>
          <w:szCs w:val="22"/>
        </w:rPr>
        <w:t xml:space="preserve">meetings are deemed to be written </w:t>
      </w:r>
      <w:r w:rsidRPr="004C403E">
        <w:rPr>
          <w:i/>
          <w:iCs/>
          <w:szCs w:val="22"/>
        </w:rPr>
        <w:t>ex parte</w:t>
      </w:r>
      <w:r w:rsidRPr="004C403E">
        <w:rPr>
          <w:szCs w:val="22"/>
        </w:rPr>
        <w:t xml:space="preserve"> presentations and must be filed consistent with rule 1.1206(b).  In proceedings governed by rule 1.49(f) or for which the Commission has made available a method of electronic filing, written </w:t>
      </w:r>
      <w:r w:rsidRPr="004C403E">
        <w:rPr>
          <w:i/>
          <w:iCs/>
          <w:szCs w:val="22"/>
        </w:rPr>
        <w:t xml:space="preserve">ex parte </w:t>
      </w:r>
      <w:r w:rsidRPr="004C403E">
        <w:rPr>
          <w:szCs w:val="22"/>
        </w:rPr>
        <w:t xml:space="preserve">presentations and memoranda summarizing oral </w:t>
      </w:r>
      <w:r w:rsidRPr="004C403E">
        <w:rPr>
          <w:i/>
          <w:iCs/>
          <w:szCs w:val="22"/>
        </w:rPr>
        <w:t xml:space="preserve">ex parte </w:t>
      </w:r>
      <w:r w:rsidRPr="004C403E">
        <w:rPr>
          <w:szCs w:val="22"/>
        </w:rPr>
        <w:t>presentations, and all attachments thereto, must be filed through the electronic comment filing system available for that proceeding, and must be filed in their native format (</w:t>
      </w:r>
      <w:r w:rsidRPr="004C403E">
        <w:rPr>
          <w:i/>
          <w:iCs/>
          <w:szCs w:val="22"/>
        </w:rPr>
        <w:t>e.g.</w:t>
      </w:r>
      <w:r w:rsidRPr="004C403E">
        <w:rPr>
          <w:szCs w:val="22"/>
        </w:rPr>
        <w:t xml:space="preserve">, .doc, .xml, .ppt, searchable .pdf).  Participants in this proceeding should familiarize themselves with the Commission’s </w:t>
      </w:r>
      <w:r w:rsidRPr="004C403E">
        <w:rPr>
          <w:i/>
          <w:iCs/>
          <w:szCs w:val="22"/>
        </w:rPr>
        <w:t xml:space="preserve">ex parte </w:t>
      </w:r>
      <w:r w:rsidRPr="004C403E">
        <w:rPr>
          <w:iCs/>
          <w:szCs w:val="22"/>
        </w:rPr>
        <w:t>rules.</w:t>
      </w:r>
    </w:p>
    <w:p w:rsidR="00E91F1A" w:rsidRPr="004C403E" w:rsidP="00E91F1A">
      <w:pPr>
        <w:pStyle w:val="ParaNum"/>
        <w:spacing w:before="120"/>
      </w:pPr>
      <w:r>
        <w:rPr>
          <w:i/>
          <w:szCs w:val="22"/>
        </w:rPr>
        <w:t xml:space="preserve">Paperwork Reduction </w:t>
      </w:r>
      <w:r w:rsidRPr="00367080">
        <w:rPr>
          <w:i/>
          <w:szCs w:val="22"/>
        </w:rPr>
        <w:t>Act</w:t>
      </w:r>
      <w:r>
        <w:rPr>
          <w:szCs w:val="22"/>
        </w:rPr>
        <w:t xml:space="preserve">.  </w:t>
      </w:r>
      <w:r w:rsidRPr="00367080">
        <w:rPr>
          <w:szCs w:val="22"/>
        </w:rPr>
        <w:t>This</w:t>
      </w:r>
      <w:r w:rsidRPr="004C403E">
        <w:rPr>
          <w:szCs w:val="22"/>
        </w:rPr>
        <w:t xml:space="preserve"> Order designating issues for investigation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4C403E">
        <w:rPr>
          <w:i/>
          <w:szCs w:val="22"/>
        </w:rPr>
        <w:t xml:space="preserve">see </w:t>
      </w:r>
      <w:r w:rsidRPr="004C403E">
        <w:rPr>
          <w:szCs w:val="22"/>
        </w:rPr>
        <w:t>47 U.S.C. § 3506(c)(4).</w:t>
      </w:r>
    </w:p>
    <w:p w:rsidR="00E91F1A" w:rsidP="00E91F1A">
      <w:pPr>
        <w:pStyle w:val="ParaNum"/>
      </w:pPr>
      <w:r>
        <w:rPr>
          <w:i/>
        </w:rPr>
        <w:t>Contact Person</w:t>
      </w:r>
      <w:r>
        <w:t xml:space="preserve">. </w:t>
      </w:r>
      <w:r>
        <w:rPr>
          <w:i/>
        </w:rPr>
        <w:t xml:space="preserve"> </w:t>
      </w:r>
      <w:r w:rsidRPr="004C403E">
        <w:t xml:space="preserve">For further information about this proceeding, please contact </w:t>
      </w:r>
      <w:r w:rsidR="00CE554F">
        <w:t>Christopher S. Koves</w:t>
      </w:r>
      <w:r w:rsidRPr="004C403E" w:rsidR="00CE554F">
        <w:t>, Wireline Competition Bureau, Pricing Policy Division</w:t>
      </w:r>
      <w:r w:rsidR="00CE554F">
        <w:t xml:space="preserve">, </w:t>
      </w:r>
      <w:r w:rsidRPr="004C403E" w:rsidR="00CE554F">
        <w:t>445 12</w:t>
      </w:r>
      <w:r w:rsidR="00CE554F">
        <w:t>th</w:t>
      </w:r>
      <w:r w:rsidRPr="004C403E" w:rsidR="00CE554F">
        <w:t xml:space="preserve"> </w:t>
      </w:r>
      <w:r w:rsidRPr="004C403E">
        <w:t>Street, S.W., Washin</w:t>
      </w:r>
      <w:r w:rsidR="00B957E4">
        <w:t>gton, D.C. 20554, (202) 418-8209</w:t>
      </w:r>
      <w:r w:rsidRPr="004C403E">
        <w:t xml:space="preserve">, </w:t>
      </w:r>
      <w:r>
        <w:fldChar w:fldCharType="begin"/>
      </w:r>
      <w:r>
        <w:instrText xml:space="preserve"> HYPERLINK "mailto:Christopher.Koves@fcc.gov" </w:instrText>
      </w:r>
      <w:r>
        <w:fldChar w:fldCharType="separate"/>
      </w:r>
      <w:r w:rsidRPr="002D4515" w:rsidR="00B957E4">
        <w:rPr>
          <w:rStyle w:val="Hyperlink"/>
        </w:rPr>
        <w:t>Christopher.Koves@fcc.gov</w:t>
      </w:r>
      <w:r>
        <w:fldChar w:fldCharType="end"/>
      </w:r>
      <w:r w:rsidR="00FB6F74">
        <w:t>.</w:t>
      </w:r>
    </w:p>
    <w:p w:rsidR="00E91F1A" w:rsidRPr="004C403E" w:rsidP="00E91F1A">
      <w:pPr>
        <w:pStyle w:val="Heading1"/>
        <w:spacing w:before="120"/>
      </w:pPr>
      <w:r w:rsidRPr="004C403E">
        <w:t>ordering clauses</w:t>
      </w:r>
    </w:p>
    <w:p w:rsidR="00E91F1A" w:rsidRPr="004C403E" w:rsidP="00E91F1A">
      <w:pPr>
        <w:pStyle w:val="ParaNum"/>
        <w:spacing w:before="120"/>
      </w:pPr>
      <w:r w:rsidRPr="004C403E">
        <w:rPr>
          <w:szCs w:val="22"/>
        </w:rPr>
        <w:t>ACCORDINGLY, IT IS ORDERED that, pursuant to sections 4(i), 4(j), 201(b), 203(c), 204(a), 205 and 403 of the Communications Act, 47 U.S.C. §§ 154(i), 154(j), 201(b), 203(c), 204(a), 205, and 403, and sections 0.91 and 0.291 of the Commission’s rules, 4</w:t>
      </w:r>
      <w:r w:rsidR="00961ACC">
        <w:rPr>
          <w:szCs w:val="22"/>
        </w:rPr>
        <w:t>7 CFR §§ 0.91, 0.291, the issue</w:t>
      </w:r>
      <w:r w:rsidRPr="004C403E">
        <w:rPr>
          <w:szCs w:val="22"/>
        </w:rPr>
        <w:t xml:space="preserve"> set forth in this Order </w:t>
      </w:r>
      <w:r w:rsidR="00961ACC">
        <w:rPr>
          <w:szCs w:val="22"/>
        </w:rPr>
        <w:t>IS</w:t>
      </w:r>
      <w:r w:rsidRPr="004C403E">
        <w:rPr>
          <w:szCs w:val="22"/>
        </w:rPr>
        <w:t xml:space="preserve"> DESIGNATED FOR INVESTIGATION.</w:t>
      </w:r>
    </w:p>
    <w:p w:rsidR="00E91F1A" w:rsidRPr="0024003D" w:rsidP="00E91F1A">
      <w:pPr>
        <w:pStyle w:val="ParaNum"/>
        <w:spacing w:before="120"/>
      </w:pPr>
      <w:r w:rsidRPr="004C403E">
        <w:rPr>
          <w:szCs w:val="22"/>
        </w:rPr>
        <w:t xml:space="preserve">IT IS FURTHER ORDERED that </w:t>
      </w:r>
      <w:r w:rsidR="00B957E4">
        <w:rPr>
          <w:szCs w:val="22"/>
        </w:rPr>
        <w:t>South Dakota</w:t>
      </w:r>
      <w:r w:rsidRPr="004C403E">
        <w:rPr>
          <w:szCs w:val="22"/>
        </w:rPr>
        <w:t xml:space="preserve"> Network</w:t>
      </w:r>
      <w:r w:rsidR="00B957E4">
        <w:rPr>
          <w:szCs w:val="22"/>
        </w:rPr>
        <w:t>, LLC</w:t>
      </w:r>
      <w:r w:rsidRPr="004C403E">
        <w:rPr>
          <w:szCs w:val="22"/>
        </w:rPr>
        <w:t xml:space="preserve"> (d/b/a </w:t>
      </w:r>
      <w:r w:rsidR="00B957E4">
        <w:rPr>
          <w:szCs w:val="22"/>
        </w:rPr>
        <w:t>SDN</w:t>
      </w:r>
      <w:r w:rsidRPr="004C403E">
        <w:rPr>
          <w:szCs w:val="22"/>
        </w:rPr>
        <w:t>) IS a party to this proceeding.</w:t>
      </w: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24003D" w:rsidP="0024003D">
      <w:pPr>
        <w:pStyle w:val="ParaNum"/>
        <w:numPr>
          <w:ilvl w:val="0"/>
          <w:numId w:val="0"/>
        </w:numPr>
        <w:spacing w:before="120"/>
        <w:ind w:firstLine="720"/>
        <w:rPr>
          <w:szCs w:val="22"/>
        </w:rPr>
      </w:pPr>
    </w:p>
    <w:p w:rsidR="00E91F1A" w:rsidRPr="004C403E" w:rsidP="00B957E4">
      <w:pPr>
        <w:pStyle w:val="ParaNum"/>
        <w:spacing w:before="120"/>
      </w:pPr>
      <w:r w:rsidRPr="004C403E">
        <w:rPr>
          <w:szCs w:val="22"/>
        </w:rPr>
        <w:t xml:space="preserve">IT IS FURTHER ORDERED that </w:t>
      </w:r>
      <w:r w:rsidR="00B957E4">
        <w:rPr>
          <w:szCs w:val="22"/>
        </w:rPr>
        <w:t>South Dakota</w:t>
      </w:r>
      <w:r w:rsidRPr="004C403E">
        <w:rPr>
          <w:szCs w:val="22"/>
        </w:rPr>
        <w:t xml:space="preserve"> Network</w:t>
      </w:r>
      <w:r w:rsidR="00B957E4">
        <w:rPr>
          <w:szCs w:val="22"/>
        </w:rPr>
        <w:t xml:space="preserve">, LLC </w:t>
      </w:r>
      <w:r w:rsidRPr="004C403E">
        <w:rPr>
          <w:szCs w:val="22"/>
        </w:rPr>
        <w:t xml:space="preserve">(d/b/a </w:t>
      </w:r>
      <w:r w:rsidR="00B957E4">
        <w:rPr>
          <w:szCs w:val="22"/>
        </w:rPr>
        <w:t>SDN</w:t>
      </w:r>
      <w:r w:rsidRPr="004C403E">
        <w:rPr>
          <w:szCs w:val="22"/>
        </w:rPr>
        <w:t>) SHALL INCLUDE, in its Direct Case, a response to each request for information that it is r</w:t>
      </w:r>
      <w:r w:rsidR="00B957E4">
        <w:rPr>
          <w:szCs w:val="22"/>
        </w:rPr>
        <w:t>equired to answer by this Order</w:t>
      </w:r>
      <w:r w:rsidRPr="00B957E4">
        <w:rPr>
          <w:szCs w:val="22"/>
        </w:rPr>
        <w:t>.</w:t>
      </w:r>
    </w:p>
    <w:p w:rsidR="00E91F1A" w:rsidRPr="004C403E" w:rsidP="00E91F1A">
      <w:pPr>
        <w:pStyle w:val="ParaNum"/>
        <w:numPr>
          <w:ilvl w:val="0"/>
          <w:numId w:val="0"/>
        </w:numPr>
        <w:spacing w:after="0"/>
        <w:ind w:left="4320"/>
      </w:pPr>
      <w:r w:rsidRPr="004C403E">
        <w:t>FEDERAL COMMUNICATIONS COMMISSION</w:t>
      </w:r>
    </w:p>
    <w:p w:rsidR="00E91F1A" w:rsidRPr="004C403E" w:rsidP="00E91F1A">
      <w:pPr>
        <w:pStyle w:val="ParaNum"/>
        <w:numPr>
          <w:ilvl w:val="0"/>
          <w:numId w:val="0"/>
        </w:numPr>
        <w:spacing w:after="0"/>
      </w:pPr>
    </w:p>
    <w:p w:rsidR="00E91F1A" w:rsidRPr="004C403E" w:rsidP="00E91F1A">
      <w:pPr>
        <w:pStyle w:val="ParaNum"/>
        <w:numPr>
          <w:ilvl w:val="0"/>
          <w:numId w:val="0"/>
        </w:numPr>
        <w:spacing w:after="0"/>
      </w:pPr>
    </w:p>
    <w:p w:rsidR="00E91F1A" w:rsidRPr="004C403E" w:rsidP="00E91F1A">
      <w:pPr>
        <w:pStyle w:val="ParaNum"/>
        <w:numPr>
          <w:ilvl w:val="0"/>
          <w:numId w:val="0"/>
        </w:numPr>
        <w:spacing w:after="0"/>
      </w:pPr>
    </w:p>
    <w:p w:rsidR="00E91F1A" w:rsidRPr="004C403E" w:rsidP="00E91F1A">
      <w:pPr>
        <w:pStyle w:val="ParaNum"/>
        <w:numPr>
          <w:ilvl w:val="0"/>
          <w:numId w:val="0"/>
        </w:numPr>
        <w:spacing w:after="0"/>
      </w:pPr>
    </w:p>
    <w:p w:rsidR="00E91F1A" w:rsidRPr="004C403E" w:rsidP="00E91F1A">
      <w:pPr>
        <w:pStyle w:val="ParaNum"/>
        <w:numPr>
          <w:ilvl w:val="0"/>
          <w:numId w:val="0"/>
        </w:numPr>
        <w:spacing w:after="0"/>
        <w:ind w:left="720"/>
      </w:pPr>
      <w:r w:rsidRPr="004C403E">
        <w:tab/>
      </w:r>
      <w:r w:rsidRPr="004C403E">
        <w:tab/>
      </w:r>
      <w:r w:rsidRPr="004C403E">
        <w:tab/>
      </w:r>
      <w:r w:rsidRPr="004C403E">
        <w:tab/>
      </w:r>
      <w:r w:rsidRPr="004C403E">
        <w:tab/>
      </w:r>
      <w:r w:rsidR="0024003D">
        <w:t>Pamela S. Arluk</w:t>
      </w:r>
    </w:p>
    <w:p w:rsidR="00E91F1A" w:rsidRPr="004C403E" w:rsidP="00E91F1A">
      <w:pPr>
        <w:pStyle w:val="ParaNum"/>
        <w:numPr>
          <w:ilvl w:val="0"/>
          <w:numId w:val="0"/>
        </w:numPr>
        <w:spacing w:after="0"/>
        <w:ind w:left="720"/>
      </w:pPr>
      <w:r w:rsidRPr="004C403E">
        <w:tab/>
      </w:r>
      <w:r w:rsidRPr="004C403E">
        <w:tab/>
      </w:r>
      <w:r w:rsidRPr="004C403E">
        <w:tab/>
      </w:r>
      <w:r w:rsidRPr="004C403E">
        <w:tab/>
      </w:r>
      <w:r w:rsidRPr="004C403E">
        <w:tab/>
        <w:t>Chief, Pricing Policy Division</w:t>
      </w:r>
    </w:p>
    <w:p w:rsidR="002C00E8" w:rsidRPr="002C00E8" w:rsidP="00647334">
      <w:pPr>
        <w:pStyle w:val="ParaNum"/>
        <w:numPr>
          <w:ilvl w:val="0"/>
          <w:numId w:val="0"/>
        </w:numPr>
        <w:spacing w:after="0"/>
        <w:ind w:left="720"/>
      </w:pPr>
      <w:r w:rsidRPr="004C403E">
        <w:tab/>
      </w:r>
      <w:r w:rsidRPr="004C403E">
        <w:tab/>
      </w:r>
      <w:r w:rsidRPr="004C403E">
        <w:tab/>
      </w:r>
      <w:r w:rsidRPr="004C403E">
        <w:tab/>
      </w:r>
      <w:r w:rsidRPr="004C403E">
        <w:tab/>
        <w:t>Wireline Competition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C7653">
      <w:rPr>
        <w:noProof/>
      </w:rPr>
      <w:t>7</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784E">
      <w:r>
        <w:separator/>
      </w:r>
    </w:p>
  </w:footnote>
  <w:footnote w:type="continuationSeparator" w:id="1">
    <w:p w:rsidR="00B0784E" w:rsidP="00C721AC">
      <w:pPr>
        <w:spacing w:before="120"/>
        <w:rPr>
          <w:sz w:val="20"/>
        </w:rPr>
      </w:pPr>
      <w:r>
        <w:rPr>
          <w:sz w:val="20"/>
        </w:rPr>
        <w:t xml:space="preserve">(Continued from previous page)  </w:t>
      </w:r>
      <w:r>
        <w:rPr>
          <w:sz w:val="20"/>
        </w:rPr>
        <w:separator/>
      </w:r>
    </w:p>
  </w:footnote>
  <w:footnote w:type="continuationNotice" w:id="2">
    <w:p w:rsidR="00B0784E" w:rsidP="00C721AC">
      <w:pPr>
        <w:jc w:val="right"/>
        <w:rPr>
          <w:sz w:val="20"/>
        </w:rPr>
      </w:pPr>
    </w:p>
  </w:footnote>
  <w:footnote w:id="3">
    <w:p w:rsidR="00E91F1A" w:rsidRPr="005372B2" w:rsidP="00E91F1A">
      <w:pPr>
        <w:pStyle w:val="FootnoteText"/>
      </w:pPr>
      <w:r>
        <w:rPr>
          <w:rStyle w:val="FootnoteReference"/>
        </w:rPr>
        <w:footnoteRef/>
      </w:r>
      <w:r>
        <w:t xml:space="preserve"> </w:t>
      </w:r>
      <w:r w:rsidRPr="005372B2">
        <w:t>47 U.S.C. §§ 204, 205.</w:t>
      </w:r>
    </w:p>
  </w:footnote>
  <w:footnote w:id="4">
    <w:p w:rsidR="00474831" w:rsidRPr="005372B2" w:rsidP="00474831">
      <w:pPr>
        <w:pStyle w:val="FootnoteText"/>
      </w:pPr>
      <w:r w:rsidRPr="005372B2">
        <w:rPr>
          <w:rStyle w:val="FootnoteReference"/>
        </w:rPr>
        <w:footnoteRef/>
      </w:r>
      <w:r w:rsidRPr="005372B2">
        <w:t xml:space="preserve"> </w:t>
      </w:r>
      <w:r w:rsidRPr="005372B2">
        <w:rPr>
          <w:i/>
        </w:rPr>
        <w:t>See</w:t>
      </w:r>
      <w:r w:rsidRPr="005372B2">
        <w:t xml:space="preserve"> South Dakota Network, LLC Tariff F.C.C. No. 1, Transmittal No. 13 (filed Sept. 17, 2018) (Transmittal No. 13) (available via the Commission’s Electronic Tariff Filing System (ETFS)); Letter from Marlene Bennett, Consortia Consulting, Consultant for SDN, to Marlene H. Dortch, Secretary, FCC, Transmittal No. 13 (filed Sept. 17, 2018) (Transmittal Letter) (available via ETFS).</w:t>
      </w:r>
    </w:p>
  </w:footnote>
  <w:footnote w:id="5">
    <w:p w:rsidR="00FD3D91" w:rsidRPr="005372B2">
      <w:pPr>
        <w:pStyle w:val="FootnoteText"/>
      </w:pPr>
      <w:r w:rsidRPr="005372B2">
        <w:rPr>
          <w:rStyle w:val="FootnoteReference"/>
        </w:rPr>
        <w:footnoteRef/>
      </w:r>
      <w:r w:rsidRPr="005372B2">
        <w:t xml:space="preserve"> When a tariff is advanced for a day, the effective date listed in the tariff is moved to one day earlier so that the suspension of the tariff can occur on that day, thereby allowing the tariff to become effective on the original effective date.</w:t>
      </w:r>
    </w:p>
  </w:footnote>
  <w:footnote w:id="6">
    <w:p w:rsidR="00B957E4" w:rsidRPr="00C914D4" w:rsidP="00B957E4">
      <w:pPr>
        <w:pStyle w:val="FootnoteText"/>
      </w:pPr>
      <w:r w:rsidRPr="005372B2">
        <w:rPr>
          <w:rStyle w:val="FootnoteReference"/>
        </w:rPr>
        <w:footnoteRef/>
      </w:r>
      <w:r w:rsidRPr="005372B2">
        <w:t xml:space="preserve"> </w:t>
      </w:r>
      <w:r w:rsidRPr="005372B2">
        <w:rPr>
          <w:i/>
        </w:rPr>
        <w:t>July 1, 2018 Annual Access Charge Filings</w:t>
      </w:r>
      <w:r w:rsidRPr="005372B2">
        <w:t xml:space="preserve">, </w:t>
      </w:r>
      <w:r w:rsidRPr="005372B2" w:rsidR="00B97361">
        <w:t xml:space="preserve">WC Docket No. 18-100, </w:t>
      </w:r>
      <w:r w:rsidRPr="005372B2">
        <w:t>Order, DA 18-599 (WCB</w:t>
      </w:r>
      <w:r w:rsidRPr="005372B2" w:rsidR="00B97361">
        <w:t xml:space="preserve"> </w:t>
      </w:r>
      <w:r w:rsidRPr="005372B2" w:rsidR="00F243C3">
        <w:t xml:space="preserve">June 8, </w:t>
      </w:r>
      <w:r w:rsidRPr="005372B2">
        <w:t>2018) (</w:t>
      </w:r>
      <w:r w:rsidRPr="005372B2">
        <w:rPr>
          <w:i/>
        </w:rPr>
        <w:t>SDN Waiver Order</w:t>
      </w:r>
      <w:r w:rsidRPr="005372B2">
        <w:t>)</w:t>
      </w:r>
      <w:r w:rsidRPr="005372B2" w:rsidR="00B97361">
        <w:rPr>
          <w:snapToGrid w:val="0"/>
          <w:kern w:val="28"/>
        </w:rPr>
        <w:t xml:space="preserve">; </w:t>
      </w:r>
      <w:r w:rsidRPr="005372B2" w:rsidR="00B97361">
        <w:rPr>
          <w:i/>
          <w:snapToGrid w:val="0"/>
          <w:kern w:val="28"/>
        </w:rPr>
        <w:t>s</w:t>
      </w:r>
      <w:r w:rsidRPr="005372B2">
        <w:rPr>
          <w:i/>
          <w:snapToGrid w:val="0"/>
          <w:kern w:val="28"/>
        </w:rPr>
        <w:t xml:space="preserve">ee </w:t>
      </w:r>
      <w:r w:rsidRPr="005372B2">
        <w:t>47 CFR § 69.3(f)(1).</w:t>
      </w:r>
    </w:p>
  </w:footnote>
  <w:footnote w:id="7">
    <w:p w:rsidR="00B957E4" w:rsidRPr="005372B2" w:rsidP="00B957E4">
      <w:pPr>
        <w:pStyle w:val="FootnoteText"/>
      </w:pPr>
      <w:r w:rsidRPr="005372B2">
        <w:rPr>
          <w:rStyle w:val="FootnoteReference"/>
        </w:rPr>
        <w:footnoteRef/>
      </w:r>
      <w:r w:rsidRPr="005372B2">
        <w:t xml:space="preserve"> Petition for Waiver of South Dakota Network, LLC, WC Docket No. 18-100 at 4 (filed May 4, 2018) (SDN Petition).  </w:t>
      </w:r>
    </w:p>
  </w:footnote>
  <w:footnote w:id="8">
    <w:p w:rsidR="00B957E4" w:rsidRPr="005372B2" w:rsidP="00B957E4">
      <w:pPr>
        <w:pStyle w:val="FootnoteText"/>
      </w:pPr>
      <w:r w:rsidRPr="005372B2">
        <w:rPr>
          <w:rStyle w:val="FootnoteReference"/>
        </w:rPr>
        <w:footnoteRef/>
      </w:r>
      <w:r w:rsidRPr="005372B2">
        <w:t xml:space="preserve"> SDN Petition at </w:t>
      </w:r>
      <w:r w:rsidRPr="005372B2" w:rsidR="001814FD">
        <w:t>3-</w:t>
      </w:r>
      <w:r w:rsidRPr="005372B2">
        <w:t xml:space="preserve">4.  </w:t>
      </w:r>
      <w:r w:rsidRPr="005372B2">
        <w:rPr>
          <w:i/>
        </w:rPr>
        <w:t xml:space="preserve">See </w:t>
      </w:r>
      <w:bookmarkStart w:id="0" w:name="_Hlk525569979"/>
      <w:r w:rsidRPr="005372B2">
        <w:rPr>
          <w:i/>
        </w:rPr>
        <w:t>Iowa Network Access Division Tariff F.C.C. No. 1</w:t>
      </w:r>
      <w:r w:rsidRPr="005372B2">
        <w:t>, WC Docket No. 18-60, Order Designating Issues for Investigation</w:t>
      </w:r>
      <w:bookmarkEnd w:id="0"/>
      <w:r w:rsidRPr="005372B2" w:rsidR="001814FD">
        <w:t>, DA 18-395 (WCB</w:t>
      </w:r>
      <w:r w:rsidRPr="005372B2">
        <w:t xml:space="preserve"> Apr. 19, 2018) (</w:t>
      </w:r>
      <w:r w:rsidRPr="005372B2">
        <w:rPr>
          <w:i/>
        </w:rPr>
        <w:t>Aureon Designation Order)</w:t>
      </w:r>
      <w:r w:rsidRPr="005372B2">
        <w:t xml:space="preserve">.  Aureon’s tariff refers to Aureon’s CEA service as “switched transport.”  </w:t>
      </w:r>
      <w:r w:rsidRPr="005372B2">
        <w:rPr>
          <w:i/>
        </w:rPr>
        <w:t>See</w:t>
      </w:r>
      <w:r w:rsidRPr="005372B2">
        <w:t xml:space="preserve"> Aureon Tariff F.C.C. No. 1, § 6.1.3(a), 1</w:t>
      </w:r>
      <w:r w:rsidRPr="005372B2" w:rsidR="00F76F48">
        <w:t>st</w:t>
      </w:r>
      <w:r w:rsidRPr="005372B2">
        <w:t xml:space="preserve"> Revised Page 95.</w:t>
      </w:r>
    </w:p>
  </w:footnote>
  <w:footnote w:id="9">
    <w:p w:rsidR="00B957E4" w:rsidRPr="005372B2" w:rsidP="00B957E4">
      <w:pPr>
        <w:pStyle w:val="FootnoteText"/>
      </w:pPr>
      <w:r w:rsidRPr="005372B2">
        <w:rPr>
          <w:rStyle w:val="FootnoteReference"/>
        </w:rPr>
        <w:footnoteRef/>
      </w:r>
      <w:r w:rsidRPr="005372B2">
        <w:t xml:space="preserve"> </w:t>
      </w:r>
      <w:r w:rsidRPr="005372B2">
        <w:rPr>
          <w:i/>
        </w:rPr>
        <w:t>SDN Waiver Order</w:t>
      </w:r>
      <w:r w:rsidRPr="005372B2" w:rsidR="00194904">
        <w:rPr>
          <w:i/>
        </w:rPr>
        <w:t xml:space="preserve"> </w:t>
      </w:r>
      <w:r w:rsidRPr="005372B2" w:rsidR="00194904">
        <w:t>at 1</w:t>
      </w:r>
      <w:r w:rsidRPr="005372B2">
        <w:t xml:space="preserve">, para. 1.  </w:t>
      </w:r>
    </w:p>
  </w:footnote>
  <w:footnote w:id="10">
    <w:p w:rsidR="00B957E4" w:rsidRPr="005372B2" w:rsidP="00B957E4">
      <w:pPr>
        <w:pStyle w:val="FootnoteText"/>
      </w:pPr>
      <w:r w:rsidRPr="005372B2">
        <w:rPr>
          <w:rStyle w:val="FootnoteReference"/>
        </w:rPr>
        <w:footnoteRef/>
      </w:r>
      <w:r w:rsidRPr="005372B2">
        <w:t xml:space="preserve"> </w:t>
      </w:r>
      <w:r w:rsidRPr="005372B2">
        <w:rPr>
          <w:i/>
        </w:rPr>
        <w:t>See Iowa Network Access Division Tariff F.C.C. No. 1</w:t>
      </w:r>
      <w:r w:rsidRPr="005372B2">
        <w:t>, WC Docket No. 18-60, Memorandum Opinion and Order, FCC 18-105</w:t>
      </w:r>
      <w:r w:rsidRPr="005372B2" w:rsidR="00F20F4E">
        <w:t xml:space="preserve"> (July 31, 2018)</w:t>
      </w:r>
      <w:r w:rsidRPr="005372B2" w:rsidR="00194904">
        <w:t xml:space="preserve"> (</w:t>
      </w:r>
      <w:r w:rsidRPr="005372B2" w:rsidR="00194904">
        <w:rPr>
          <w:i/>
        </w:rPr>
        <w:t>Aureon Tariff Investigation Order</w:t>
      </w:r>
      <w:r w:rsidRPr="005372B2" w:rsidR="00194904">
        <w:t>)</w:t>
      </w:r>
      <w:r w:rsidRPr="005372B2" w:rsidR="004B4C4F">
        <w:t xml:space="preserve">; </w:t>
      </w:r>
      <w:r w:rsidRPr="005372B2" w:rsidR="004B4C4F">
        <w:rPr>
          <w:i/>
        </w:rPr>
        <w:t>Iowa Network Access Division Tariff F.C.C. No. 1</w:t>
      </w:r>
      <w:r w:rsidRPr="005372B2" w:rsidR="004B4C4F">
        <w:t>, WC Docket No. 18-60,</w:t>
      </w:r>
      <w:r w:rsidRPr="005372B2" w:rsidR="00E16304">
        <w:t xml:space="preserve"> </w:t>
      </w:r>
      <w:r w:rsidRPr="005372B2" w:rsidR="00936D39">
        <w:t>Order on Reconsideration</w:t>
      </w:r>
      <w:r w:rsidRPr="005372B2" w:rsidR="00C82614">
        <w:t xml:space="preserve">, </w:t>
      </w:r>
      <w:r w:rsidRPr="005372B2" w:rsidR="004B4C4F">
        <w:t>FCC 18-171</w:t>
      </w:r>
      <w:r w:rsidRPr="005372B2" w:rsidR="00936D39">
        <w:t xml:space="preserve"> (</w:t>
      </w:r>
      <w:r w:rsidRPr="005372B2" w:rsidR="004B4C4F">
        <w:t>Nov.</w:t>
      </w:r>
      <w:r w:rsidRPr="005372B2" w:rsidR="00936D39">
        <w:t xml:space="preserve"> 28, 2018), </w:t>
      </w:r>
      <w:r w:rsidRPr="005372B2" w:rsidR="00C82614">
        <w:rPr>
          <w:i/>
          <w:iCs/>
        </w:rPr>
        <w:t>pet. for review pending</w:t>
      </w:r>
      <w:r w:rsidRPr="005372B2" w:rsidR="00C82614">
        <w:t xml:space="preserve">, </w:t>
      </w:r>
      <w:r w:rsidRPr="005372B2" w:rsidR="00C82614">
        <w:rPr>
          <w:i/>
          <w:iCs/>
        </w:rPr>
        <w:t>Iowa Network Servs., Inc. v. FCC</w:t>
      </w:r>
      <w:r w:rsidRPr="005372B2" w:rsidR="00C82614">
        <w:t>, No. 18-1258 (D.C. Cir. filed Sept. 19, 2018)</w:t>
      </w:r>
      <w:r w:rsidRPr="005372B2">
        <w:t xml:space="preserve">.  </w:t>
      </w:r>
    </w:p>
  </w:footnote>
  <w:footnote w:id="11">
    <w:p w:rsidR="00CD1E28" w:rsidRPr="005372B2" w:rsidP="00CD1E28">
      <w:pPr>
        <w:pStyle w:val="FootnoteText"/>
      </w:pPr>
      <w:r w:rsidRPr="005372B2">
        <w:rPr>
          <w:rStyle w:val="FootnoteReference"/>
        </w:rPr>
        <w:footnoteRef/>
      </w:r>
      <w:r w:rsidRPr="005372B2">
        <w:t xml:space="preserve"> </w:t>
      </w:r>
      <w:r w:rsidRPr="005372B2">
        <w:rPr>
          <w:i/>
        </w:rPr>
        <w:t>Aureon Tariff Investigation Order</w:t>
      </w:r>
      <w:r w:rsidRPr="005372B2">
        <w:t xml:space="preserve"> at 2, para.1 (“As a result, Aureon’s tariffed switched transport rate cannot exceed the lower of (i) Aureon’s rate cap, (ii) its competitive LEC benchmark or (iii) its cost-based rate.”).</w:t>
      </w:r>
      <w:r w:rsidRPr="005372B2" w:rsidR="00374B5E">
        <w:t xml:space="preserve">  Pursuant to </w:t>
      </w:r>
      <w:r w:rsidRPr="005372B2" w:rsidR="00474831">
        <w:t xml:space="preserve">section </w:t>
      </w:r>
      <w:r w:rsidRPr="005372B2" w:rsidR="00374B5E">
        <w:t>51.90</w:t>
      </w:r>
      <w:r w:rsidRPr="005372B2" w:rsidR="00DA5127">
        <w:t>9</w:t>
      </w:r>
      <w:r w:rsidRPr="005372B2" w:rsidR="00474831">
        <w:t xml:space="preserve"> of the Commission’s rules</w:t>
      </w:r>
      <w:r w:rsidRPr="005372B2" w:rsidR="00374B5E">
        <w:t>, SDN was required to cap its</w:t>
      </w:r>
      <w:r w:rsidRPr="005372B2" w:rsidR="00396279">
        <w:t xml:space="preserve"> switched access </w:t>
      </w:r>
      <w:r w:rsidRPr="005372B2" w:rsidR="00374B5E">
        <w:t>rates to those in effect on December 29, 2011.  </w:t>
      </w:r>
      <w:r w:rsidRPr="005372B2" w:rsidR="00396279">
        <w:t xml:space="preserve">47 CFR § 51.909.  SDN </w:t>
      </w:r>
      <w:r w:rsidRPr="005372B2" w:rsidR="00374B5E">
        <w:t>has never filed rates above those</w:t>
      </w:r>
      <w:r w:rsidRPr="005372B2" w:rsidR="00396279">
        <w:t xml:space="preserve"> </w:t>
      </w:r>
      <w:r w:rsidRPr="005372B2" w:rsidR="00374B5E">
        <w:t>rate</w:t>
      </w:r>
      <w:r w:rsidRPr="005372B2" w:rsidR="00396279">
        <w:t xml:space="preserve"> caps</w:t>
      </w:r>
      <w:r w:rsidRPr="005372B2" w:rsidR="00374B5E">
        <w:t xml:space="preserve"> and no one has suggested that they have.  Moreover, the rate filed in the transmittal subject to this investigation is below the rate cap applicable to SDN.</w:t>
      </w:r>
      <w:r w:rsidRPr="005372B2" w:rsidR="00DA5127">
        <w:t xml:space="preserve">  </w:t>
      </w:r>
      <w:r w:rsidRPr="005372B2" w:rsidR="00396279">
        <w:rPr>
          <w:i/>
        </w:rPr>
        <w:t>See</w:t>
      </w:r>
      <w:r w:rsidRPr="005372B2" w:rsidR="00396279">
        <w:t xml:space="preserve"> Transmittal </w:t>
      </w:r>
      <w:r w:rsidRPr="005372B2" w:rsidR="00976F6A">
        <w:t>Letter</w:t>
      </w:r>
      <w:r w:rsidRPr="005372B2" w:rsidR="00DA5127">
        <w:t>.</w:t>
      </w:r>
    </w:p>
  </w:footnote>
  <w:footnote w:id="12">
    <w:p w:rsidR="00BE0F7D" w:rsidRPr="005372B2" w:rsidP="00BE0F7D">
      <w:pPr>
        <w:pStyle w:val="FootnoteText"/>
      </w:pPr>
      <w:r w:rsidRPr="005372B2">
        <w:rPr>
          <w:rStyle w:val="FootnoteReference"/>
        </w:rPr>
        <w:footnoteRef/>
      </w:r>
      <w:r w:rsidRPr="005372B2">
        <w:t xml:space="preserve"> </w:t>
      </w:r>
      <w:r w:rsidRPr="005372B2">
        <w:rPr>
          <w:i/>
        </w:rPr>
        <w:t>Aureon Tariff Investigation Order</w:t>
      </w:r>
      <w:r w:rsidRPr="005372B2">
        <w:t xml:space="preserve"> at 10, para. 24.</w:t>
      </w:r>
    </w:p>
  </w:footnote>
  <w:footnote w:id="13">
    <w:p w:rsidR="00FC6487" w:rsidRPr="005372B2" w:rsidP="00FC6487">
      <w:pPr>
        <w:pStyle w:val="FootnoteText"/>
      </w:pPr>
      <w:r w:rsidRPr="005372B2">
        <w:rPr>
          <w:rStyle w:val="FootnoteReference"/>
        </w:rPr>
        <w:footnoteRef/>
      </w:r>
      <w:r w:rsidRPr="005372B2">
        <w:t xml:space="preserve"> </w:t>
      </w:r>
      <w:r w:rsidRPr="005372B2" w:rsidR="00DA5127">
        <w:rPr>
          <w:i/>
        </w:rPr>
        <w:t>Id.</w:t>
      </w:r>
      <w:r w:rsidRPr="005372B2">
        <w:t xml:space="preserve"> at 11-12, para. 27. </w:t>
      </w:r>
    </w:p>
  </w:footnote>
  <w:footnote w:id="14">
    <w:p w:rsidR="009516EF" w:rsidRPr="005372B2" w:rsidP="009516EF">
      <w:pPr>
        <w:pStyle w:val="FootnoteText"/>
      </w:pPr>
      <w:r w:rsidRPr="005372B2">
        <w:rPr>
          <w:rStyle w:val="FootnoteReference"/>
        </w:rPr>
        <w:footnoteRef/>
      </w:r>
      <w:r w:rsidRPr="005372B2">
        <w:t xml:space="preserve"> </w:t>
      </w:r>
      <w:r w:rsidRPr="005372B2">
        <w:rPr>
          <w:i/>
        </w:rPr>
        <w:t>Id.</w:t>
      </w:r>
      <w:r w:rsidRPr="005372B2">
        <w:t xml:space="preserve"> at 12, para. 27, n.98 (internal citation omitted).</w:t>
      </w:r>
    </w:p>
  </w:footnote>
  <w:footnote w:id="15">
    <w:p w:rsidR="00B957E4" w:rsidRPr="00C5395B" w:rsidP="00B957E4">
      <w:pPr>
        <w:pStyle w:val="FootnoteText"/>
      </w:pPr>
      <w:r w:rsidRPr="005372B2">
        <w:rPr>
          <w:rStyle w:val="FootnoteReference"/>
        </w:rPr>
        <w:footnoteRef/>
      </w:r>
      <w:r w:rsidRPr="005372B2">
        <w:t xml:space="preserve"> </w:t>
      </w:r>
      <w:r w:rsidRPr="005372B2">
        <w:rPr>
          <w:i/>
        </w:rPr>
        <w:t>Id</w:t>
      </w:r>
      <w:r w:rsidRPr="005372B2">
        <w:t xml:space="preserve">. at </w:t>
      </w:r>
      <w:r w:rsidRPr="005372B2" w:rsidR="006E3AF0">
        <w:t xml:space="preserve">2, </w:t>
      </w:r>
      <w:r w:rsidRPr="005372B2">
        <w:t>para. 1.</w:t>
      </w:r>
    </w:p>
  </w:footnote>
  <w:footnote w:id="16">
    <w:p w:rsidR="00B957E4" w:rsidRPr="005372B2" w:rsidP="00B957E4">
      <w:pPr>
        <w:pStyle w:val="FootnoteText"/>
      </w:pPr>
      <w:r w:rsidRPr="005372B2">
        <w:rPr>
          <w:rStyle w:val="FootnoteReference"/>
        </w:rPr>
        <w:footnoteRef/>
      </w:r>
      <w:r w:rsidRPr="005372B2">
        <w:t xml:space="preserve"> </w:t>
      </w:r>
      <w:bookmarkStart w:id="1" w:name="_Hlk507425084"/>
      <w:r w:rsidRPr="005372B2">
        <w:rPr>
          <w:i/>
        </w:rPr>
        <w:t xml:space="preserve">See </w:t>
      </w:r>
      <w:r w:rsidRPr="005372B2">
        <w:t>Transmittal Letter at 1.</w:t>
      </w:r>
      <w:bookmarkStart w:id="2" w:name="_Hlk525832568"/>
      <w:bookmarkEnd w:id="1"/>
    </w:p>
  </w:footnote>
  <w:footnote w:id="17">
    <w:p w:rsidR="00B957E4" w:rsidRPr="005372B2" w:rsidP="00B957E4">
      <w:pPr>
        <w:pStyle w:val="FootnoteText"/>
      </w:pPr>
      <w:bookmarkEnd w:id="2"/>
      <w:r w:rsidRPr="005372B2">
        <w:rPr>
          <w:rStyle w:val="FootnoteReference"/>
        </w:rPr>
        <w:footnoteRef/>
      </w:r>
      <w:r w:rsidRPr="005372B2">
        <w:t xml:space="preserve"> </w:t>
      </w:r>
      <w:r w:rsidRPr="005372B2" w:rsidR="004F4BE8">
        <w:t>South Dakota Network, LLC Tariff F.C.C. No. 1, Centralized Equal Access Service</w:t>
      </w:r>
      <w:r w:rsidRPr="005372B2" w:rsidR="00011579">
        <w:t>,</w:t>
      </w:r>
      <w:r w:rsidRPr="005372B2" w:rsidR="004F4BE8">
        <w:t xml:space="preserve"> 2018 Annual Access Tariff Filing</w:t>
      </w:r>
      <w:r w:rsidRPr="005372B2" w:rsidR="006E3AF0">
        <w:t>,</w:t>
      </w:r>
      <w:r w:rsidRPr="005372B2" w:rsidR="004F4BE8">
        <w:t xml:space="preserve"> </w:t>
      </w:r>
      <w:r w:rsidRPr="005372B2">
        <w:t>Description and Justification at 2</w:t>
      </w:r>
      <w:r w:rsidRPr="005372B2" w:rsidR="004F4BE8">
        <w:t xml:space="preserve"> (filed Sept. 17, 2018) (available via </w:t>
      </w:r>
      <w:r w:rsidRPr="005372B2" w:rsidR="00B63E33">
        <w:t>ETFS</w:t>
      </w:r>
      <w:r w:rsidRPr="005372B2" w:rsidR="004F4BE8">
        <w:t>) (SDN Description and Justification)</w:t>
      </w:r>
      <w:r w:rsidRPr="005372B2">
        <w:t>.</w:t>
      </w:r>
    </w:p>
  </w:footnote>
  <w:footnote w:id="18">
    <w:p w:rsidR="00B957E4" w:rsidRPr="005372B2" w:rsidP="00B957E4">
      <w:pPr>
        <w:pStyle w:val="FootnoteText"/>
      </w:pPr>
      <w:r w:rsidRPr="005372B2">
        <w:rPr>
          <w:rStyle w:val="FootnoteReference"/>
        </w:rPr>
        <w:footnoteRef/>
      </w:r>
      <w:r w:rsidRPr="005372B2">
        <w:t xml:space="preserve"> </w:t>
      </w:r>
      <w:r w:rsidRPr="005372B2">
        <w:rPr>
          <w:i/>
        </w:rPr>
        <w:t>Id</w:t>
      </w:r>
      <w:r w:rsidRPr="005372B2">
        <w:t xml:space="preserve">. at 2-3.  According to SDN, this “equal access service benchmark” is based on the weighted average differential between the premium and non-premium National Exchange Carrier Association (NECA) tariff rates for the LECs that subtend SDN.  </w:t>
      </w:r>
      <w:r w:rsidRPr="005372B2">
        <w:rPr>
          <w:i/>
          <w:iCs/>
        </w:rPr>
        <w:t>Id.</w:t>
      </w:r>
      <w:r w:rsidRPr="005372B2">
        <w:t xml:space="preserve"> at 3.  </w:t>
      </w:r>
      <w:r w:rsidRPr="005372B2" w:rsidR="00976F6A">
        <w:t xml:space="preserve">SDN explains that it </w:t>
      </w:r>
      <w:r w:rsidRPr="005372B2" w:rsidR="000C4C6E">
        <w:t>“</w:t>
      </w:r>
      <w:r w:rsidRPr="005372B2">
        <w:t xml:space="preserve">weighted </w:t>
      </w:r>
      <w:r w:rsidRPr="005372B2" w:rsidR="000C4C6E">
        <w:t>the equal access benchmark by multiplying the respective routing exchange carriers’</w:t>
      </w:r>
      <w:r w:rsidRPr="005372B2">
        <w:t xml:space="preserve"> </w:t>
      </w:r>
      <w:r w:rsidRPr="005372B2" w:rsidR="000C4C6E">
        <w:t>[</w:t>
      </w:r>
      <w:r w:rsidRPr="005372B2">
        <w:t>subtending LECs’</w:t>
      </w:r>
      <w:r w:rsidRPr="005372B2" w:rsidR="000C4C6E">
        <w:t>]</w:t>
      </w:r>
      <w:r w:rsidRPr="005372B2">
        <w:t xml:space="preserve"> </w:t>
      </w:r>
      <w:r w:rsidRPr="005372B2" w:rsidR="000C4C6E">
        <w:t xml:space="preserve">tariff </w:t>
      </w:r>
      <w:r w:rsidRPr="005372B2">
        <w:t xml:space="preserve">rate by </w:t>
      </w:r>
      <w:r w:rsidRPr="005372B2" w:rsidR="000C4C6E">
        <w:t>the</w:t>
      </w:r>
      <w:r w:rsidRPr="005372B2">
        <w:t xml:space="preserve"> originating interstate access minutes routed through SDN’s tandem from January through July 2018.</w:t>
      </w:r>
      <w:r w:rsidRPr="005372B2" w:rsidR="000C4C6E">
        <w:t>”</w:t>
      </w:r>
      <w:r w:rsidRPr="005372B2">
        <w:t xml:space="preserve">  </w:t>
      </w:r>
      <w:r w:rsidRPr="005372B2">
        <w:rPr>
          <w:i/>
          <w:iCs/>
        </w:rPr>
        <w:t>Id.</w:t>
      </w:r>
    </w:p>
  </w:footnote>
  <w:footnote w:id="19">
    <w:p w:rsidR="00B957E4" w:rsidRPr="005372B2" w:rsidP="00B957E4">
      <w:pPr>
        <w:pStyle w:val="FootnoteText"/>
      </w:pPr>
      <w:r w:rsidRPr="005372B2">
        <w:rPr>
          <w:rStyle w:val="FootnoteReference"/>
        </w:rPr>
        <w:footnoteRef/>
      </w:r>
      <w:r w:rsidRPr="005372B2">
        <w:t xml:space="preserve"> </w:t>
      </w:r>
      <w:r w:rsidRPr="005372B2">
        <w:rPr>
          <w:i/>
        </w:rPr>
        <w:t>Id</w:t>
      </w:r>
      <w:r w:rsidRPr="005372B2">
        <w:t>.</w:t>
      </w:r>
      <w:r w:rsidRPr="005372B2">
        <w:rPr>
          <w:i/>
        </w:rPr>
        <w:t xml:space="preserve"> </w:t>
      </w:r>
      <w:r w:rsidRPr="005372B2">
        <w:t>at 3.</w:t>
      </w:r>
    </w:p>
  </w:footnote>
  <w:footnote w:id="20">
    <w:p w:rsidR="00B957E4" w:rsidRPr="005372B2" w:rsidP="00B957E4">
      <w:pPr>
        <w:pStyle w:val="FootnoteText"/>
      </w:pPr>
      <w:r w:rsidRPr="005372B2">
        <w:rPr>
          <w:rStyle w:val="FootnoteReference"/>
        </w:rPr>
        <w:footnoteRef/>
      </w:r>
      <w:r w:rsidRPr="005372B2">
        <w:t xml:space="preserve"> </w:t>
      </w:r>
      <w:r w:rsidRPr="005372B2">
        <w:rPr>
          <w:i/>
        </w:rPr>
        <w:t xml:space="preserve">See </w:t>
      </w:r>
      <w:bookmarkStart w:id="3" w:name="_Hlk526154045"/>
      <w:r w:rsidRPr="005372B2">
        <w:t>Petition of James Valley Cooperative Telephone Company and North</w:t>
      </w:r>
      <w:r w:rsidRPr="005372B2" w:rsidR="004F4BE8">
        <w:t>ern</w:t>
      </w:r>
      <w:r w:rsidRPr="005372B2">
        <w:t xml:space="preserve"> Valley Communications, LLC to Reject or to Suspend and Investigate South Dakota Network, LLC’s Tariff, Transmittal No. 13 (filed Sept. 24, 2018) </w:t>
      </w:r>
      <w:r w:rsidRPr="005372B2" w:rsidR="001814FD">
        <w:t xml:space="preserve">(available via </w:t>
      </w:r>
      <w:r w:rsidRPr="005372B2" w:rsidR="00B63E33">
        <w:t>ETFS</w:t>
      </w:r>
      <w:r w:rsidRPr="005372B2" w:rsidR="001814FD">
        <w:t xml:space="preserve">) </w:t>
      </w:r>
      <w:r w:rsidRPr="005372B2">
        <w:t>(Petition).</w:t>
      </w:r>
      <w:bookmarkEnd w:id="3"/>
    </w:p>
  </w:footnote>
  <w:footnote w:id="21">
    <w:p w:rsidR="00970BF4" w:rsidRPr="005372B2">
      <w:pPr>
        <w:pStyle w:val="FootnoteText"/>
      </w:pPr>
      <w:r w:rsidRPr="005372B2">
        <w:rPr>
          <w:rStyle w:val="FootnoteReference"/>
        </w:rPr>
        <w:footnoteRef/>
      </w:r>
      <w:r w:rsidRPr="005372B2">
        <w:t xml:space="preserve"> </w:t>
      </w:r>
      <w:r w:rsidRPr="005372B2" w:rsidR="006E3AF0">
        <w:rPr>
          <w:i/>
        </w:rPr>
        <w:t>Id</w:t>
      </w:r>
      <w:r w:rsidRPr="005372B2" w:rsidR="006E3AF0">
        <w:t>.</w:t>
      </w:r>
      <w:r w:rsidRPr="005372B2">
        <w:t xml:space="preserve"> at 2-3.</w:t>
      </w:r>
    </w:p>
  </w:footnote>
  <w:footnote w:id="22">
    <w:p w:rsidR="00B957E4" w:rsidRPr="005372B2" w:rsidP="00B957E4">
      <w:pPr>
        <w:pStyle w:val="FootnoteText"/>
      </w:pPr>
      <w:r w:rsidRPr="005372B2">
        <w:rPr>
          <w:rStyle w:val="FootnoteReference"/>
        </w:rPr>
        <w:footnoteRef/>
      </w:r>
      <w:r w:rsidRPr="005372B2">
        <w:t xml:space="preserve"> </w:t>
      </w:r>
      <w:r w:rsidRPr="005372B2">
        <w:rPr>
          <w:i/>
        </w:rPr>
        <w:t>See</w:t>
      </w:r>
      <w:r w:rsidRPr="005372B2">
        <w:t xml:space="preserve"> Reply to Petition to Reject or to Suspend and Investigate South Dakota Network, LLC’s Tariff, </w:t>
      </w:r>
      <w:r w:rsidRPr="005372B2" w:rsidR="00B63E33">
        <w:t xml:space="preserve">WC Docket No. 18-100, </w:t>
      </w:r>
      <w:r w:rsidRPr="005372B2">
        <w:t>Transmittal No. 13 (</w:t>
      </w:r>
      <w:r w:rsidRPr="005372B2" w:rsidR="00B63E33">
        <w:t xml:space="preserve">originally </w:t>
      </w:r>
      <w:r w:rsidRPr="005372B2">
        <w:t>filed Sept. 28, 2018</w:t>
      </w:r>
      <w:r w:rsidRPr="005372B2" w:rsidR="00B63E33">
        <w:t>, refiled Nov. 26, 2018</w:t>
      </w:r>
      <w:r w:rsidRPr="005372B2">
        <w:t>)</w:t>
      </w:r>
      <w:r w:rsidRPr="005372B2" w:rsidR="00970BF4">
        <w:t xml:space="preserve"> </w:t>
      </w:r>
      <w:r w:rsidRPr="005372B2" w:rsidR="00B63E33">
        <w:t>(</w:t>
      </w:r>
      <w:r w:rsidRPr="005372B2" w:rsidR="00970BF4">
        <w:t>SDN Reply)</w:t>
      </w:r>
      <w:r w:rsidRPr="005372B2">
        <w:t>.</w:t>
      </w:r>
    </w:p>
  </w:footnote>
  <w:footnote w:id="23">
    <w:p w:rsidR="007E7F0A" w:rsidRPr="005372B2" w:rsidP="00B63E33">
      <w:pPr>
        <w:widowControl/>
        <w:autoSpaceDE w:val="0"/>
        <w:autoSpaceDN w:val="0"/>
        <w:adjustRightInd w:val="0"/>
        <w:spacing w:after="120"/>
        <w:rPr>
          <w:sz w:val="20"/>
        </w:rPr>
      </w:pPr>
      <w:r w:rsidRPr="005372B2">
        <w:rPr>
          <w:rStyle w:val="FootnoteReference"/>
        </w:rPr>
        <w:footnoteRef/>
      </w:r>
      <w:r w:rsidRPr="005372B2">
        <w:rPr>
          <w:sz w:val="20"/>
        </w:rPr>
        <w:t xml:space="preserve"> </w:t>
      </w:r>
      <w:r w:rsidRPr="005372B2" w:rsidR="00970BF4">
        <w:rPr>
          <w:i/>
          <w:sz w:val="20"/>
        </w:rPr>
        <w:t xml:space="preserve">See generally </w:t>
      </w:r>
      <w:r w:rsidRPr="005372B2">
        <w:rPr>
          <w:sz w:val="20"/>
        </w:rPr>
        <w:t xml:space="preserve">SDN </w:t>
      </w:r>
      <w:r w:rsidRPr="005372B2" w:rsidR="00970BF4">
        <w:rPr>
          <w:sz w:val="20"/>
        </w:rPr>
        <w:t>R</w:t>
      </w:r>
      <w:r w:rsidRPr="005372B2">
        <w:rPr>
          <w:sz w:val="20"/>
        </w:rPr>
        <w:t>eply</w:t>
      </w:r>
      <w:r w:rsidRPr="005372B2" w:rsidR="00970BF4">
        <w:rPr>
          <w:sz w:val="20"/>
        </w:rPr>
        <w:t>.</w:t>
      </w:r>
      <w:r w:rsidRPr="005372B2">
        <w:rPr>
          <w:sz w:val="20"/>
        </w:rPr>
        <w:t xml:space="preserve"> </w:t>
      </w:r>
      <w:r w:rsidRPr="005372B2" w:rsidR="00B63E33">
        <w:rPr>
          <w:sz w:val="20"/>
        </w:rPr>
        <w:t xml:space="preserve"> </w:t>
      </w:r>
      <w:r w:rsidRPr="005372B2" w:rsidR="00B63E33">
        <w:rPr>
          <w:rFonts w:ascii="TimesNewRomanPSMT" w:hAnsi="TimesNewRomanPSMT" w:cs="TimesNewRomanPSMT"/>
          <w:snapToGrid/>
          <w:kern w:val="0"/>
          <w:sz w:val="20"/>
        </w:rPr>
        <w:t xml:space="preserve">SDN has deleted from its revised tariff language Petitioners considered discriminatory.  </w:t>
      </w:r>
      <w:r w:rsidRPr="005372B2" w:rsidR="00B63E33">
        <w:rPr>
          <w:rFonts w:ascii="TimesNewRomanPS-ItalicMT" w:hAnsi="TimesNewRomanPS-ItalicMT" w:cs="TimesNewRomanPS-ItalicMT"/>
          <w:i/>
          <w:iCs/>
          <w:snapToGrid/>
          <w:kern w:val="0"/>
          <w:sz w:val="20"/>
        </w:rPr>
        <w:t xml:space="preserve">See </w:t>
      </w:r>
      <w:r w:rsidRPr="005372B2" w:rsidR="00B63E33">
        <w:rPr>
          <w:rFonts w:ascii="TimesNewRomanPSMT" w:hAnsi="TimesNewRomanPSMT" w:cs="TimesNewRomanPSMT"/>
          <w:snapToGrid/>
          <w:kern w:val="0"/>
          <w:sz w:val="20"/>
        </w:rPr>
        <w:t>Letter from Marlene Bennett, Consultant for South Dakota Network, LLC, to Marlene H. Dortch, Secretary, FCC, Transmittal No. 14 (filed Sept. 27, 2018)</w:t>
      </w:r>
      <w:r w:rsidRPr="005372B2" w:rsidR="00961ACC">
        <w:rPr>
          <w:rFonts w:ascii="TimesNewRomanPSMT" w:hAnsi="TimesNewRomanPSMT" w:cs="TimesNewRomanPSMT"/>
          <w:snapToGrid/>
          <w:kern w:val="0"/>
          <w:sz w:val="20"/>
        </w:rPr>
        <w:t xml:space="preserve"> (available via ETFS)</w:t>
      </w:r>
      <w:r w:rsidRPr="005372B2" w:rsidR="00B63E33">
        <w:rPr>
          <w:rFonts w:ascii="TimesNewRomanPSMT" w:hAnsi="TimesNewRomanPSMT" w:cs="TimesNewRomanPSMT"/>
          <w:snapToGrid/>
          <w:kern w:val="0"/>
          <w:sz w:val="20"/>
        </w:rPr>
        <w:t>.</w:t>
      </w:r>
      <w:r w:rsidRPr="005372B2" w:rsidR="00474831">
        <w:rPr>
          <w:sz w:val="20"/>
        </w:rPr>
        <w:t xml:space="preserve">  Because the Bureau independently concluded that substantial questions of lawfulness exist </w:t>
      </w:r>
      <w:r w:rsidRPr="005372B2" w:rsidR="00474831">
        <w:rPr>
          <w:sz w:val="20"/>
        </w:rPr>
        <w:t>with regard to</w:t>
      </w:r>
      <w:r w:rsidRPr="005372B2" w:rsidR="00474831">
        <w:rPr>
          <w:sz w:val="20"/>
        </w:rPr>
        <w:t xml:space="preserve"> SDN’s tariff, it is not necessary for us to address whether Petitioners had standing to challenge SDN’s tariff filing.  </w:t>
      </w:r>
      <w:r w:rsidRPr="005372B2" w:rsidR="00474831">
        <w:rPr>
          <w:i/>
          <w:sz w:val="20"/>
        </w:rPr>
        <w:t xml:space="preserve">See infra </w:t>
      </w:r>
      <w:r w:rsidR="00805DC4">
        <w:rPr>
          <w:sz w:val="20"/>
        </w:rPr>
        <w:t>n.23</w:t>
      </w:r>
      <w:r w:rsidRPr="005372B2" w:rsidR="00474831">
        <w:rPr>
          <w:sz w:val="20"/>
        </w:rPr>
        <w:t>.</w:t>
      </w:r>
    </w:p>
  </w:footnote>
  <w:footnote w:id="24">
    <w:p w:rsidR="00B957E4" w:rsidRPr="005372B2" w:rsidP="00B957E4">
      <w:pPr>
        <w:pStyle w:val="FootnoteText"/>
      </w:pPr>
      <w:r w:rsidRPr="005372B2">
        <w:rPr>
          <w:rStyle w:val="FootnoteReference"/>
        </w:rPr>
        <w:footnoteRef/>
      </w:r>
      <w:r w:rsidRPr="005372B2">
        <w:t xml:space="preserve"> </w:t>
      </w:r>
      <w:r w:rsidRPr="005372B2">
        <w:rPr>
          <w:i/>
        </w:rPr>
        <w:t>See</w:t>
      </w:r>
      <w:r w:rsidRPr="005372B2">
        <w:t xml:space="preserve"> Letter from </w:t>
      </w:r>
      <w:r w:rsidRPr="005372B2" w:rsidR="00D00F11">
        <w:t xml:space="preserve">G. </w:t>
      </w:r>
      <w:r w:rsidRPr="005372B2">
        <w:t xml:space="preserve">David Carter, Counsel to James Valley Cooperative Telephone Company and Northern Valley Communications, LLC, to Marlene H. Dortch, Secretary, </w:t>
      </w:r>
      <w:r w:rsidRPr="005372B2" w:rsidR="00311C55">
        <w:t>FCC</w:t>
      </w:r>
      <w:r w:rsidRPr="005372B2">
        <w:t xml:space="preserve">, Transmittal No. 13 (filed </w:t>
      </w:r>
      <w:r w:rsidRPr="005372B2" w:rsidR="00311C55">
        <w:t>Oct.</w:t>
      </w:r>
      <w:r w:rsidRPr="005372B2">
        <w:t xml:space="preserve"> 1, 2018)</w:t>
      </w:r>
      <w:r w:rsidRPr="005372B2" w:rsidR="00D00F11">
        <w:t xml:space="preserve"> (available via </w:t>
      </w:r>
      <w:r w:rsidRPr="005372B2" w:rsidR="00B63E33">
        <w:t>ETFS</w:t>
      </w:r>
      <w:r w:rsidRPr="005372B2" w:rsidR="00D00F11">
        <w:t>)</w:t>
      </w:r>
      <w:r w:rsidRPr="005372B2">
        <w:t>.</w:t>
      </w:r>
    </w:p>
  </w:footnote>
  <w:footnote w:id="25">
    <w:p w:rsidR="00017E96" w:rsidRPr="005372B2">
      <w:pPr>
        <w:pStyle w:val="FootnoteText"/>
      </w:pPr>
      <w:r w:rsidRPr="005372B2">
        <w:rPr>
          <w:rStyle w:val="FootnoteReference"/>
        </w:rPr>
        <w:footnoteRef/>
      </w:r>
      <w:r w:rsidRPr="005372B2">
        <w:t xml:space="preserve"> </w:t>
      </w:r>
      <w:r w:rsidRPr="005372B2">
        <w:rPr>
          <w:i/>
        </w:rPr>
        <w:t>July 1, 2018 Annual Access Charge Tariff Filings; South Dakota Network, LLC Tariff F.C.C. No. 1</w:t>
      </w:r>
      <w:r w:rsidRPr="005372B2">
        <w:t xml:space="preserve">, WC </w:t>
      </w:r>
      <w:r w:rsidRPr="005372B2" w:rsidR="00446F11">
        <w:t>Docket</w:t>
      </w:r>
      <w:r w:rsidRPr="005372B2">
        <w:t xml:space="preserve"> No. 18-100, Transmittal No. 13, Order, DA 18-1004 at 2-3, para. 6 (WCB Oct. 1, 2018) (</w:t>
      </w:r>
      <w:r w:rsidRPr="005372B2">
        <w:rPr>
          <w:i/>
        </w:rPr>
        <w:t>SDN Suspension Order</w:t>
      </w:r>
      <w:r w:rsidRPr="005372B2">
        <w:t>)</w:t>
      </w:r>
      <w:r>
        <w:t xml:space="preserve"> </w:t>
      </w:r>
      <w:r w:rsidRPr="005372B2">
        <w:t>(“We find that there are substantial questions regarding the lawfulness of SDN’s tariff revisions that require further investigation.”).</w:t>
      </w:r>
    </w:p>
  </w:footnote>
  <w:footnote w:id="26">
    <w:p w:rsidR="005C157C" w:rsidRPr="005372B2" w:rsidP="00E91F1A">
      <w:pPr>
        <w:pStyle w:val="FootnoteText"/>
      </w:pPr>
      <w:r w:rsidRPr="005372B2">
        <w:rPr>
          <w:rStyle w:val="FootnoteReference"/>
        </w:rPr>
        <w:footnoteRef/>
      </w:r>
      <w:r w:rsidRPr="005372B2">
        <w:t xml:space="preserve"> </w:t>
      </w:r>
      <w:r w:rsidRPr="005372B2" w:rsidR="00374B5E">
        <w:rPr>
          <w:i/>
        </w:rPr>
        <w:t>SDN Suspension Order</w:t>
      </w:r>
      <w:r w:rsidRPr="005372B2" w:rsidR="00374B5E">
        <w:t xml:space="preserve"> </w:t>
      </w:r>
      <w:r w:rsidRPr="005372B2" w:rsidR="00D00F11">
        <w:t xml:space="preserve">at 3, para. </w:t>
      </w:r>
      <w:r w:rsidRPr="005372B2" w:rsidR="00374B5E">
        <w:t>7</w:t>
      </w:r>
      <w:r w:rsidRPr="005372B2">
        <w:t xml:space="preserve"> (citing 47 U.S.C. § 204).  In response to the </w:t>
      </w:r>
      <w:r w:rsidRPr="005372B2" w:rsidR="00CD3423">
        <w:rPr>
          <w:i/>
        </w:rPr>
        <w:t>SDN</w:t>
      </w:r>
      <w:r w:rsidRPr="005372B2">
        <w:rPr>
          <w:i/>
        </w:rPr>
        <w:t xml:space="preserve"> Suspension Order</w:t>
      </w:r>
      <w:r w:rsidRPr="005372B2">
        <w:t xml:space="preserve">, </w:t>
      </w:r>
      <w:r w:rsidRPr="005372B2" w:rsidR="00CD3423">
        <w:t xml:space="preserve">SDN </w:t>
      </w:r>
      <w:r w:rsidRPr="005372B2">
        <w:t xml:space="preserve">submitted Transmittal No. </w:t>
      </w:r>
      <w:r w:rsidRPr="005372B2" w:rsidR="00CD3423">
        <w:t xml:space="preserve">15 </w:t>
      </w:r>
      <w:r w:rsidRPr="005372B2">
        <w:t xml:space="preserve">to suspend the revisions made in its Transmittal No. </w:t>
      </w:r>
      <w:r w:rsidRPr="005372B2" w:rsidR="00CD3423">
        <w:t>13</w:t>
      </w:r>
      <w:r w:rsidRPr="005372B2">
        <w:t xml:space="preserve">.  </w:t>
      </w:r>
      <w:r w:rsidRPr="005372B2">
        <w:rPr>
          <w:i/>
        </w:rPr>
        <w:t xml:space="preserve">See </w:t>
      </w:r>
      <w:r w:rsidRPr="005372B2">
        <w:t xml:space="preserve">Letter from </w:t>
      </w:r>
      <w:r w:rsidRPr="005372B2" w:rsidR="00CD3423">
        <w:t>Marlene Bennett</w:t>
      </w:r>
      <w:r w:rsidRPr="005372B2">
        <w:t xml:space="preserve">, </w:t>
      </w:r>
      <w:r w:rsidRPr="005372B2" w:rsidR="00CD3423">
        <w:t>Consortia Consulting, Consultant for SDN</w:t>
      </w:r>
      <w:r w:rsidRPr="005372B2">
        <w:t xml:space="preserve">, to Marlene H. Dortch, Secretary, FCC, Transmittal No. </w:t>
      </w:r>
      <w:r w:rsidRPr="005372B2" w:rsidR="00CD3423">
        <w:t xml:space="preserve">15 </w:t>
      </w:r>
      <w:r w:rsidRPr="005372B2">
        <w:t xml:space="preserve">(filed </w:t>
      </w:r>
      <w:r w:rsidRPr="005372B2" w:rsidR="00CD3423">
        <w:t>Oct. 5</w:t>
      </w:r>
      <w:r w:rsidRPr="005372B2">
        <w:t xml:space="preserve">, 2018) (Transmittal No. </w:t>
      </w:r>
      <w:r w:rsidRPr="005372B2" w:rsidR="00CD3423">
        <w:t>15</w:t>
      </w:r>
      <w:r w:rsidRPr="005372B2">
        <w:t xml:space="preserve">) (available via </w:t>
      </w:r>
      <w:r w:rsidRPr="005372B2" w:rsidR="00642377">
        <w:t>ETFS</w:t>
      </w:r>
      <w:r w:rsidRPr="005372B2">
        <w:t>)</w:t>
      </w:r>
      <w:r w:rsidRPr="005372B2" w:rsidR="00A9095B">
        <w:t xml:space="preserve">.  </w:t>
      </w:r>
      <w:r w:rsidRPr="005372B2">
        <w:t xml:space="preserve">SDN has provided additional information to Commission staff that has </w:t>
      </w:r>
      <w:r w:rsidRPr="005372B2" w:rsidR="000F13BF">
        <w:t>clarified</w:t>
      </w:r>
      <w:r w:rsidRPr="005372B2">
        <w:t xml:space="preserve"> </w:t>
      </w:r>
      <w:r w:rsidRPr="005372B2" w:rsidR="008A142C">
        <w:t xml:space="preserve">its demand forecast and </w:t>
      </w:r>
      <w:r w:rsidRPr="005372B2">
        <w:t xml:space="preserve">the methodology surrounding its cost allocation.  As such, we do not designate those issues for investigation.  </w:t>
      </w:r>
      <w:r w:rsidRPr="005372B2" w:rsidR="008A142C">
        <w:rPr>
          <w:i/>
        </w:rPr>
        <w:t>See</w:t>
      </w:r>
      <w:r w:rsidRPr="005372B2" w:rsidR="008A142C">
        <w:t xml:space="preserve"> Letter from Salvatore Taillefer, Jr.</w:t>
      </w:r>
      <w:r w:rsidRPr="005372B2" w:rsidR="00A9095B">
        <w:t>,</w:t>
      </w:r>
      <w:r w:rsidRPr="005372B2" w:rsidR="008A142C">
        <w:t xml:space="preserve"> Counsel to SDN, to Marlene H. Dortch, Secretary, FCC, WC Docket No. 18-100, Transmittal No. 13 (filed Nov. 21, 2018); </w:t>
      </w:r>
      <w:r w:rsidRPr="005372B2" w:rsidR="00941A67">
        <w:t xml:space="preserve">Letter from Salvatore Taillefer, Jr., Counsel to SDN, to Marlene H. Dortch, Secretary, FCC, WC Docket No. 18-100, Transmittal No. 13 (filed Nov. 26, 2018); </w:t>
      </w:r>
      <w:r w:rsidRPr="005372B2" w:rsidR="00CE554F">
        <w:t xml:space="preserve">Letter from Benjamin H. Dickens, Jr., Mary J. Sisak, and Salvatore Taillefer, Jr., Counsel to SDN, to Marlene H. Dortch, Secretary, FCC, WC Docket No. 18-100, Transmittal No. 13  (filed Nov. 27, 2018); </w:t>
      </w:r>
      <w:r w:rsidRPr="005372B2" w:rsidR="008A142C">
        <w:rPr>
          <w:i/>
        </w:rPr>
        <w:t>see also</w:t>
      </w:r>
      <w:r w:rsidRPr="005372B2" w:rsidR="008A142C">
        <w:t xml:space="preserve"> SDN Reply at 7-8 (providing additional information about its proposed traffic volume calculation)</w:t>
      </w:r>
      <w:r w:rsidRPr="005372B2" w:rsidR="00A9095B">
        <w:t xml:space="preserve">; </w:t>
      </w:r>
      <w:r w:rsidRPr="005372B2" w:rsidR="000F13BF">
        <w:rPr>
          <w:i/>
        </w:rPr>
        <w:t>S</w:t>
      </w:r>
      <w:r w:rsidRPr="005372B2">
        <w:rPr>
          <w:i/>
        </w:rPr>
        <w:t xml:space="preserve">DN Suspension Order </w:t>
      </w:r>
      <w:r w:rsidRPr="005372B2">
        <w:t>at 3, para. 7 (“We may also identify discrete issues that do not warrant further investigation.”).</w:t>
      </w:r>
    </w:p>
  </w:footnote>
  <w:footnote w:id="27">
    <w:p w:rsidR="00E91F1A" w:rsidRPr="005372B2" w:rsidP="00E91F1A">
      <w:pPr>
        <w:pStyle w:val="FootnoteText"/>
      </w:pPr>
      <w:r w:rsidRPr="005372B2">
        <w:rPr>
          <w:rStyle w:val="FootnoteReference"/>
        </w:rPr>
        <w:footnoteRef/>
      </w:r>
      <w:r w:rsidRPr="005372B2">
        <w:t xml:space="preserve"> 47 U.S.C. § 201(b).</w:t>
      </w:r>
      <w:r w:rsidRPr="005372B2" w:rsidR="00541BA8">
        <w:t xml:space="preserve">  </w:t>
      </w:r>
    </w:p>
  </w:footnote>
  <w:footnote w:id="28">
    <w:p w:rsidR="00E91F1A" w:rsidRPr="005372B2" w:rsidP="00E91F1A">
      <w:pPr>
        <w:pStyle w:val="FootnoteText"/>
      </w:pPr>
      <w:r w:rsidRPr="005372B2">
        <w:rPr>
          <w:rStyle w:val="FootnoteReference"/>
        </w:rPr>
        <w:footnoteRef/>
      </w:r>
      <w:r w:rsidRPr="005372B2">
        <w:t xml:space="preserve"> </w:t>
      </w:r>
      <w:r w:rsidRPr="005372B2" w:rsidR="00961ACC">
        <w:t>47 U.S.C</w:t>
      </w:r>
      <w:r w:rsidRPr="005372B2">
        <w:t>.</w:t>
      </w:r>
      <w:r w:rsidRPr="005372B2" w:rsidR="008C7A90">
        <w:t xml:space="preserve"> </w:t>
      </w:r>
      <w:r w:rsidRPr="005372B2">
        <w:t>§ 204(a)(1).</w:t>
      </w:r>
    </w:p>
  </w:footnote>
  <w:footnote w:id="29">
    <w:p w:rsidR="00E91F1A" w:rsidRPr="005372B2" w:rsidP="00E91F1A">
      <w:pPr>
        <w:pStyle w:val="FootnoteText"/>
      </w:pPr>
      <w:r w:rsidRPr="005372B2">
        <w:rPr>
          <w:rStyle w:val="FootnoteReference"/>
        </w:rPr>
        <w:footnoteRef/>
      </w:r>
      <w:r w:rsidRPr="005372B2">
        <w:t xml:space="preserve"> </w:t>
      </w:r>
      <w:r w:rsidRPr="005372B2">
        <w:rPr>
          <w:i/>
        </w:rPr>
        <w:t>Id</w:t>
      </w:r>
      <w:r w:rsidRPr="005372B2">
        <w:t>.</w:t>
      </w:r>
    </w:p>
  </w:footnote>
  <w:footnote w:id="30">
    <w:p w:rsidR="00E91F1A" w:rsidRPr="005372B2" w:rsidP="00E91F1A">
      <w:pPr>
        <w:pStyle w:val="FootnoteText"/>
      </w:pPr>
      <w:r w:rsidRPr="005372B2">
        <w:rPr>
          <w:rStyle w:val="FootnoteReference"/>
        </w:rPr>
        <w:footnoteRef/>
      </w:r>
      <w:r w:rsidRPr="005372B2">
        <w:t xml:space="preserve"> </w:t>
      </w:r>
      <w:r w:rsidRPr="005372B2">
        <w:rPr>
          <w:i/>
        </w:rPr>
        <w:t>Id</w:t>
      </w:r>
      <w:r w:rsidRPr="005372B2">
        <w:t>. § 205(a).</w:t>
      </w:r>
    </w:p>
  </w:footnote>
  <w:footnote w:id="31">
    <w:p w:rsidR="00E91F1A" w:rsidRPr="0047151B" w:rsidP="00E91F1A">
      <w:pPr>
        <w:pStyle w:val="FootnoteText"/>
      </w:pPr>
      <w:r w:rsidRPr="005372B2">
        <w:rPr>
          <w:rStyle w:val="FootnoteReference"/>
        </w:rPr>
        <w:footnoteRef/>
      </w:r>
      <w:r w:rsidRPr="005372B2">
        <w:t xml:space="preserve"> </w:t>
      </w:r>
      <w:r w:rsidRPr="005372B2" w:rsidR="00311C55">
        <w:rPr>
          <w:i/>
        </w:rPr>
        <w:t>AT&amp;T Corp. v. Iowa Network Services, Inc. d/b/a Aureon Network Services</w:t>
      </w:r>
      <w:r w:rsidRPr="005372B2" w:rsidR="00311C55">
        <w:t xml:space="preserve">, </w:t>
      </w:r>
      <w:r w:rsidRPr="005372B2" w:rsidR="00E7204F">
        <w:t>Proceeding No. 17-56, Bureau ID No. EB-17-MD-00</w:t>
      </w:r>
      <w:r w:rsidRPr="005372B2" w:rsidR="00D00F11">
        <w:t>1</w:t>
      </w:r>
      <w:r w:rsidRPr="005372B2" w:rsidR="00E7204F">
        <w:t xml:space="preserve">, </w:t>
      </w:r>
      <w:r w:rsidRPr="005372B2" w:rsidR="00311C55">
        <w:t xml:space="preserve">Memorandum Opinion and Order, </w:t>
      </w:r>
      <w:r w:rsidRPr="005372B2">
        <w:t xml:space="preserve">32 FCC Rcd </w:t>
      </w:r>
      <w:r w:rsidRPr="005372B2" w:rsidR="00311C55">
        <w:t>9677</w:t>
      </w:r>
      <w:r w:rsidRPr="005372B2" w:rsidR="00726225">
        <w:t>,</w:t>
      </w:r>
      <w:r w:rsidRPr="005372B2" w:rsidR="00311C55">
        <w:t xml:space="preserve"> </w:t>
      </w:r>
      <w:r w:rsidRPr="005372B2">
        <w:t>9689, para. 25</w:t>
      </w:r>
      <w:r w:rsidRPr="005372B2" w:rsidR="00311C55">
        <w:t xml:space="preserve"> (2017)</w:t>
      </w:r>
      <w:r w:rsidR="00D42A08">
        <w:t xml:space="preserve"> (</w:t>
      </w:r>
      <w:r w:rsidR="00D42A08">
        <w:rPr>
          <w:i/>
        </w:rPr>
        <w:t>Aureon Liability Order</w:t>
      </w:r>
      <w:r w:rsidR="00D42A08">
        <w:t>)</w:t>
      </w:r>
      <w:r w:rsidRPr="005372B2" w:rsidR="00726225">
        <w:t xml:space="preserve"> </w:t>
      </w:r>
      <w:r w:rsidRPr="005372B2">
        <w:t xml:space="preserve">(“For purposes of the </w:t>
      </w:r>
      <w:r w:rsidRPr="005372B2">
        <w:rPr>
          <w:i/>
          <w:iCs/>
        </w:rPr>
        <w:t xml:space="preserve">USF/ICC Transformation Order </w:t>
      </w:r>
      <w:r w:rsidRPr="005372B2">
        <w:t xml:space="preserve">and the attendant rules, Aureon </w:t>
      </w:r>
      <w:r w:rsidRPr="005372B2" w:rsidR="00037465">
        <w:t xml:space="preserve">[a CEA provider] </w:t>
      </w:r>
      <w:r w:rsidRPr="005372B2">
        <w:t>is a CLEC.”</w:t>
      </w:r>
      <w:r w:rsidRPr="005372B2" w:rsidR="00726225">
        <w:t>)</w:t>
      </w:r>
      <w:r w:rsidRPr="005372B2">
        <w:t xml:space="preserve"> (</w:t>
      </w:r>
      <w:r w:rsidRPr="005372B2" w:rsidR="00726225">
        <w:t xml:space="preserve">citation </w:t>
      </w:r>
      <w:r w:rsidRPr="005372B2">
        <w:t>omitted))</w:t>
      </w:r>
      <w:r w:rsidR="00D42A08">
        <w:t xml:space="preserve">; </w:t>
      </w:r>
      <w:r w:rsidR="00D42A08">
        <w:rPr>
          <w:i/>
        </w:rPr>
        <w:t>AT&amp;T Corp. v. Iowa Network Services, Inc. d/b/a Aureon Network Services</w:t>
      </w:r>
      <w:r w:rsidR="00D42A08">
        <w:t xml:space="preserve">, Proceeding No. 17-56, Bureau ID Number EB-17-MD-001, Order on Reconsideration, FCC 18-116 (Aug. 1, 2018), </w:t>
      </w:r>
      <w:r w:rsidR="0069537E">
        <w:rPr>
          <w:i/>
        </w:rPr>
        <w:t>petitions for review pending</w:t>
      </w:r>
      <w:r w:rsidR="0069537E">
        <w:t xml:space="preserve">, </w:t>
      </w:r>
      <w:r w:rsidR="0069537E">
        <w:rPr>
          <w:i/>
        </w:rPr>
        <w:t>AT&amp;T Corp. v. FCC</w:t>
      </w:r>
      <w:r w:rsidR="0069537E">
        <w:t>, No. 18-1007 (</w:t>
      </w:r>
      <w:r w:rsidR="00805DC4">
        <w:t xml:space="preserve">D.C. Cir. </w:t>
      </w:r>
      <w:r w:rsidR="0069537E">
        <w:t xml:space="preserve">filed Jan. 8, 2018); </w:t>
      </w:r>
      <w:r w:rsidR="0069537E">
        <w:rPr>
          <w:i/>
        </w:rPr>
        <w:t>Iowa Network Services, Inc. v. FCC</w:t>
      </w:r>
      <w:r w:rsidR="0069537E">
        <w:t>, No. 18-1257 (</w:t>
      </w:r>
      <w:r w:rsidR="00805DC4">
        <w:t xml:space="preserve">D.C. Cir. </w:t>
      </w:r>
      <w:r w:rsidR="0069537E">
        <w:t>filed Sept. 18, 2018);</w:t>
      </w:r>
      <w:r w:rsidR="00D42A08">
        <w:t xml:space="preserve"> </w:t>
      </w:r>
      <w:r w:rsidR="00D42A08">
        <w:rPr>
          <w:i/>
        </w:rPr>
        <w:t>AT&amp;T Corp. v. Iowa Network Services, Inc. d/b/a Aureon Network Services</w:t>
      </w:r>
      <w:r w:rsidR="00D42A08">
        <w:t>, Proceeding No. 17-56, Bureau ID Number EB-17-MD-001, Second Order on Reconsideration, FCC 18-170 (Nov. 28, 2018)</w:t>
      </w:r>
      <w:r w:rsidRPr="005372B2">
        <w:t xml:space="preserve">.  The Commission also found that as a dominant carrier, “Aureon must comply with Section 61.38 [of the Commission’s rules] and supply ‘supporting . . . material’ justifying its rates.”  </w:t>
      </w:r>
      <w:r w:rsidR="00D42A08">
        <w:rPr>
          <w:i/>
        </w:rPr>
        <w:t>Aureon Liability Order</w:t>
      </w:r>
      <w:r w:rsidRPr="005372B2">
        <w:t xml:space="preserve"> at </w:t>
      </w:r>
      <w:r w:rsidR="001F55BB">
        <w:t xml:space="preserve">32 FCC Rcd </w:t>
      </w:r>
      <w:r w:rsidRPr="005372B2">
        <w:t>9690, para. 26 (</w:t>
      </w:r>
      <w:r w:rsidRPr="005372B2" w:rsidR="00E7204F">
        <w:t xml:space="preserve">citation </w:t>
      </w:r>
      <w:r w:rsidRPr="005372B2">
        <w:t>omitted).</w:t>
      </w:r>
      <w:r w:rsidRPr="005372B2" w:rsidR="00C548E1">
        <w:t xml:space="preserve">  Like Aureon, SDN is a CEA provider and thus these rules also apply to it.</w:t>
      </w:r>
    </w:p>
  </w:footnote>
  <w:footnote w:id="32">
    <w:p w:rsidR="00E91F1A" w:rsidRPr="005372B2" w:rsidP="00E91F1A">
      <w:pPr>
        <w:pStyle w:val="FootnoteText"/>
      </w:pPr>
      <w:r w:rsidRPr="005372B2">
        <w:rPr>
          <w:rStyle w:val="FootnoteReference"/>
        </w:rPr>
        <w:footnoteRef/>
      </w:r>
      <w:r w:rsidRPr="005372B2">
        <w:t xml:space="preserve"> 47 CFR § 51.911(c).</w:t>
      </w:r>
    </w:p>
  </w:footnote>
  <w:footnote w:id="33">
    <w:p w:rsidR="00E91F1A" w:rsidRPr="005372B2" w:rsidP="00E91F1A">
      <w:pPr>
        <w:pStyle w:val="FootnoteText"/>
      </w:pPr>
      <w:r w:rsidRPr="005372B2">
        <w:rPr>
          <w:rStyle w:val="FootnoteReference"/>
        </w:rPr>
        <w:footnoteRef/>
      </w:r>
      <w:r w:rsidRPr="005372B2">
        <w:t xml:space="preserve"> </w:t>
      </w:r>
      <w:r w:rsidRPr="005372B2">
        <w:rPr>
          <w:i/>
        </w:rPr>
        <w:t>Id</w:t>
      </w:r>
      <w:r w:rsidRPr="005372B2">
        <w:t>. § 61.26(a)(2).</w:t>
      </w:r>
    </w:p>
  </w:footnote>
  <w:footnote w:id="34">
    <w:p w:rsidR="00E91F1A" w:rsidRPr="005372B2" w:rsidP="008D72EA">
      <w:pPr>
        <w:pStyle w:val="FootnoteText"/>
      </w:pPr>
      <w:r w:rsidRPr="005372B2">
        <w:rPr>
          <w:rStyle w:val="FootnoteReference"/>
        </w:rPr>
        <w:footnoteRef/>
      </w:r>
      <w:r w:rsidRPr="005372B2">
        <w:t xml:space="preserve"> </w:t>
      </w:r>
      <w:r w:rsidRPr="005372B2" w:rsidR="00B37C51">
        <w:rPr>
          <w:i/>
        </w:rPr>
        <w:t>Id</w:t>
      </w:r>
      <w:r w:rsidRPr="005372B2" w:rsidR="00B37C51">
        <w:t>.</w:t>
      </w:r>
      <w:r w:rsidRPr="005372B2">
        <w:t xml:space="preserve"> § 61.26(f)</w:t>
      </w:r>
      <w:r w:rsidRPr="005372B2" w:rsidR="00E7204F">
        <w:t xml:space="preserve">; </w:t>
      </w:r>
      <w:r w:rsidRPr="005372B2" w:rsidR="00E7204F">
        <w:rPr>
          <w:i/>
        </w:rPr>
        <w:t>s</w:t>
      </w:r>
      <w:r w:rsidRPr="005372B2">
        <w:rPr>
          <w:i/>
        </w:rPr>
        <w:t>ee</w:t>
      </w:r>
      <w:r w:rsidRPr="005372B2">
        <w:t xml:space="preserve"> </w:t>
      </w:r>
      <w:r w:rsidRPr="005372B2">
        <w:rPr>
          <w:i/>
        </w:rPr>
        <w:t>AT&amp;T Services Inc. and AT&amp;T Corp. v. Great Lakes Comnet, Inc. and Westphalia Telephone Company</w:t>
      </w:r>
      <w:r w:rsidRPr="005372B2">
        <w:t xml:space="preserve">, </w:t>
      </w:r>
      <w:r w:rsidRPr="005372B2" w:rsidR="008D72EA">
        <w:t xml:space="preserve">EB Docket No. 14-222, File No. EB-14-MD-013, Memorandum Opinion and Order, </w:t>
      </w:r>
      <w:r w:rsidRPr="005372B2">
        <w:t>30 FCC Rcd 2586, 2594, para. 25 (2015) (</w:t>
      </w:r>
      <w:r w:rsidRPr="005372B2">
        <w:rPr>
          <w:i/>
        </w:rPr>
        <w:t>AT&amp;T v. Great Lakes</w:t>
      </w:r>
      <w:r w:rsidRPr="005372B2">
        <w:t xml:space="preserve">), </w:t>
      </w:r>
      <w:r w:rsidRPr="005372B2">
        <w:rPr>
          <w:i/>
        </w:rPr>
        <w:t>aff’d in relevant part</w:t>
      </w:r>
      <w:r w:rsidRPr="005372B2">
        <w:t xml:space="preserve">, </w:t>
      </w:r>
      <w:r w:rsidRPr="005372B2">
        <w:rPr>
          <w:i/>
        </w:rPr>
        <w:t>Great Lakes Comnet, Inc. v. FCC</w:t>
      </w:r>
      <w:r w:rsidRPr="005372B2">
        <w:t>, 823 F.3d 998, 1004-05 (D.C. Cir. 2016) (</w:t>
      </w:r>
      <w:r w:rsidRPr="005372B2">
        <w:rPr>
          <w:i/>
        </w:rPr>
        <w:t>Great Lakes v. FCC</w:t>
      </w:r>
      <w:r w:rsidRPr="005372B2">
        <w:t>) (where the Commission found that an intermediate carrier</w:t>
      </w:r>
      <w:r w:rsidRPr="005372B2" w:rsidR="000729DB">
        <w:t xml:space="preserve">, Great Lakes Comnet, violated </w:t>
      </w:r>
      <w:r w:rsidRPr="005372B2" w:rsidR="00D00F11">
        <w:t>s</w:t>
      </w:r>
      <w:r w:rsidRPr="005372B2">
        <w:t>ection 61.26(f) when its tariff contained rates benchmarked to the incorrect “competing incumbent LEC”).</w:t>
      </w:r>
    </w:p>
  </w:footnote>
  <w:footnote w:id="35">
    <w:p w:rsidR="00745982" w:rsidRPr="005372B2">
      <w:pPr>
        <w:pStyle w:val="FootnoteText"/>
      </w:pPr>
      <w:r w:rsidRPr="005372B2">
        <w:rPr>
          <w:rStyle w:val="FootnoteReference"/>
        </w:rPr>
        <w:footnoteRef/>
      </w:r>
      <w:r w:rsidRPr="005372B2">
        <w:t xml:space="preserve"> </w:t>
      </w:r>
      <w:r w:rsidRPr="005372B2">
        <w:rPr>
          <w:i/>
        </w:rPr>
        <w:t xml:space="preserve">See supra </w:t>
      </w:r>
      <w:r w:rsidR="00805DC4">
        <w:t xml:space="preserve">paras. </w:t>
      </w:r>
      <w:r w:rsidRPr="005372B2" w:rsidR="008C7A90">
        <w:t>3-</w:t>
      </w:r>
      <w:r w:rsidR="00805DC4">
        <w:t>4</w:t>
      </w:r>
      <w:r w:rsidRPr="005372B2">
        <w:t>.</w:t>
      </w:r>
    </w:p>
  </w:footnote>
  <w:footnote w:id="36">
    <w:p w:rsidR="00745982" w:rsidRPr="005372B2" w:rsidP="00745982">
      <w:pPr>
        <w:pStyle w:val="FootnoteText"/>
      </w:pPr>
      <w:r w:rsidRPr="005372B2">
        <w:rPr>
          <w:rStyle w:val="FootnoteReference"/>
        </w:rPr>
        <w:footnoteRef/>
      </w:r>
      <w:r w:rsidRPr="005372B2">
        <w:t xml:space="preserve"> SDN Description and Justification at 3.</w:t>
      </w:r>
    </w:p>
  </w:footnote>
  <w:footnote w:id="37">
    <w:p w:rsidR="005075D2">
      <w:pPr>
        <w:pStyle w:val="FootnoteText"/>
      </w:pPr>
      <w:r w:rsidRPr="005372B2">
        <w:rPr>
          <w:rStyle w:val="FootnoteReference"/>
        </w:rPr>
        <w:footnoteRef/>
      </w:r>
      <w:r w:rsidRPr="005372B2">
        <w:t xml:space="preserve"> </w:t>
      </w:r>
      <w:r w:rsidRPr="005372B2" w:rsidR="00C50F01">
        <w:rPr>
          <w:i/>
        </w:rPr>
        <w:t>Id</w:t>
      </w:r>
      <w:r w:rsidRPr="005372B2" w:rsidR="00C50F01">
        <w:t>.</w:t>
      </w:r>
      <w:r w:rsidRPr="005372B2" w:rsidR="00311C55">
        <w:t xml:space="preserve"> </w:t>
      </w:r>
      <w:r w:rsidRPr="005372B2">
        <w:t>at 2-3.</w:t>
      </w:r>
    </w:p>
  </w:footnote>
  <w:footnote w:id="38">
    <w:p w:rsidR="003024BD" w:rsidRPr="005372B2" w:rsidP="003024BD">
      <w:pPr>
        <w:pStyle w:val="FootnoteText"/>
      </w:pPr>
      <w:r w:rsidRPr="005372B2">
        <w:rPr>
          <w:rStyle w:val="FootnoteReference"/>
        </w:rPr>
        <w:footnoteRef/>
      </w:r>
      <w:r w:rsidRPr="005372B2">
        <w:t xml:space="preserve"> SDN Reply at 5.  However, CenturyLink has not participated in this proceeding and has offered no information about how it tariffs its interstate service for South Dakota or whether that offering does or does not include equal access functionality.</w:t>
      </w:r>
    </w:p>
  </w:footnote>
  <w:footnote w:id="39">
    <w:p w:rsidR="005C157C" w:rsidRPr="005372B2" w:rsidP="005C157C">
      <w:pPr>
        <w:pStyle w:val="FootnoteText"/>
      </w:pPr>
      <w:r w:rsidRPr="005372B2">
        <w:rPr>
          <w:rStyle w:val="FootnoteReference"/>
        </w:rPr>
        <w:footnoteRef/>
      </w:r>
      <w:r w:rsidRPr="005372B2">
        <w:t xml:space="preserve"> </w:t>
      </w:r>
      <w:r w:rsidRPr="005372B2" w:rsidR="000E19FD">
        <w:t xml:space="preserve">The Commission granted forbearance from equal access obligations in 2015 to all LECs; however, the Commission required incumbent LECs to maintain equal access for existing customers presubscribed to a stand-alone long-distance provider as of December 28, 2015.  </w:t>
      </w:r>
      <w:r w:rsidRPr="005372B2" w:rsidR="000E19FD">
        <w:rPr>
          <w:i/>
        </w:rPr>
        <w:t>Petition of US Telecom for Forbearance Pursuant to 47 U.S.C. § 160(c) from Enforcement of Obsolete ILEC Legacy Regulations That Inhibit Deployment of Next-Generation Networks et al.</w:t>
      </w:r>
      <w:r w:rsidRPr="005372B2" w:rsidR="000E19FD">
        <w:t xml:space="preserve">, </w:t>
      </w:r>
      <w:r w:rsidRPr="005372B2" w:rsidR="007574A6">
        <w:t xml:space="preserve">WC Docket Nos. 14-192 et al., Memorandum Opinion and Order, </w:t>
      </w:r>
      <w:r w:rsidRPr="005372B2" w:rsidR="000E19FD">
        <w:t xml:space="preserve">31 FCC Rcd 6157, 6188-89, para. 54 (2015).  The Commission recently adopted an order terminating the remaining obligation of incumbent LECs to maintain equal access for existing customers presubscribed to a stand-alone long-distance provider as of December 28, 2015.  </w:t>
      </w:r>
      <w:r w:rsidRPr="005372B2" w:rsidR="000E19FD">
        <w:rPr>
          <w:i/>
        </w:rPr>
        <w:t>See Nationwide Number Portability et al</w:t>
      </w:r>
      <w:r w:rsidRPr="005372B2" w:rsidR="000E19FD">
        <w:t>., WC Docket No. 17-244</w:t>
      </w:r>
      <w:r w:rsidRPr="005372B2" w:rsidR="007574A6">
        <w:t xml:space="preserve"> et al.</w:t>
      </w:r>
      <w:r w:rsidRPr="005372B2" w:rsidR="000E19FD">
        <w:t xml:space="preserve">, Report and Order, </w:t>
      </w:r>
      <w:r w:rsidRPr="005372B2" w:rsidR="007574A6">
        <w:t xml:space="preserve">FCC 18-95, at 5-6, </w:t>
      </w:r>
      <w:r w:rsidRPr="005372B2" w:rsidR="000E19FD">
        <w:t>paras. 14-16 (July 13, 2018).</w:t>
      </w:r>
    </w:p>
  </w:footnote>
  <w:footnote w:id="40">
    <w:p w:rsidR="00140AB3" w:rsidRPr="005372B2">
      <w:pPr>
        <w:pStyle w:val="FootnoteText"/>
      </w:pPr>
      <w:r w:rsidRPr="005372B2">
        <w:rPr>
          <w:rStyle w:val="FootnoteReference"/>
        </w:rPr>
        <w:footnoteRef/>
      </w:r>
      <w:r w:rsidRPr="005372B2">
        <w:t xml:space="preserve"> SDN Reply at 4.</w:t>
      </w:r>
    </w:p>
  </w:footnote>
  <w:footnote w:id="41">
    <w:p w:rsidR="00F55A8A" w:rsidRPr="005372B2">
      <w:pPr>
        <w:pStyle w:val="FootnoteText"/>
      </w:pPr>
      <w:r w:rsidRPr="005372B2">
        <w:rPr>
          <w:rStyle w:val="FootnoteReference"/>
        </w:rPr>
        <w:footnoteRef/>
      </w:r>
      <w:r w:rsidRPr="005372B2" w:rsidR="002268E0">
        <w:t xml:space="preserve"> </w:t>
      </w:r>
      <w:r w:rsidRPr="005372B2" w:rsidR="00766447">
        <w:rPr>
          <w:i/>
        </w:rPr>
        <w:t xml:space="preserve">See supra </w:t>
      </w:r>
      <w:r w:rsidRPr="005372B2" w:rsidR="00766447">
        <w:t xml:space="preserve">para. </w:t>
      </w:r>
      <w:r w:rsidRPr="005372B2" w:rsidR="00593184">
        <w:t>9</w:t>
      </w:r>
      <w:r w:rsidRPr="005372B2" w:rsidR="00766447">
        <w:t>.</w:t>
      </w:r>
    </w:p>
  </w:footnote>
  <w:footnote w:id="42">
    <w:p w:rsidR="004D7BA7" w:rsidRPr="005372B2">
      <w:pPr>
        <w:pStyle w:val="FootnoteText"/>
      </w:pPr>
      <w:r w:rsidRPr="005372B2">
        <w:rPr>
          <w:rStyle w:val="FootnoteReference"/>
        </w:rPr>
        <w:footnoteRef/>
      </w:r>
      <w:r w:rsidRPr="005372B2">
        <w:t xml:space="preserve"> </w:t>
      </w:r>
      <w:r w:rsidRPr="005372B2">
        <w:rPr>
          <w:i/>
        </w:rPr>
        <w:t xml:space="preserve">See </w:t>
      </w:r>
      <w:r w:rsidRPr="005372B2">
        <w:t>Petition at 14 (</w:t>
      </w:r>
      <w:r w:rsidRPr="005372B2" w:rsidR="00E7204F">
        <w:t>Petitioners</w:t>
      </w:r>
      <w:r w:rsidRPr="005372B2">
        <w:t xml:space="preserve"> </w:t>
      </w:r>
      <w:r w:rsidRPr="005372B2" w:rsidR="0069273B">
        <w:t xml:space="preserve">argue that SDN “ignored Commission precedent by attempting to benchmark this rate to NECA, rather than CenturyLink.” </w:t>
      </w:r>
      <w:r w:rsidRPr="005372B2" w:rsidR="00E7204F">
        <w:rPr>
          <w:i/>
        </w:rPr>
        <w:t>Id</w:t>
      </w:r>
      <w:r w:rsidRPr="005372B2" w:rsidR="00E7204F">
        <w:t xml:space="preserve">. </w:t>
      </w:r>
      <w:r w:rsidRPr="005372B2" w:rsidR="0069273B">
        <w:t xml:space="preserve">(citing </w:t>
      </w:r>
      <w:r w:rsidRPr="005372B2" w:rsidR="0069273B">
        <w:rPr>
          <w:i/>
        </w:rPr>
        <w:t>Aureon Tariff Investigation Order</w:t>
      </w:r>
      <w:r w:rsidRPr="005372B2" w:rsidR="0069273B">
        <w:t xml:space="preserve"> at </w:t>
      </w:r>
      <w:r w:rsidRPr="005372B2" w:rsidR="00B15125">
        <w:t xml:space="preserve">8, 14, </w:t>
      </w:r>
      <w:r w:rsidRPr="005372B2" w:rsidR="0069273B">
        <w:t>paras. 18, 31)</w:t>
      </w:r>
      <w:r w:rsidRPr="005372B2" w:rsidR="002268E0">
        <w:t>)</w:t>
      </w:r>
      <w:r w:rsidRPr="005372B2" w:rsidR="0069273B">
        <w:t>.</w:t>
      </w:r>
    </w:p>
  </w:footnote>
  <w:footnote w:id="43">
    <w:p w:rsidR="008C7A90" w:rsidRPr="005372B2" w:rsidP="008C7A90">
      <w:pPr>
        <w:pStyle w:val="FootnoteText"/>
      </w:pPr>
      <w:r w:rsidRPr="005372B2">
        <w:rPr>
          <w:rStyle w:val="FootnoteReference"/>
        </w:rPr>
        <w:footnoteRef/>
      </w:r>
      <w:r w:rsidRPr="005372B2">
        <w:t xml:space="preserve"> </w:t>
      </w:r>
      <w:r w:rsidRPr="005372B2">
        <w:rPr>
          <w:i/>
        </w:rPr>
        <w:t>Aureon Tariff Investigation Order</w:t>
      </w:r>
      <w:r w:rsidRPr="005372B2">
        <w:t xml:space="preserve"> at 10-11, para. 25 (“Aureon and its subtending LECs each provide a portion of the access service needed to originate or terminate a call from or to an end user customer of one of the subtending LECs </w:t>
      </w:r>
      <w:r w:rsidRPr="005372B2">
        <w:t>. . . .</w:t>
      </w:r>
      <w:r w:rsidRPr="005372B2">
        <w:t xml:space="preserve"> [T]he question to be answered is whether CenturyLink would provide the portion of the access that Aureon provides if Aureon did not provide it </w:t>
      </w:r>
      <w:r w:rsidRPr="005372B2">
        <w:t>. . . .</w:t>
      </w:r>
      <w:r w:rsidRPr="005372B2">
        <w:t>”).</w:t>
      </w:r>
    </w:p>
  </w:footnote>
  <w:footnote w:id="44">
    <w:p w:rsidR="00B8337E">
      <w:pPr>
        <w:pStyle w:val="FootnoteText"/>
      </w:pPr>
      <w:r w:rsidRPr="005372B2">
        <w:rPr>
          <w:rStyle w:val="FootnoteReference"/>
        </w:rPr>
        <w:footnoteRef/>
      </w:r>
      <w:r w:rsidRPr="005372B2">
        <w:t xml:space="preserve"> SDN Reply at 6.</w:t>
      </w:r>
    </w:p>
  </w:footnote>
  <w:footnote w:id="45">
    <w:p w:rsidR="00AE0C78" w:rsidRPr="005372B2" w:rsidP="00AE0C78">
      <w:pPr>
        <w:pStyle w:val="FootnoteText"/>
      </w:pPr>
      <w:r w:rsidRPr="005372B2">
        <w:rPr>
          <w:rStyle w:val="FootnoteReference"/>
        </w:rPr>
        <w:footnoteRef/>
      </w:r>
      <w:r w:rsidRPr="005372B2">
        <w:t xml:space="preserve"> SDN Description and Justification at 3.</w:t>
      </w:r>
    </w:p>
  </w:footnote>
  <w:footnote w:id="46">
    <w:p w:rsidR="00AE0C78" w:rsidRPr="005372B2" w:rsidP="00AE0C78">
      <w:pPr>
        <w:pStyle w:val="FootnoteText"/>
      </w:pPr>
      <w:r w:rsidRPr="005372B2">
        <w:rPr>
          <w:rStyle w:val="FootnoteReference"/>
        </w:rPr>
        <w:footnoteRef/>
      </w:r>
      <w:r w:rsidRPr="005372B2">
        <w:t xml:space="preserve"> </w:t>
      </w:r>
      <w:r w:rsidRPr="005372B2">
        <w:rPr>
          <w:i/>
        </w:rPr>
        <w:t xml:space="preserve">See </w:t>
      </w:r>
      <w:r w:rsidRPr="005372B2">
        <w:t>Petition at 15.</w:t>
      </w:r>
    </w:p>
  </w:footnote>
  <w:footnote w:id="47">
    <w:p w:rsidR="008353AE" w:rsidRPr="005372B2" w:rsidP="008353AE">
      <w:pPr>
        <w:pStyle w:val="FootnoteText"/>
      </w:pPr>
      <w:r w:rsidRPr="005372B2">
        <w:rPr>
          <w:rStyle w:val="FootnoteReference"/>
        </w:rPr>
        <w:footnoteRef/>
      </w:r>
      <w:r w:rsidRPr="005372B2">
        <w:t xml:space="preserve"> 47 CFR §§ 1.1200(a).</w:t>
      </w:r>
    </w:p>
  </w:footnote>
  <w:footnote w:id="48">
    <w:p w:rsidR="008353AE" w:rsidRPr="005372B2" w:rsidP="008353AE">
      <w:pPr>
        <w:pStyle w:val="FootnoteText"/>
      </w:pPr>
      <w:r w:rsidRPr="005372B2">
        <w:rPr>
          <w:rStyle w:val="FootnoteReference"/>
        </w:rPr>
        <w:footnoteRef/>
      </w:r>
      <w:r w:rsidRPr="005372B2">
        <w:t xml:space="preserve"> This date is necessary to give the Commission adequate time to evaluate the complete record prior to the statutory deadline of March 1, 2019.   </w:t>
      </w:r>
    </w:p>
  </w:footnote>
  <w:footnote w:id="49">
    <w:p w:rsidR="00E91F1A" w:rsidRPr="005B27AB" w:rsidP="00E91F1A">
      <w:pPr>
        <w:pStyle w:val="FootnoteText"/>
      </w:pPr>
      <w:r w:rsidRPr="005372B2">
        <w:rPr>
          <w:rStyle w:val="FootnoteReference"/>
        </w:rPr>
        <w:footnoteRef/>
      </w:r>
      <w:r w:rsidRPr="005372B2">
        <w:t xml:space="preserve"> </w:t>
      </w:r>
      <w:r w:rsidRPr="005372B2" w:rsidR="00537925">
        <w:rPr>
          <w:i/>
        </w:rPr>
        <w:t>July 1, 2018 Annual Access Charge Tariff Filings; South Dakota Network, LLC Tariff F.C.C. No. 1</w:t>
      </w:r>
      <w:r w:rsidRPr="005372B2" w:rsidR="00537925">
        <w:t>, WC Docket No. 18-100</w:t>
      </w:r>
      <w:r w:rsidRPr="005372B2" w:rsidR="00A37030">
        <w:t>,</w:t>
      </w:r>
      <w:r w:rsidRPr="005372B2" w:rsidR="00537925">
        <w:t xml:space="preserve"> Transmittal No. 13, Pr</w:t>
      </w:r>
      <w:r w:rsidRPr="005372B2" w:rsidR="00961ACC">
        <w:t>otective Order, DA 18-1158 (WCB</w:t>
      </w:r>
      <w:r w:rsidRPr="005372B2" w:rsidR="00537925">
        <w:t xml:space="preserve"> Nov. 14, 2018).</w:t>
      </w:r>
    </w:p>
  </w:footnote>
  <w:footnote w:id="50">
    <w:p w:rsidR="00E91F1A" w:rsidRPr="005372B2" w:rsidP="00E91F1A">
      <w:pPr>
        <w:pStyle w:val="FootnoteText"/>
        <w:tabs>
          <w:tab w:val="left" w:pos="5772"/>
        </w:tabs>
        <w:rPr>
          <w:iCs/>
        </w:rPr>
      </w:pPr>
      <w:r>
        <w:rPr>
          <w:rStyle w:val="FootnoteReference"/>
        </w:rPr>
        <w:footnoteRef/>
      </w:r>
      <w:r>
        <w:t xml:space="preserve"> 47 CFR §§ 1.1200 </w:t>
      </w:r>
      <w:r>
        <w:rPr>
          <w:iCs/>
        </w:rPr>
        <w:t>et seq</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5B4" w:rsidP="005975B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DA 18-</w:t>
    </w:r>
    <w:r w:rsidR="00972D57">
      <w:rPr>
        <w:spacing w:val="-2"/>
      </w:rPr>
      <w:t>1214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975B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4003D">
      <w:t xml:space="preserve"> </w:t>
    </w:r>
    <w:r w:rsidR="005975B4">
      <w:tab/>
    </w:r>
    <w:r>
      <w:t>Federal Communications Commission</w:t>
    </w:r>
    <w:r>
      <w:tab/>
    </w:r>
    <w:r w:rsidR="00AD33F5">
      <w:rPr>
        <w:spacing w:val="-2"/>
      </w:rPr>
      <w:t>DA 18-</w:t>
    </w:r>
    <w:r w:rsidR="00972D57">
      <w:rPr>
        <w:spacing w:val="-2"/>
      </w:rPr>
      <w:t>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3F1376"/>
    <w:multiLevelType w:val="hybridMultilevel"/>
    <w:tmpl w:val="926A7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10"/>
  </w:num>
  <w:num w:numId="5">
    <w:abstractNumId w:val="4"/>
  </w:num>
  <w:num w:numId="6">
    <w:abstractNumId w:val="1"/>
  </w:num>
  <w:num w:numId="7">
    <w:abstractNumId w:val="0"/>
  </w:num>
  <w:num w:numId="8">
    <w:abstractNumId w:val="7"/>
  </w:num>
  <w:num w:numId="9">
    <w:abstractNumId w:val="2"/>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D57"/>
    <w:pPr>
      <w:widowControl w:val="0"/>
    </w:pPr>
    <w:rPr>
      <w:snapToGrid w:val="0"/>
      <w:kern w:val="28"/>
      <w:sz w:val="22"/>
    </w:rPr>
  </w:style>
  <w:style w:type="paragraph" w:styleId="Heading1">
    <w:name w:val="heading 1"/>
    <w:basedOn w:val="Normal"/>
    <w:next w:val="ParaNum"/>
    <w:qFormat/>
    <w:rsid w:val="00972D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2D57"/>
    <w:pPr>
      <w:keepNext/>
      <w:numPr>
        <w:ilvl w:val="1"/>
        <w:numId w:val="3"/>
      </w:numPr>
      <w:spacing w:after="120"/>
      <w:outlineLvl w:val="1"/>
    </w:pPr>
    <w:rPr>
      <w:b/>
    </w:rPr>
  </w:style>
  <w:style w:type="paragraph" w:styleId="Heading3">
    <w:name w:val="heading 3"/>
    <w:basedOn w:val="Normal"/>
    <w:next w:val="ParaNum"/>
    <w:qFormat/>
    <w:rsid w:val="00972D57"/>
    <w:pPr>
      <w:keepNext/>
      <w:numPr>
        <w:ilvl w:val="2"/>
        <w:numId w:val="3"/>
      </w:numPr>
      <w:tabs>
        <w:tab w:val="left" w:pos="2160"/>
      </w:tabs>
      <w:spacing w:after="120"/>
      <w:outlineLvl w:val="2"/>
    </w:pPr>
    <w:rPr>
      <w:b/>
    </w:rPr>
  </w:style>
  <w:style w:type="paragraph" w:styleId="Heading4">
    <w:name w:val="heading 4"/>
    <w:basedOn w:val="Normal"/>
    <w:next w:val="ParaNum"/>
    <w:qFormat/>
    <w:rsid w:val="00972D57"/>
    <w:pPr>
      <w:keepNext/>
      <w:numPr>
        <w:ilvl w:val="3"/>
        <w:numId w:val="3"/>
      </w:numPr>
      <w:tabs>
        <w:tab w:val="left" w:pos="2880"/>
      </w:tabs>
      <w:spacing w:after="120"/>
      <w:outlineLvl w:val="3"/>
    </w:pPr>
    <w:rPr>
      <w:b/>
    </w:rPr>
  </w:style>
  <w:style w:type="paragraph" w:styleId="Heading5">
    <w:name w:val="heading 5"/>
    <w:basedOn w:val="Normal"/>
    <w:next w:val="ParaNum"/>
    <w:qFormat/>
    <w:rsid w:val="00972D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72D57"/>
    <w:pPr>
      <w:numPr>
        <w:ilvl w:val="5"/>
        <w:numId w:val="3"/>
      </w:numPr>
      <w:tabs>
        <w:tab w:val="left" w:pos="4320"/>
      </w:tabs>
      <w:spacing w:after="120"/>
      <w:outlineLvl w:val="5"/>
    </w:pPr>
    <w:rPr>
      <w:b/>
    </w:rPr>
  </w:style>
  <w:style w:type="paragraph" w:styleId="Heading7">
    <w:name w:val="heading 7"/>
    <w:basedOn w:val="Normal"/>
    <w:next w:val="ParaNum"/>
    <w:qFormat/>
    <w:rsid w:val="00972D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72D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72D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2D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D57"/>
  </w:style>
  <w:style w:type="paragraph" w:customStyle="1" w:styleId="ParaNum">
    <w:name w:val="ParaNum"/>
    <w:basedOn w:val="Normal"/>
    <w:link w:val="ParaNumCharChar1"/>
    <w:rsid w:val="00972D57"/>
    <w:pPr>
      <w:numPr>
        <w:numId w:val="2"/>
      </w:numPr>
      <w:tabs>
        <w:tab w:val="clear" w:pos="1080"/>
        <w:tab w:val="num" w:pos="1440"/>
      </w:tabs>
      <w:spacing w:after="120"/>
    </w:pPr>
  </w:style>
  <w:style w:type="paragraph" w:styleId="EndnoteText">
    <w:name w:val="endnote text"/>
    <w:basedOn w:val="Normal"/>
    <w:semiHidden/>
    <w:rsid w:val="00972D57"/>
    <w:rPr>
      <w:sz w:val="20"/>
    </w:rPr>
  </w:style>
  <w:style w:type="character" w:styleId="EndnoteReference">
    <w:name w:val="endnote reference"/>
    <w:semiHidden/>
    <w:rsid w:val="00972D5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972D5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72D57"/>
    <w:rPr>
      <w:rFonts w:ascii="Times New Roman" w:hAnsi="Times New Roman"/>
      <w:dstrike w:val="0"/>
      <w:color w:val="auto"/>
      <w:sz w:val="20"/>
      <w:vertAlign w:val="superscript"/>
    </w:rPr>
  </w:style>
  <w:style w:type="paragraph" w:styleId="TOC1">
    <w:name w:val="toc 1"/>
    <w:basedOn w:val="Normal"/>
    <w:next w:val="Normal"/>
    <w:semiHidden/>
    <w:rsid w:val="00972D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2D57"/>
    <w:pPr>
      <w:tabs>
        <w:tab w:val="left" w:pos="720"/>
        <w:tab w:val="right" w:leader="dot" w:pos="9360"/>
      </w:tabs>
      <w:suppressAutoHyphens/>
      <w:ind w:left="720" w:right="720" w:hanging="360"/>
    </w:pPr>
    <w:rPr>
      <w:noProof/>
    </w:rPr>
  </w:style>
  <w:style w:type="paragraph" w:styleId="TOC3">
    <w:name w:val="toc 3"/>
    <w:basedOn w:val="Normal"/>
    <w:next w:val="Normal"/>
    <w:semiHidden/>
    <w:rsid w:val="00972D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D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D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D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D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D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D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D57"/>
    <w:pPr>
      <w:tabs>
        <w:tab w:val="right" w:pos="9360"/>
      </w:tabs>
      <w:suppressAutoHyphens/>
    </w:pPr>
  </w:style>
  <w:style w:type="character" w:customStyle="1" w:styleId="EquationCaption">
    <w:name w:val="_Equation Caption"/>
    <w:rsid w:val="00972D57"/>
  </w:style>
  <w:style w:type="paragraph" w:styleId="Header">
    <w:name w:val="header"/>
    <w:basedOn w:val="Normal"/>
    <w:autoRedefine/>
    <w:rsid w:val="00972D57"/>
    <w:pPr>
      <w:tabs>
        <w:tab w:val="center" w:pos="4680"/>
        <w:tab w:val="right" w:pos="9360"/>
      </w:tabs>
    </w:pPr>
    <w:rPr>
      <w:b/>
    </w:rPr>
  </w:style>
  <w:style w:type="paragraph" w:styleId="Footer">
    <w:name w:val="footer"/>
    <w:basedOn w:val="Normal"/>
    <w:link w:val="FooterChar"/>
    <w:uiPriority w:val="99"/>
    <w:rsid w:val="00972D57"/>
    <w:pPr>
      <w:tabs>
        <w:tab w:val="center" w:pos="4320"/>
        <w:tab w:val="right" w:pos="8640"/>
      </w:tabs>
    </w:pPr>
  </w:style>
  <w:style w:type="character" w:styleId="PageNumber">
    <w:name w:val="page number"/>
    <w:basedOn w:val="DefaultParagraphFont"/>
    <w:rsid w:val="00972D57"/>
  </w:style>
  <w:style w:type="paragraph" w:styleId="BlockText">
    <w:name w:val="Block Text"/>
    <w:basedOn w:val="Normal"/>
    <w:rsid w:val="00972D57"/>
    <w:pPr>
      <w:spacing w:after="240"/>
      <w:ind w:left="1440" w:right="1440"/>
    </w:pPr>
  </w:style>
  <w:style w:type="paragraph" w:customStyle="1" w:styleId="Paratitle">
    <w:name w:val="Para title"/>
    <w:basedOn w:val="Normal"/>
    <w:rsid w:val="00972D57"/>
    <w:pPr>
      <w:tabs>
        <w:tab w:val="center" w:pos="9270"/>
      </w:tabs>
      <w:spacing w:after="240"/>
    </w:pPr>
    <w:rPr>
      <w:spacing w:val="-2"/>
    </w:rPr>
  </w:style>
  <w:style w:type="paragraph" w:customStyle="1" w:styleId="Bullet">
    <w:name w:val="Bullet"/>
    <w:basedOn w:val="Normal"/>
    <w:rsid w:val="00972D57"/>
    <w:pPr>
      <w:tabs>
        <w:tab w:val="left" w:pos="2160"/>
      </w:tabs>
      <w:spacing w:after="220"/>
      <w:ind w:left="2160" w:hanging="720"/>
    </w:pPr>
  </w:style>
  <w:style w:type="paragraph" w:customStyle="1" w:styleId="TableFormat">
    <w:name w:val="TableFormat"/>
    <w:basedOn w:val="Bullet"/>
    <w:rsid w:val="00972D57"/>
    <w:pPr>
      <w:tabs>
        <w:tab w:val="clear" w:pos="2160"/>
        <w:tab w:val="left" w:pos="5040"/>
      </w:tabs>
      <w:ind w:left="5040" w:hanging="3600"/>
    </w:pPr>
  </w:style>
  <w:style w:type="paragraph" w:customStyle="1" w:styleId="TOCTitle">
    <w:name w:val="TOC Title"/>
    <w:basedOn w:val="Normal"/>
    <w:rsid w:val="00972D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2D57"/>
    <w:pPr>
      <w:jc w:val="center"/>
    </w:pPr>
    <w:rPr>
      <w:rFonts w:ascii="Times New Roman Bold" w:hAnsi="Times New Roman Bold"/>
      <w:b/>
      <w:bCs/>
      <w:caps/>
      <w:szCs w:val="22"/>
    </w:rPr>
  </w:style>
  <w:style w:type="character" w:styleId="Hyperlink">
    <w:name w:val="Hyperlink"/>
    <w:rsid w:val="00972D57"/>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E91F1A"/>
  </w:style>
  <w:style w:type="character" w:customStyle="1" w:styleId="ParaNumCharChar1">
    <w:name w:val="ParaNum Char Char1"/>
    <w:link w:val="ParaNum"/>
    <w:locked/>
    <w:rsid w:val="00E91F1A"/>
    <w:rPr>
      <w:snapToGrid w:val="0"/>
      <w:kern w:val="28"/>
      <w:sz w:val="22"/>
    </w:rPr>
  </w:style>
  <w:style w:type="character" w:customStyle="1" w:styleId="UnresolvedMention1">
    <w:name w:val="Unresolved Mention1"/>
    <w:basedOn w:val="DefaultParagraphFont"/>
    <w:uiPriority w:val="99"/>
    <w:semiHidden/>
    <w:unhideWhenUsed/>
    <w:rsid w:val="00B957E4"/>
    <w:rPr>
      <w:color w:val="808080"/>
      <w:shd w:val="clear" w:color="auto" w:fill="E6E6E6"/>
    </w:rPr>
  </w:style>
  <w:style w:type="paragraph" w:styleId="BalloonText">
    <w:name w:val="Balloon Text"/>
    <w:basedOn w:val="Normal"/>
    <w:link w:val="BalloonTextChar"/>
    <w:rsid w:val="005075D2"/>
    <w:rPr>
      <w:rFonts w:ascii="Segoe UI" w:hAnsi="Segoe UI" w:cs="Segoe UI"/>
      <w:sz w:val="18"/>
      <w:szCs w:val="18"/>
    </w:rPr>
  </w:style>
  <w:style w:type="character" w:customStyle="1" w:styleId="BalloonTextChar">
    <w:name w:val="Balloon Text Char"/>
    <w:basedOn w:val="DefaultParagraphFont"/>
    <w:link w:val="BalloonText"/>
    <w:rsid w:val="005075D2"/>
    <w:rPr>
      <w:rFonts w:ascii="Segoe UI" w:hAnsi="Segoe UI" w:cs="Segoe UI"/>
      <w:snapToGrid w:val="0"/>
      <w:kern w:val="28"/>
      <w:sz w:val="18"/>
      <w:szCs w:val="18"/>
    </w:rPr>
  </w:style>
  <w:style w:type="character" w:styleId="CommentReference">
    <w:name w:val="annotation reference"/>
    <w:basedOn w:val="DefaultParagraphFont"/>
    <w:rsid w:val="003352E6"/>
    <w:rPr>
      <w:sz w:val="16"/>
      <w:szCs w:val="16"/>
    </w:rPr>
  </w:style>
  <w:style w:type="paragraph" w:styleId="CommentText">
    <w:name w:val="annotation text"/>
    <w:basedOn w:val="Normal"/>
    <w:link w:val="CommentTextChar"/>
    <w:rsid w:val="003352E6"/>
    <w:rPr>
      <w:sz w:val="20"/>
    </w:rPr>
  </w:style>
  <w:style w:type="character" w:customStyle="1" w:styleId="CommentTextChar">
    <w:name w:val="Comment Text Char"/>
    <w:basedOn w:val="DefaultParagraphFont"/>
    <w:link w:val="CommentText"/>
    <w:rsid w:val="003352E6"/>
    <w:rPr>
      <w:snapToGrid w:val="0"/>
      <w:kern w:val="28"/>
    </w:rPr>
  </w:style>
  <w:style w:type="paragraph" w:styleId="CommentSubject">
    <w:name w:val="annotation subject"/>
    <w:basedOn w:val="CommentText"/>
    <w:next w:val="CommentText"/>
    <w:link w:val="CommentSubjectChar"/>
    <w:rsid w:val="003352E6"/>
    <w:rPr>
      <w:b/>
      <w:bCs/>
    </w:rPr>
  </w:style>
  <w:style w:type="character" w:customStyle="1" w:styleId="CommentSubjectChar">
    <w:name w:val="Comment Subject Char"/>
    <w:basedOn w:val="CommentTextChar"/>
    <w:link w:val="CommentSubject"/>
    <w:rsid w:val="003352E6"/>
    <w:rPr>
      <w:b/>
      <w:bCs/>
      <w:snapToGrid w:val="0"/>
      <w:kern w:val="28"/>
    </w:rPr>
  </w:style>
  <w:style w:type="paragraph" w:styleId="Revision">
    <w:name w:val="Revision"/>
    <w:hidden/>
    <w:uiPriority w:val="99"/>
    <w:semiHidden/>
    <w:rsid w:val="00E7204F"/>
    <w:rPr>
      <w:snapToGrid w:val="0"/>
      <w:kern w:val="28"/>
      <w:sz w:val="22"/>
    </w:rPr>
  </w:style>
  <w:style w:type="character" w:customStyle="1" w:styleId="FooterChar">
    <w:name w:val="Footer Char"/>
    <w:link w:val="Footer"/>
    <w:uiPriority w:val="99"/>
    <w:rsid w:val="00972D5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