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F75AA" w:rsidRPr="008B21F4" w:rsidP="001F75AA">
      <w:pPr>
        <w:jc w:val="center"/>
        <w:rPr>
          <w:b/>
          <w:szCs w:val="22"/>
        </w:rPr>
      </w:pPr>
      <w:bookmarkStart w:id="0" w:name="_GoBack"/>
      <w:bookmarkEnd w:id="0"/>
      <w:r w:rsidRPr="008B21F4">
        <w:rPr>
          <w:b/>
          <w:szCs w:val="22"/>
        </w:rPr>
        <w:t>Before the</w:t>
      </w:r>
    </w:p>
    <w:p w:rsidR="001F75AA" w:rsidRPr="008B21F4" w:rsidP="001F75AA">
      <w:pPr>
        <w:jc w:val="center"/>
        <w:rPr>
          <w:b/>
          <w:szCs w:val="22"/>
        </w:rPr>
      </w:pPr>
      <w:r w:rsidRPr="008B21F4">
        <w:rPr>
          <w:b/>
          <w:szCs w:val="22"/>
        </w:rPr>
        <w:t>Federal Communications Commission</w:t>
      </w:r>
    </w:p>
    <w:p w:rsidR="001F75AA" w:rsidRPr="008B21F4" w:rsidP="001F75AA">
      <w:pPr>
        <w:jc w:val="center"/>
        <w:rPr>
          <w:b/>
          <w:szCs w:val="22"/>
        </w:rPr>
      </w:pPr>
      <w:r w:rsidRPr="008B21F4">
        <w:rPr>
          <w:b/>
          <w:szCs w:val="22"/>
        </w:rPr>
        <w:t>Washington, D.C. 20554</w:t>
      </w:r>
    </w:p>
    <w:p w:rsidR="001F75AA" w:rsidRPr="008B21F4" w:rsidP="001F75AA">
      <w:pPr>
        <w:rPr>
          <w:szCs w:val="22"/>
        </w:rPr>
      </w:pPr>
    </w:p>
    <w:tbl>
      <w:tblPr>
        <w:tblW w:w="9648" w:type="dxa"/>
        <w:tblInd w:w="0" w:type="dxa"/>
        <w:tblLayout w:type="fixed"/>
        <w:tblCellMar>
          <w:top w:w="0" w:type="dxa"/>
          <w:left w:w="108" w:type="dxa"/>
          <w:bottom w:w="0" w:type="dxa"/>
          <w:right w:w="108" w:type="dxa"/>
        </w:tblCellMar>
        <w:tblLook w:val="0000"/>
      </w:tblPr>
      <w:tblGrid>
        <w:gridCol w:w="4698"/>
        <w:gridCol w:w="720"/>
        <w:gridCol w:w="4230"/>
      </w:tblGrid>
      <w:tr w:rsidTr="00E112E7">
        <w:tblPrEx>
          <w:tblW w:w="9648" w:type="dxa"/>
          <w:tblInd w:w="0" w:type="dxa"/>
          <w:tblLayout w:type="fixed"/>
          <w:tblCellMar>
            <w:top w:w="0" w:type="dxa"/>
            <w:left w:w="108" w:type="dxa"/>
            <w:bottom w:w="0" w:type="dxa"/>
            <w:right w:w="108" w:type="dxa"/>
          </w:tblCellMar>
          <w:tblLook w:val="0000"/>
        </w:tblPrEx>
        <w:tc>
          <w:tcPr>
            <w:tcW w:w="4698" w:type="dxa"/>
          </w:tcPr>
          <w:p w:rsidR="001F75AA" w:rsidRPr="008B21F4" w:rsidP="00E112E7">
            <w:pPr>
              <w:spacing w:after="0" w:line="240" w:lineRule="auto"/>
              <w:ind w:right="-18"/>
              <w:rPr>
                <w:rStyle w:val="DefaultParagraphFont"/>
                <w:rFonts w:ascii="Times New Roman" w:eastAsia="Times New Roman" w:hAnsi="Times New Roman" w:cs="Times New Roman"/>
                <w:sz w:val="22"/>
                <w:szCs w:val="22"/>
                <w:lang w:val="en-US" w:eastAsia="en-US" w:bidi="ar-SA"/>
              </w:rPr>
            </w:pPr>
            <w:r w:rsidRPr="008B21F4">
              <w:rPr>
                <w:rFonts w:ascii="Times New Roman" w:eastAsia="Times New Roman" w:hAnsi="Times New Roman" w:cs="Times New Roman"/>
                <w:sz w:val="22"/>
                <w:szCs w:val="22"/>
                <w:lang w:val="en-US" w:eastAsia="en-US" w:bidi="ar-SA"/>
              </w:rPr>
              <w:t xml:space="preserve">In </w:t>
            </w:r>
            <w:r>
              <w:rPr>
                <w:rFonts w:ascii="Times New Roman" w:eastAsia="Times New Roman" w:hAnsi="Times New Roman" w:cs="Times New Roman"/>
                <w:sz w:val="22"/>
                <w:szCs w:val="22"/>
                <w:lang w:val="en-US" w:eastAsia="en-US" w:bidi="ar-SA"/>
              </w:rPr>
              <w:t xml:space="preserve">re Application of </w:t>
            </w:r>
            <w:r w:rsidRPr="008B21F4">
              <w:rPr>
                <w:rFonts w:ascii="Times New Roman" w:eastAsia="Times New Roman" w:hAnsi="Times New Roman" w:cs="Times New Roman"/>
                <w:sz w:val="22"/>
                <w:szCs w:val="22"/>
                <w:lang w:val="en-US" w:eastAsia="en-US" w:bidi="ar-SA"/>
              </w:rPr>
              <w:t xml:space="preserve">  </w:t>
            </w:r>
          </w:p>
          <w:p w:rsidR="001F75AA" w:rsidRPr="008B21F4" w:rsidP="00E112E7">
            <w:pPr>
              <w:spacing w:after="0" w:line="240" w:lineRule="auto"/>
              <w:ind w:right="-18"/>
              <w:rPr>
                <w:rStyle w:val="DefaultParagraphFont"/>
                <w:rFonts w:ascii="Times New Roman" w:eastAsia="Times New Roman" w:hAnsi="Times New Roman" w:cs="Times New Roman"/>
                <w:sz w:val="22"/>
                <w:szCs w:val="22"/>
                <w:lang w:val="en-US" w:eastAsia="en-US" w:bidi="ar-SA"/>
              </w:rPr>
            </w:pPr>
          </w:p>
          <w:p w:rsidR="001F75AA" w:rsidRPr="002D388C" w:rsidP="00E112E7">
            <w:pPr>
              <w:tabs>
                <w:tab w:val="left" w:pos="0"/>
              </w:tabs>
              <w:suppressAutoHyphens/>
              <w:spacing w:after="0" w:line="240" w:lineRule="auto"/>
              <w:ind w:left="5040" w:hanging="5040"/>
              <w:rPr>
                <w:rStyle w:val="DefaultParagraphFont"/>
                <w:rFonts w:ascii="Times New Roman" w:eastAsia="Times New Roman" w:hAnsi="Times New Roman" w:cs="Times New Roman"/>
                <w:b/>
                <w:sz w:val="22"/>
                <w:szCs w:val="22"/>
                <w:lang w:val="en-US" w:eastAsia="en-US" w:bidi="ar-SA"/>
              </w:rPr>
            </w:pPr>
            <w:r>
              <w:rPr>
                <w:rFonts w:ascii="Times New Roman" w:eastAsia="Times New Roman" w:hAnsi="Times New Roman" w:cs="Times New Roman"/>
                <w:b/>
                <w:sz w:val="22"/>
                <w:szCs w:val="22"/>
                <w:lang w:val="en-US" w:eastAsia="en-US" w:bidi="ar-SA"/>
              </w:rPr>
              <w:t>Cumulus Licensing LLC</w:t>
            </w:r>
          </w:p>
          <w:p w:rsidR="001F75AA" w:rsidP="00E112E7">
            <w:pPr>
              <w:tabs>
                <w:tab w:val="left" w:pos="0"/>
              </w:tabs>
              <w:suppressAutoHyphens/>
              <w:spacing w:after="0" w:line="240" w:lineRule="auto"/>
              <w:ind w:left="5040" w:hanging="5040"/>
              <w:rPr>
                <w:rStyle w:val="DefaultParagraphFont"/>
                <w:rFonts w:ascii="Times New Roman" w:eastAsia="Times New Roman" w:hAnsi="Times New Roman" w:cs="Times New Roman"/>
                <w:sz w:val="22"/>
                <w:szCs w:val="22"/>
                <w:lang w:val="en-US" w:eastAsia="en-US" w:bidi="ar-SA"/>
              </w:rPr>
            </w:pPr>
          </w:p>
          <w:p w:rsidR="001F75AA" w:rsidP="00E112E7">
            <w:pPr>
              <w:spacing w:after="0" w:line="240" w:lineRule="auto"/>
              <w:ind w:right="-18"/>
              <w:rPr>
                <w:rStyle w:val="DefaultParagraphFont"/>
                <w:rFonts w:ascii="Times New Roman" w:eastAsia="Times New Roman" w:hAnsi="Times New Roman" w:cs="Times New Roman"/>
                <w:sz w:val="22"/>
                <w:szCs w:val="22"/>
                <w:lang w:val="en-US" w:eastAsia="en-US" w:bidi="ar-SA"/>
              </w:rPr>
            </w:pPr>
            <w:r>
              <w:rPr>
                <w:rFonts w:ascii="Times New Roman" w:eastAsia="Times New Roman" w:hAnsi="Times New Roman" w:cs="Times New Roman"/>
                <w:sz w:val="22"/>
                <w:szCs w:val="22"/>
                <w:lang w:val="en-US" w:eastAsia="en-US" w:bidi="ar-SA"/>
              </w:rPr>
              <w:t xml:space="preserve">For Renewal of License for </w:t>
            </w:r>
          </w:p>
          <w:p w:rsidR="001F75AA" w:rsidRPr="008B21F4" w:rsidP="00E112E7">
            <w:pPr>
              <w:spacing w:after="0" w:line="240" w:lineRule="auto"/>
              <w:ind w:right="-18"/>
              <w:rPr>
                <w:rStyle w:val="DefaultParagraphFont"/>
                <w:rFonts w:ascii="Times New Roman" w:eastAsia="Times New Roman" w:hAnsi="Times New Roman" w:cs="Times New Roman"/>
                <w:b/>
                <w:sz w:val="22"/>
                <w:szCs w:val="22"/>
                <w:lang w:val="en-US" w:eastAsia="en-US" w:bidi="ar-SA"/>
              </w:rPr>
            </w:pPr>
            <w:r w:rsidRPr="008B21F4">
              <w:rPr>
                <w:rFonts w:ascii="Times New Roman" w:eastAsia="Times New Roman" w:hAnsi="Times New Roman" w:cs="Times New Roman"/>
                <w:sz w:val="22"/>
                <w:szCs w:val="22"/>
                <w:lang w:val="en-US" w:eastAsia="en-US" w:bidi="ar-SA"/>
              </w:rPr>
              <w:t xml:space="preserve">Station </w:t>
            </w:r>
            <w:r>
              <w:rPr>
                <w:rFonts w:ascii="Times New Roman" w:eastAsia="Times New Roman" w:hAnsi="Times New Roman" w:cs="Times New Roman"/>
                <w:sz w:val="22"/>
                <w:szCs w:val="22"/>
                <w:lang w:val="en-US" w:eastAsia="en-US" w:bidi="ar-SA"/>
              </w:rPr>
              <w:t>WDAI(FM)</w:t>
            </w:r>
          </w:p>
          <w:p w:rsidR="001F75AA" w:rsidRPr="008B21F4" w:rsidP="00E112E7">
            <w:pPr>
              <w:spacing w:after="0" w:line="240" w:lineRule="auto"/>
              <w:ind w:right="-18"/>
              <w:rPr>
                <w:rStyle w:val="DefaultParagraphFont"/>
                <w:rFonts w:ascii="Times New Roman" w:eastAsia="Times New Roman" w:hAnsi="Times New Roman" w:cs="Times New Roman"/>
                <w:sz w:val="22"/>
                <w:szCs w:val="22"/>
                <w:lang w:val="en-US" w:eastAsia="en-US" w:bidi="ar-SA"/>
              </w:rPr>
            </w:pPr>
            <w:r>
              <w:rPr>
                <w:rFonts w:ascii="Times New Roman" w:eastAsia="Times New Roman" w:hAnsi="Times New Roman" w:cs="Times New Roman"/>
                <w:sz w:val="22"/>
                <w:szCs w:val="22"/>
                <w:lang w:val="en-US" w:eastAsia="en-US" w:bidi="ar-SA"/>
              </w:rPr>
              <w:t>Pawleys Island, South Carolina</w:t>
            </w:r>
            <w:r w:rsidRPr="008B21F4">
              <w:rPr>
                <w:rFonts w:ascii="Times New Roman" w:eastAsia="Times New Roman" w:hAnsi="Times New Roman" w:cs="Times New Roman"/>
                <w:sz w:val="22"/>
                <w:szCs w:val="22"/>
                <w:lang w:val="en-US" w:eastAsia="en-US" w:bidi="ar-SA"/>
              </w:rPr>
              <w:t xml:space="preserve"> </w:t>
            </w:r>
          </w:p>
        </w:tc>
        <w:tc>
          <w:tcPr>
            <w:tcW w:w="720" w:type="dxa"/>
          </w:tcPr>
          <w:p w:rsidR="001F75AA" w:rsidRPr="008B21F4" w:rsidP="00E112E7">
            <w:pPr>
              <w:spacing w:after="0" w:line="240" w:lineRule="auto"/>
              <w:rPr>
                <w:rStyle w:val="DefaultParagraphFont"/>
                <w:rFonts w:ascii="Times New Roman" w:eastAsia="Times New Roman" w:hAnsi="Times New Roman" w:cs="Times New Roman"/>
                <w:b/>
                <w:sz w:val="22"/>
                <w:szCs w:val="22"/>
                <w:lang w:val="en-US" w:eastAsia="en-US" w:bidi="ar-SA"/>
              </w:rPr>
            </w:pPr>
            <w:r w:rsidRPr="008B21F4">
              <w:rPr>
                <w:rFonts w:ascii="Times New Roman" w:eastAsia="Times New Roman" w:hAnsi="Times New Roman" w:cs="Times New Roman"/>
                <w:b/>
                <w:sz w:val="22"/>
                <w:szCs w:val="22"/>
                <w:lang w:val="en-US" w:eastAsia="en-US" w:bidi="ar-SA"/>
              </w:rPr>
              <w:t>)</w:t>
            </w:r>
          </w:p>
          <w:p w:rsidR="001F75AA" w:rsidRPr="008B21F4" w:rsidP="00E112E7">
            <w:pPr>
              <w:spacing w:after="0" w:line="240" w:lineRule="auto"/>
              <w:rPr>
                <w:rStyle w:val="DefaultParagraphFont"/>
                <w:rFonts w:ascii="Times New Roman" w:eastAsia="Times New Roman" w:hAnsi="Times New Roman" w:cs="Times New Roman"/>
                <w:b/>
                <w:sz w:val="22"/>
                <w:szCs w:val="22"/>
                <w:lang w:val="en-US" w:eastAsia="en-US" w:bidi="ar-SA"/>
              </w:rPr>
            </w:pPr>
            <w:r w:rsidRPr="008B21F4">
              <w:rPr>
                <w:rFonts w:ascii="Times New Roman" w:eastAsia="Times New Roman" w:hAnsi="Times New Roman" w:cs="Times New Roman"/>
                <w:b/>
                <w:sz w:val="22"/>
                <w:szCs w:val="22"/>
                <w:lang w:val="en-US" w:eastAsia="en-US" w:bidi="ar-SA"/>
              </w:rPr>
              <w:t>)</w:t>
            </w:r>
          </w:p>
          <w:p w:rsidR="001F75AA" w:rsidRPr="008B21F4" w:rsidP="00E112E7">
            <w:pPr>
              <w:spacing w:after="0" w:line="240" w:lineRule="auto"/>
              <w:rPr>
                <w:rStyle w:val="DefaultParagraphFont"/>
                <w:rFonts w:ascii="Times New Roman" w:eastAsia="Times New Roman" w:hAnsi="Times New Roman" w:cs="Times New Roman"/>
                <w:b/>
                <w:sz w:val="22"/>
                <w:szCs w:val="22"/>
                <w:lang w:val="en-US" w:eastAsia="en-US" w:bidi="ar-SA"/>
              </w:rPr>
            </w:pPr>
            <w:r w:rsidRPr="008B21F4">
              <w:rPr>
                <w:rFonts w:ascii="Times New Roman" w:eastAsia="Times New Roman" w:hAnsi="Times New Roman" w:cs="Times New Roman"/>
                <w:b/>
                <w:sz w:val="22"/>
                <w:szCs w:val="22"/>
                <w:lang w:val="en-US" w:eastAsia="en-US" w:bidi="ar-SA"/>
              </w:rPr>
              <w:t>)</w:t>
            </w:r>
          </w:p>
          <w:p w:rsidR="001F75AA" w:rsidRPr="008B21F4" w:rsidP="00E112E7">
            <w:pPr>
              <w:spacing w:after="0" w:line="240" w:lineRule="auto"/>
              <w:rPr>
                <w:rStyle w:val="DefaultParagraphFont"/>
                <w:rFonts w:ascii="Times New Roman" w:eastAsia="Times New Roman" w:hAnsi="Times New Roman" w:cs="Times New Roman"/>
                <w:b/>
                <w:sz w:val="22"/>
                <w:szCs w:val="22"/>
                <w:lang w:val="en-US" w:eastAsia="en-US" w:bidi="ar-SA"/>
              </w:rPr>
            </w:pPr>
            <w:r w:rsidRPr="008B21F4">
              <w:rPr>
                <w:rFonts w:ascii="Times New Roman" w:eastAsia="Times New Roman" w:hAnsi="Times New Roman" w:cs="Times New Roman"/>
                <w:b/>
                <w:sz w:val="22"/>
                <w:szCs w:val="22"/>
                <w:lang w:val="en-US" w:eastAsia="en-US" w:bidi="ar-SA"/>
              </w:rPr>
              <w:t>)</w:t>
            </w:r>
          </w:p>
          <w:p w:rsidR="001F75AA" w:rsidRPr="008B21F4" w:rsidP="00E112E7">
            <w:pPr>
              <w:spacing w:after="0" w:line="240" w:lineRule="auto"/>
              <w:rPr>
                <w:rStyle w:val="DefaultParagraphFont"/>
                <w:rFonts w:ascii="Times New Roman" w:eastAsia="Times New Roman" w:hAnsi="Times New Roman" w:cs="Times New Roman"/>
                <w:b/>
                <w:sz w:val="22"/>
                <w:szCs w:val="22"/>
                <w:lang w:val="en-US" w:eastAsia="en-US" w:bidi="ar-SA"/>
              </w:rPr>
            </w:pPr>
            <w:r w:rsidRPr="008B21F4">
              <w:rPr>
                <w:rFonts w:ascii="Times New Roman" w:eastAsia="Times New Roman" w:hAnsi="Times New Roman" w:cs="Times New Roman"/>
                <w:b/>
                <w:sz w:val="22"/>
                <w:szCs w:val="22"/>
                <w:lang w:val="en-US" w:eastAsia="en-US" w:bidi="ar-SA"/>
              </w:rPr>
              <w:t>)</w:t>
            </w:r>
          </w:p>
          <w:p w:rsidR="001F75AA" w:rsidP="00E112E7">
            <w:pPr>
              <w:spacing w:after="0" w:line="240" w:lineRule="auto"/>
              <w:rPr>
                <w:rStyle w:val="DefaultParagraphFont"/>
                <w:rFonts w:ascii="Times New Roman" w:eastAsia="Times New Roman" w:hAnsi="Times New Roman" w:cs="Times New Roman"/>
                <w:b/>
                <w:sz w:val="22"/>
                <w:szCs w:val="22"/>
                <w:lang w:val="en-US" w:eastAsia="en-US" w:bidi="ar-SA"/>
              </w:rPr>
            </w:pPr>
            <w:r>
              <w:rPr>
                <w:rFonts w:ascii="Times New Roman" w:eastAsia="Times New Roman" w:hAnsi="Times New Roman" w:cs="Times New Roman"/>
                <w:b/>
                <w:sz w:val="22"/>
                <w:szCs w:val="22"/>
                <w:lang w:val="en-US" w:eastAsia="en-US" w:bidi="ar-SA"/>
              </w:rPr>
              <w:t>)</w:t>
            </w:r>
          </w:p>
          <w:p w:rsidR="001F75AA" w:rsidRPr="008B21F4" w:rsidP="00E112E7">
            <w:pPr>
              <w:spacing w:after="0" w:line="240" w:lineRule="auto"/>
              <w:rPr>
                <w:rStyle w:val="DefaultParagraphFont"/>
                <w:rFonts w:ascii="Times New Roman" w:eastAsia="Times New Roman" w:hAnsi="Times New Roman" w:cs="Times New Roman"/>
                <w:b/>
                <w:sz w:val="22"/>
                <w:szCs w:val="22"/>
                <w:lang w:val="en-US" w:eastAsia="en-US" w:bidi="ar-SA"/>
              </w:rPr>
            </w:pPr>
            <w:r>
              <w:rPr>
                <w:rFonts w:ascii="Times New Roman" w:eastAsia="Times New Roman" w:hAnsi="Times New Roman" w:cs="Times New Roman"/>
                <w:b/>
                <w:sz w:val="22"/>
                <w:szCs w:val="22"/>
                <w:lang w:val="en-US" w:eastAsia="en-US" w:bidi="ar-SA"/>
              </w:rPr>
              <w:t>)</w:t>
            </w:r>
          </w:p>
        </w:tc>
        <w:tc>
          <w:tcPr>
            <w:tcW w:w="4230" w:type="dxa"/>
          </w:tcPr>
          <w:p w:rsidR="001F75AA" w:rsidRPr="008B21F4" w:rsidP="00E112E7">
            <w:pPr>
              <w:spacing w:after="0" w:line="240" w:lineRule="auto"/>
              <w:rPr>
                <w:rStyle w:val="DefaultParagraphFont"/>
                <w:rFonts w:ascii="Times New Roman" w:eastAsia="Times New Roman" w:hAnsi="Times New Roman" w:cs="Times New Roman"/>
                <w:sz w:val="22"/>
                <w:szCs w:val="22"/>
                <w:lang w:val="en-US" w:eastAsia="en-US" w:bidi="ar-SA"/>
              </w:rPr>
            </w:pPr>
          </w:p>
          <w:p w:rsidR="001F75AA" w:rsidRPr="008B21F4" w:rsidP="00E112E7">
            <w:pPr>
              <w:spacing w:after="0" w:line="240" w:lineRule="auto"/>
              <w:rPr>
                <w:rStyle w:val="DefaultParagraphFont"/>
                <w:rFonts w:ascii="Times New Roman" w:eastAsia="Times New Roman" w:hAnsi="Times New Roman" w:cs="Times New Roman"/>
                <w:sz w:val="22"/>
                <w:szCs w:val="22"/>
                <w:lang w:val="en-US" w:eastAsia="en-US" w:bidi="ar-SA"/>
              </w:rPr>
            </w:pPr>
          </w:p>
          <w:p w:rsidR="001F75AA" w:rsidRPr="008B21F4" w:rsidP="00E112E7">
            <w:pPr>
              <w:spacing w:after="0" w:line="240" w:lineRule="auto"/>
              <w:rPr>
                <w:rStyle w:val="DefaultParagraphFont"/>
                <w:rFonts w:ascii="Times New Roman" w:eastAsia="Times New Roman" w:hAnsi="Times New Roman" w:cs="Times New Roman"/>
                <w:sz w:val="22"/>
                <w:szCs w:val="22"/>
                <w:lang w:val="en-US" w:eastAsia="en-US" w:bidi="ar-SA"/>
              </w:rPr>
            </w:pPr>
            <w:r w:rsidRPr="008B21F4">
              <w:rPr>
                <w:rFonts w:ascii="Times New Roman" w:eastAsia="Times New Roman" w:hAnsi="Times New Roman" w:cs="Times New Roman"/>
                <w:sz w:val="22"/>
                <w:szCs w:val="22"/>
                <w:lang w:val="en-US" w:eastAsia="en-US" w:bidi="ar-SA"/>
              </w:rPr>
              <w:t xml:space="preserve">Facility I.D. No. </w:t>
            </w:r>
            <w:r>
              <w:rPr>
                <w:rFonts w:ascii="Times New Roman" w:eastAsia="Times New Roman" w:hAnsi="Times New Roman" w:cs="Times New Roman"/>
                <w:sz w:val="22"/>
                <w:szCs w:val="22"/>
                <w:lang w:val="en-US" w:eastAsia="en-US" w:bidi="ar-SA"/>
              </w:rPr>
              <w:t>59490</w:t>
            </w:r>
          </w:p>
          <w:p w:rsidR="001F75AA" w:rsidRPr="00C974B2" w:rsidP="00E112E7">
            <w:pPr>
              <w:spacing w:after="0" w:line="240" w:lineRule="auto"/>
              <w:rPr>
                <w:rStyle w:val="DefaultParagraphFont"/>
                <w:rFonts w:ascii="Times New Roman" w:eastAsia="Times New Roman" w:hAnsi="Times New Roman" w:cs="Times New Roman"/>
                <w:b/>
                <w:sz w:val="22"/>
                <w:szCs w:val="22"/>
                <w:lang w:val="en-US" w:eastAsia="en-US" w:bidi="ar-SA"/>
              </w:rPr>
            </w:pPr>
            <w:r w:rsidRPr="008B21F4">
              <w:rPr>
                <w:rFonts w:ascii="Times New Roman" w:eastAsia="Times New Roman" w:hAnsi="Times New Roman" w:cs="Times New Roman"/>
                <w:sz w:val="22"/>
                <w:szCs w:val="22"/>
                <w:lang w:val="en-US" w:eastAsia="en-US" w:bidi="ar-SA"/>
              </w:rPr>
              <w:t>NAL/Acct. No.</w:t>
            </w:r>
            <w:r>
              <w:rPr>
                <w:rFonts w:ascii="Times New Roman" w:eastAsia="Times New Roman" w:hAnsi="Times New Roman" w:cs="Times New Roman"/>
                <w:sz w:val="22"/>
                <w:szCs w:val="22"/>
                <w:lang w:val="en-US" w:eastAsia="en-US" w:bidi="ar-SA"/>
              </w:rPr>
              <w:t xml:space="preserve"> </w:t>
            </w:r>
            <w:r w:rsidRPr="007752D2">
              <w:rPr>
                <w:rFonts w:ascii="Times New Roman" w:eastAsia="Times New Roman" w:hAnsi="Times New Roman" w:cs="Times New Roman"/>
                <w:sz w:val="22"/>
                <w:szCs w:val="22"/>
                <w:lang w:val="en-US" w:eastAsia="en-US" w:bidi="ar-SA"/>
              </w:rPr>
              <w:t>MB</w:t>
            </w:r>
            <w:r>
              <w:rPr>
                <w:rFonts w:ascii="Times New Roman" w:eastAsia="Times New Roman" w:hAnsi="Times New Roman" w:cs="Times New Roman"/>
                <w:sz w:val="22"/>
                <w:szCs w:val="22"/>
                <w:lang w:val="en-US" w:eastAsia="en-US" w:bidi="ar-SA"/>
              </w:rPr>
              <w:t>-201841410004</w:t>
            </w:r>
          </w:p>
          <w:p w:rsidR="001F75AA" w:rsidP="00E112E7">
            <w:pPr>
              <w:spacing w:after="0" w:line="240" w:lineRule="auto"/>
              <w:rPr>
                <w:rStyle w:val="DefaultParagraphFont"/>
                <w:rFonts w:ascii="Times New Roman" w:eastAsia="Times New Roman" w:hAnsi="Times New Roman" w:cs="Times New Roman"/>
                <w:sz w:val="22"/>
                <w:szCs w:val="22"/>
                <w:lang w:val="en-US" w:eastAsia="en-US" w:bidi="ar-SA"/>
              </w:rPr>
            </w:pPr>
            <w:r w:rsidRPr="008B21F4">
              <w:rPr>
                <w:rFonts w:ascii="Times New Roman" w:eastAsia="Times New Roman" w:hAnsi="Times New Roman" w:cs="Times New Roman"/>
                <w:sz w:val="22"/>
                <w:szCs w:val="22"/>
                <w:lang w:val="en-US" w:eastAsia="en-US" w:bidi="ar-SA"/>
              </w:rPr>
              <w:t xml:space="preserve">FRN: </w:t>
            </w:r>
            <w:r w:rsidRPr="00685023">
              <w:rPr>
                <w:rFonts w:ascii="Times New Roman" w:eastAsia="Times New Roman" w:hAnsi="Times New Roman" w:cs="Times New Roman"/>
                <w:sz w:val="22"/>
                <w:szCs w:val="22"/>
                <w:lang w:val="en-US" w:eastAsia="en-US" w:bidi="ar-SA"/>
              </w:rPr>
              <w:t>0002834810</w:t>
            </w:r>
          </w:p>
          <w:p w:rsidR="001F75AA" w:rsidRPr="008B21F4" w:rsidP="00E112E7">
            <w:pPr>
              <w:spacing w:after="0" w:line="240" w:lineRule="auto"/>
              <w:rPr>
                <w:rStyle w:val="DefaultParagraphFont"/>
                <w:rFonts w:ascii="Times New Roman" w:eastAsia="Times New Roman" w:hAnsi="Times New Roman" w:cs="Times New Roman"/>
                <w:sz w:val="22"/>
                <w:szCs w:val="22"/>
                <w:lang w:val="en-US" w:eastAsia="en-US" w:bidi="ar-SA"/>
              </w:rPr>
            </w:pPr>
            <w:r>
              <w:rPr>
                <w:rFonts w:ascii="Times New Roman" w:eastAsia="Times New Roman" w:hAnsi="Times New Roman" w:cs="Times New Roman"/>
                <w:sz w:val="22"/>
                <w:szCs w:val="22"/>
                <w:lang w:val="en-US" w:eastAsia="en-US" w:bidi="ar-SA"/>
              </w:rPr>
              <w:t>File No.  BRH-20110801APB</w:t>
            </w:r>
          </w:p>
        </w:tc>
      </w:tr>
    </w:tbl>
    <w:p w:rsidR="001F75AA" w:rsidRPr="008B21F4" w:rsidP="001F75AA">
      <w:pPr>
        <w:rPr>
          <w:szCs w:val="22"/>
        </w:rPr>
      </w:pPr>
    </w:p>
    <w:p w:rsidR="001F75AA" w:rsidP="001F75AA">
      <w:pPr>
        <w:jc w:val="center"/>
        <w:rPr>
          <w:b/>
          <w:spacing w:val="-2"/>
          <w:szCs w:val="22"/>
        </w:rPr>
      </w:pPr>
      <w:r>
        <w:rPr>
          <w:b/>
          <w:spacing w:val="-2"/>
          <w:szCs w:val="22"/>
        </w:rPr>
        <w:t xml:space="preserve">MEMORANDUM OPINION AND ORDER </w:t>
      </w:r>
    </w:p>
    <w:p w:rsidR="001F75AA" w:rsidP="001F75AA">
      <w:pPr>
        <w:jc w:val="center"/>
        <w:rPr>
          <w:b/>
          <w:spacing w:val="-2"/>
          <w:szCs w:val="22"/>
        </w:rPr>
      </w:pPr>
      <w:r>
        <w:rPr>
          <w:b/>
          <w:spacing w:val="-2"/>
          <w:szCs w:val="22"/>
        </w:rPr>
        <w:t>AND</w:t>
      </w:r>
    </w:p>
    <w:p w:rsidR="001F75AA" w:rsidRPr="008B21F4" w:rsidP="001F75AA">
      <w:pPr>
        <w:jc w:val="center"/>
        <w:rPr>
          <w:b/>
          <w:szCs w:val="22"/>
        </w:rPr>
      </w:pPr>
      <w:r w:rsidRPr="008B21F4">
        <w:rPr>
          <w:b/>
          <w:spacing w:val="-2"/>
          <w:szCs w:val="22"/>
        </w:rPr>
        <w:t>NOTICE OF APPARENT LIABILITY FOR FORFEITURE</w:t>
      </w:r>
    </w:p>
    <w:p w:rsidR="001F75AA" w:rsidRPr="008B21F4" w:rsidP="001F75AA">
      <w:pPr>
        <w:rPr>
          <w:szCs w:val="22"/>
        </w:rPr>
      </w:pPr>
    </w:p>
    <w:p w:rsidR="001F75AA" w:rsidRPr="008B21F4" w:rsidP="001F75AA">
      <w:pPr>
        <w:tabs>
          <w:tab w:val="left" w:pos="5760"/>
        </w:tabs>
        <w:rPr>
          <w:b/>
          <w:szCs w:val="22"/>
        </w:rPr>
      </w:pPr>
      <w:r w:rsidRPr="008B21F4">
        <w:rPr>
          <w:b/>
          <w:szCs w:val="22"/>
        </w:rPr>
        <w:t xml:space="preserve">   Adopted:  </w:t>
      </w:r>
      <w:r w:rsidR="00251848">
        <w:rPr>
          <w:b/>
          <w:szCs w:val="22"/>
        </w:rPr>
        <w:t>February 7</w:t>
      </w:r>
      <w:r w:rsidRPr="008B21F4">
        <w:rPr>
          <w:b/>
          <w:szCs w:val="22"/>
        </w:rPr>
        <w:t>, 20</w:t>
      </w:r>
      <w:r>
        <w:rPr>
          <w:b/>
          <w:szCs w:val="22"/>
        </w:rPr>
        <w:t>18</w:t>
      </w:r>
      <w:r w:rsidRPr="008B21F4">
        <w:rPr>
          <w:b/>
          <w:szCs w:val="22"/>
        </w:rPr>
        <w:tab/>
        <w:t xml:space="preserve">Released:  </w:t>
      </w:r>
      <w:r w:rsidR="00251848">
        <w:rPr>
          <w:b/>
          <w:szCs w:val="22"/>
        </w:rPr>
        <w:t>February 8,</w:t>
      </w:r>
      <w:r w:rsidRPr="008B21F4">
        <w:rPr>
          <w:b/>
          <w:szCs w:val="22"/>
        </w:rPr>
        <w:t xml:space="preserve"> 20</w:t>
      </w:r>
      <w:r>
        <w:rPr>
          <w:b/>
          <w:szCs w:val="22"/>
        </w:rPr>
        <w:t>18</w:t>
      </w:r>
    </w:p>
    <w:p w:rsidR="001F75AA" w:rsidRPr="008B21F4" w:rsidP="001F75AA">
      <w:pPr>
        <w:tabs>
          <w:tab w:val="left" w:pos="5760"/>
        </w:tabs>
        <w:rPr>
          <w:b/>
          <w:szCs w:val="22"/>
        </w:rPr>
      </w:pPr>
    </w:p>
    <w:p w:rsidR="001F75AA" w:rsidRPr="008B21F4" w:rsidP="001F75AA">
      <w:pPr>
        <w:tabs>
          <w:tab w:val="left" w:pos="5760"/>
        </w:tabs>
        <w:rPr>
          <w:spacing w:val="-2"/>
          <w:szCs w:val="22"/>
        </w:rPr>
      </w:pPr>
      <w:r w:rsidRPr="008B21F4">
        <w:rPr>
          <w:szCs w:val="22"/>
        </w:rPr>
        <w:t xml:space="preserve">By the Chief, </w:t>
      </w:r>
      <w:r>
        <w:rPr>
          <w:szCs w:val="22"/>
        </w:rPr>
        <w:t xml:space="preserve">Audio Division, </w:t>
      </w:r>
      <w:r w:rsidRPr="008B21F4">
        <w:rPr>
          <w:szCs w:val="22"/>
        </w:rPr>
        <w:t>Media Bureau</w:t>
      </w:r>
      <w:r w:rsidRPr="008B21F4">
        <w:rPr>
          <w:spacing w:val="-2"/>
          <w:szCs w:val="22"/>
        </w:rPr>
        <w:t>:</w:t>
      </w:r>
    </w:p>
    <w:p w:rsidR="001F75AA" w:rsidRPr="008B21F4" w:rsidP="001F75AA">
      <w:pPr>
        <w:tabs>
          <w:tab w:val="left" w:pos="5760"/>
        </w:tabs>
        <w:rPr>
          <w:szCs w:val="22"/>
        </w:rPr>
      </w:pPr>
    </w:p>
    <w:p w:rsidR="001F75AA" w:rsidRPr="008B21F4" w:rsidP="001F75AA">
      <w:pPr>
        <w:tabs>
          <w:tab w:val="left" w:pos="5760"/>
        </w:tabs>
        <w:rPr>
          <w:b/>
          <w:szCs w:val="22"/>
        </w:rPr>
      </w:pPr>
      <w:r w:rsidRPr="008B21F4">
        <w:rPr>
          <w:b/>
          <w:szCs w:val="22"/>
        </w:rPr>
        <w:t xml:space="preserve">I.      </w:t>
      </w:r>
      <w:r>
        <w:rPr>
          <w:b/>
          <w:szCs w:val="22"/>
        </w:rPr>
        <w:t xml:space="preserve">     </w:t>
      </w:r>
      <w:r w:rsidRPr="008B21F4">
        <w:rPr>
          <w:b/>
          <w:szCs w:val="22"/>
        </w:rPr>
        <w:t>INTRODUCTION</w:t>
      </w:r>
    </w:p>
    <w:p w:rsidR="001F75AA" w:rsidRPr="008B21F4" w:rsidP="001F75AA">
      <w:pPr>
        <w:tabs>
          <w:tab w:val="left" w:pos="5760"/>
        </w:tabs>
        <w:rPr>
          <w:b/>
          <w:szCs w:val="22"/>
        </w:rPr>
      </w:pPr>
    </w:p>
    <w:p w:rsidR="001F75AA" w:rsidRPr="008B21F4" w:rsidP="001F75AA">
      <w:pPr>
        <w:pStyle w:val="ParaNum"/>
        <w:jc w:val="left"/>
        <w:rPr>
          <w:szCs w:val="22"/>
        </w:rPr>
      </w:pPr>
      <w:r>
        <w:rPr>
          <w:szCs w:val="22"/>
        </w:rPr>
        <w:t xml:space="preserve">The Media Bureau (Bureau) has before it the application of Cumulus Licensing LLC </w:t>
      </w:r>
      <w:r w:rsidRPr="008B21F4">
        <w:rPr>
          <w:szCs w:val="22"/>
        </w:rPr>
        <w:t>(Licensee)</w:t>
      </w:r>
      <w:r>
        <w:rPr>
          <w:szCs w:val="22"/>
        </w:rPr>
        <w:t xml:space="preserve"> for renewal of its </w:t>
      </w:r>
      <w:r w:rsidRPr="008B21F4">
        <w:rPr>
          <w:szCs w:val="22"/>
        </w:rPr>
        <w:t>license</w:t>
      </w:r>
      <w:r>
        <w:rPr>
          <w:szCs w:val="22"/>
        </w:rPr>
        <w:t xml:space="preserve"> </w:t>
      </w:r>
      <w:r w:rsidRPr="008B21F4">
        <w:rPr>
          <w:szCs w:val="22"/>
        </w:rPr>
        <w:t>f</w:t>
      </w:r>
      <w:r>
        <w:rPr>
          <w:szCs w:val="22"/>
        </w:rPr>
        <w:t>or</w:t>
      </w:r>
      <w:r w:rsidRPr="008B21F4">
        <w:rPr>
          <w:szCs w:val="22"/>
        </w:rPr>
        <w:t xml:space="preserve"> </w:t>
      </w:r>
      <w:r>
        <w:rPr>
          <w:szCs w:val="22"/>
        </w:rPr>
        <w:t>Station WDAI(FM)</w:t>
      </w:r>
      <w:r w:rsidRPr="008B21F4">
        <w:rPr>
          <w:szCs w:val="22"/>
        </w:rPr>
        <w:t xml:space="preserve">, </w:t>
      </w:r>
      <w:r>
        <w:rPr>
          <w:szCs w:val="22"/>
        </w:rPr>
        <w:t>Pawleys Island, South Carolina (</w:t>
      </w:r>
      <w:r w:rsidRPr="008B21F4">
        <w:rPr>
          <w:szCs w:val="22"/>
        </w:rPr>
        <w:t>Station)</w:t>
      </w:r>
      <w:r>
        <w:rPr>
          <w:szCs w:val="22"/>
        </w:rPr>
        <w:t xml:space="preserve">.  </w:t>
      </w:r>
      <w:r w:rsidRPr="008B21F4">
        <w:rPr>
          <w:szCs w:val="22"/>
        </w:rPr>
        <w:t xml:space="preserve">In this </w:t>
      </w:r>
      <w:r>
        <w:rPr>
          <w:i/>
          <w:szCs w:val="22"/>
        </w:rPr>
        <w:t>Memorandum Opinion and Order and N</w:t>
      </w:r>
      <w:r w:rsidRPr="008B21F4">
        <w:rPr>
          <w:i/>
          <w:szCs w:val="22"/>
        </w:rPr>
        <w:t xml:space="preserve">otice of Apparent Liability for Forfeiture </w:t>
      </w:r>
      <w:r w:rsidRPr="000A2B6E">
        <w:rPr>
          <w:szCs w:val="22"/>
        </w:rPr>
        <w:t>(</w:t>
      </w:r>
      <w:r w:rsidRPr="008B21F4">
        <w:rPr>
          <w:i/>
          <w:szCs w:val="22"/>
        </w:rPr>
        <w:t>NAL</w:t>
      </w:r>
      <w:r w:rsidRPr="000A2B6E">
        <w:rPr>
          <w:szCs w:val="22"/>
        </w:rPr>
        <w:t>)</w:t>
      </w:r>
      <w:r>
        <w:rPr>
          <w:szCs w:val="22"/>
        </w:rPr>
        <w:t>,</w:t>
      </w:r>
      <w:r>
        <w:rPr>
          <w:rStyle w:val="FootnoteReference"/>
          <w:szCs w:val="22"/>
        </w:rPr>
        <w:footnoteReference w:id="2"/>
      </w:r>
      <w:r w:rsidRPr="008B21F4">
        <w:rPr>
          <w:szCs w:val="22"/>
        </w:rPr>
        <w:t xml:space="preserve"> we find that </w:t>
      </w:r>
      <w:r w:rsidR="00B651D9">
        <w:rPr>
          <w:szCs w:val="22"/>
        </w:rPr>
        <w:t xml:space="preserve">the </w:t>
      </w:r>
      <w:r>
        <w:rPr>
          <w:szCs w:val="22"/>
        </w:rPr>
        <w:t xml:space="preserve">Licensee </w:t>
      </w:r>
      <w:r w:rsidRPr="008B21F4">
        <w:rPr>
          <w:szCs w:val="22"/>
        </w:rPr>
        <w:t xml:space="preserve">apparently </w:t>
      </w:r>
      <w:r>
        <w:rPr>
          <w:szCs w:val="22"/>
        </w:rPr>
        <w:t xml:space="preserve">willfully and repeatedly </w:t>
      </w:r>
      <w:r w:rsidRPr="008B21F4">
        <w:rPr>
          <w:szCs w:val="22"/>
        </w:rPr>
        <w:t>violated Section 73.352</w:t>
      </w:r>
      <w:r>
        <w:rPr>
          <w:szCs w:val="22"/>
        </w:rPr>
        <w:t>6</w:t>
      </w:r>
      <w:r w:rsidRPr="008B21F4">
        <w:rPr>
          <w:szCs w:val="22"/>
        </w:rPr>
        <w:t xml:space="preserve"> of the Rules</w:t>
      </w:r>
      <w:r>
        <w:rPr>
          <w:szCs w:val="22"/>
        </w:rPr>
        <w:t xml:space="preserve"> </w:t>
      </w:r>
      <w:r w:rsidRPr="008B21F4">
        <w:rPr>
          <w:szCs w:val="22"/>
        </w:rPr>
        <w:t xml:space="preserve">by failing to </w:t>
      </w:r>
      <w:r>
        <w:rPr>
          <w:szCs w:val="22"/>
        </w:rPr>
        <w:t>retain all requir</w:t>
      </w:r>
      <w:r w:rsidR="00804FD2">
        <w:rPr>
          <w:szCs w:val="22"/>
        </w:rPr>
        <w:t xml:space="preserve">ed documentation in the </w:t>
      </w:r>
      <w:r>
        <w:rPr>
          <w:szCs w:val="22"/>
        </w:rPr>
        <w:t xml:space="preserve">WDAI(FM) </w:t>
      </w:r>
      <w:r w:rsidRPr="008B21F4">
        <w:rPr>
          <w:szCs w:val="22"/>
        </w:rPr>
        <w:t>public inspection file.</w:t>
      </w:r>
      <w:r>
        <w:rPr>
          <w:rStyle w:val="FootnoteReference"/>
          <w:szCs w:val="22"/>
        </w:rPr>
        <w:footnoteReference w:id="3"/>
      </w:r>
      <w:r w:rsidR="002276E2">
        <w:rPr>
          <w:szCs w:val="22"/>
        </w:rPr>
        <w:t xml:space="preserve">  </w:t>
      </w:r>
      <w:r w:rsidRPr="008B21F4">
        <w:rPr>
          <w:szCs w:val="22"/>
        </w:rPr>
        <w:t xml:space="preserve">Based upon our review of the </w:t>
      </w:r>
      <w:r>
        <w:rPr>
          <w:szCs w:val="22"/>
        </w:rPr>
        <w:t xml:space="preserve">record </w:t>
      </w:r>
      <w:r w:rsidRPr="008B21F4">
        <w:rPr>
          <w:szCs w:val="22"/>
        </w:rPr>
        <w:t>before us, we conclude that Licensee is apparently liable for a monetary forfeiture in the</w:t>
      </w:r>
      <w:r>
        <w:rPr>
          <w:szCs w:val="22"/>
        </w:rPr>
        <w:t xml:space="preserve"> amount of twelve thousand dollars ($12,000).</w:t>
      </w:r>
    </w:p>
    <w:p w:rsidR="001F75AA" w:rsidRPr="008B21F4" w:rsidP="001F75AA">
      <w:pPr>
        <w:rPr>
          <w:b/>
          <w:szCs w:val="22"/>
        </w:rPr>
      </w:pPr>
      <w:r w:rsidRPr="008B21F4">
        <w:rPr>
          <w:b/>
          <w:szCs w:val="22"/>
        </w:rPr>
        <w:t xml:space="preserve">II.     </w:t>
      </w:r>
      <w:r>
        <w:rPr>
          <w:b/>
          <w:szCs w:val="22"/>
        </w:rPr>
        <w:t xml:space="preserve">    </w:t>
      </w:r>
      <w:r w:rsidRPr="008B21F4">
        <w:rPr>
          <w:b/>
          <w:szCs w:val="22"/>
        </w:rPr>
        <w:t>BACKGROUND</w:t>
      </w:r>
    </w:p>
    <w:p w:rsidR="001F75AA" w:rsidRPr="008B21F4" w:rsidP="001F75AA">
      <w:pPr>
        <w:rPr>
          <w:b/>
          <w:szCs w:val="22"/>
        </w:rPr>
      </w:pPr>
    </w:p>
    <w:p w:rsidR="001F75AA" w:rsidRPr="008B21F4" w:rsidP="001F75AA">
      <w:pPr>
        <w:pStyle w:val="ParaNum"/>
        <w:tabs>
          <w:tab w:val="num" w:pos="1620"/>
          <w:tab w:val="num" w:pos="1674"/>
        </w:tabs>
        <w:jc w:val="left"/>
        <w:rPr>
          <w:szCs w:val="22"/>
        </w:rPr>
      </w:pPr>
      <w:r w:rsidRPr="008B21F4">
        <w:rPr>
          <w:szCs w:val="22"/>
        </w:rPr>
        <w:t>Section 73.352</w:t>
      </w:r>
      <w:r>
        <w:rPr>
          <w:szCs w:val="22"/>
        </w:rPr>
        <w:t>6</w:t>
      </w:r>
      <w:r w:rsidRPr="008B21F4">
        <w:rPr>
          <w:szCs w:val="22"/>
        </w:rPr>
        <w:t xml:space="preserve"> of the Rules requires</w:t>
      </w:r>
      <w:r>
        <w:rPr>
          <w:szCs w:val="22"/>
        </w:rPr>
        <w:t xml:space="preserve"> a commercial </w:t>
      </w:r>
      <w:r w:rsidRPr="008B21F4">
        <w:rPr>
          <w:szCs w:val="22"/>
        </w:rPr>
        <w:t xml:space="preserve">broadcast licensee to maintain a public inspection file containing specific types of information related to station operations.  The purpose of this requirement is to provide the public with timely information </w:t>
      </w:r>
      <w:r>
        <w:rPr>
          <w:szCs w:val="22"/>
        </w:rPr>
        <w:t xml:space="preserve">about the station </w:t>
      </w:r>
      <w:r w:rsidRPr="008B21F4">
        <w:rPr>
          <w:szCs w:val="22"/>
        </w:rPr>
        <w:t>at regular intervals throughout the license period.</w:t>
      </w:r>
      <w:r>
        <w:rPr>
          <w:rStyle w:val="FootnoteReference"/>
          <w:szCs w:val="22"/>
        </w:rPr>
        <w:footnoteReference w:id="4"/>
      </w:r>
      <w:r w:rsidRPr="008B21F4">
        <w:rPr>
          <w:szCs w:val="22"/>
        </w:rPr>
        <w:t xml:space="preserve">  </w:t>
      </w:r>
      <w:r>
        <w:rPr>
          <w:szCs w:val="22"/>
        </w:rPr>
        <w:t>Among the materials required for inclusion in the file are the station’s quarterly issues/programs lists, which must be retained until final Commission action on the station’s next license renewal application.</w:t>
      </w:r>
      <w:r>
        <w:rPr>
          <w:rStyle w:val="FootnoteReference"/>
          <w:szCs w:val="22"/>
        </w:rPr>
        <w:footnoteReference w:id="5"/>
      </w:r>
    </w:p>
    <w:p w:rsidR="001F75AA" w:rsidRPr="00187B0F" w:rsidP="00D967A3">
      <w:pPr>
        <w:pStyle w:val="ParaNum"/>
        <w:rPr>
          <w:szCs w:val="22"/>
        </w:rPr>
      </w:pPr>
      <w:r w:rsidRPr="008B21F4">
        <w:t xml:space="preserve">Section III, Item 3 of the license renewal application form, FCC Form 303-S, requests that the </w:t>
      </w:r>
      <w:r>
        <w:t>l</w:t>
      </w:r>
      <w:r w:rsidRPr="008B21F4">
        <w:t>icensee certify that the documentation required by Section 73.352</w:t>
      </w:r>
      <w:r>
        <w:t>6</w:t>
      </w:r>
      <w:r w:rsidRPr="008B21F4">
        <w:t xml:space="preserve">, has been placed in </w:t>
      </w:r>
      <w:r>
        <w:t>its s</w:t>
      </w:r>
      <w:r w:rsidRPr="008B21F4">
        <w:t xml:space="preserve">tation’s public inspection file at the appropriate times.  </w:t>
      </w:r>
      <w:r>
        <w:t>Licensee</w:t>
      </w:r>
      <w:r w:rsidRPr="008B21F4">
        <w:t xml:space="preserve"> </w:t>
      </w:r>
      <w:r>
        <w:t xml:space="preserve">answered </w:t>
      </w:r>
      <w:r w:rsidRPr="008B21F4">
        <w:t xml:space="preserve">“No” to that </w:t>
      </w:r>
      <w:r>
        <w:t xml:space="preserve">certification and attached </w:t>
      </w:r>
      <w:r>
        <w:t>an Exhibit explaining, in pertinent part:</w:t>
      </w:r>
    </w:p>
    <w:p w:rsidR="001F75AA" w:rsidP="001F75AA">
      <w:pPr>
        <w:pStyle w:val="ParaNum"/>
        <w:numPr>
          <w:ilvl w:val="0"/>
          <w:numId w:val="0"/>
        </w:numPr>
        <w:ind w:left="720" w:right="720"/>
        <w:jc w:val="left"/>
        <w:rPr>
          <w:szCs w:val="22"/>
        </w:rPr>
      </w:pPr>
      <w:r>
        <w:rPr>
          <w:szCs w:val="22"/>
        </w:rPr>
        <w:t>T</w:t>
      </w:r>
      <w:r w:rsidRPr="00823CED">
        <w:rPr>
          <w:szCs w:val="22"/>
        </w:rPr>
        <w:t xml:space="preserve">he </w:t>
      </w:r>
      <w:r>
        <w:rPr>
          <w:szCs w:val="22"/>
        </w:rPr>
        <w:t>Licensee</w:t>
      </w:r>
      <w:r w:rsidRPr="00823CED">
        <w:rPr>
          <w:szCs w:val="22"/>
        </w:rPr>
        <w:t xml:space="preserve"> is unable to locate the issues/programs lists for 4</w:t>
      </w:r>
      <w:r>
        <w:rPr>
          <w:szCs w:val="22"/>
        </w:rPr>
        <w:t>Q</w:t>
      </w:r>
      <w:r w:rsidRPr="00823CED">
        <w:rPr>
          <w:szCs w:val="22"/>
        </w:rPr>
        <w:t>2003 - 1</w:t>
      </w:r>
      <w:r>
        <w:rPr>
          <w:szCs w:val="22"/>
        </w:rPr>
        <w:t>Q</w:t>
      </w:r>
      <w:r w:rsidRPr="00823CED">
        <w:rPr>
          <w:szCs w:val="22"/>
        </w:rPr>
        <w:t>2007. Also missing are the reports for 1</w:t>
      </w:r>
      <w:r>
        <w:rPr>
          <w:szCs w:val="22"/>
        </w:rPr>
        <w:t>Q</w:t>
      </w:r>
      <w:r w:rsidRPr="00823CED">
        <w:rPr>
          <w:szCs w:val="22"/>
        </w:rPr>
        <w:t>2008, 4</w:t>
      </w:r>
      <w:r>
        <w:rPr>
          <w:szCs w:val="22"/>
        </w:rPr>
        <w:t>Q</w:t>
      </w:r>
      <w:r w:rsidRPr="00823CED">
        <w:rPr>
          <w:szCs w:val="22"/>
        </w:rPr>
        <w:t xml:space="preserve">2009 and two quarters in 2010. Due to numerous personnel changes during the license term, at all levels of management and staff, there is no one employed currently at the station or available to the </w:t>
      </w:r>
      <w:r>
        <w:rPr>
          <w:szCs w:val="22"/>
        </w:rPr>
        <w:t>Licensee</w:t>
      </w:r>
      <w:r w:rsidRPr="00823CED">
        <w:rPr>
          <w:szCs w:val="22"/>
        </w:rPr>
        <w:t xml:space="preserve"> who has knowledge of the reports prepared for the early years of the term -- prior to 2008. In addition, due to changes in software and computer systems prior to 2008, the </w:t>
      </w:r>
      <w:r>
        <w:rPr>
          <w:szCs w:val="22"/>
        </w:rPr>
        <w:t>Licensee</w:t>
      </w:r>
      <w:r w:rsidRPr="00823CED">
        <w:rPr>
          <w:szCs w:val="22"/>
        </w:rPr>
        <w:t xml:space="preserve"> has been unable to locate any documentation regarding the programming carried during those years that dealt with issues of local concern. Therefore, the </w:t>
      </w:r>
      <w:r>
        <w:rPr>
          <w:szCs w:val="22"/>
        </w:rPr>
        <w:t>Licensee</w:t>
      </w:r>
      <w:r w:rsidRPr="00823CED">
        <w:rPr>
          <w:szCs w:val="22"/>
        </w:rPr>
        <w:t xml:space="preserve"> cannot recreate the missing reports for 2003-1</w:t>
      </w:r>
      <w:r>
        <w:rPr>
          <w:szCs w:val="22"/>
        </w:rPr>
        <w:t>Q</w:t>
      </w:r>
      <w:r w:rsidRPr="00823CED">
        <w:rPr>
          <w:szCs w:val="22"/>
        </w:rPr>
        <w:t>2007. However, missing reports for the years 2008, 2009, and 2010 have been recreated and the file is complete for the period from 2</w:t>
      </w:r>
      <w:r>
        <w:rPr>
          <w:szCs w:val="22"/>
        </w:rPr>
        <w:t>Q</w:t>
      </w:r>
      <w:r w:rsidRPr="00823CED">
        <w:rPr>
          <w:szCs w:val="22"/>
        </w:rPr>
        <w:t>2007 to date with regard to quarterly issues/programs lists</w:t>
      </w:r>
      <w:r>
        <w:rPr>
          <w:szCs w:val="22"/>
        </w:rPr>
        <w:t>.</w:t>
      </w:r>
      <w:r>
        <w:rPr>
          <w:rStyle w:val="FootnoteReference"/>
          <w:szCs w:val="22"/>
        </w:rPr>
        <w:footnoteReference w:id="6"/>
      </w:r>
    </w:p>
    <w:p w:rsidR="001F75AA" w:rsidRPr="00F267F8" w:rsidP="001F75AA">
      <w:pPr>
        <w:rPr>
          <w:b/>
        </w:rPr>
      </w:pPr>
      <w:r w:rsidRPr="00F267F8">
        <w:rPr>
          <w:b/>
        </w:rPr>
        <w:t xml:space="preserve">III.      </w:t>
      </w:r>
      <w:r>
        <w:rPr>
          <w:b/>
        </w:rPr>
        <w:t xml:space="preserve"> </w:t>
      </w:r>
      <w:r w:rsidRPr="00F267F8">
        <w:rPr>
          <w:b/>
        </w:rPr>
        <w:t>DISCUSSION</w:t>
      </w:r>
    </w:p>
    <w:p w:rsidR="001F75AA" w:rsidRPr="008B21F4" w:rsidP="001F75AA"/>
    <w:p w:rsidR="001F75AA" w:rsidP="001F75AA">
      <w:pPr>
        <w:pStyle w:val="ParaNum"/>
        <w:jc w:val="left"/>
        <w:rPr>
          <w:szCs w:val="22"/>
        </w:rPr>
      </w:pPr>
      <w:r>
        <w:rPr>
          <w:i/>
          <w:szCs w:val="22"/>
        </w:rPr>
        <w:t xml:space="preserve">Proposed </w:t>
      </w:r>
      <w:r w:rsidRPr="00BD4F5C">
        <w:rPr>
          <w:i/>
          <w:szCs w:val="22"/>
        </w:rPr>
        <w:t>Forfeiture.</w:t>
      </w:r>
      <w:r>
        <w:rPr>
          <w:szCs w:val="22"/>
        </w:rPr>
        <w:t xml:space="preserve">  As Licensee has acknowledged, at the time of filing of the Station’s license renewal application, and during periods within the license term, the Station’s public inspection file did not contain many of the items required to be retained in the file by Section 73.3526 of the Rules.  </w:t>
      </w:r>
      <w:r w:rsidRPr="008B21F4">
        <w:rPr>
          <w:szCs w:val="22"/>
        </w:rPr>
        <w:t>In this regard, where lapses occur in maintaining the public file, neither the negligent acts or omissions of station employees or agents, nor the subsequent remedial actions undertaken by the licensee, excuse or nullify a licensee’s rule violation.</w:t>
      </w:r>
      <w:r>
        <w:rPr>
          <w:rStyle w:val="FootnoteReference"/>
          <w:szCs w:val="22"/>
        </w:rPr>
        <w:footnoteReference w:id="7"/>
      </w:r>
      <w:r w:rsidRPr="008B21F4">
        <w:rPr>
          <w:szCs w:val="22"/>
        </w:rPr>
        <w:t xml:space="preserve">  </w:t>
      </w:r>
    </w:p>
    <w:p w:rsidR="001F75AA" w:rsidP="001F75AA">
      <w:pPr>
        <w:pStyle w:val="ParaNum"/>
        <w:jc w:val="left"/>
        <w:rPr>
          <w:szCs w:val="22"/>
        </w:rPr>
      </w:pPr>
      <w:r>
        <w:rPr>
          <w:szCs w:val="22"/>
        </w:rPr>
        <w:t xml:space="preserve">Under </w:t>
      </w:r>
      <w:r w:rsidRPr="008B21F4">
        <w:rPr>
          <w:szCs w:val="22"/>
        </w:rPr>
        <w:t>Section 503(b)(1)(B) of the Act</w:t>
      </w:r>
      <w:r>
        <w:rPr>
          <w:szCs w:val="22"/>
        </w:rPr>
        <w:t xml:space="preserve">, </w:t>
      </w:r>
      <w:r w:rsidRPr="008B21F4">
        <w:rPr>
          <w:szCs w:val="22"/>
        </w:rPr>
        <w:t>a</w:t>
      </w:r>
      <w:r>
        <w:rPr>
          <w:szCs w:val="22"/>
        </w:rPr>
        <w:t xml:space="preserve"> </w:t>
      </w:r>
      <w:r w:rsidRPr="008B21F4">
        <w:rPr>
          <w:szCs w:val="22"/>
        </w:rPr>
        <w:t xml:space="preserve">person who is </w:t>
      </w:r>
      <w:r>
        <w:rPr>
          <w:szCs w:val="22"/>
        </w:rPr>
        <w:t>found</w:t>
      </w:r>
      <w:r w:rsidRPr="008B21F4">
        <w:rPr>
          <w:szCs w:val="22"/>
        </w:rPr>
        <w:t xml:space="preserve"> to have willfully or repeatedly failed to comply with any provision of the Act or any rule, regulation, or order issued by the Commission shall be liable to the United States for a forfeiture penalty.</w:t>
      </w:r>
      <w:r>
        <w:rPr>
          <w:rStyle w:val="FootnoteReference"/>
          <w:szCs w:val="22"/>
        </w:rPr>
        <w:footnoteReference w:id="8"/>
      </w:r>
      <w:r w:rsidRPr="008B21F4">
        <w:rPr>
          <w:szCs w:val="22"/>
        </w:rPr>
        <w:t xml:space="preserve">  Section 312(f)(1) of the Act defines willful as “the conscious and deliberate commission or omission of [any] act, irrespective of any intent to violate” the law.</w:t>
      </w:r>
      <w:r>
        <w:rPr>
          <w:rStyle w:val="FootnoteReference"/>
          <w:szCs w:val="22"/>
        </w:rPr>
        <w:footnoteReference w:id="9"/>
      </w:r>
      <w:r w:rsidRPr="008B21F4">
        <w:rPr>
          <w:szCs w:val="22"/>
        </w:rPr>
        <w:t xml:space="preserve">  The legislative history to Section 312(f)(1) of the Act clarifies that this definition of willful applies to both Sections 312 and 503(b) of the Act,</w:t>
      </w:r>
      <w:r>
        <w:rPr>
          <w:rStyle w:val="FootnoteReference"/>
          <w:szCs w:val="22"/>
        </w:rPr>
        <w:footnoteReference w:id="10"/>
      </w:r>
      <w:r w:rsidRPr="008B21F4">
        <w:rPr>
          <w:szCs w:val="22"/>
        </w:rPr>
        <w:t xml:space="preserve"> and the Commission has so interpreted the term in the Section 503(b) context.</w:t>
      </w:r>
      <w:r>
        <w:rPr>
          <w:rStyle w:val="FootnoteReference"/>
          <w:szCs w:val="22"/>
        </w:rPr>
        <w:footnoteReference w:id="11"/>
      </w:r>
      <w:r w:rsidRPr="008B21F4">
        <w:rPr>
          <w:szCs w:val="22"/>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12"/>
      </w:r>
      <w:r w:rsidRPr="008B21F4">
        <w:rPr>
          <w:szCs w:val="22"/>
        </w:rPr>
        <w:t xml:space="preserve">  </w:t>
      </w:r>
    </w:p>
    <w:p w:rsidR="001F75AA" w:rsidRPr="00B709C8" w:rsidP="001F75AA">
      <w:pPr>
        <w:pStyle w:val="ParaNum"/>
        <w:jc w:val="left"/>
        <w:rPr>
          <w:szCs w:val="22"/>
        </w:rPr>
      </w:pPr>
      <w:r w:rsidRPr="00B709C8">
        <w:rPr>
          <w:szCs w:val="22"/>
        </w:rPr>
        <w:t>The</w:t>
      </w:r>
      <w:r w:rsidRPr="00B709C8">
        <w:rPr>
          <w:i/>
          <w:szCs w:val="22"/>
        </w:rPr>
        <w:t xml:space="preserve"> </w:t>
      </w:r>
      <w:r w:rsidRPr="00B709C8">
        <w:rPr>
          <w:szCs w:val="22"/>
        </w:rPr>
        <w:t>Commission’s</w:t>
      </w:r>
      <w:r w:rsidRPr="00B709C8">
        <w:rPr>
          <w:i/>
          <w:szCs w:val="22"/>
        </w:rPr>
        <w:t xml:space="preserve"> Forfeiture Policy Statement</w:t>
      </w:r>
      <w:r w:rsidRPr="00B709C8">
        <w:rPr>
          <w:szCs w:val="22"/>
        </w:rPr>
        <w:t xml:space="preserve"> and Section 1.80(b)(4) of the Rules establish a base forfeiture amount of $10,000 for violation of </w:t>
      </w:r>
      <w:r w:rsidR="00A77C18">
        <w:rPr>
          <w:szCs w:val="22"/>
        </w:rPr>
        <w:t>Section 73.3526</w:t>
      </w:r>
      <w:r w:rsidRPr="00B709C8">
        <w:rPr>
          <w:b/>
          <w:szCs w:val="22"/>
        </w:rPr>
        <w:t>.</w:t>
      </w:r>
      <w:r>
        <w:rPr>
          <w:rStyle w:val="FootnoteReference"/>
          <w:szCs w:val="22"/>
        </w:rPr>
        <w:footnoteReference w:id="13"/>
      </w:r>
      <w:r w:rsidRPr="00B709C8">
        <w:rPr>
          <w:szCs w:val="22"/>
        </w:rPr>
        <w:t xml:space="preserve">  In determining the appropriate forfeiture amount, we may adjust the </w:t>
      </w:r>
      <w:r>
        <w:rPr>
          <w:szCs w:val="22"/>
        </w:rPr>
        <w:t xml:space="preserve">base </w:t>
      </w:r>
      <w:r w:rsidRPr="00B709C8">
        <w:rPr>
          <w:szCs w:val="22"/>
        </w:rPr>
        <w:t xml:space="preserve">amount upward or downward by considering the factors enumerated in Section 503(b)(2)(D) of the Act, including “the nature, circumstances, extent and gravity of the violation, and, with respect to the violator, the degree of culpability, any history of prior </w:t>
      </w:r>
      <w:r w:rsidRPr="00B709C8">
        <w:rPr>
          <w:szCs w:val="22"/>
        </w:rPr>
        <w:t>offenses, ability to pay, and such other matters as justice may require.”</w:t>
      </w:r>
      <w:r>
        <w:rPr>
          <w:rStyle w:val="FootnoteReference"/>
          <w:szCs w:val="22"/>
        </w:rPr>
        <w:footnoteReference w:id="14"/>
      </w:r>
    </w:p>
    <w:p w:rsidR="001F75AA" w:rsidRPr="00CF2A2E" w:rsidP="001F75AA">
      <w:pPr>
        <w:pStyle w:val="ParaNum"/>
        <w:jc w:val="left"/>
        <w:rPr>
          <w:szCs w:val="22"/>
        </w:rPr>
      </w:pPr>
      <w:r w:rsidRPr="008B21F4">
        <w:t xml:space="preserve">In this case, </w:t>
      </w:r>
      <w:r>
        <w:t>although L</w:t>
      </w:r>
      <w:r w:rsidRPr="008B21F4">
        <w:t xml:space="preserve">icensee </w:t>
      </w:r>
      <w:r>
        <w:t xml:space="preserve">has </w:t>
      </w:r>
      <w:r w:rsidRPr="008B21F4">
        <w:t>admitted to violati</w:t>
      </w:r>
      <w:r>
        <w:t xml:space="preserve">ng Section 73.3526, it did so only in the context of the question contained </w:t>
      </w:r>
      <w:r w:rsidRPr="008B21F4">
        <w:t xml:space="preserve">in </w:t>
      </w:r>
      <w:r>
        <w:t>its license renewal application that compelled such disclosure</w:t>
      </w:r>
      <w:r w:rsidRPr="008B21F4">
        <w:t xml:space="preserve">.  </w:t>
      </w:r>
      <w:r>
        <w:t>Moreover</w:t>
      </w:r>
      <w:r w:rsidRPr="008B21F4">
        <w:t xml:space="preserve">, the violations </w:t>
      </w:r>
      <w:r>
        <w:t xml:space="preserve">were extensive, </w:t>
      </w:r>
      <w:r w:rsidRPr="008B21F4">
        <w:t>occurr</w:t>
      </w:r>
      <w:r>
        <w:t>ing over nearly the entire license term a</w:t>
      </w:r>
      <w:r w:rsidR="003F3447">
        <w:t>nd involving at least 21 issues/</w:t>
      </w:r>
      <w:r>
        <w:t xml:space="preserve">programs lists.  </w:t>
      </w:r>
      <w:r>
        <w:rPr>
          <w:szCs w:val="22"/>
        </w:rPr>
        <w:t xml:space="preserve">Additionally, although Licensee has a history of compliance with the Rules, a downward adjustment is not appropriate here considering the extensive violations that occurred.  </w:t>
      </w:r>
      <w:r w:rsidRPr="008B21F4">
        <w:t xml:space="preserve">Considering the record as a whole, we believe that </w:t>
      </w:r>
      <w:r w:rsidR="00E50BC2">
        <w:t>a $12,000 f</w:t>
      </w:r>
      <w:r>
        <w:t xml:space="preserve">orfeiture </w:t>
      </w:r>
      <w:r w:rsidR="00E50BC2">
        <w:t xml:space="preserve">is </w:t>
      </w:r>
      <w:r w:rsidRPr="008B21F4">
        <w:t xml:space="preserve">appropriate for the </w:t>
      </w:r>
      <w:r w:rsidR="00E50BC2">
        <w:t xml:space="preserve">Section 73.3526 </w:t>
      </w:r>
      <w:r w:rsidRPr="008B21F4">
        <w:t>violations in this case.</w:t>
      </w:r>
      <w:r>
        <w:rPr>
          <w:rStyle w:val="FootnoteReference"/>
        </w:rPr>
        <w:footnoteReference w:id="15"/>
      </w:r>
      <w:r w:rsidRPr="008B21F4">
        <w:t xml:space="preserve">  </w:t>
      </w:r>
    </w:p>
    <w:p w:rsidR="001F75AA" w:rsidRPr="008B5B6B" w:rsidP="001F75AA">
      <w:pPr>
        <w:pStyle w:val="ParaNum"/>
        <w:jc w:val="left"/>
        <w:rPr>
          <w:szCs w:val="22"/>
        </w:rPr>
      </w:pPr>
      <w:r>
        <w:rPr>
          <w:i/>
        </w:rPr>
        <w:t>License Renewal Application.</w:t>
      </w:r>
      <w:r>
        <w:t xml:space="preserve">  </w:t>
      </w:r>
      <w:r w:rsidRPr="005F5ACF">
        <w:t>In evaluating an application for license renewal, the Commission’s decision is governed by Section 309(k) of the Act.</w:t>
      </w:r>
      <w:r>
        <w:rPr>
          <w:rStyle w:val="FootnoteReference"/>
          <w:szCs w:val="22"/>
        </w:rPr>
        <w:footnoteReference w:id="16"/>
      </w:r>
      <w:r>
        <w:t xml:space="preserve">  That S</w:t>
      </w:r>
      <w:r w:rsidRPr="005F5ACF">
        <w:t>ection provides that if, upon consideration of the application and pleadings, we find that</w:t>
      </w:r>
      <w:r>
        <w:t>:</w:t>
      </w:r>
      <w:r w:rsidRPr="005F5ACF">
        <w:t xml:space="preserve"> </w:t>
      </w:r>
      <w:r>
        <w:t xml:space="preserve"> </w:t>
      </w:r>
      <w:r w:rsidRPr="005F5ACF">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szCs w:val="22"/>
        </w:rPr>
        <w:footnoteReference w:id="17"/>
      </w:r>
      <w:r w:rsidRPr="005F5ACF">
        <w:t xml:space="preserve"> </w:t>
      </w:r>
      <w:r w:rsidRPr="005F5ACF">
        <w:rPr>
          <w:i/>
        </w:rPr>
        <w:t xml:space="preserve"> </w:t>
      </w:r>
      <w:r w:rsidRPr="005F5ACF">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Pr>
          <w:rStyle w:val="FootnoteReference"/>
          <w:szCs w:val="22"/>
        </w:rPr>
        <w:footnoteReference w:id="18"/>
      </w:r>
    </w:p>
    <w:p w:rsidR="001F75AA" w:rsidP="001F75AA">
      <w:pPr>
        <w:pStyle w:val="ParaNum"/>
        <w:widowControl/>
        <w:jc w:val="left"/>
      </w:pPr>
      <w:r>
        <w:t>It is clear to us that Licensee’s conduct has fallen far short of the standard of compliance with the Act and the Rules that would warrant a routine license renewal.  Licensee apparently failed to timely prepare and file 21 issues</w:t>
      </w:r>
      <w:r w:rsidR="00C85806">
        <w:t>/</w:t>
      </w:r>
      <w:r>
        <w:t>programs lists for most of the license period.  The issues/programs lists are a significant and representative indication that a licensee is providing substantial service to meet the needs and interests of its community.</w:t>
      </w:r>
      <w:r>
        <w:rPr>
          <w:vertAlign w:val="superscript"/>
        </w:rPr>
        <w:footnoteReference w:id="19"/>
      </w:r>
      <w:r>
        <w:t xml:space="preserve">  The Commission's public information file rule also safeguards the public's ability to assess the station's service and to meaningfully participate in the station's renewal process, and ensure the station's accessibility to and nexus with its community, to serve and respond to community programming needs.</w:t>
      </w:r>
      <w:r>
        <w:rPr>
          <w:vertAlign w:val="superscript"/>
        </w:rPr>
        <w:footnoteReference w:id="20"/>
      </w:r>
      <w:r>
        <w:t xml:space="preserve">  As such, the public information requirements are integral components of a licensee's obligation to serve the public interest and meet its community service obligations.</w:t>
      </w:r>
    </w:p>
    <w:p w:rsidR="001F75AA" w:rsidP="001F75AA">
      <w:pPr>
        <w:pStyle w:val="ParaNum"/>
        <w:jc w:val="left"/>
      </w:pPr>
      <w:r w:rsidRPr="004D0AFE">
        <w:t>We believe that Licensee’s apparent violations of Section 73.3526 were serious violations,</w:t>
      </w:r>
      <w:r>
        <w:rPr>
          <w:rStyle w:val="FootnoteReference"/>
        </w:rPr>
        <w:footnoteReference w:id="21"/>
      </w:r>
      <w:r w:rsidRPr="004D0AFE">
        <w:t xml:space="preserve"> as it denied both the public and the Commission any opportunity to review and comment on the Station’s programming during the past license term.  The record here further indicates that Licensee’s willful and repeated violations of Section 73.3526 at the Station, when considered together, constitutes a pattern of abuse over </w:t>
      </w:r>
      <w:r>
        <w:t>a period of years by Licensee.</w:t>
      </w:r>
      <w:r>
        <w:rPr>
          <w:vertAlign w:val="superscript"/>
        </w:rPr>
        <w:footnoteReference w:id="22"/>
      </w:r>
      <w:r>
        <w:t xml:space="preserve">  However, although we are concerned with Licensee’s failure to create and retain quarterly issues</w:t>
      </w:r>
      <w:r w:rsidR="00AD0396">
        <w:t>/</w:t>
      </w:r>
      <w:r>
        <w:t>programs lists, we find that Licensee’s violations of the Rules do not rise to such a level that designation for evidentiary hearing on the issue of whether to deny renewal for the Station is warranted.</w:t>
      </w:r>
      <w:r>
        <w:rPr>
          <w:vertAlign w:val="superscript"/>
        </w:rPr>
        <w:footnoteReference w:id="23"/>
      </w:r>
      <w:r>
        <w:t xml:space="preserve">  </w:t>
      </w:r>
    </w:p>
    <w:p w:rsidR="001F75AA" w:rsidRPr="008A4CB5" w:rsidP="001F75AA">
      <w:pPr>
        <w:pStyle w:val="ParaNum"/>
        <w:jc w:val="left"/>
        <w:rPr>
          <w:b/>
          <w:szCs w:val="22"/>
        </w:rPr>
      </w:pPr>
      <w:r>
        <w:t>On the facts presented here, the new license term ordinarily would be limited to a period of four years,</w:t>
      </w:r>
      <w:r>
        <w:rPr>
          <w:rStyle w:val="FootnoteReference"/>
          <w:color w:val="000000"/>
          <w:szCs w:val="22"/>
        </w:rPr>
        <w:footnoteReference w:id="24"/>
      </w:r>
      <w:r>
        <w:t xml:space="preserve"> as such a limited renewal period would afford the Commission an opportunity to review the Station’s compliance with the Act and the Rules and to take whatever corrective actions, if any, that may be warranted at that time.  However, given that the Station’s next license renewal application is due on August 1, 2019, a four-year short-term renewal would serve no purpose here. </w:t>
      </w:r>
    </w:p>
    <w:p w:rsidR="001F75AA" w:rsidRPr="008B21F4" w:rsidP="001F75AA">
      <w:pPr>
        <w:rPr>
          <w:b/>
          <w:szCs w:val="22"/>
        </w:rPr>
      </w:pPr>
      <w:r w:rsidRPr="008B21F4">
        <w:rPr>
          <w:b/>
          <w:szCs w:val="22"/>
        </w:rPr>
        <w:t xml:space="preserve">IV.      </w:t>
      </w:r>
      <w:r>
        <w:rPr>
          <w:b/>
          <w:szCs w:val="22"/>
        </w:rPr>
        <w:t xml:space="preserve"> </w:t>
      </w:r>
      <w:r w:rsidRPr="008B21F4">
        <w:rPr>
          <w:b/>
          <w:szCs w:val="22"/>
        </w:rPr>
        <w:t>ORDERING CLAUSES</w:t>
      </w:r>
    </w:p>
    <w:p w:rsidR="001F75AA" w:rsidRPr="008B21F4" w:rsidP="001F75AA">
      <w:pPr>
        <w:rPr>
          <w:b/>
          <w:szCs w:val="22"/>
        </w:rPr>
      </w:pPr>
    </w:p>
    <w:p w:rsidR="001F75AA" w:rsidRPr="008B21F4" w:rsidP="001F75AA">
      <w:pPr>
        <w:pStyle w:val="ParaNum"/>
        <w:jc w:val="left"/>
        <w:rPr>
          <w:szCs w:val="22"/>
        </w:rPr>
      </w:pPr>
      <w:r w:rsidRPr="008B21F4">
        <w:rPr>
          <w:szCs w:val="22"/>
        </w:rPr>
        <w:t>Accordingly, IT IS ORDERED, pursuant to Section 503(b) of the Communications Act of 1934, as amended, and Section 1.80</w:t>
      </w:r>
      <w:r w:rsidR="002A0996">
        <w:rPr>
          <w:szCs w:val="22"/>
        </w:rPr>
        <w:t>(f)(4)</w:t>
      </w:r>
      <w:r w:rsidRPr="008B21F4">
        <w:rPr>
          <w:szCs w:val="22"/>
        </w:rPr>
        <w:t xml:space="preserve"> of the Commission’s Rules, that </w:t>
      </w:r>
      <w:r>
        <w:rPr>
          <w:szCs w:val="22"/>
        </w:rPr>
        <w:t>Cumulus Licensing LLC</w:t>
      </w:r>
      <w:r w:rsidRPr="008B21F4">
        <w:rPr>
          <w:szCs w:val="22"/>
        </w:rPr>
        <w:t xml:space="preserve"> is hereby NOTIFIED of its APPARENT LIABILITY FOR FORFEITURE in the amount of </w:t>
      </w:r>
      <w:r>
        <w:rPr>
          <w:szCs w:val="22"/>
        </w:rPr>
        <w:t xml:space="preserve">twelve thousand dollars ($12,000) </w:t>
      </w:r>
      <w:r w:rsidRPr="008B21F4">
        <w:rPr>
          <w:szCs w:val="22"/>
        </w:rPr>
        <w:t>for its apparent willful and repeated violation of Section 73.352</w:t>
      </w:r>
      <w:r>
        <w:rPr>
          <w:szCs w:val="22"/>
        </w:rPr>
        <w:t>6</w:t>
      </w:r>
      <w:r w:rsidRPr="008B21F4">
        <w:rPr>
          <w:szCs w:val="22"/>
        </w:rPr>
        <w:t xml:space="preserve"> of the Commission’s Rules. </w:t>
      </w:r>
    </w:p>
    <w:p w:rsidR="001F75AA" w:rsidRPr="00245D22" w:rsidP="001F75AA">
      <w:pPr>
        <w:pStyle w:val="ParaNum"/>
        <w:jc w:val="left"/>
        <w:rPr>
          <w:szCs w:val="22"/>
        </w:rPr>
      </w:pPr>
      <w:r w:rsidRPr="00245D22">
        <w:rPr>
          <w:szCs w:val="22"/>
        </w:rPr>
        <w:t xml:space="preserve">IT IS FURTHER ORDERED, pursuant to Section 1.80 of the Commission’s Rules, that, within thirty (30) days of the release date of this </w:t>
      </w:r>
      <w:r w:rsidRPr="00245D22">
        <w:rPr>
          <w:i/>
          <w:szCs w:val="22"/>
        </w:rPr>
        <w:t>NAL,</w:t>
      </w:r>
      <w:r w:rsidRPr="00245D22">
        <w:rPr>
          <w:szCs w:val="22"/>
        </w:rPr>
        <w:t xml:space="preserve"> Cumulus Licensing LLC SHALL FORFEIT to the United States Government twelve thousand dollars ($12,000) or SHALL FILE a written statement seeking reduction or cancellation of the proposed forfeiture.  For collection, the Commission will file a proof of claim at the appropriate time in the Cumulus Licensing LLC bankruptcy action.   </w:t>
      </w:r>
    </w:p>
    <w:p w:rsidR="001F75AA" w:rsidRPr="00610E5B" w:rsidP="001F75AA">
      <w:pPr>
        <w:pStyle w:val="ParaNum"/>
        <w:jc w:val="left"/>
        <w:rPr>
          <w:szCs w:val="22"/>
        </w:rPr>
      </w:pPr>
      <w:r w:rsidRPr="008F4CD8">
        <w:rPr>
          <w:szCs w:val="22"/>
        </w:rPr>
        <w:t>Payment of the proposed forfeiture must be made by check or similar instrument, wire transfer or credit card, and must include the NAL/Acct. No. and FRN referenced herein.  Regardless of the form of payment, a completed FCC Form 159 must be submitted.  When completing the FCC Form 159, enter the NAL/Acct</w:t>
      </w:r>
      <w:r w:rsidR="00460C37">
        <w:rPr>
          <w:szCs w:val="22"/>
        </w:rPr>
        <w:t>.</w:t>
      </w:r>
      <w:r w:rsidRPr="008F4CD8">
        <w:rPr>
          <w:szCs w:val="22"/>
        </w:rPr>
        <w:t xml:space="preserve"> </w:t>
      </w:r>
      <w:r w:rsidR="00460C37">
        <w:rPr>
          <w:szCs w:val="22"/>
        </w:rPr>
        <w:t>No.</w:t>
      </w:r>
      <w:r w:rsidRPr="008F4CD8">
        <w:rPr>
          <w:szCs w:val="22"/>
        </w:rPr>
        <w:t xml:space="preserve"> in block number 23A (call sign/other ID), and enter the letters “FORF” in block number 24A (payment type code).  </w:t>
      </w:r>
      <w:r>
        <w:t xml:space="preserve">Licensee will also send electronic notification on the date said payment is made to Karen Workeman at Karen.Workeman@fcc.gov and </w:t>
      </w:r>
      <w:r w:rsidR="005820D4">
        <w:t xml:space="preserve">to </w:t>
      </w:r>
      <w:r>
        <w:t>Victoria McCauley at Victoria.McCauley@fcc.gov.</w:t>
      </w:r>
      <w:r w:rsidRPr="008F4CD8">
        <w:rPr>
          <w:szCs w:val="22"/>
        </w:rPr>
        <w:t xml:space="preserve">  </w:t>
      </w:r>
      <w:r>
        <w:t xml:space="preserve">Below are additional instructions that should be followed based on the form of payment selected: </w:t>
      </w:r>
    </w:p>
    <w:p w:rsidR="001F75AA" w:rsidP="001F75AA">
      <w:pPr>
        <w:pStyle w:val="ParaNum"/>
        <w:numPr>
          <w:ilvl w:val="0"/>
          <w:numId w:val="0"/>
        </w:numPr>
        <w:ind w:left="720"/>
        <w:jc w:val="left"/>
      </w:pPr>
      <w:r>
        <w:rPr>
          <w:rFonts w:ascii="Wingdings" w:eastAsia="Wingdings" w:hAnsi="Wingdings" w:cs="Wingdings"/>
          <w:sz w:val="16"/>
          <w:szCs w:val="16"/>
        </w:rPr>
        <w:sym w:font="Wingdings" w:char="F06C"/>
      </w:r>
      <w:r>
        <w:rPr>
          <w:sz w:val="16"/>
          <w:szCs w:val="16"/>
        </w:rPr>
        <w:tab/>
      </w:r>
      <w:r>
        <w:t>Pay</w:t>
      </w:r>
      <w:r>
        <w:rPr>
          <w:spacing w:val="-4"/>
        </w:rPr>
        <w:t>m</w:t>
      </w:r>
      <w:r>
        <w:t xml:space="preserve">ent by check or </w:t>
      </w:r>
      <w:r>
        <w:rPr>
          <w:spacing w:val="-4"/>
        </w:rPr>
        <w:t>m</w:t>
      </w:r>
      <w:r>
        <w:t>oney o</w:t>
      </w:r>
      <w:r>
        <w:rPr>
          <w:spacing w:val="1"/>
        </w:rPr>
        <w:t>r</w:t>
      </w:r>
      <w:r>
        <w:t xml:space="preserve">der </w:t>
      </w:r>
      <w:r>
        <w:rPr>
          <w:spacing w:val="-4"/>
        </w:rPr>
        <w:t>m</w:t>
      </w:r>
      <w:r>
        <w:t>ust be</w:t>
      </w:r>
      <w:r>
        <w:rPr>
          <w:spacing w:val="5"/>
        </w:rPr>
        <w:t xml:space="preserve"> </w:t>
      </w:r>
      <w:r>
        <w:rPr>
          <w:spacing w:val="-4"/>
        </w:rPr>
        <w:t>m</w:t>
      </w:r>
      <w:r>
        <w:t>ade p</w:t>
      </w:r>
      <w:r>
        <w:rPr>
          <w:spacing w:val="4"/>
        </w:rPr>
        <w:t>a</w:t>
      </w:r>
      <w:r>
        <w:rPr>
          <w:spacing w:val="-2"/>
        </w:rPr>
        <w:t>y</w:t>
      </w:r>
      <w:r>
        <w:t>ab</w:t>
      </w:r>
      <w:r>
        <w:rPr>
          <w:spacing w:val="1"/>
        </w:rPr>
        <w:t>l</w:t>
      </w:r>
      <w:r>
        <w:t xml:space="preserve">e </w:t>
      </w:r>
      <w:r>
        <w:rPr>
          <w:spacing w:val="1"/>
        </w:rPr>
        <w:t>t</w:t>
      </w:r>
      <w:r>
        <w:t xml:space="preserve">o </w:t>
      </w:r>
      <w:r>
        <w:rPr>
          <w:spacing w:val="1"/>
        </w:rPr>
        <w:t>t</w:t>
      </w:r>
      <w:r>
        <w:t>he o</w:t>
      </w:r>
      <w:r>
        <w:rPr>
          <w:spacing w:val="1"/>
        </w:rPr>
        <w:t>r</w:t>
      </w:r>
      <w:r>
        <w:rPr>
          <w:spacing w:val="-2"/>
        </w:rPr>
        <w:t>d</w:t>
      </w:r>
      <w:r>
        <w:t xml:space="preserve">er of </w:t>
      </w:r>
      <w:r>
        <w:rPr>
          <w:spacing w:val="1"/>
        </w:rPr>
        <w:t>t</w:t>
      </w:r>
      <w:r>
        <w:t>he Fed</w:t>
      </w:r>
      <w:r>
        <w:rPr>
          <w:spacing w:val="-2"/>
        </w:rPr>
        <w:t>e</w:t>
      </w:r>
      <w:r>
        <w:rPr>
          <w:spacing w:val="1"/>
        </w:rPr>
        <w:t>r</w:t>
      </w:r>
      <w:r>
        <w:rPr>
          <w:spacing w:val="-2"/>
        </w:rPr>
        <w:t>a</w:t>
      </w:r>
      <w:r>
        <w:t xml:space="preserve">l </w:t>
      </w:r>
      <w:r>
        <w:rPr>
          <w:spacing w:val="-1"/>
        </w:rPr>
        <w:t>C</w:t>
      </w:r>
      <w:r>
        <w:t>o</w:t>
      </w:r>
      <w:r>
        <w:rPr>
          <w:spacing w:val="-1"/>
        </w:rPr>
        <w:t>m</w:t>
      </w:r>
      <w:r>
        <w:rPr>
          <w:spacing w:val="-4"/>
        </w:rPr>
        <w:t>m</w:t>
      </w:r>
      <w:r>
        <w:t>un</w:t>
      </w:r>
      <w:r>
        <w:rPr>
          <w:spacing w:val="1"/>
        </w:rPr>
        <w:t>i</w:t>
      </w:r>
      <w:r>
        <w:t>ca</w:t>
      </w:r>
      <w:r>
        <w:rPr>
          <w:spacing w:val="1"/>
        </w:rPr>
        <w:t>ti</w:t>
      </w:r>
      <w:r>
        <w:t>o</w:t>
      </w:r>
      <w:r>
        <w:rPr>
          <w:spacing w:val="-2"/>
        </w:rPr>
        <w:t>n</w:t>
      </w:r>
      <w:r>
        <w:t>s Co</w:t>
      </w:r>
      <w:r>
        <w:rPr>
          <w:spacing w:val="-2"/>
        </w:rPr>
        <w:t>m</w:t>
      </w:r>
      <w:r>
        <w:rPr>
          <w:spacing w:val="-4"/>
        </w:rPr>
        <w:t>m</w:t>
      </w:r>
      <w:r>
        <w:rPr>
          <w:spacing w:val="1"/>
        </w:rPr>
        <w:t>i</w:t>
      </w:r>
      <w:r>
        <w:t>s</w:t>
      </w:r>
      <w:r>
        <w:rPr>
          <w:spacing w:val="1"/>
        </w:rPr>
        <w:t>si</w:t>
      </w:r>
      <w:r>
        <w:t xml:space="preserve">on. </w:t>
      </w:r>
      <w:r>
        <w:rPr>
          <w:spacing w:val="2"/>
        </w:rPr>
        <w:t xml:space="preserve"> </w:t>
      </w:r>
      <w:r>
        <w:t>Such pay</w:t>
      </w:r>
      <w:r>
        <w:rPr>
          <w:spacing w:val="-3"/>
        </w:rPr>
        <w:t>m</w:t>
      </w:r>
      <w:r>
        <w:t>en</w:t>
      </w:r>
      <w:r>
        <w:rPr>
          <w:spacing w:val="1"/>
        </w:rPr>
        <w:t>t</w:t>
      </w:r>
      <w:r>
        <w:t>s</w:t>
      </w:r>
      <w:r>
        <w:rPr>
          <w:spacing w:val="1"/>
        </w:rPr>
        <w:t xml:space="preserve"> </w:t>
      </w:r>
      <w:r>
        <w:rPr>
          <w:spacing w:val="-2"/>
        </w:rPr>
        <w:t>(</w:t>
      </w:r>
      <w:r>
        <w:t>a</w:t>
      </w:r>
      <w:r>
        <w:rPr>
          <w:spacing w:val="1"/>
        </w:rPr>
        <w:t>l</w:t>
      </w:r>
      <w:r>
        <w:rPr>
          <w:spacing w:val="-2"/>
        </w:rPr>
        <w:t>o</w:t>
      </w:r>
      <w:r>
        <w:t xml:space="preserve">ng </w:t>
      </w:r>
      <w:r>
        <w:rPr>
          <w:spacing w:val="-1"/>
        </w:rPr>
        <w:t>w</w:t>
      </w:r>
      <w:r>
        <w:rPr>
          <w:spacing w:val="1"/>
        </w:rPr>
        <w:t>it</w:t>
      </w:r>
      <w:r>
        <w:t xml:space="preserve">h </w:t>
      </w:r>
      <w:r>
        <w:rPr>
          <w:spacing w:val="1"/>
        </w:rPr>
        <w:t>t</w:t>
      </w:r>
      <w:r>
        <w:rPr>
          <w:spacing w:val="-2"/>
        </w:rPr>
        <w:t>h</w:t>
      </w:r>
      <w:r>
        <w:t>e co</w:t>
      </w:r>
      <w:r>
        <w:rPr>
          <w:spacing w:val="-4"/>
        </w:rPr>
        <w:t>m</w:t>
      </w:r>
      <w:r>
        <w:t>p</w:t>
      </w:r>
      <w:r>
        <w:rPr>
          <w:spacing w:val="1"/>
        </w:rPr>
        <w:t>l</w:t>
      </w:r>
      <w:r>
        <w:t>e</w:t>
      </w:r>
      <w:r>
        <w:rPr>
          <w:spacing w:val="1"/>
        </w:rPr>
        <w:t>t</w:t>
      </w:r>
      <w:r>
        <w:t>ed Fo</w:t>
      </w:r>
      <w:r>
        <w:rPr>
          <w:spacing w:val="1"/>
        </w:rPr>
        <w:t>r</w:t>
      </w:r>
      <w:r>
        <w:t>m</w:t>
      </w:r>
      <w:r>
        <w:rPr>
          <w:spacing w:val="-4"/>
        </w:rPr>
        <w:t xml:space="preserve"> </w:t>
      </w:r>
      <w:r>
        <w:t>159)</w:t>
      </w:r>
      <w:r>
        <w:rPr>
          <w:spacing w:val="4"/>
        </w:rPr>
        <w:t xml:space="preserve"> </w:t>
      </w:r>
      <w:r>
        <w:rPr>
          <w:spacing w:val="-4"/>
        </w:rPr>
        <w:t>m</w:t>
      </w:r>
      <w:r>
        <w:t>ust</w:t>
      </w:r>
      <w:r>
        <w:rPr>
          <w:spacing w:val="2"/>
        </w:rPr>
        <w:t xml:space="preserve"> </w:t>
      </w:r>
      <w:r>
        <w:t xml:space="preserve">be </w:t>
      </w:r>
      <w:r>
        <w:rPr>
          <w:spacing w:val="-4"/>
        </w:rPr>
        <w:t>m</w:t>
      </w:r>
      <w:r>
        <w:t>a</w:t>
      </w:r>
      <w:r>
        <w:rPr>
          <w:spacing w:val="1"/>
        </w:rPr>
        <w:t>il</w:t>
      </w:r>
      <w:r>
        <w:t>ed</w:t>
      </w:r>
      <w:r>
        <w:rPr>
          <w:spacing w:val="29"/>
        </w:rPr>
        <w:t xml:space="preserve"> </w:t>
      </w:r>
      <w:r>
        <w:rPr>
          <w:spacing w:val="1"/>
        </w:rPr>
        <w:t>t</w:t>
      </w:r>
      <w:r>
        <w:t>o</w:t>
      </w:r>
      <w:r>
        <w:rPr>
          <w:spacing w:val="29"/>
        </w:rPr>
        <w:t xml:space="preserve"> </w:t>
      </w:r>
      <w:r>
        <w:t>Fed</w:t>
      </w:r>
      <w:r>
        <w:rPr>
          <w:spacing w:val="-2"/>
        </w:rPr>
        <w:t>e</w:t>
      </w:r>
      <w:r>
        <w:rPr>
          <w:spacing w:val="1"/>
        </w:rPr>
        <w:t>r</w:t>
      </w:r>
      <w:r>
        <w:rPr>
          <w:spacing w:val="-2"/>
        </w:rPr>
        <w:t>a</w:t>
      </w:r>
      <w:r>
        <w:t>l</w:t>
      </w:r>
      <w:r>
        <w:rPr>
          <w:spacing w:val="30"/>
        </w:rPr>
        <w:t xml:space="preserve"> </w:t>
      </w:r>
      <w:r>
        <w:rPr>
          <w:spacing w:val="-1"/>
        </w:rPr>
        <w:t>C</w:t>
      </w:r>
      <w:r>
        <w:t>o</w:t>
      </w:r>
      <w:r>
        <w:rPr>
          <w:spacing w:val="-1"/>
        </w:rPr>
        <w:t>m</w:t>
      </w:r>
      <w:r>
        <w:rPr>
          <w:spacing w:val="-4"/>
        </w:rPr>
        <w:t>m</w:t>
      </w:r>
      <w:r>
        <w:rPr>
          <w:spacing w:val="2"/>
        </w:rPr>
        <w:t>u</w:t>
      </w:r>
      <w:r>
        <w:t>n</w:t>
      </w:r>
      <w:r>
        <w:rPr>
          <w:spacing w:val="1"/>
        </w:rPr>
        <w:t>i</w:t>
      </w:r>
      <w:r>
        <w:t>c</w:t>
      </w:r>
      <w:r>
        <w:rPr>
          <w:spacing w:val="-2"/>
        </w:rPr>
        <w:t>a</w:t>
      </w:r>
      <w:r>
        <w:rPr>
          <w:spacing w:val="1"/>
        </w:rPr>
        <w:t>t</w:t>
      </w:r>
      <w:r>
        <w:rPr>
          <w:spacing w:val="-1"/>
        </w:rPr>
        <w:t>i</w:t>
      </w:r>
      <w:r>
        <w:t>ons</w:t>
      </w:r>
      <w:r>
        <w:rPr>
          <w:spacing w:val="29"/>
        </w:rPr>
        <w:t xml:space="preserve"> </w:t>
      </w:r>
      <w:r>
        <w:rPr>
          <w:spacing w:val="-1"/>
        </w:rPr>
        <w:t>C</w:t>
      </w:r>
      <w:r>
        <w:t>o</w:t>
      </w:r>
      <w:r>
        <w:rPr>
          <w:spacing w:val="-1"/>
        </w:rPr>
        <w:t>m</w:t>
      </w:r>
      <w:r>
        <w:rPr>
          <w:spacing w:val="-4"/>
        </w:rPr>
        <w:t>m</w:t>
      </w:r>
      <w:r>
        <w:rPr>
          <w:spacing w:val="1"/>
        </w:rPr>
        <w:t>i</w:t>
      </w:r>
      <w:r>
        <w:t>s</w:t>
      </w:r>
      <w:r>
        <w:rPr>
          <w:spacing w:val="1"/>
        </w:rPr>
        <w:t>si</w:t>
      </w:r>
      <w:r>
        <w:t>on,</w:t>
      </w:r>
      <w:r>
        <w:rPr>
          <w:spacing w:val="29"/>
        </w:rPr>
        <w:t xml:space="preserve"> </w:t>
      </w:r>
      <w:r>
        <w:t>P</w:t>
      </w:r>
      <w:r>
        <w:rPr>
          <w:spacing w:val="-3"/>
        </w:rPr>
        <w:t>.</w:t>
      </w:r>
      <w:r>
        <w:rPr>
          <w:spacing w:val="-1"/>
        </w:rPr>
        <w:t>O</w:t>
      </w:r>
      <w:r>
        <w:t>.</w:t>
      </w:r>
      <w:r>
        <w:rPr>
          <w:spacing w:val="29"/>
        </w:rPr>
        <w:t xml:space="preserve"> </w:t>
      </w:r>
      <w:r>
        <w:rPr>
          <w:spacing w:val="-1"/>
        </w:rPr>
        <w:t>B</w:t>
      </w:r>
      <w:r>
        <w:t>ox</w:t>
      </w:r>
      <w:r>
        <w:rPr>
          <w:spacing w:val="29"/>
        </w:rPr>
        <w:t xml:space="preserve"> </w:t>
      </w:r>
      <w:r>
        <w:t>979088,</w:t>
      </w:r>
      <w:r>
        <w:rPr>
          <w:spacing w:val="29"/>
        </w:rPr>
        <w:t xml:space="preserve"> </w:t>
      </w:r>
      <w:r>
        <w:t>St.</w:t>
      </w:r>
      <w:r>
        <w:rPr>
          <w:spacing w:val="29"/>
        </w:rPr>
        <w:t xml:space="preserve"> </w:t>
      </w:r>
      <w:r>
        <w:t>Loui</w:t>
      </w:r>
      <w:r>
        <w:rPr>
          <w:spacing w:val="1"/>
        </w:rPr>
        <w:t>s</w:t>
      </w:r>
      <w:r>
        <w:t>,</w:t>
      </w:r>
      <w:r>
        <w:rPr>
          <w:spacing w:val="26"/>
        </w:rPr>
        <w:t xml:space="preserve"> </w:t>
      </w:r>
      <w:r>
        <w:t>MO</w:t>
      </w:r>
      <w:r>
        <w:rPr>
          <w:spacing w:val="28"/>
        </w:rPr>
        <w:t xml:space="preserve"> </w:t>
      </w:r>
      <w:r>
        <w:t>6319</w:t>
      </w:r>
      <w:r>
        <w:rPr>
          <w:spacing w:val="7"/>
        </w:rPr>
        <w:t>7</w:t>
      </w:r>
      <w:r>
        <w:t>-9000,</w:t>
      </w:r>
      <w:r>
        <w:rPr>
          <w:spacing w:val="9"/>
        </w:rPr>
        <w:t xml:space="preserve"> </w:t>
      </w:r>
      <w:r>
        <w:rPr>
          <w:spacing w:val="-2"/>
        </w:rPr>
        <w:t>o</w:t>
      </w:r>
      <w:r>
        <w:t>r</w:t>
      </w:r>
      <w:r>
        <w:rPr>
          <w:spacing w:val="10"/>
        </w:rPr>
        <w:t xml:space="preserve"> </w:t>
      </w:r>
      <w:r>
        <w:rPr>
          <w:spacing w:val="-2"/>
        </w:rPr>
        <w:t>s</w:t>
      </w:r>
      <w:r>
        <w:t>ent</w:t>
      </w:r>
      <w:r>
        <w:rPr>
          <w:spacing w:val="8"/>
        </w:rPr>
        <w:t xml:space="preserve"> </w:t>
      </w:r>
      <w:r>
        <w:rPr>
          <w:spacing w:val="-2"/>
        </w:rPr>
        <w:t>v</w:t>
      </w:r>
      <w:r>
        <w:rPr>
          <w:spacing w:val="1"/>
        </w:rPr>
        <w:t>i</w:t>
      </w:r>
      <w:r>
        <w:t>a</w:t>
      </w:r>
      <w:r>
        <w:rPr>
          <w:spacing w:val="3"/>
        </w:rPr>
        <w:t xml:space="preserve"> </w:t>
      </w:r>
      <w:r>
        <w:t>o</w:t>
      </w:r>
      <w:r>
        <w:rPr>
          <w:spacing w:val="-2"/>
        </w:rPr>
        <w:t>v</w:t>
      </w:r>
      <w:r>
        <w:t>e</w:t>
      </w:r>
      <w:r>
        <w:rPr>
          <w:spacing w:val="1"/>
        </w:rPr>
        <w:t>r</w:t>
      </w:r>
      <w:r>
        <w:rPr>
          <w:spacing w:val="-2"/>
        </w:rPr>
        <w:t>n</w:t>
      </w:r>
      <w:r>
        <w:rPr>
          <w:spacing w:val="1"/>
        </w:rPr>
        <w:t>i</w:t>
      </w:r>
      <w:r>
        <w:rPr>
          <w:spacing w:val="-2"/>
        </w:rPr>
        <w:t>g</w:t>
      </w:r>
      <w:r>
        <w:t>ht</w:t>
      </w:r>
      <w:r>
        <w:rPr>
          <w:spacing w:val="8"/>
        </w:rPr>
        <w:t xml:space="preserve"> </w:t>
      </w:r>
      <w:r>
        <w:rPr>
          <w:spacing w:val="-4"/>
        </w:rPr>
        <w:t>m</w:t>
      </w:r>
      <w:r>
        <w:t>a</w:t>
      </w:r>
      <w:r>
        <w:rPr>
          <w:spacing w:val="1"/>
        </w:rPr>
        <w:t>i</w:t>
      </w:r>
      <w:r>
        <w:t>l</w:t>
      </w:r>
      <w:r>
        <w:rPr>
          <w:spacing w:val="2"/>
        </w:rPr>
        <w:t xml:space="preserve"> </w:t>
      </w:r>
      <w:r>
        <w:rPr>
          <w:spacing w:val="1"/>
        </w:rPr>
        <w:t>t</w:t>
      </w:r>
      <w:r>
        <w:t>o</w:t>
      </w:r>
      <w:r>
        <w:rPr>
          <w:spacing w:val="9"/>
        </w:rPr>
        <w:t xml:space="preserve"> </w:t>
      </w:r>
      <w:r>
        <w:rPr>
          <w:spacing w:val="-1"/>
        </w:rPr>
        <w:t>U</w:t>
      </w:r>
      <w:r>
        <w:t>.S.</w:t>
      </w:r>
      <w:r>
        <w:rPr>
          <w:spacing w:val="7"/>
        </w:rPr>
        <w:t xml:space="preserve"> </w:t>
      </w:r>
      <w:r>
        <w:rPr>
          <w:spacing w:val="-1"/>
        </w:rPr>
        <w:t>B</w:t>
      </w:r>
      <w:r>
        <w:t>ank</w:t>
      </w:r>
      <w:r>
        <w:rPr>
          <w:spacing w:val="9"/>
        </w:rPr>
        <w:t xml:space="preserve"> </w:t>
      </w:r>
      <w:r>
        <w:t>–</w:t>
      </w:r>
      <w:r>
        <w:rPr>
          <w:spacing w:val="10"/>
        </w:rPr>
        <w:t xml:space="preserve"> </w:t>
      </w:r>
      <w:r>
        <w:rPr>
          <w:spacing w:val="-1"/>
        </w:rPr>
        <w:t>G</w:t>
      </w:r>
      <w:r>
        <w:t>o</w:t>
      </w:r>
      <w:r>
        <w:rPr>
          <w:spacing w:val="-2"/>
        </w:rPr>
        <w:t>v</w:t>
      </w:r>
      <w:r>
        <w:t>e</w:t>
      </w:r>
      <w:r>
        <w:rPr>
          <w:spacing w:val="-1"/>
        </w:rPr>
        <w:t>r</w:t>
      </w:r>
      <w:r>
        <w:t>n</w:t>
      </w:r>
      <w:r>
        <w:rPr>
          <w:spacing w:val="-4"/>
        </w:rPr>
        <w:t>m</w:t>
      </w:r>
      <w:r>
        <w:t>ent</w:t>
      </w:r>
      <w:r>
        <w:rPr>
          <w:spacing w:val="11"/>
        </w:rPr>
        <w:t xml:space="preserve"> </w:t>
      </w:r>
      <w:r>
        <w:t>Loc</w:t>
      </w:r>
      <w:r>
        <w:rPr>
          <w:spacing w:val="-3"/>
        </w:rPr>
        <w:t>k</w:t>
      </w:r>
      <w:r>
        <w:t>box</w:t>
      </w:r>
      <w:r>
        <w:rPr>
          <w:spacing w:val="9"/>
        </w:rPr>
        <w:t xml:space="preserve"> </w:t>
      </w:r>
      <w:r>
        <w:t>#97</w:t>
      </w:r>
      <w:r>
        <w:rPr>
          <w:spacing w:val="-2"/>
        </w:rPr>
        <w:t>9</w:t>
      </w:r>
      <w:r>
        <w:t>088,</w:t>
      </w:r>
      <w:r>
        <w:rPr>
          <w:spacing w:val="7"/>
        </w:rPr>
        <w:t xml:space="preserve"> </w:t>
      </w:r>
      <w:r>
        <w:t>S</w:t>
      </w:r>
      <w:r>
        <w:rPr>
          <w:spacing w:val="3"/>
        </w:rPr>
        <w:t>L</w:t>
      </w:r>
      <w:r>
        <w:rPr>
          <w:spacing w:val="-4"/>
        </w:rPr>
        <w:t>-</w:t>
      </w:r>
      <w:r>
        <w:rPr>
          <w:spacing w:val="1"/>
        </w:rPr>
        <w:t>M</w:t>
      </w:r>
      <w:r>
        <w:rPr>
          <w:spacing w:val="2"/>
        </w:rPr>
        <w:t>O</w:t>
      </w:r>
      <w:r>
        <w:rPr>
          <w:spacing w:val="-4"/>
        </w:rPr>
        <w:t>-</w:t>
      </w:r>
      <w:r>
        <w:rPr>
          <w:spacing w:val="-1"/>
        </w:rPr>
        <w:t>C</w:t>
      </w:r>
      <w:r>
        <w:rPr>
          <w:spacing w:val="2"/>
        </w:rPr>
        <w:t>2</w:t>
      </w:r>
      <w:r>
        <w:t xml:space="preserve">- </w:t>
      </w:r>
      <w:r>
        <w:rPr>
          <w:spacing w:val="-1"/>
        </w:rPr>
        <w:t>G</w:t>
      </w:r>
      <w:r>
        <w:t xml:space="preserve">L, 1005 </w:t>
      </w:r>
      <w:r>
        <w:rPr>
          <w:spacing w:val="-1"/>
        </w:rPr>
        <w:t>C</w:t>
      </w:r>
      <w:r>
        <w:t>on</w:t>
      </w:r>
      <w:r>
        <w:rPr>
          <w:spacing w:val="-2"/>
        </w:rPr>
        <w:t>v</w:t>
      </w:r>
      <w:r>
        <w:t>en</w:t>
      </w:r>
      <w:r>
        <w:rPr>
          <w:spacing w:val="-1"/>
        </w:rPr>
        <w:t>t</w:t>
      </w:r>
      <w:r>
        <w:rPr>
          <w:spacing w:val="1"/>
        </w:rPr>
        <w:t>i</w:t>
      </w:r>
      <w:r>
        <w:t xml:space="preserve">on </w:t>
      </w:r>
      <w:r>
        <w:rPr>
          <w:spacing w:val="-3"/>
        </w:rPr>
        <w:t>P</w:t>
      </w:r>
      <w:r>
        <w:rPr>
          <w:spacing w:val="1"/>
        </w:rPr>
        <w:t>l</w:t>
      </w:r>
      <w:r>
        <w:t>a</w:t>
      </w:r>
      <w:r>
        <w:rPr>
          <w:spacing w:val="-2"/>
        </w:rPr>
        <w:t>z</w:t>
      </w:r>
      <w:r>
        <w:t>a, S</w:t>
      </w:r>
      <w:r>
        <w:rPr>
          <w:spacing w:val="1"/>
        </w:rPr>
        <w:t>t</w:t>
      </w:r>
      <w:r>
        <w:t>. L</w:t>
      </w:r>
      <w:r>
        <w:rPr>
          <w:spacing w:val="-3"/>
        </w:rPr>
        <w:t>o</w:t>
      </w:r>
      <w:r>
        <w:t>u</w:t>
      </w:r>
      <w:r>
        <w:rPr>
          <w:spacing w:val="1"/>
        </w:rPr>
        <w:t>i</w:t>
      </w:r>
      <w:r>
        <w:t>s,</w:t>
      </w:r>
      <w:r>
        <w:rPr>
          <w:spacing w:val="-2"/>
        </w:rPr>
        <w:t xml:space="preserve"> </w:t>
      </w:r>
      <w:r>
        <w:t>MO 63</w:t>
      </w:r>
      <w:r>
        <w:rPr>
          <w:spacing w:val="-3"/>
        </w:rPr>
        <w:t>1</w:t>
      </w:r>
      <w:r>
        <w:t>01.</w:t>
      </w:r>
    </w:p>
    <w:p w:rsidR="001F75AA" w:rsidP="001F75AA">
      <w:pPr>
        <w:pStyle w:val="ParaNum"/>
        <w:numPr>
          <w:ilvl w:val="0"/>
          <w:numId w:val="0"/>
        </w:numPr>
        <w:ind w:left="720"/>
        <w:jc w:val="left"/>
      </w:pPr>
      <w:r>
        <w:rPr>
          <w:rFonts w:ascii="Wingdings" w:eastAsia="Wingdings" w:hAnsi="Wingdings" w:cs="Wingdings"/>
          <w:sz w:val="16"/>
          <w:szCs w:val="16"/>
        </w:rPr>
        <w:sym w:font="Wingdings" w:char="F06C"/>
      </w:r>
      <w:r>
        <w:rPr>
          <w:sz w:val="16"/>
          <w:szCs w:val="16"/>
        </w:rPr>
        <w:tab/>
      </w:r>
      <w:r>
        <w:t>Pay</w:t>
      </w:r>
      <w:r>
        <w:rPr>
          <w:spacing w:val="-4"/>
        </w:rPr>
        <w:t>m</w:t>
      </w:r>
      <w:r>
        <w:t>ent by</w:t>
      </w:r>
      <w:r>
        <w:rPr>
          <w:spacing w:val="-1"/>
        </w:rPr>
        <w:t xml:space="preserve"> w</w:t>
      </w:r>
      <w:r>
        <w:rPr>
          <w:spacing w:val="1"/>
        </w:rPr>
        <w:t>ir</w:t>
      </w:r>
      <w:r>
        <w:t xml:space="preserve">e </w:t>
      </w:r>
      <w:r>
        <w:rPr>
          <w:spacing w:val="-1"/>
        </w:rPr>
        <w:t>t</w:t>
      </w:r>
      <w:r>
        <w:rPr>
          <w:spacing w:val="1"/>
        </w:rPr>
        <w:t>r</w:t>
      </w:r>
      <w:r>
        <w:t>an</w:t>
      </w:r>
      <w:r>
        <w:rPr>
          <w:spacing w:val="-2"/>
        </w:rPr>
        <w:t>s</w:t>
      </w:r>
      <w:r>
        <w:rPr>
          <w:spacing w:val="1"/>
        </w:rPr>
        <w:t>f</w:t>
      </w:r>
      <w:r>
        <w:rPr>
          <w:spacing w:val="-2"/>
        </w:rPr>
        <w:t>e</w:t>
      </w:r>
      <w:r>
        <w:t xml:space="preserve">r </w:t>
      </w:r>
      <w:r>
        <w:rPr>
          <w:spacing w:val="-4"/>
        </w:rPr>
        <w:t>m</w:t>
      </w:r>
      <w:r>
        <w:t xml:space="preserve">ust be </w:t>
      </w:r>
      <w:r>
        <w:rPr>
          <w:spacing w:val="-4"/>
        </w:rPr>
        <w:t>m</w:t>
      </w:r>
      <w:r>
        <w:t xml:space="preserve">ade </w:t>
      </w:r>
      <w:r>
        <w:rPr>
          <w:spacing w:val="-1"/>
        </w:rPr>
        <w:t>t</w:t>
      </w:r>
      <w:r>
        <w:t xml:space="preserve">o </w:t>
      </w:r>
      <w:r>
        <w:rPr>
          <w:spacing w:val="-1"/>
        </w:rPr>
        <w:t>AB</w:t>
      </w:r>
      <w:r>
        <w:t xml:space="preserve">A </w:t>
      </w:r>
      <w:r>
        <w:rPr>
          <w:spacing w:val="-1"/>
        </w:rPr>
        <w:t>N</w:t>
      </w:r>
      <w:r>
        <w:t>u</w:t>
      </w:r>
      <w:r>
        <w:rPr>
          <w:spacing w:val="-4"/>
        </w:rPr>
        <w:t>m</w:t>
      </w:r>
      <w:r>
        <w:t>ber 02103000</w:t>
      </w:r>
      <w:r>
        <w:rPr>
          <w:spacing w:val="-2"/>
        </w:rPr>
        <w:t>4</w:t>
      </w:r>
      <w:r>
        <w:t xml:space="preserve">, </w:t>
      </w:r>
      <w:r>
        <w:rPr>
          <w:spacing w:val="-2"/>
        </w:rPr>
        <w:t>r</w:t>
      </w:r>
      <w:r>
        <w:t>ec</w:t>
      </w:r>
      <w:r>
        <w:rPr>
          <w:spacing w:val="-2"/>
        </w:rPr>
        <w:t>e</w:t>
      </w:r>
      <w:r>
        <w:rPr>
          <w:spacing w:val="1"/>
        </w:rPr>
        <w:t>i</w:t>
      </w:r>
      <w:r>
        <w:rPr>
          <w:spacing w:val="-2"/>
        </w:rPr>
        <w:t>v</w:t>
      </w:r>
      <w:r>
        <w:rPr>
          <w:spacing w:val="1"/>
        </w:rPr>
        <w:t>i</w:t>
      </w:r>
      <w:r>
        <w:t xml:space="preserve">ng bank </w:t>
      </w:r>
      <w:r>
        <w:rPr>
          <w:spacing w:val="2"/>
        </w:rPr>
        <w:t>T</w:t>
      </w:r>
      <w:r>
        <w:rPr>
          <w:spacing w:val="-1"/>
        </w:rPr>
        <w:t>R</w:t>
      </w:r>
      <w:r>
        <w:t>E</w:t>
      </w:r>
      <w:r>
        <w:rPr>
          <w:spacing w:val="-2"/>
        </w:rPr>
        <w:t>A</w:t>
      </w:r>
      <w:r>
        <w:t>S/N</w:t>
      </w:r>
      <w:r>
        <w:rPr>
          <w:spacing w:val="-1"/>
        </w:rPr>
        <w:t>YC</w:t>
      </w:r>
      <w:r>
        <w:t>,</w:t>
      </w:r>
      <w:r>
        <w:rPr>
          <w:spacing w:val="2"/>
        </w:rPr>
        <w:t xml:space="preserve"> </w:t>
      </w:r>
      <w:r>
        <w:t>and</w:t>
      </w:r>
      <w:r>
        <w:rPr>
          <w:spacing w:val="3"/>
        </w:rPr>
        <w:t xml:space="preserve"> </w:t>
      </w:r>
      <w:r>
        <w:rPr>
          <w:spacing w:val="-1"/>
        </w:rPr>
        <w:t>A</w:t>
      </w:r>
      <w:r>
        <w:t>c</w:t>
      </w:r>
      <w:r>
        <w:rPr>
          <w:spacing w:val="-2"/>
        </w:rPr>
        <w:t>c</w:t>
      </w:r>
      <w:r>
        <w:t>ou</w:t>
      </w:r>
      <w:r>
        <w:rPr>
          <w:spacing w:val="-2"/>
        </w:rPr>
        <w:t>n</w:t>
      </w:r>
      <w:r>
        <w:t>t</w:t>
      </w:r>
      <w:r>
        <w:rPr>
          <w:spacing w:val="3"/>
        </w:rPr>
        <w:t xml:space="preserve"> </w:t>
      </w:r>
      <w:r>
        <w:rPr>
          <w:spacing w:val="-1"/>
        </w:rPr>
        <w:t>N</w:t>
      </w:r>
      <w:r>
        <w:t>u</w:t>
      </w:r>
      <w:r>
        <w:rPr>
          <w:spacing w:val="-4"/>
        </w:rPr>
        <w:t>m</w:t>
      </w:r>
      <w:r>
        <w:t>ber</w:t>
      </w:r>
      <w:r>
        <w:rPr>
          <w:spacing w:val="3"/>
        </w:rPr>
        <w:t xml:space="preserve"> </w:t>
      </w:r>
      <w:r>
        <w:t xml:space="preserve">27000001. </w:t>
      </w:r>
      <w:r>
        <w:rPr>
          <w:spacing w:val="3"/>
        </w:rPr>
        <w:t xml:space="preserve"> </w:t>
      </w:r>
      <w:r>
        <w:rPr>
          <w:spacing w:val="2"/>
        </w:rPr>
        <w:t>T</w:t>
      </w:r>
      <w:r>
        <w:t>o co</w:t>
      </w:r>
      <w:r>
        <w:rPr>
          <w:spacing w:val="-3"/>
        </w:rPr>
        <w:t>m</w:t>
      </w:r>
      <w:r>
        <w:t>p</w:t>
      </w:r>
      <w:r>
        <w:rPr>
          <w:spacing w:val="1"/>
        </w:rPr>
        <w:t>l</w:t>
      </w:r>
      <w:r>
        <w:t>e</w:t>
      </w:r>
      <w:r>
        <w:rPr>
          <w:spacing w:val="1"/>
        </w:rPr>
        <w:t>t</w:t>
      </w:r>
      <w:r>
        <w:t>e</w:t>
      </w:r>
      <w:r>
        <w:rPr>
          <w:spacing w:val="3"/>
        </w:rPr>
        <w:t xml:space="preserve"> </w:t>
      </w:r>
      <w:r>
        <w:rPr>
          <w:spacing w:val="-1"/>
        </w:rPr>
        <w:t>t</w:t>
      </w:r>
      <w:r>
        <w:t>he</w:t>
      </w:r>
      <w:r>
        <w:rPr>
          <w:spacing w:val="3"/>
        </w:rPr>
        <w:t xml:space="preserve"> </w:t>
      </w:r>
      <w:r>
        <w:rPr>
          <w:spacing w:val="-1"/>
        </w:rPr>
        <w:t>w</w:t>
      </w:r>
      <w:r>
        <w:rPr>
          <w:spacing w:val="1"/>
        </w:rPr>
        <w:t>i</w:t>
      </w:r>
      <w:r>
        <w:rPr>
          <w:spacing w:val="-2"/>
        </w:rPr>
        <w:t>r</w:t>
      </w:r>
      <w:r>
        <w:t>e</w:t>
      </w:r>
      <w:r>
        <w:rPr>
          <w:spacing w:val="3"/>
        </w:rPr>
        <w:t xml:space="preserve"> </w:t>
      </w:r>
      <w:r>
        <w:rPr>
          <w:spacing w:val="-1"/>
        </w:rPr>
        <w:t>t</w:t>
      </w:r>
      <w:r>
        <w:rPr>
          <w:spacing w:val="1"/>
        </w:rPr>
        <w:t>r</w:t>
      </w:r>
      <w:r>
        <w:t>an</w:t>
      </w:r>
      <w:r>
        <w:rPr>
          <w:spacing w:val="-2"/>
        </w:rPr>
        <w:t>s</w:t>
      </w:r>
      <w:r>
        <w:rPr>
          <w:spacing w:val="1"/>
        </w:rPr>
        <w:t>f</w:t>
      </w:r>
      <w:r>
        <w:rPr>
          <w:spacing w:val="-2"/>
        </w:rPr>
        <w:t>e</w:t>
      </w:r>
      <w:r>
        <w:t>r</w:t>
      </w:r>
      <w:r>
        <w:rPr>
          <w:spacing w:val="1"/>
        </w:rPr>
        <w:t xml:space="preserve"> </w:t>
      </w:r>
      <w:r>
        <w:t>and</w:t>
      </w:r>
      <w:r>
        <w:rPr>
          <w:spacing w:val="3"/>
        </w:rPr>
        <w:t xml:space="preserve"> </w:t>
      </w:r>
      <w:r>
        <w:t>en</w:t>
      </w:r>
      <w:r>
        <w:rPr>
          <w:spacing w:val="1"/>
        </w:rPr>
        <w:t>s</w:t>
      </w:r>
      <w:r>
        <w:rPr>
          <w:spacing w:val="-2"/>
        </w:rPr>
        <w:t>u</w:t>
      </w:r>
      <w:r>
        <w:rPr>
          <w:spacing w:val="1"/>
        </w:rPr>
        <w:t>r</w:t>
      </w:r>
      <w:r>
        <w:t>e app</w:t>
      </w:r>
      <w:r>
        <w:rPr>
          <w:spacing w:val="1"/>
        </w:rPr>
        <w:t>r</w:t>
      </w:r>
      <w:r>
        <w:t>o</w:t>
      </w:r>
      <w:r>
        <w:rPr>
          <w:spacing w:val="-2"/>
        </w:rPr>
        <w:t>p</w:t>
      </w:r>
      <w:r>
        <w:rPr>
          <w:spacing w:val="1"/>
        </w:rPr>
        <w:t>r</w:t>
      </w:r>
      <w:r>
        <w:rPr>
          <w:spacing w:val="-1"/>
        </w:rPr>
        <w:t>i</w:t>
      </w:r>
      <w:r>
        <w:t>a</w:t>
      </w:r>
      <w:r>
        <w:rPr>
          <w:spacing w:val="-1"/>
        </w:rPr>
        <w:t>t</w:t>
      </w:r>
      <w:r>
        <w:t>e</w:t>
      </w:r>
      <w:r>
        <w:rPr>
          <w:spacing w:val="15"/>
        </w:rPr>
        <w:t xml:space="preserve"> </w:t>
      </w:r>
      <w:r>
        <w:rPr>
          <w:spacing w:val="-2"/>
        </w:rPr>
        <w:t>c</w:t>
      </w:r>
      <w:r>
        <w:rPr>
          <w:spacing w:val="1"/>
        </w:rPr>
        <w:t>r</w:t>
      </w:r>
      <w:r>
        <w:rPr>
          <w:spacing w:val="2"/>
        </w:rPr>
        <w:t>e</w:t>
      </w:r>
      <w:r>
        <w:rPr>
          <w:spacing w:val="-2"/>
        </w:rPr>
        <w:t>d</w:t>
      </w:r>
      <w:r>
        <w:rPr>
          <w:spacing w:val="1"/>
        </w:rPr>
        <w:t>i</w:t>
      </w:r>
      <w:r>
        <w:rPr>
          <w:spacing w:val="-1"/>
        </w:rPr>
        <w:t>t</w:t>
      </w:r>
      <w:r>
        <w:rPr>
          <w:spacing w:val="1"/>
        </w:rPr>
        <w:t>i</w:t>
      </w:r>
      <w:r>
        <w:t>ng</w:t>
      </w:r>
      <w:r>
        <w:rPr>
          <w:spacing w:val="12"/>
        </w:rPr>
        <w:t xml:space="preserve"> </w:t>
      </w:r>
      <w:r>
        <w:t>of</w:t>
      </w:r>
      <w:r>
        <w:rPr>
          <w:spacing w:val="13"/>
        </w:rPr>
        <w:t xml:space="preserve"> </w:t>
      </w:r>
      <w:r>
        <w:rPr>
          <w:spacing w:val="1"/>
        </w:rPr>
        <w:t>t</w:t>
      </w:r>
      <w:r>
        <w:rPr>
          <w:spacing w:val="-2"/>
        </w:rPr>
        <w:t>h</w:t>
      </w:r>
      <w:r>
        <w:t>e</w:t>
      </w:r>
      <w:r>
        <w:rPr>
          <w:spacing w:val="12"/>
        </w:rPr>
        <w:t xml:space="preserve"> </w:t>
      </w:r>
      <w:r>
        <w:rPr>
          <w:spacing w:val="-1"/>
        </w:rPr>
        <w:t>w</w:t>
      </w:r>
      <w:r>
        <w:rPr>
          <w:spacing w:val="1"/>
        </w:rPr>
        <w:t>i</w:t>
      </w:r>
      <w:r>
        <w:rPr>
          <w:spacing w:val="-2"/>
        </w:rPr>
        <w:t>r</w:t>
      </w:r>
      <w:r>
        <w:t>ed</w:t>
      </w:r>
      <w:r>
        <w:rPr>
          <w:spacing w:val="12"/>
        </w:rPr>
        <w:t xml:space="preserve"> </w:t>
      </w:r>
      <w:r>
        <w:rPr>
          <w:spacing w:val="1"/>
        </w:rPr>
        <w:t>f</w:t>
      </w:r>
      <w:r>
        <w:t>und</w:t>
      </w:r>
      <w:r>
        <w:rPr>
          <w:spacing w:val="-2"/>
        </w:rPr>
        <w:t>s</w:t>
      </w:r>
      <w:r>
        <w:t>,</w:t>
      </w:r>
      <w:r>
        <w:rPr>
          <w:spacing w:val="14"/>
        </w:rPr>
        <w:t xml:space="preserve"> </w:t>
      </w:r>
      <w:r>
        <w:t>a</w:t>
      </w:r>
      <w:r>
        <w:rPr>
          <w:spacing w:val="12"/>
        </w:rPr>
        <w:t xml:space="preserve"> </w:t>
      </w:r>
      <w:r>
        <w:t>co</w:t>
      </w:r>
      <w:r>
        <w:rPr>
          <w:spacing w:val="-3"/>
        </w:rPr>
        <w:t>m</w:t>
      </w:r>
      <w:r>
        <w:t>p</w:t>
      </w:r>
      <w:r>
        <w:rPr>
          <w:spacing w:val="1"/>
        </w:rPr>
        <w:t>l</w:t>
      </w:r>
      <w:r>
        <w:t>e</w:t>
      </w:r>
      <w:r>
        <w:rPr>
          <w:spacing w:val="-1"/>
        </w:rPr>
        <w:t>t</w:t>
      </w:r>
      <w:r>
        <w:t>ed</w:t>
      </w:r>
      <w:r>
        <w:rPr>
          <w:spacing w:val="12"/>
        </w:rPr>
        <w:t xml:space="preserve"> </w:t>
      </w:r>
      <w:r>
        <w:t>Form</w:t>
      </w:r>
      <w:r>
        <w:rPr>
          <w:spacing w:val="11"/>
        </w:rPr>
        <w:t xml:space="preserve"> </w:t>
      </w:r>
      <w:r>
        <w:t>159</w:t>
      </w:r>
      <w:r>
        <w:rPr>
          <w:spacing w:val="14"/>
        </w:rPr>
        <w:t xml:space="preserve"> </w:t>
      </w:r>
      <w:r>
        <w:rPr>
          <w:spacing w:val="-4"/>
        </w:rPr>
        <w:t>m</w:t>
      </w:r>
      <w:r>
        <w:t>ust</w:t>
      </w:r>
      <w:r>
        <w:rPr>
          <w:spacing w:val="16"/>
        </w:rPr>
        <w:t xml:space="preserve"> </w:t>
      </w:r>
      <w:r>
        <w:t>be</w:t>
      </w:r>
      <w:r>
        <w:rPr>
          <w:spacing w:val="12"/>
        </w:rPr>
        <w:t xml:space="preserve"> </w:t>
      </w:r>
      <w:r>
        <w:rPr>
          <w:spacing w:val="-2"/>
        </w:rPr>
        <w:t>f</w:t>
      </w:r>
      <w:r>
        <w:t>axed</w:t>
      </w:r>
      <w:r>
        <w:rPr>
          <w:spacing w:val="12"/>
        </w:rPr>
        <w:t xml:space="preserve"> </w:t>
      </w:r>
      <w:r>
        <w:rPr>
          <w:spacing w:val="1"/>
        </w:rPr>
        <w:t>t</w:t>
      </w:r>
      <w:r>
        <w:t>o</w:t>
      </w:r>
      <w:r>
        <w:rPr>
          <w:spacing w:val="12"/>
        </w:rPr>
        <w:t xml:space="preserve"> </w:t>
      </w:r>
      <w:r>
        <w:rPr>
          <w:spacing w:val="-1"/>
        </w:rPr>
        <w:t>U</w:t>
      </w:r>
      <w:r>
        <w:t>.S.</w:t>
      </w:r>
      <w:r>
        <w:rPr>
          <w:spacing w:val="14"/>
        </w:rPr>
        <w:t xml:space="preserve"> </w:t>
      </w:r>
      <w:r>
        <w:rPr>
          <w:spacing w:val="-1"/>
        </w:rPr>
        <w:t>B</w:t>
      </w:r>
      <w:r>
        <w:t>ank at</w:t>
      </w:r>
      <w:r>
        <w:rPr>
          <w:spacing w:val="1"/>
        </w:rPr>
        <w:t xml:space="preserve"> </w:t>
      </w:r>
      <w:r>
        <w:rPr>
          <w:spacing w:val="-2"/>
        </w:rPr>
        <w:t>(</w:t>
      </w:r>
      <w:r>
        <w:t>314)</w:t>
      </w:r>
      <w:r>
        <w:rPr>
          <w:spacing w:val="-2"/>
        </w:rPr>
        <w:t xml:space="preserve"> </w:t>
      </w:r>
      <w:r>
        <w:t>41</w:t>
      </w:r>
      <w:r>
        <w:rPr>
          <w:spacing w:val="1"/>
        </w:rPr>
        <w:t>8</w:t>
      </w:r>
      <w:r>
        <w:rPr>
          <w:spacing w:val="-4"/>
        </w:rPr>
        <w:t>-</w:t>
      </w:r>
      <w:r>
        <w:t xml:space="preserve">4232 on </w:t>
      </w:r>
      <w:r>
        <w:rPr>
          <w:spacing w:val="1"/>
        </w:rPr>
        <w:t>t</w:t>
      </w:r>
      <w:r>
        <w:rPr>
          <w:spacing w:val="-2"/>
        </w:rPr>
        <w:t>h</w:t>
      </w:r>
      <w:r>
        <w:t xml:space="preserve">e </w:t>
      </w:r>
      <w:r>
        <w:rPr>
          <w:spacing w:val="1"/>
        </w:rPr>
        <w:t>s</w:t>
      </w:r>
      <w:r>
        <w:rPr>
          <w:spacing w:val="-2"/>
        </w:rPr>
        <w:t>a</w:t>
      </w:r>
      <w:r>
        <w:rPr>
          <w:spacing w:val="-4"/>
        </w:rPr>
        <w:t>m</w:t>
      </w:r>
      <w:r>
        <w:t>e bu</w:t>
      </w:r>
      <w:r>
        <w:rPr>
          <w:spacing w:val="1"/>
        </w:rPr>
        <w:t>si</w:t>
      </w:r>
      <w:r>
        <w:t>ne</w:t>
      </w:r>
      <w:r>
        <w:rPr>
          <w:spacing w:val="1"/>
        </w:rPr>
        <w:t>s</w:t>
      </w:r>
      <w:r>
        <w:t>s</w:t>
      </w:r>
      <w:r>
        <w:rPr>
          <w:spacing w:val="-2"/>
        </w:rPr>
        <w:t xml:space="preserve"> </w:t>
      </w:r>
      <w:r>
        <w:t>day</w:t>
      </w:r>
      <w:r>
        <w:rPr>
          <w:spacing w:val="-2"/>
        </w:rPr>
        <w:t xml:space="preserve"> </w:t>
      </w:r>
      <w:r>
        <w:rPr>
          <w:spacing w:val="1"/>
        </w:rPr>
        <w:t>t</w:t>
      </w:r>
      <w:r>
        <w:t xml:space="preserve">he </w:t>
      </w:r>
      <w:r>
        <w:rPr>
          <w:spacing w:val="-3"/>
        </w:rPr>
        <w:t>w</w:t>
      </w:r>
      <w:r>
        <w:rPr>
          <w:spacing w:val="1"/>
        </w:rPr>
        <w:t>ir</w:t>
      </w:r>
      <w:r>
        <w:t>e</w:t>
      </w:r>
      <w:r>
        <w:rPr>
          <w:spacing w:val="-2"/>
        </w:rPr>
        <w:t xml:space="preserve"> </w:t>
      </w:r>
      <w:r>
        <w:rPr>
          <w:spacing w:val="1"/>
        </w:rPr>
        <w:t>t</w:t>
      </w:r>
      <w:r>
        <w:rPr>
          <w:spacing w:val="-2"/>
        </w:rPr>
        <w:t>r</w:t>
      </w:r>
      <w:r>
        <w:t>an</w:t>
      </w:r>
      <w:r>
        <w:rPr>
          <w:spacing w:val="1"/>
        </w:rPr>
        <w:t>s</w:t>
      </w:r>
      <w:r>
        <w:rPr>
          <w:spacing w:val="-2"/>
        </w:rPr>
        <w:t>f</w:t>
      </w:r>
      <w:r>
        <w:t>er</w:t>
      </w:r>
      <w:r>
        <w:rPr>
          <w:spacing w:val="-1"/>
        </w:rPr>
        <w:t xml:space="preserve"> </w:t>
      </w:r>
      <w:r>
        <w:rPr>
          <w:spacing w:val="1"/>
        </w:rPr>
        <w:t>i</w:t>
      </w:r>
      <w:r>
        <w:t>s</w:t>
      </w:r>
      <w:r>
        <w:rPr>
          <w:spacing w:val="-2"/>
        </w:rPr>
        <w:t xml:space="preserve"> </w:t>
      </w:r>
      <w:r>
        <w:rPr>
          <w:spacing w:val="1"/>
        </w:rPr>
        <w:t>i</w:t>
      </w:r>
      <w:r>
        <w:t>n</w:t>
      </w:r>
      <w:r>
        <w:rPr>
          <w:spacing w:val="-1"/>
        </w:rPr>
        <w:t>i</w:t>
      </w:r>
      <w:r>
        <w:rPr>
          <w:spacing w:val="1"/>
        </w:rPr>
        <w:t>t</w:t>
      </w:r>
      <w:r>
        <w:rPr>
          <w:spacing w:val="-1"/>
        </w:rPr>
        <w:t>i</w:t>
      </w:r>
      <w:r>
        <w:t>a</w:t>
      </w:r>
      <w:r>
        <w:rPr>
          <w:spacing w:val="-1"/>
        </w:rPr>
        <w:t>t</w:t>
      </w:r>
      <w:r>
        <w:t>ed.</w:t>
      </w:r>
    </w:p>
    <w:p w:rsidR="001F75AA" w:rsidRPr="00056D6E" w:rsidP="001F75AA">
      <w:pPr>
        <w:pStyle w:val="ParaNum"/>
        <w:numPr>
          <w:ilvl w:val="0"/>
          <w:numId w:val="0"/>
        </w:numPr>
        <w:ind w:left="720"/>
        <w:jc w:val="left"/>
      </w:pPr>
      <w:r>
        <w:rPr>
          <w:rFonts w:ascii="Wingdings" w:eastAsia="Wingdings" w:hAnsi="Wingdings" w:cs="Wingdings"/>
          <w:sz w:val="16"/>
          <w:szCs w:val="16"/>
        </w:rPr>
        <w:sym w:font="Wingdings" w:char="F06C"/>
      </w:r>
      <w:r>
        <w:rPr>
          <w:sz w:val="16"/>
          <w:szCs w:val="16"/>
        </w:rPr>
        <w:tab/>
      </w:r>
      <w:r>
        <w:t>Pay</w:t>
      </w:r>
      <w:r>
        <w:rPr>
          <w:spacing w:val="-4"/>
        </w:rPr>
        <w:t>m</w:t>
      </w:r>
      <w:r>
        <w:t>ent</w:t>
      </w:r>
      <w:r>
        <w:rPr>
          <w:spacing w:val="23"/>
        </w:rPr>
        <w:t xml:space="preserve"> </w:t>
      </w:r>
      <w:r>
        <w:t>by</w:t>
      </w:r>
      <w:r>
        <w:rPr>
          <w:spacing w:val="19"/>
        </w:rPr>
        <w:t xml:space="preserve"> </w:t>
      </w:r>
      <w:r>
        <w:t>c</w:t>
      </w:r>
      <w:r>
        <w:rPr>
          <w:spacing w:val="1"/>
        </w:rPr>
        <w:t>r</w:t>
      </w:r>
      <w:r>
        <w:t>ed</w:t>
      </w:r>
      <w:r>
        <w:rPr>
          <w:spacing w:val="1"/>
        </w:rPr>
        <w:t>i</w:t>
      </w:r>
      <w:r>
        <w:t>t</w:t>
      </w:r>
      <w:r>
        <w:rPr>
          <w:spacing w:val="23"/>
        </w:rPr>
        <w:t xml:space="preserve"> </w:t>
      </w:r>
      <w:r>
        <w:rPr>
          <w:spacing w:val="-2"/>
        </w:rPr>
        <w:t>c</w:t>
      </w:r>
      <w:r>
        <w:t>a</w:t>
      </w:r>
      <w:r>
        <w:rPr>
          <w:spacing w:val="1"/>
        </w:rPr>
        <w:t>r</w:t>
      </w:r>
      <w:r>
        <w:t>d</w:t>
      </w:r>
      <w:r>
        <w:rPr>
          <w:spacing w:val="22"/>
        </w:rPr>
        <w:t xml:space="preserve"> </w:t>
      </w:r>
      <w:r>
        <w:rPr>
          <w:spacing w:val="-4"/>
        </w:rPr>
        <w:t>m</w:t>
      </w:r>
      <w:r>
        <w:t>ust</w:t>
      </w:r>
      <w:r>
        <w:rPr>
          <w:spacing w:val="23"/>
        </w:rPr>
        <w:t xml:space="preserve"> </w:t>
      </w:r>
      <w:r>
        <w:t>be</w:t>
      </w:r>
      <w:r>
        <w:rPr>
          <w:spacing w:val="22"/>
        </w:rPr>
        <w:t xml:space="preserve"> </w:t>
      </w:r>
      <w:r>
        <w:rPr>
          <w:spacing w:val="-4"/>
        </w:rPr>
        <w:t>m</w:t>
      </w:r>
      <w:r>
        <w:t>ade</w:t>
      </w:r>
      <w:r>
        <w:rPr>
          <w:spacing w:val="22"/>
        </w:rPr>
        <w:t xml:space="preserve"> </w:t>
      </w:r>
      <w:r>
        <w:t>by</w:t>
      </w:r>
      <w:r>
        <w:rPr>
          <w:spacing w:val="19"/>
        </w:rPr>
        <w:t xml:space="preserve"> </w:t>
      </w:r>
      <w:r>
        <w:t>p</w:t>
      </w:r>
      <w:r>
        <w:rPr>
          <w:spacing w:val="1"/>
        </w:rPr>
        <w:t>r</w:t>
      </w:r>
      <w:r>
        <w:t>o</w:t>
      </w:r>
      <w:r>
        <w:rPr>
          <w:spacing w:val="-2"/>
        </w:rPr>
        <w:t>v</w:t>
      </w:r>
      <w:r>
        <w:rPr>
          <w:spacing w:val="1"/>
        </w:rPr>
        <w:t>i</w:t>
      </w:r>
      <w:r>
        <w:t>d</w:t>
      </w:r>
      <w:r>
        <w:rPr>
          <w:spacing w:val="1"/>
        </w:rPr>
        <w:t>i</w:t>
      </w:r>
      <w:r>
        <w:t>ng</w:t>
      </w:r>
      <w:r>
        <w:rPr>
          <w:spacing w:val="19"/>
        </w:rPr>
        <w:t xml:space="preserve"> </w:t>
      </w:r>
      <w:r>
        <w:rPr>
          <w:spacing w:val="1"/>
        </w:rPr>
        <w:t>t</w:t>
      </w:r>
      <w:r>
        <w:t>he</w:t>
      </w:r>
      <w:r>
        <w:rPr>
          <w:spacing w:val="22"/>
        </w:rPr>
        <w:t xml:space="preserve"> </w:t>
      </w:r>
      <w:r>
        <w:rPr>
          <w:spacing w:val="-2"/>
        </w:rPr>
        <w:t>r</w:t>
      </w:r>
      <w:r>
        <w:t>equ</w:t>
      </w:r>
      <w:r>
        <w:rPr>
          <w:spacing w:val="-1"/>
        </w:rPr>
        <w:t>i</w:t>
      </w:r>
      <w:r>
        <w:rPr>
          <w:spacing w:val="1"/>
        </w:rPr>
        <w:t>r</w:t>
      </w:r>
      <w:r>
        <w:t>ed</w:t>
      </w:r>
      <w:r>
        <w:rPr>
          <w:spacing w:val="22"/>
        </w:rPr>
        <w:t xml:space="preserve"> </w:t>
      </w:r>
      <w:r>
        <w:rPr>
          <w:spacing w:val="-2"/>
        </w:rPr>
        <w:t>c</w:t>
      </w:r>
      <w:r>
        <w:rPr>
          <w:spacing w:val="1"/>
        </w:rPr>
        <w:t>r</w:t>
      </w:r>
      <w:r>
        <w:t>e</w:t>
      </w:r>
      <w:r>
        <w:rPr>
          <w:spacing w:val="-2"/>
        </w:rPr>
        <w:t>d</w:t>
      </w:r>
      <w:r>
        <w:rPr>
          <w:spacing w:val="1"/>
        </w:rPr>
        <w:t>i</w:t>
      </w:r>
      <w:r>
        <w:t>t</w:t>
      </w:r>
      <w:r>
        <w:rPr>
          <w:spacing w:val="23"/>
        </w:rPr>
        <w:t xml:space="preserve"> </w:t>
      </w:r>
      <w:r>
        <w:rPr>
          <w:spacing w:val="-2"/>
        </w:rPr>
        <w:t>c</w:t>
      </w:r>
      <w:r>
        <w:t>a</w:t>
      </w:r>
      <w:r>
        <w:rPr>
          <w:spacing w:val="1"/>
        </w:rPr>
        <w:t>r</w:t>
      </w:r>
      <w:r>
        <w:t>d</w:t>
      </w:r>
      <w:r>
        <w:rPr>
          <w:spacing w:val="19"/>
        </w:rPr>
        <w:t xml:space="preserve"> </w:t>
      </w:r>
      <w:r>
        <w:rPr>
          <w:spacing w:val="1"/>
        </w:rPr>
        <w:t>i</w:t>
      </w:r>
      <w:r>
        <w:t>n</w:t>
      </w:r>
      <w:r>
        <w:rPr>
          <w:spacing w:val="-2"/>
        </w:rPr>
        <w:t>f</w:t>
      </w:r>
      <w:r>
        <w:t>o</w:t>
      </w:r>
      <w:r>
        <w:rPr>
          <w:spacing w:val="1"/>
        </w:rPr>
        <w:t>r</w:t>
      </w:r>
      <w:r>
        <w:rPr>
          <w:spacing w:val="-4"/>
        </w:rPr>
        <w:t>m</w:t>
      </w:r>
      <w:r>
        <w:t>a</w:t>
      </w:r>
      <w:r>
        <w:rPr>
          <w:spacing w:val="1"/>
        </w:rPr>
        <w:t>ti</w:t>
      </w:r>
      <w:r>
        <w:t>on</w:t>
      </w:r>
      <w:r>
        <w:rPr>
          <w:spacing w:val="22"/>
        </w:rPr>
        <w:t xml:space="preserve"> </w:t>
      </w:r>
      <w:r>
        <w:t>on F</w:t>
      </w:r>
      <w:r>
        <w:rPr>
          <w:spacing w:val="-1"/>
        </w:rPr>
        <w:t>C</w:t>
      </w:r>
      <w:r>
        <w:t>C</w:t>
      </w:r>
      <w:r>
        <w:rPr>
          <w:spacing w:val="30"/>
        </w:rPr>
        <w:t xml:space="preserve"> </w:t>
      </w:r>
      <w:r>
        <w:t>Form</w:t>
      </w:r>
      <w:r>
        <w:rPr>
          <w:spacing w:val="28"/>
        </w:rPr>
        <w:t xml:space="preserve"> </w:t>
      </w:r>
      <w:r>
        <w:t>159</w:t>
      </w:r>
      <w:r>
        <w:rPr>
          <w:spacing w:val="31"/>
        </w:rPr>
        <w:t xml:space="preserve"> </w:t>
      </w:r>
      <w:r>
        <w:t>a</w:t>
      </w:r>
      <w:r>
        <w:rPr>
          <w:spacing w:val="2"/>
        </w:rPr>
        <w:t>n</w:t>
      </w:r>
      <w:r>
        <w:t>d</w:t>
      </w:r>
      <w:r>
        <w:rPr>
          <w:spacing w:val="31"/>
        </w:rPr>
        <w:t xml:space="preserve"> </w:t>
      </w:r>
      <w:r>
        <w:t>s</w:t>
      </w:r>
      <w:r>
        <w:rPr>
          <w:spacing w:val="1"/>
        </w:rPr>
        <w:t>i</w:t>
      </w:r>
      <w:r>
        <w:rPr>
          <w:spacing w:val="-2"/>
        </w:rPr>
        <w:t>g</w:t>
      </w:r>
      <w:r>
        <w:t>n</w:t>
      </w:r>
      <w:r>
        <w:rPr>
          <w:spacing w:val="1"/>
        </w:rPr>
        <w:t>i</w:t>
      </w:r>
      <w:r>
        <w:rPr>
          <w:spacing w:val="-2"/>
        </w:rPr>
        <w:t>n</w:t>
      </w:r>
      <w:r>
        <w:t>g</w:t>
      </w:r>
      <w:r>
        <w:rPr>
          <w:spacing w:val="-2"/>
        </w:rPr>
        <w:t xml:space="preserve"> </w:t>
      </w:r>
      <w:r>
        <w:t>and</w:t>
      </w:r>
      <w:r>
        <w:rPr>
          <w:spacing w:val="32"/>
        </w:rPr>
        <w:t xml:space="preserve"> </w:t>
      </w:r>
      <w:r>
        <w:t>da</w:t>
      </w:r>
      <w:r>
        <w:rPr>
          <w:spacing w:val="-1"/>
        </w:rPr>
        <w:t>t</w:t>
      </w:r>
      <w:r>
        <w:rPr>
          <w:spacing w:val="1"/>
        </w:rPr>
        <w:t>i</w:t>
      </w:r>
      <w:r>
        <w:t>ng</w:t>
      </w:r>
      <w:r>
        <w:rPr>
          <w:spacing w:val="-1"/>
        </w:rPr>
        <w:t xml:space="preserve"> </w:t>
      </w:r>
      <w:r>
        <w:rPr>
          <w:spacing w:val="1"/>
        </w:rPr>
        <w:t>t</w:t>
      </w:r>
      <w:r>
        <w:t>he</w:t>
      </w:r>
      <w:r>
        <w:rPr>
          <w:spacing w:val="32"/>
        </w:rPr>
        <w:t xml:space="preserve"> </w:t>
      </w:r>
      <w:r>
        <w:t>F</w:t>
      </w:r>
      <w:r>
        <w:rPr>
          <w:spacing w:val="-3"/>
        </w:rPr>
        <w:t>o</w:t>
      </w:r>
      <w:r>
        <w:rPr>
          <w:spacing w:val="1"/>
        </w:rPr>
        <w:t>r</w:t>
      </w:r>
      <w:r>
        <w:t>m</w:t>
      </w:r>
      <w:r>
        <w:rPr>
          <w:spacing w:val="27"/>
        </w:rPr>
        <w:t xml:space="preserve"> </w:t>
      </w:r>
      <w:r>
        <w:t>159</w:t>
      </w:r>
      <w:r>
        <w:rPr>
          <w:spacing w:val="31"/>
        </w:rPr>
        <w:t xml:space="preserve"> </w:t>
      </w:r>
      <w:r>
        <w:rPr>
          <w:spacing w:val="1"/>
        </w:rPr>
        <w:t>t</w:t>
      </w:r>
      <w:r>
        <w:t>o</w:t>
      </w:r>
      <w:r>
        <w:rPr>
          <w:spacing w:val="31"/>
        </w:rPr>
        <w:t xml:space="preserve"> </w:t>
      </w:r>
      <w:r>
        <w:t>a</w:t>
      </w:r>
      <w:r>
        <w:rPr>
          <w:spacing w:val="-2"/>
        </w:rPr>
        <w:t>u</w:t>
      </w:r>
      <w:r>
        <w:rPr>
          <w:spacing w:val="1"/>
        </w:rPr>
        <w:t>t</w:t>
      </w:r>
      <w:r>
        <w:t>h</w:t>
      </w:r>
      <w:r>
        <w:rPr>
          <w:spacing w:val="-2"/>
        </w:rPr>
        <w:t>o</w:t>
      </w:r>
      <w:r>
        <w:rPr>
          <w:spacing w:val="1"/>
        </w:rPr>
        <w:t>ri</w:t>
      </w:r>
      <w:r>
        <w:rPr>
          <w:spacing w:val="-2"/>
        </w:rPr>
        <w:t>z</w:t>
      </w:r>
      <w:r>
        <w:t>e</w:t>
      </w:r>
      <w:r>
        <w:rPr>
          <w:spacing w:val="3"/>
        </w:rPr>
        <w:t xml:space="preserve"> </w:t>
      </w:r>
      <w:r>
        <w:rPr>
          <w:spacing w:val="-1"/>
        </w:rPr>
        <w:t>t</w:t>
      </w:r>
      <w:r>
        <w:t>he</w:t>
      </w:r>
      <w:r>
        <w:rPr>
          <w:spacing w:val="32"/>
        </w:rPr>
        <w:t xml:space="preserve"> </w:t>
      </w:r>
      <w:r>
        <w:rPr>
          <w:spacing w:val="-2"/>
        </w:rPr>
        <w:t>c</w:t>
      </w:r>
      <w:r>
        <w:rPr>
          <w:spacing w:val="1"/>
        </w:rPr>
        <w:t>r</w:t>
      </w:r>
      <w:r>
        <w:t>e</w:t>
      </w:r>
      <w:r>
        <w:rPr>
          <w:spacing w:val="-2"/>
        </w:rPr>
        <w:t>d</w:t>
      </w:r>
      <w:r>
        <w:rPr>
          <w:spacing w:val="1"/>
        </w:rPr>
        <w:t>i</w:t>
      </w:r>
      <w:r>
        <w:t>t</w:t>
      </w:r>
      <w:r>
        <w:rPr>
          <w:spacing w:val="30"/>
        </w:rPr>
        <w:t xml:space="preserve"> </w:t>
      </w:r>
      <w:r>
        <w:t>c</w:t>
      </w:r>
      <w:r>
        <w:rPr>
          <w:spacing w:val="-2"/>
        </w:rPr>
        <w:t>ar</w:t>
      </w:r>
      <w:r>
        <w:t>d</w:t>
      </w:r>
      <w:r>
        <w:rPr>
          <w:spacing w:val="31"/>
        </w:rPr>
        <w:t xml:space="preserve"> </w:t>
      </w:r>
      <w:r>
        <w:t>pa</w:t>
      </w:r>
      <w:r>
        <w:rPr>
          <w:spacing w:val="-2"/>
        </w:rPr>
        <w:t>y</w:t>
      </w:r>
      <w:r>
        <w:rPr>
          <w:spacing w:val="-4"/>
        </w:rPr>
        <w:t>m</w:t>
      </w:r>
      <w:r>
        <w:t>en</w:t>
      </w:r>
      <w:r>
        <w:rPr>
          <w:spacing w:val="1"/>
        </w:rPr>
        <w:t>t</w:t>
      </w:r>
      <w:r>
        <w:t xml:space="preserve">. </w:t>
      </w:r>
      <w:r>
        <w:rPr>
          <w:spacing w:val="2"/>
        </w:rPr>
        <w:t>T</w:t>
      </w:r>
      <w:r>
        <w:t>he</w:t>
      </w:r>
      <w:r>
        <w:rPr>
          <w:spacing w:val="2"/>
        </w:rPr>
        <w:t xml:space="preserve"> </w:t>
      </w:r>
      <w:r>
        <w:t>co</w:t>
      </w:r>
      <w:r>
        <w:rPr>
          <w:spacing w:val="-3"/>
        </w:rPr>
        <w:t>m</w:t>
      </w:r>
      <w:r>
        <w:t>p</w:t>
      </w:r>
      <w:r>
        <w:rPr>
          <w:spacing w:val="1"/>
        </w:rPr>
        <w:t>l</w:t>
      </w:r>
      <w:r>
        <w:rPr>
          <w:spacing w:val="-2"/>
        </w:rPr>
        <w:t>e</w:t>
      </w:r>
      <w:r>
        <w:rPr>
          <w:spacing w:val="1"/>
        </w:rPr>
        <w:t>t</w:t>
      </w:r>
      <w:r>
        <w:t>ed</w:t>
      </w:r>
      <w:r>
        <w:rPr>
          <w:spacing w:val="4"/>
        </w:rPr>
        <w:t xml:space="preserve"> </w:t>
      </w:r>
      <w:r>
        <w:rPr>
          <w:spacing w:val="-3"/>
        </w:rPr>
        <w:t>F</w:t>
      </w:r>
      <w:r>
        <w:t>o</w:t>
      </w:r>
      <w:r>
        <w:rPr>
          <w:spacing w:val="1"/>
        </w:rPr>
        <w:t>r</w:t>
      </w:r>
      <w:r>
        <w:t>m 159</w:t>
      </w:r>
      <w:r>
        <w:rPr>
          <w:spacing w:val="1"/>
        </w:rPr>
        <w:t xml:space="preserve"> </w:t>
      </w:r>
      <w:r>
        <w:rPr>
          <w:spacing w:val="-4"/>
        </w:rPr>
        <w:t>m</w:t>
      </w:r>
      <w:r>
        <w:t>ust</w:t>
      </w:r>
      <w:r>
        <w:rPr>
          <w:spacing w:val="5"/>
        </w:rPr>
        <w:t xml:space="preserve"> </w:t>
      </w:r>
      <w:r>
        <w:rPr>
          <w:spacing w:val="1"/>
        </w:rPr>
        <w:t>t</w:t>
      </w:r>
      <w:r>
        <w:t>hen</w:t>
      </w:r>
      <w:r>
        <w:rPr>
          <w:spacing w:val="2"/>
        </w:rPr>
        <w:t xml:space="preserve"> </w:t>
      </w:r>
      <w:r>
        <w:t>be</w:t>
      </w:r>
      <w:r>
        <w:rPr>
          <w:spacing w:val="4"/>
        </w:rPr>
        <w:t xml:space="preserve"> </w:t>
      </w:r>
      <w:r>
        <w:rPr>
          <w:spacing w:val="-4"/>
        </w:rPr>
        <w:t>m</w:t>
      </w:r>
      <w:r>
        <w:t>a</w:t>
      </w:r>
      <w:r>
        <w:rPr>
          <w:spacing w:val="-1"/>
        </w:rPr>
        <w:t>i</w:t>
      </w:r>
      <w:r>
        <w:rPr>
          <w:spacing w:val="1"/>
        </w:rPr>
        <w:t>l</w:t>
      </w:r>
      <w:r>
        <w:t>ed</w:t>
      </w:r>
      <w:r>
        <w:rPr>
          <w:spacing w:val="2"/>
        </w:rPr>
        <w:t xml:space="preserve"> </w:t>
      </w:r>
      <w:r>
        <w:rPr>
          <w:spacing w:val="1"/>
        </w:rPr>
        <w:t>t</w:t>
      </w:r>
      <w:r>
        <w:t>o</w:t>
      </w:r>
      <w:r>
        <w:rPr>
          <w:spacing w:val="4"/>
        </w:rPr>
        <w:t xml:space="preserve"> </w:t>
      </w:r>
      <w:r>
        <w:rPr>
          <w:spacing w:val="-3"/>
        </w:rPr>
        <w:t>F</w:t>
      </w:r>
      <w:r>
        <w:t>e</w:t>
      </w:r>
      <w:r>
        <w:rPr>
          <w:spacing w:val="-2"/>
        </w:rPr>
        <w:t>d</w:t>
      </w:r>
      <w:r>
        <w:t>e</w:t>
      </w:r>
      <w:r>
        <w:rPr>
          <w:spacing w:val="1"/>
        </w:rPr>
        <w:t>r</w:t>
      </w:r>
      <w:r>
        <w:rPr>
          <w:spacing w:val="-2"/>
        </w:rPr>
        <w:t>a</w:t>
      </w:r>
      <w:r>
        <w:t>l</w:t>
      </w:r>
      <w:r>
        <w:rPr>
          <w:spacing w:val="5"/>
        </w:rPr>
        <w:t xml:space="preserve"> </w:t>
      </w:r>
      <w:r>
        <w:rPr>
          <w:spacing w:val="-1"/>
        </w:rPr>
        <w:t>C</w:t>
      </w:r>
      <w:r>
        <w:t>o</w:t>
      </w:r>
      <w:r>
        <w:rPr>
          <w:spacing w:val="-1"/>
        </w:rPr>
        <w:t>m</w:t>
      </w:r>
      <w:r>
        <w:rPr>
          <w:spacing w:val="-4"/>
        </w:rPr>
        <w:t>m</w:t>
      </w:r>
      <w:r>
        <w:t>un</w:t>
      </w:r>
      <w:r>
        <w:rPr>
          <w:spacing w:val="1"/>
        </w:rPr>
        <w:t>i</w:t>
      </w:r>
      <w:r>
        <w:t>ca</w:t>
      </w:r>
      <w:r>
        <w:rPr>
          <w:spacing w:val="-1"/>
        </w:rPr>
        <w:t>t</w:t>
      </w:r>
      <w:r>
        <w:rPr>
          <w:spacing w:val="1"/>
        </w:rPr>
        <w:t>i</w:t>
      </w:r>
      <w:r>
        <w:t>o</w:t>
      </w:r>
      <w:r>
        <w:rPr>
          <w:spacing w:val="-2"/>
        </w:rPr>
        <w:t>n</w:t>
      </w:r>
      <w:r>
        <w:t>s</w:t>
      </w:r>
      <w:r>
        <w:rPr>
          <w:spacing w:val="4"/>
        </w:rPr>
        <w:t xml:space="preserve"> </w:t>
      </w:r>
      <w:r>
        <w:rPr>
          <w:spacing w:val="-1"/>
        </w:rPr>
        <w:t>C</w:t>
      </w:r>
      <w:r>
        <w:t>o</w:t>
      </w:r>
      <w:r>
        <w:rPr>
          <w:spacing w:val="-4"/>
        </w:rPr>
        <w:t>mm</w:t>
      </w:r>
      <w:r>
        <w:rPr>
          <w:spacing w:val="1"/>
        </w:rPr>
        <w:t>i</w:t>
      </w:r>
      <w:r>
        <w:t>s</w:t>
      </w:r>
      <w:r>
        <w:rPr>
          <w:spacing w:val="1"/>
        </w:rPr>
        <w:t>si</w:t>
      </w:r>
      <w:r>
        <w:t>on,</w:t>
      </w:r>
      <w:r>
        <w:rPr>
          <w:spacing w:val="4"/>
        </w:rPr>
        <w:t xml:space="preserve"> </w:t>
      </w:r>
      <w:r>
        <w:t>P.</w:t>
      </w:r>
      <w:r>
        <w:rPr>
          <w:spacing w:val="-1"/>
        </w:rPr>
        <w:t>O</w:t>
      </w:r>
      <w:r>
        <w:t xml:space="preserve">. </w:t>
      </w:r>
      <w:r>
        <w:rPr>
          <w:spacing w:val="-1"/>
        </w:rPr>
        <w:t>B</w:t>
      </w:r>
      <w:r>
        <w:t xml:space="preserve">ox 979088, </w:t>
      </w:r>
      <w:r>
        <w:rPr>
          <w:spacing w:val="-3"/>
        </w:rPr>
        <w:t>S</w:t>
      </w:r>
      <w:r>
        <w:rPr>
          <w:spacing w:val="1"/>
        </w:rPr>
        <w:t>t</w:t>
      </w:r>
      <w:r>
        <w:t>. Lo</w:t>
      </w:r>
      <w:r>
        <w:rPr>
          <w:spacing w:val="-3"/>
        </w:rPr>
        <w:t>u</w:t>
      </w:r>
      <w:r>
        <w:rPr>
          <w:spacing w:val="1"/>
        </w:rPr>
        <w:t>i</w:t>
      </w:r>
      <w:r>
        <w:t>s, MO 6319</w:t>
      </w:r>
      <w:r>
        <w:rPr>
          <w:spacing w:val="2"/>
        </w:rPr>
        <w:t>7</w:t>
      </w:r>
      <w:r>
        <w:rPr>
          <w:spacing w:val="-4"/>
        </w:rPr>
        <w:t>-</w:t>
      </w:r>
      <w:r>
        <w:t>9000, or s</w:t>
      </w:r>
      <w:r>
        <w:rPr>
          <w:spacing w:val="-2"/>
        </w:rPr>
        <w:t>e</w:t>
      </w:r>
      <w:r>
        <w:t xml:space="preserve">nt </w:t>
      </w:r>
      <w:r>
        <w:rPr>
          <w:spacing w:val="-2"/>
        </w:rPr>
        <w:t>v</w:t>
      </w:r>
      <w:r>
        <w:rPr>
          <w:spacing w:val="1"/>
        </w:rPr>
        <w:t>i</w:t>
      </w:r>
      <w:r>
        <w:t>a</w:t>
      </w:r>
      <w:r>
        <w:rPr>
          <w:spacing w:val="1"/>
        </w:rPr>
        <w:t xml:space="preserve"> </w:t>
      </w:r>
      <w:r>
        <w:t>o</w:t>
      </w:r>
      <w:r>
        <w:rPr>
          <w:spacing w:val="-2"/>
        </w:rPr>
        <w:t>v</w:t>
      </w:r>
      <w:r>
        <w:t>e</w:t>
      </w:r>
      <w:r>
        <w:rPr>
          <w:spacing w:val="1"/>
        </w:rPr>
        <w:t>r</w:t>
      </w:r>
      <w:r>
        <w:t>n</w:t>
      </w:r>
      <w:r>
        <w:rPr>
          <w:spacing w:val="1"/>
        </w:rPr>
        <w:t>i</w:t>
      </w:r>
      <w:r>
        <w:rPr>
          <w:spacing w:val="-2"/>
        </w:rPr>
        <w:t>g</w:t>
      </w:r>
      <w:r>
        <w:t xml:space="preserve">ht </w:t>
      </w:r>
      <w:r>
        <w:rPr>
          <w:spacing w:val="-4"/>
        </w:rPr>
        <w:t>m</w:t>
      </w:r>
      <w:r>
        <w:t>a</w:t>
      </w:r>
      <w:r>
        <w:rPr>
          <w:spacing w:val="1"/>
        </w:rPr>
        <w:t>i</w:t>
      </w:r>
      <w:r>
        <w:t>l</w:t>
      </w:r>
      <w:r>
        <w:rPr>
          <w:spacing w:val="3"/>
        </w:rPr>
        <w:t xml:space="preserve"> </w:t>
      </w:r>
      <w:r>
        <w:rPr>
          <w:spacing w:val="1"/>
        </w:rPr>
        <w:t>t</w:t>
      </w:r>
      <w:r>
        <w:t>o</w:t>
      </w:r>
      <w:r>
        <w:rPr>
          <w:spacing w:val="27"/>
        </w:rPr>
        <w:t xml:space="preserve"> </w:t>
      </w:r>
      <w:r>
        <w:rPr>
          <w:spacing w:val="-1"/>
        </w:rPr>
        <w:t>U</w:t>
      </w:r>
      <w:r>
        <w:rPr>
          <w:spacing w:val="-2"/>
        </w:rPr>
        <w:t>.</w:t>
      </w:r>
      <w:r>
        <w:t xml:space="preserve">S. </w:t>
      </w:r>
      <w:r>
        <w:rPr>
          <w:spacing w:val="26"/>
        </w:rPr>
        <w:t xml:space="preserve"> </w:t>
      </w:r>
      <w:r>
        <w:rPr>
          <w:spacing w:val="-1"/>
        </w:rPr>
        <w:t>B</w:t>
      </w:r>
      <w:r>
        <w:t xml:space="preserve">ank – </w:t>
      </w:r>
      <w:r>
        <w:rPr>
          <w:spacing w:val="-1"/>
        </w:rPr>
        <w:t>G</w:t>
      </w:r>
      <w:r>
        <w:t>o</w:t>
      </w:r>
      <w:r>
        <w:rPr>
          <w:spacing w:val="-2"/>
        </w:rPr>
        <w:t>v</w:t>
      </w:r>
      <w:r>
        <w:t>e</w:t>
      </w:r>
      <w:r>
        <w:rPr>
          <w:spacing w:val="1"/>
        </w:rPr>
        <w:t>r</w:t>
      </w:r>
      <w:r>
        <w:t>n</w:t>
      </w:r>
      <w:r>
        <w:rPr>
          <w:spacing w:val="-4"/>
        </w:rPr>
        <w:t>m</w:t>
      </w:r>
      <w:r>
        <w:t>ent Loc</w:t>
      </w:r>
      <w:r>
        <w:rPr>
          <w:spacing w:val="-3"/>
        </w:rPr>
        <w:t>k</w:t>
      </w:r>
      <w:r>
        <w:rPr>
          <w:spacing w:val="1"/>
        </w:rPr>
        <w:t>b</w:t>
      </w:r>
      <w:r>
        <w:t>ox #9</w:t>
      </w:r>
      <w:r>
        <w:rPr>
          <w:spacing w:val="-2"/>
        </w:rPr>
        <w:t>7</w:t>
      </w:r>
      <w:r>
        <w:t>9088, SL</w:t>
      </w:r>
      <w:r>
        <w:rPr>
          <w:spacing w:val="-4"/>
        </w:rPr>
        <w:t>-</w:t>
      </w:r>
      <w:r>
        <w:rPr>
          <w:spacing w:val="1"/>
        </w:rPr>
        <w:t>MO</w:t>
      </w:r>
      <w:r>
        <w:rPr>
          <w:spacing w:val="-4"/>
        </w:rPr>
        <w:t>-</w:t>
      </w:r>
      <w:r>
        <w:rPr>
          <w:spacing w:val="-1"/>
        </w:rPr>
        <w:t>C</w:t>
      </w:r>
      <w:r>
        <w:rPr>
          <w:spacing w:val="2"/>
        </w:rPr>
        <w:t>2</w:t>
      </w:r>
      <w:r>
        <w:rPr>
          <w:spacing w:val="-2"/>
        </w:rPr>
        <w:t>-</w:t>
      </w:r>
      <w:r>
        <w:rPr>
          <w:spacing w:val="-1"/>
        </w:rPr>
        <w:t>G</w:t>
      </w:r>
      <w:r>
        <w:t xml:space="preserve">L, 1005 </w:t>
      </w:r>
      <w:r>
        <w:rPr>
          <w:spacing w:val="-1"/>
        </w:rPr>
        <w:t>C</w:t>
      </w:r>
      <w:r>
        <w:t>on</w:t>
      </w:r>
      <w:r>
        <w:rPr>
          <w:spacing w:val="-2"/>
        </w:rPr>
        <w:t>v</w:t>
      </w:r>
      <w:r>
        <w:t>en</w:t>
      </w:r>
      <w:r>
        <w:rPr>
          <w:spacing w:val="1"/>
        </w:rPr>
        <w:t>t</w:t>
      </w:r>
      <w:r>
        <w:rPr>
          <w:spacing w:val="-1"/>
        </w:rPr>
        <w:t>i</w:t>
      </w:r>
      <w:r>
        <w:t>on P</w:t>
      </w:r>
      <w:r>
        <w:rPr>
          <w:spacing w:val="-2"/>
        </w:rPr>
        <w:t>l</w:t>
      </w:r>
      <w:r>
        <w:t>a</w:t>
      </w:r>
      <w:r>
        <w:rPr>
          <w:spacing w:val="-2"/>
        </w:rPr>
        <w:t>z</w:t>
      </w:r>
      <w:r>
        <w:t xml:space="preserve">a, </w:t>
      </w:r>
      <w:r>
        <w:rPr>
          <w:spacing w:val="1"/>
        </w:rPr>
        <w:t>St</w:t>
      </w:r>
      <w:r>
        <w:t>.</w:t>
      </w:r>
      <w:r>
        <w:rPr>
          <w:spacing w:val="53"/>
        </w:rPr>
        <w:t xml:space="preserve"> </w:t>
      </w:r>
      <w:r>
        <w:t>Loui</w:t>
      </w:r>
      <w:r>
        <w:rPr>
          <w:spacing w:val="1"/>
        </w:rPr>
        <w:t>s</w:t>
      </w:r>
      <w:r>
        <w:t>,</w:t>
      </w:r>
      <w:r>
        <w:rPr>
          <w:spacing w:val="53"/>
        </w:rPr>
        <w:t xml:space="preserve"> </w:t>
      </w:r>
      <w:r>
        <w:t>MO 63101.</w:t>
      </w:r>
    </w:p>
    <w:p w:rsidR="001F75AA" w:rsidRPr="00245D22" w:rsidP="001F75AA">
      <w:pPr>
        <w:pStyle w:val="ParaNum"/>
        <w:jc w:val="left"/>
        <w:rPr>
          <w:szCs w:val="22"/>
        </w:rPr>
      </w:pPr>
      <w:r w:rsidRPr="00245D22">
        <w:rPr>
          <w:szCs w:val="22"/>
        </w:rPr>
        <w:t>The response, if any, must be mailed to Office of the Secretary, Federal Communications Commission, 445 12th Street, S.W., Washington DC 20554, ATTN: Albert Shuldiner, Chief, Audio Division, Media Bureau, and MUST INCLUDE the NAL/Acct. No. referenced above.</w:t>
      </w:r>
    </w:p>
    <w:p w:rsidR="001F75AA" w:rsidP="001F75AA">
      <w:pPr>
        <w:pStyle w:val="ParaNum"/>
        <w:jc w:val="left"/>
        <w:rPr>
          <w:szCs w:val="22"/>
        </w:rPr>
      </w:pPr>
      <w:r w:rsidRPr="008B21F4">
        <w:rPr>
          <w:szCs w:val="22"/>
        </w:rPr>
        <w:t>The Commission will not consider reducing or canceling a forfeiture in response to a claim of inability to pay unless the respondent submits</w:t>
      </w:r>
      <w:r w:rsidRPr="008B21F4" w:rsidR="00FF5C09">
        <w:rPr>
          <w:szCs w:val="22"/>
        </w:rPr>
        <w:t xml:space="preserve">: </w:t>
      </w:r>
      <w:r w:rsidR="00FF5C09">
        <w:rPr>
          <w:szCs w:val="22"/>
        </w:rPr>
        <w:t xml:space="preserve"> (</w:t>
      </w:r>
      <w:r w:rsidRPr="008B21F4">
        <w:rPr>
          <w:szCs w:val="22"/>
        </w:rPr>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1F75AA" w:rsidRPr="00245D22" w:rsidP="001F75AA">
      <w:pPr>
        <w:pStyle w:val="ParaNum"/>
        <w:jc w:val="left"/>
        <w:rPr>
          <w:szCs w:val="22"/>
        </w:rPr>
      </w:pPr>
      <w:r w:rsidRPr="00245D22">
        <w:rPr>
          <w:szCs w:val="22"/>
        </w:rPr>
        <w:t xml:space="preserve">Requests for full payment of the forfeiture proposed in this </w:t>
      </w:r>
      <w:r w:rsidRPr="00245D22">
        <w:rPr>
          <w:i/>
          <w:szCs w:val="22"/>
        </w:rPr>
        <w:t>NAL</w:t>
      </w:r>
      <w:r w:rsidRPr="00245D22">
        <w:rPr>
          <w:szCs w:val="22"/>
        </w:rPr>
        <w:t xml:space="preserve"> under the installment plan should be sent to:</w:t>
      </w:r>
      <w:r>
        <w:rPr>
          <w:szCs w:val="22"/>
        </w:rPr>
        <w:t xml:space="preserve"> </w:t>
      </w:r>
      <w:r w:rsidRPr="00245D22">
        <w:rPr>
          <w:szCs w:val="22"/>
        </w:rPr>
        <w:t xml:space="preserve"> Associate Managing Director-Financial Operations, 445 12th Street, S.W., Room 1-A625, Washington, DC 20554.</w:t>
      </w:r>
      <w:r>
        <w:rPr>
          <w:rStyle w:val="FootnoteReference"/>
          <w:szCs w:val="22"/>
        </w:rPr>
        <w:footnoteReference w:id="25"/>
      </w:r>
    </w:p>
    <w:p w:rsidR="001F75AA" w:rsidRPr="00245D22" w:rsidP="001F75AA">
      <w:pPr>
        <w:pStyle w:val="ParaNum"/>
        <w:jc w:val="left"/>
        <w:rPr>
          <w:szCs w:val="22"/>
        </w:rPr>
      </w:pPr>
      <w:r w:rsidRPr="00245D22">
        <w:rPr>
          <w:szCs w:val="22"/>
        </w:rPr>
        <w:t xml:space="preserve">IT IS FURTHER ORDERED that copies of this </w:t>
      </w:r>
      <w:r w:rsidRPr="00245D22">
        <w:rPr>
          <w:i/>
          <w:szCs w:val="22"/>
        </w:rPr>
        <w:t>NAL</w:t>
      </w:r>
      <w:r w:rsidRPr="00245D22">
        <w:rPr>
          <w:szCs w:val="22"/>
        </w:rPr>
        <w:t xml:space="preserve"> shall be sent, by First Class and Certified Mail, Return Receipt </w:t>
      </w:r>
      <w:r w:rsidR="004272B4">
        <w:rPr>
          <w:szCs w:val="22"/>
        </w:rPr>
        <w:t>Requested, to Cumulus Licensing</w:t>
      </w:r>
      <w:r w:rsidRPr="00245D22">
        <w:rPr>
          <w:szCs w:val="22"/>
        </w:rPr>
        <w:t xml:space="preserve"> LLC, 3280 Peachtree Road, NW, Suite 2300, Atlanta, GA 30305, and its counsel, Andrew S. Kersting, Esq., Cumulus Media Inc., 3280 Peachtree Road, NW, Suite 2300, Atlanta, G</w:t>
      </w:r>
      <w:r w:rsidR="00C95ACE">
        <w:rPr>
          <w:szCs w:val="22"/>
        </w:rPr>
        <w:t>A</w:t>
      </w:r>
      <w:r w:rsidRPr="00245D22">
        <w:rPr>
          <w:szCs w:val="22"/>
        </w:rPr>
        <w:t xml:space="preserve"> 30305, and to Mark N. Lipp, Esq., </w:t>
      </w:r>
      <w:bookmarkStart w:id="1" w:name="_Hlk505067521"/>
      <w:r w:rsidRPr="00245D22">
        <w:rPr>
          <w:szCs w:val="22"/>
        </w:rPr>
        <w:t>Fletcher, Heald &amp;</w:t>
      </w:r>
      <w:r w:rsidR="005820D4">
        <w:rPr>
          <w:szCs w:val="22"/>
        </w:rPr>
        <w:t xml:space="preserve"> Hildreth, PLC, 1300 North 17</w:t>
      </w:r>
      <w:r w:rsidRPr="005820D4" w:rsidR="005820D4">
        <w:rPr>
          <w:szCs w:val="22"/>
          <w:vertAlign w:val="superscript"/>
        </w:rPr>
        <w:t>th</w:t>
      </w:r>
      <w:r w:rsidR="005820D4">
        <w:rPr>
          <w:szCs w:val="22"/>
        </w:rPr>
        <w:t xml:space="preserve"> </w:t>
      </w:r>
      <w:r w:rsidRPr="00245D22">
        <w:rPr>
          <w:szCs w:val="22"/>
        </w:rPr>
        <w:t>Street, 11</w:t>
      </w:r>
      <w:r w:rsidRPr="00245D22">
        <w:rPr>
          <w:szCs w:val="22"/>
          <w:vertAlign w:val="superscript"/>
        </w:rPr>
        <w:t>th</w:t>
      </w:r>
      <w:r w:rsidRPr="00245D22">
        <w:rPr>
          <w:szCs w:val="22"/>
        </w:rPr>
        <w:t xml:space="preserve"> Floor, Arlington, V</w:t>
      </w:r>
      <w:r w:rsidR="00C95ACE">
        <w:rPr>
          <w:szCs w:val="22"/>
        </w:rPr>
        <w:t>A</w:t>
      </w:r>
      <w:r w:rsidRPr="00245D22">
        <w:rPr>
          <w:szCs w:val="22"/>
        </w:rPr>
        <w:t xml:space="preserve"> 22209.</w:t>
      </w:r>
      <w:bookmarkEnd w:id="1"/>
    </w:p>
    <w:p w:rsidR="001F75AA" w:rsidRPr="008B21F4" w:rsidP="001F75AA">
      <w:pPr>
        <w:tabs>
          <w:tab w:val="left" w:pos="0"/>
        </w:tabs>
        <w:suppressAutoHyphens/>
        <w:rPr>
          <w:szCs w:val="22"/>
        </w:rPr>
      </w:pPr>
    </w:p>
    <w:p w:rsidR="001F75AA" w:rsidRPr="00B023BA" w:rsidP="001F75AA">
      <w:pPr>
        <w:tabs>
          <w:tab w:val="left" w:pos="0"/>
        </w:tabs>
        <w:suppressAutoHyphens/>
        <w:rPr>
          <w:szCs w:val="22"/>
        </w:rPr>
      </w:pPr>
      <w:r w:rsidRPr="008B21F4">
        <w:tab/>
      </w:r>
      <w:r w:rsidRPr="008B21F4">
        <w:tab/>
      </w:r>
      <w:r w:rsidRPr="008B21F4">
        <w:tab/>
      </w:r>
      <w:r w:rsidRPr="008B21F4">
        <w:tab/>
      </w:r>
      <w:r w:rsidRPr="008B21F4">
        <w:tab/>
      </w:r>
      <w:r w:rsidRPr="008B21F4">
        <w:tab/>
      </w:r>
      <w:r w:rsidRPr="00B023BA">
        <w:rPr>
          <w:szCs w:val="22"/>
        </w:rPr>
        <w:t>FEDERAL COMMUNICATIONS COMMISSION</w:t>
      </w:r>
    </w:p>
    <w:p w:rsidR="001F75AA" w:rsidRPr="00B023BA" w:rsidP="001F75AA">
      <w:pPr>
        <w:tabs>
          <w:tab w:val="left" w:pos="0"/>
        </w:tabs>
        <w:suppressAutoHyphens/>
        <w:rPr>
          <w:szCs w:val="22"/>
        </w:rPr>
      </w:pPr>
    </w:p>
    <w:p w:rsidR="001F75AA" w:rsidRPr="00B023BA" w:rsidP="001F75AA">
      <w:pPr>
        <w:tabs>
          <w:tab w:val="left" w:pos="0"/>
        </w:tabs>
        <w:suppressAutoHyphens/>
        <w:rPr>
          <w:szCs w:val="22"/>
        </w:rPr>
      </w:pPr>
      <w:r w:rsidRPr="00B023BA">
        <w:rPr>
          <w:szCs w:val="22"/>
        </w:rPr>
        <w:tab/>
      </w:r>
      <w:r w:rsidRPr="00B023BA">
        <w:rPr>
          <w:szCs w:val="22"/>
        </w:rPr>
        <w:tab/>
      </w:r>
      <w:r w:rsidRPr="00B023BA">
        <w:rPr>
          <w:szCs w:val="22"/>
        </w:rPr>
        <w:tab/>
      </w:r>
      <w:r w:rsidRPr="00B023BA">
        <w:rPr>
          <w:szCs w:val="22"/>
        </w:rPr>
        <w:tab/>
      </w:r>
      <w:r w:rsidRPr="00B023BA">
        <w:rPr>
          <w:szCs w:val="22"/>
        </w:rPr>
        <w:tab/>
      </w:r>
      <w:r w:rsidRPr="00B023BA">
        <w:rPr>
          <w:szCs w:val="22"/>
        </w:rPr>
        <w:tab/>
      </w:r>
      <w:r w:rsidRPr="00B023BA">
        <w:rPr>
          <w:szCs w:val="22"/>
        </w:rPr>
        <w:tab/>
      </w:r>
    </w:p>
    <w:p w:rsidR="001F75AA" w:rsidRPr="00B023BA" w:rsidP="001F75AA">
      <w:pPr>
        <w:tabs>
          <w:tab w:val="left" w:pos="0"/>
        </w:tabs>
        <w:suppressAutoHyphens/>
        <w:rPr>
          <w:szCs w:val="22"/>
        </w:rPr>
      </w:pPr>
    </w:p>
    <w:p w:rsidR="001F75AA" w:rsidRPr="00B023BA" w:rsidP="001F75AA">
      <w:pPr>
        <w:rPr>
          <w:szCs w:val="22"/>
        </w:rPr>
      </w:pPr>
      <w:r w:rsidRPr="00B023BA">
        <w:tab/>
      </w:r>
      <w:r w:rsidRPr="00B023BA">
        <w:tab/>
      </w:r>
      <w:r w:rsidRPr="00B023BA">
        <w:tab/>
      </w:r>
      <w:r w:rsidRPr="00B023BA">
        <w:tab/>
      </w:r>
      <w:r w:rsidRPr="00B023BA">
        <w:tab/>
      </w:r>
      <w:r w:rsidRPr="00B023BA">
        <w:tab/>
      </w:r>
      <w:r>
        <w:rPr>
          <w:szCs w:val="22"/>
        </w:rPr>
        <w:t>Albert Shuldiner</w:t>
      </w:r>
    </w:p>
    <w:p w:rsidR="001F75AA" w:rsidP="001F75AA">
      <w:pPr>
        <w:rPr>
          <w:szCs w:val="22"/>
        </w:rPr>
      </w:pPr>
      <w:r w:rsidRPr="00B023BA">
        <w:rPr>
          <w:szCs w:val="22"/>
        </w:rPr>
        <w:tab/>
      </w:r>
      <w:r w:rsidRPr="00B023BA">
        <w:rPr>
          <w:szCs w:val="22"/>
        </w:rPr>
        <w:tab/>
      </w:r>
      <w:r w:rsidRPr="00B023BA">
        <w:rPr>
          <w:szCs w:val="22"/>
        </w:rPr>
        <w:tab/>
      </w:r>
      <w:r w:rsidRPr="00B023BA">
        <w:rPr>
          <w:szCs w:val="22"/>
        </w:rPr>
        <w:tab/>
      </w:r>
      <w:r w:rsidRPr="00B023BA">
        <w:rPr>
          <w:szCs w:val="22"/>
        </w:rPr>
        <w:tab/>
      </w:r>
      <w:r w:rsidRPr="00B023BA">
        <w:rPr>
          <w:szCs w:val="22"/>
        </w:rPr>
        <w:tab/>
        <w:t xml:space="preserve">Chief, </w:t>
      </w:r>
      <w:r>
        <w:rPr>
          <w:szCs w:val="22"/>
        </w:rPr>
        <w:t>Audio Division</w:t>
      </w:r>
    </w:p>
    <w:p w:rsidR="001F75AA" w:rsidRPr="00B023BA" w:rsidP="001F75AA">
      <w:pPr>
        <w:ind w:left="3600" w:firstLine="720"/>
        <w:rPr>
          <w:szCs w:val="22"/>
        </w:rPr>
      </w:pPr>
      <w:r w:rsidRPr="00B023BA">
        <w:rPr>
          <w:szCs w:val="22"/>
        </w:rPr>
        <w:t>Media Bureau</w:t>
      </w:r>
    </w:p>
    <w:p w:rsidR="001F75AA" w:rsidRPr="008B21F4" w:rsidP="001F75AA">
      <w:pPr>
        <w:tabs>
          <w:tab w:val="left" w:pos="0"/>
        </w:tabs>
        <w:suppressAutoHyphens/>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2433" w:rsidP="005633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42433" w:rsidP="006424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2433" w:rsidP="005633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15E1">
      <w:rPr>
        <w:rStyle w:val="PageNumber"/>
        <w:noProof/>
      </w:rPr>
      <w:t>2</w:t>
    </w:r>
    <w:r>
      <w:rPr>
        <w:rStyle w:val="PageNumber"/>
      </w:rPr>
      <w:fldChar w:fldCharType="end"/>
    </w:r>
  </w:p>
  <w:p w:rsidR="004B7183" w:rsidRPr="000C2EFA" w:rsidP="00642433">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2433" w:rsidRPr="00642433" w:rsidP="00642433">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25E7" w:rsidP="001F75AA">
      <w:r>
        <w:separator/>
      </w:r>
    </w:p>
  </w:footnote>
  <w:footnote w:type="continuationSeparator" w:id="1">
    <w:p w:rsidR="00A725E7" w:rsidP="001F75AA">
      <w:r>
        <w:continuationSeparator/>
      </w:r>
    </w:p>
  </w:footnote>
  <w:footnote w:id="2">
    <w:p w:rsidR="001F75AA" w:rsidP="001F75AA">
      <w:pPr>
        <w:pStyle w:val="FootnoteText"/>
      </w:pPr>
      <w:r>
        <w:rPr>
          <w:rStyle w:val="FootnoteReference"/>
        </w:rPr>
        <w:footnoteRef/>
      </w:r>
      <w:r>
        <w:t xml:space="preserve"> This </w:t>
      </w:r>
      <w:r>
        <w:rPr>
          <w:i/>
        </w:rPr>
        <w:t>NAL</w:t>
      </w:r>
      <w:r>
        <w:t xml:space="preserve"> is issued pursuant to Sections 309(k) and 503(b) of the Communications Act of 1934, as amended (Act), and Section 1.80 of the Commission’s rules (Rules).  </w:t>
      </w:r>
      <w:r>
        <w:rPr>
          <w:i/>
        </w:rPr>
        <w:t>See</w:t>
      </w:r>
      <w:r>
        <w:t xml:space="preserve"> 47 U.S.C. §§ 309(k), 503(b); 47 CFR § 1.80.  The Bureau has delegated authority to issue the </w:t>
      </w:r>
      <w:r>
        <w:rPr>
          <w:i/>
        </w:rPr>
        <w:t>NAL</w:t>
      </w:r>
      <w:r>
        <w:t xml:space="preserve"> under Section 0.283 of the Rules.  </w:t>
      </w:r>
      <w:r>
        <w:rPr>
          <w:i/>
        </w:rPr>
        <w:t>See</w:t>
      </w:r>
      <w:r>
        <w:t xml:space="preserve"> 47 CFR § 0.283.</w:t>
      </w:r>
    </w:p>
  </w:footnote>
  <w:footnote w:id="3">
    <w:p w:rsidR="001F75AA" w:rsidP="001F75AA">
      <w:pPr>
        <w:pStyle w:val="FootnoteText"/>
      </w:pPr>
      <w:r>
        <w:rPr>
          <w:rStyle w:val="FootnoteReference"/>
        </w:rPr>
        <w:footnoteRef/>
      </w:r>
      <w:r>
        <w:t xml:space="preserve"> </w:t>
      </w:r>
      <w:r>
        <w:rPr>
          <w:i/>
        </w:rPr>
        <w:t xml:space="preserve">See </w:t>
      </w:r>
      <w:r w:rsidRPr="00BD3C23">
        <w:t>47</w:t>
      </w:r>
      <w:r>
        <w:t xml:space="preserve"> CFR § 73.3526.</w:t>
      </w:r>
    </w:p>
  </w:footnote>
  <w:footnote w:id="4">
    <w:p w:rsidR="001F75AA" w:rsidRPr="00C12E02" w:rsidP="001F75AA">
      <w:pPr>
        <w:pStyle w:val="FootnoteText"/>
      </w:pPr>
      <w:r w:rsidRPr="00C12E02">
        <w:rPr>
          <w:rStyle w:val="FootnoteReference"/>
        </w:rPr>
        <w:footnoteRef/>
      </w:r>
      <w:r w:rsidRPr="00C12E02">
        <w:t xml:space="preserve"> </w:t>
      </w:r>
      <w:r w:rsidRPr="00C046B8">
        <w:rPr>
          <w:i/>
        </w:rPr>
        <w:t>See WEZB(FM)</w:t>
      </w:r>
      <w:r>
        <w:t>, Letter Order</w:t>
      </w:r>
      <w:r w:rsidRPr="00C12E02">
        <w:t>, 13 FCC Rcd 4102</w:t>
      </w:r>
      <w:r>
        <w:t>, 4105</w:t>
      </w:r>
      <w:r w:rsidRPr="00C12E02">
        <w:t xml:space="preserve"> (</w:t>
      </w:r>
      <w:r>
        <w:t xml:space="preserve">MMB </w:t>
      </w:r>
      <w:r w:rsidRPr="00C12E02">
        <w:t>1997)</w:t>
      </w:r>
      <w:r>
        <w:t xml:space="preserve">, </w:t>
      </w:r>
      <w:r w:rsidRPr="003C1A51">
        <w:t>citing</w:t>
      </w:r>
      <w:r w:rsidRPr="00C12E02">
        <w:rPr>
          <w:i/>
        </w:rPr>
        <w:t xml:space="preserve"> License Renewal Applications of Certain Commercial Radio Stations</w:t>
      </w:r>
      <w:r>
        <w:rPr>
          <w:i/>
        </w:rPr>
        <w:t xml:space="preserve"> Serving Philadelphia, Pennsylvania,</w:t>
      </w:r>
      <w:r w:rsidRPr="00C12E02">
        <w:t xml:space="preserve"> </w:t>
      </w:r>
      <w:r>
        <w:t xml:space="preserve">Memorandum Opinion and Order, </w:t>
      </w:r>
      <w:r w:rsidRPr="00C12E02">
        <w:t>8 FCC Rcd 6400 (</w:t>
      </w:r>
      <w:r>
        <w:t xml:space="preserve">MMB </w:t>
      </w:r>
      <w:r w:rsidRPr="00C12E02">
        <w:t>1993</w:t>
      </w:r>
      <w:r>
        <w:t>).</w:t>
      </w:r>
    </w:p>
  </w:footnote>
  <w:footnote w:id="5">
    <w:p w:rsidR="001F75AA" w:rsidP="001F75AA">
      <w:pPr>
        <w:pStyle w:val="FootnoteText"/>
      </w:pPr>
      <w:r>
        <w:rPr>
          <w:rStyle w:val="FootnoteReference"/>
        </w:rPr>
        <w:footnoteRef/>
      </w:r>
      <w:r>
        <w:t xml:space="preserve"> </w:t>
      </w:r>
      <w:r w:rsidRPr="008A1B9A">
        <w:rPr>
          <w:i/>
        </w:rPr>
        <w:t>See</w:t>
      </w:r>
      <w:r>
        <w:t xml:space="preserve"> 47 CFR § 73.3526.</w:t>
      </w:r>
    </w:p>
  </w:footnote>
  <w:footnote w:id="6">
    <w:p w:rsidR="001F75AA" w:rsidP="001F75AA">
      <w:pPr>
        <w:pStyle w:val="FootnoteText"/>
      </w:pPr>
      <w:r>
        <w:rPr>
          <w:rStyle w:val="FootnoteReference"/>
        </w:rPr>
        <w:footnoteRef/>
      </w:r>
      <w:r>
        <w:t xml:space="preserve"> Application, Exh. 12.</w:t>
      </w:r>
    </w:p>
  </w:footnote>
  <w:footnote w:id="7">
    <w:p w:rsidR="001F75AA" w:rsidRPr="00C12E02" w:rsidP="001F75AA">
      <w:pPr>
        <w:pStyle w:val="FootnoteText"/>
      </w:pPr>
      <w:r w:rsidRPr="00C12E02">
        <w:rPr>
          <w:rStyle w:val="FootnoteReference"/>
        </w:rPr>
        <w:footnoteRef/>
      </w:r>
      <w:r w:rsidRPr="00C12E02">
        <w:t xml:space="preserve"> </w:t>
      </w:r>
      <w:r w:rsidRPr="00C12E02">
        <w:rPr>
          <w:i/>
        </w:rPr>
        <w:t>See Padre Serra Comm</w:t>
      </w:r>
      <w:r>
        <w:rPr>
          <w:i/>
        </w:rPr>
        <w:t>c’</w:t>
      </w:r>
      <w:r w:rsidRPr="00C12E02">
        <w:rPr>
          <w:i/>
        </w:rPr>
        <w:t>ns, Inc.</w:t>
      </w:r>
      <w:r w:rsidRPr="00C12E02">
        <w:t>,</w:t>
      </w:r>
      <w:r>
        <w:t xml:space="preserve"> Letter Order,</w:t>
      </w:r>
      <w:r w:rsidRPr="00C12E02">
        <w:t xml:space="preserve"> 14 FCC Rcd 9709 (</w:t>
      </w:r>
      <w:r>
        <w:t xml:space="preserve">MMB </w:t>
      </w:r>
      <w:r w:rsidRPr="00C12E02">
        <w:t>1999</w:t>
      </w:r>
      <w:r w:rsidRPr="00C12E02">
        <w:rPr>
          <w:i/>
        </w:rPr>
        <w:t>)</w:t>
      </w:r>
      <w:r w:rsidRPr="00C12E02">
        <w:t>.</w:t>
      </w:r>
    </w:p>
  </w:footnote>
  <w:footnote w:id="8">
    <w:p w:rsidR="001F75AA" w:rsidRPr="00091DA9" w:rsidP="001F75AA">
      <w:pPr>
        <w:pStyle w:val="FootnoteText"/>
      </w:pPr>
      <w:r w:rsidRPr="00091DA9">
        <w:rPr>
          <w:rStyle w:val="FootnoteReference"/>
        </w:rPr>
        <w:footnoteRef/>
      </w:r>
      <w:r w:rsidRPr="00091DA9">
        <w:t xml:space="preserve"> 47 U.S.C. § 503(b)(1)(</w:t>
      </w:r>
      <w:r>
        <w:t>B)</w:t>
      </w:r>
      <w:r w:rsidRPr="00091DA9">
        <w:t xml:space="preserve">.  </w:t>
      </w:r>
      <w:r w:rsidRPr="00091DA9">
        <w:rPr>
          <w:i/>
        </w:rPr>
        <w:t>S</w:t>
      </w:r>
      <w:r w:rsidRPr="00091DA9">
        <w:rPr>
          <w:i/>
          <w:iCs/>
        </w:rPr>
        <w:t>ee also</w:t>
      </w:r>
      <w:r>
        <w:t xml:space="preserve"> 47 C</w:t>
      </w:r>
      <w:r w:rsidRPr="00091DA9">
        <w:t xml:space="preserve">FR </w:t>
      </w:r>
      <w:r>
        <w:t xml:space="preserve">§ </w:t>
      </w:r>
      <w:r w:rsidRPr="00091DA9">
        <w:t>1.80(a)(1).</w:t>
      </w:r>
    </w:p>
  </w:footnote>
  <w:footnote w:id="9">
    <w:p w:rsidR="001F75AA" w:rsidRPr="00091DA9" w:rsidP="001F75AA">
      <w:pPr>
        <w:pStyle w:val="FootnoteText"/>
      </w:pPr>
      <w:r w:rsidRPr="00091DA9">
        <w:rPr>
          <w:rStyle w:val="FootnoteReference"/>
        </w:rPr>
        <w:footnoteRef/>
      </w:r>
      <w:r w:rsidRPr="00091DA9">
        <w:t xml:space="preserve"> 47 U.S.C. § 312(f)(1).</w:t>
      </w:r>
    </w:p>
  </w:footnote>
  <w:footnote w:id="10">
    <w:p w:rsidR="001F75AA" w:rsidRPr="00091DA9" w:rsidP="001F75AA">
      <w:pPr>
        <w:pStyle w:val="FootnoteText"/>
      </w:pPr>
      <w:r w:rsidRPr="00091DA9">
        <w:rPr>
          <w:rStyle w:val="FootnoteReference"/>
        </w:rPr>
        <w:footnoteRef/>
      </w:r>
      <w:r w:rsidRPr="00091DA9">
        <w:rPr>
          <w:i/>
        </w:rPr>
        <w:t xml:space="preserve"> See</w:t>
      </w:r>
      <w:r w:rsidRPr="00091DA9">
        <w:t xml:space="preserve"> H.R. Rep. No. 97-765, 97</w:t>
      </w:r>
      <w:r w:rsidRPr="00091DA9">
        <w:rPr>
          <w:vertAlign w:val="superscript"/>
        </w:rPr>
        <w:t>th</w:t>
      </w:r>
      <w:r w:rsidRPr="00091DA9">
        <w:t xml:space="preserve"> Cong. 2d Sess. 51 (1982).</w:t>
      </w:r>
    </w:p>
  </w:footnote>
  <w:footnote w:id="11">
    <w:p w:rsidR="001F75AA" w:rsidRPr="00091DA9" w:rsidP="001F75AA">
      <w:pPr>
        <w:pStyle w:val="FootnoteText"/>
      </w:pPr>
      <w:r w:rsidRPr="00091DA9">
        <w:rPr>
          <w:rStyle w:val="FootnoteReference"/>
        </w:rPr>
        <w:footnoteRef/>
      </w:r>
      <w:r w:rsidRPr="00091DA9">
        <w:rPr>
          <w:i/>
          <w:iCs/>
        </w:rPr>
        <w:t xml:space="preserve"> See Southern California Broad</w:t>
      </w:r>
      <w:r>
        <w:rPr>
          <w:i/>
          <w:iCs/>
        </w:rPr>
        <w:t>.</w:t>
      </w:r>
      <w:r w:rsidRPr="00091DA9">
        <w:rPr>
          <w:i/>
          <w:iCs/>
        </w:rPr>
        <w:t xml:space="preserve"> Co.</w:t>
      </w:r>
      <w:r w:rsidRPr="00091DA9">
        <w:t xml:space="preserve">, </w:t>
      </w:r>
      <w:r>
        <w:t xml:space="preserve">Memorandum Opinion and Order, </w:t>
      </w:r>
      <w:r w:rsidRPr="00091DA9">
        <w:t>6 FCC Rcd 4387, 4388</w:t>
      </w:r>
      <w:r>
        <w:t>, para. 5</w:t>
      </w:r>
      <w:r w:rsidRPr="00091DA9">
        <w:t xml:space="preserve"> (1991)</w:t>
      </w:r>
      <w:r>
        <w:t>.</w:t>
      </w:r>
    </w:p>
  </w:footnote>
  <w:footnote w:id="12">
    <w:p w:rsidR="001F75AA" w:rsidP="001F75AA">
      <w:pPr>
        <w:pStyle w:val="FootnoteText"/>
      </w:pPr>
      <w:r>
        <w:rPr>
          <w:rStyle w:val="FootnoteReference"/>
        </w:rPr>
        <w:footnoteRef/>
      </w:r>
      <w:r>
        <w:t xml:space="preserve"> 47 U.S.C. § 312(f)(2). </w:t>
      </w:r>
    </w:p>
  </w:footnote>
  <w:footnote w:id="13">
    <w:p w:rsidR="001F75AA" w:rsidP="001F75AA">
      <w:pPr>
        <w:pStyle w:val="FootnoteText"/>
      </w:pPr>
      <w:r>
        <w:rPr>
          <w:rStyle w:val="FootnoteReference"/>
        </w:rPr>
        <w:footnoteRef/>
      </w:r>
      <w:r>
        <w:t xml:space="preserve"> </w:t>
      </w:r>
      <w:r>
        <w:rPr>
          <w:i/>
        </w:rPr>
        <w:t>See</w:t>
      </w:r>
      <w:r w:rsidRPr="00B618AA">
        <w:rPr>
          <w:i/>
        </w:rPr>
        <w:t xml:space="preserve"> Forfeiture Policy Statement</w:t>
      </w:r>
      <w:r w:rsidRPr="00C166FA">
        <w:rPr>
          <w:i/>
          <w:sz w:val="24"/>
          <w:szCs w:val="24"/>
        </w:rPr>
        <w:t xml:space="preserve"> </w:t>
      </w:r>
      <w:r w:rsidRPr="00C166FA">
        <w:rPr>
          <w:i/>
        </w:rPr>
        <w:t>and Amendment of Section 1.80(b) of the Rules to Incorporate the Forfeiture Guidelines</w:t>
      </w:r>
      <w:r w:rsidRPr="00C166FA">
        <w:t>,</w:t>
      </w:r>
      <w:r>
        <w:t xml:space="preserve"> Report and Order, 12 FCC Rcd 17087, 17113-15 (1997) </w:t>
      </w:r>
      <w:r w:rsidRPr="00C166FA">
        <w:rPr>
          <w:i/>
        </w:rPr>
        <w:t>(Forfeiture Policy Statement),</w:t>
      </w:r>
      <w:r>
        <w:t xml:space="preserve"> </w:t>
      </w:r>
      <w:r w:rsidRPr="00FD70CA">
        <w:rPr>
          <w:i/>
        </w:rPr>
        <w:t>recon. denied</w:t>
      </w:r>
      <w:r>
        <w:t>, 15 FCC Rcd 303 (1999); 47 CFR § 1.80(b)(4), note to paragraph (b)(4), Section I.</w:t>
      </w:r>
    </w:p>
  </w:footnote>
  <w:footnote w:id="14">
    <w:p w:rsidR="001F75AA" w:rsidP="001F75AA">
      <w:pPr>
        <w:pStyle w:val="FootnoteText"/>
      </w:pPr>
      <w:r>
        <w:rPr>
          <w:rStyle w:val="FootnoteReference"/>
        </w:rPr>
        <w:footnoteRef/>
      </w:r>
      <w:r>
        <w:t xml:space="preserve"> 47 U.S.C. § 503(b)(2)(D); </w:t>
      </w:r>
      <w:r w:rsidRPr="00B618AA">
        <w:rPr>
          <w:i/>
        </w:rPr>
        <w:t>see also F</w:t>
      </w:r>
      <w:r>
        <w:rPr>
          <w:i/>
        </w:rPr>
        <w:t xml:space="preserve">orfeiture Policy Statement, </w:t>
      </w:r>
      <w:r w:rsidRPr="00E54871">
        <w:t>12</w:t>
      </w:r>
      <w:r>
        <w:t xml:space="preserve"> FCC Rcd at 17100</w:t>
      </w:r>
      <w:r w:rsidR="005820D4">
        <w:t>, para. 27</w:t>
      </w:r>
      <w:r>
        <w:t>; 47 CFR § 1.80(b)(4).</w:t>
      </w:r>
    </w:p>
  </w:footnote>
  <w:footnote w:id="15">
    <w:p w:rsidR="001F75AA" w:rsidRPr="00731AAD" w:rsidP="001F75AA">
      <w:pPr>
        <w:pStyle w:val="FootnoteText"/>
        <w:rPr>
          <w:i/>
        </w:rPr>
      </w:pPr>
      <w:r>
        <w:rPr>
          <w:rStyle w:val="FootnoteReference"/>
        </w:rPr>
        <w:footnoteRef/>
      </w:r>
      <w:r>
        <w:t xml:space="preserve"> </w:t>
      </w:r>
      <w:r>
        <w:rPr>
          <w:i/>
        </w:rPr>
        <w:t>See, e.g.</w:t>
      </w:r>
      <w:r w:rsidRPr="00505AE0">
        <w:rPr>
          <w:i/>
        </w:rPr>
        <w:t xml:space="preserve"> </w:t>
      </w:r>
      <w:r>
        <w:rPr>
          <w:i/>
        </w:rPr>
        <w:t xml:space="preserve">Icicle Broad., Inc., </w:t>
      </w:r>
      <w:r w:rsidRPr="001C2556">
        <w:t>Memorandum Opinion and Order and Notice of Apparent Liability, 2</w:t>
      </w:r>
      <w:r>
        <w:t>9</w:t>
      </w:r>
      <w:r w:rsidRPr="001C2556">
        <w:t xml:space="preserve"> FCC Rcd</w:t>
      </w:r>
      <w:r>
        <w:t xml:space="preserve"> 2135</w:t>
      </w:r>
      <w:r w:rsidRPr="001C2556">
        <w:t xml:space="preserve"> (MB 201</w:t>
      </w:r>
      <w:r>
        <w:t>4</w:t>
      </w:r>
      <w:r w:rsidRPr="001C2556">
        <w:t xml:space="preserve">) ($12,000 </w:t>
      </w:r>
      <w:r>
        <w:t>forfeiture proposed for violation of Section 73.3526 occurring over five years and involving 20 missing issues/programs lists</w:t>
      </w:r>
      <w:r w:rsidRPr="001C2556">
        <w:t>)</w:t>
      </w:r>
      <w:r>
        <w:t xml:space="preserve"> (</w:t>
      </w:r>
      <w:r>
        <w:rPr>
          <w:i/>
        </w:rPr>
        <w:t>Icicle</w:t>
      </w:r>
      <w:r>
        <w:t>)</w:t>
      </w:r>
      <w:r w:rsidRPr="001C2556">
        <w:t>.</w:t>
      </w:r>
      <w:r>
        <w:t xml:space="preserve"> </w:t>
      </w:r>
    </w:p>
  </w:footnote>
  <w:footnote w:id="16">
    <w:p w:rsidR="001F75AA" w:rsidP="001F75AA">
      <w:pPr>
        <w:pStyle w:val="FootnoteText"/>
      </w:pPr>
      <w:r>
        <w:rPr>
          <w:rStyle w:val="FootnoteReference"/>
        </w:rPr>
        <w:footnoteRef/>
      </w:r>
      <w:r>
        <w:rPr>
          <w:i/>
        </w:rPr>
        <w:t xml:space="preserve"> </w:t>
      </w:r>
      <w:r>
        <w:t>47 U.S.C. § 309(k).</w:t>
      </w:r>
    </w:p>
  </w:footnote>
  <w:footnote w:id="17">
    <w:p w:rsidR="001F75AA" w:rsidP="001F75AA">
      <w:pPr>
        <w:pStyle w:val="FootnoteText"/>
      </w:pPr>
      <w:r>
        <w:rPr>
          <w:rStyle w:val="FootnoteReference"/>
        </w:rPr>
        <w:footnoteRef/>
      </w:r>
      <w:r>
        <w:t xml:space="preserve"> 47 U.S.C. § 309(k)(1).  </w:t>
      </w:r>
    </w:p>
  </w:footnote>
  <w:footnote w:id="18">
    <w:p w:rsidR="001F75AA" w:rsidP="001F75AA">
      <w:pPr>
        <w:pStyle w:val="FootnoteText"/>
      </w:pPr>
      <w:r>
        <w:rPr>
          <w:rStyle w:val="FootnoteReference"/>
        </w:rPr>
        <w:footnoteRef/>
      </w:r>
      <w:r>
        <w:t xml:space="preserve"> 47 U.S.C. §§ 309(k)(2), 309(k)(3).</w:t>
      </w:r>
    </w:p>
  </w:footnote>
  <w:footnote w:id="19">
    <w:p w:rsidR="001F75AA" w:rsidRPr="001C2556" w:rsidP="001F75AA">
      <w:pPr>
        <w:pStyle w:val="Footer"/>
        <w:spacing w:after="120"/>
        <w:rPr>
          <w:sz w:val="20"/>
        </w:rPr>
      </w:pPr>
      <w:r w:rsidRPr="001C2556">
        <w:rPr>
          <w:rStyle w:val="FootnoteReference"/>
          <w:sz w:val="20"/>
        </w:rPr>
        <w:footnoteRef/>
      </w:r>
      <w:r w:rsidRPr="001C2556">
        <w:rPr>
          <w:sz w:val="20"/>
        </w:rPr>
        <w:t xml:space="preserve"> </w:t>
      </w:r>
      <w:r w:rsidRPr="001C2556">
        <w:rPr>
          <w:i/>
          <w:sz w:val="20"/>
        </w:rPr>
        <w:t xml:space="preserve">See Formulation of Policies and Rules to Broadcast Renewal Applicants, </w:t>
      </w:r>
      <w:r w:rsidRPr="001C2556">
        <w:rPr>
          <w:sz w:val="20"/>
        </w:rPr>
        <w:t xml:space="preserve">Third Further Notice of Inquiry and Notice of Proposed Rule Making, </w:t>
      </w:r>
      <w:r>
        <w:fldChar w:fldCharType="begin"/>
      </w:r>
      <w:r>
        <w:instrText xml:space="preserve"> HYPERLINK "http://www.westlaw.com/Find/Default.wl?rs=dfa1.0&amp;vr=2.0&amp;DB=4493&amp;FindType=Y&amp;ReferencePositionType=S&amp;SerialNum=1989192022&amp;ReferencePosition=6365" </w:instrText>
      </w:r>
      <w:r>
        <w:fldChar w:fldCharType="separate"/>
      </w:r>
      <w:r w:rsidRPr="001C2556">
        <w:rPr>
          <w:sz w:val="20"/>
        </w:rPr>
        <w:t>4 FCC Rcd 6363, 6365</w:t>
      </w:r>
      <w:r>
        <w:rPr>
          <w:sz w:val="20"/>
        </w:rPr>
        <w:t>, para. 17</w:t>
      </w:r>
      <w:r w:rsidRPr="001C2556">
        <w:rPr>
          <w:sz w:val="20"/>
        </w:rPr>
        <w:t xml:space="preserve"> (1989)</w:t>
      </w:r>
      <w:r>
        <w:fldChar w:fldCharType="end"/>
      </w:r>
      <w:r w:rsidRPr="001C2556">
        <w:rPr>
          <w:sz w:val="20"/>
        </w:rPr>
        <w:t>.</w:t>
      </w:r>
    </w:p>
  </w:footnote>
  <w:footnote w:id="20">
    <w:p w:rsidR="001F75AA" w:rsidRPr="001C2556" w:rsidP="001F75AA">
      <w:pPr>
        <w:pStyle w:val="Footer"/>
        <w:spacing w:after="120"/>
        <w:rPr>
          <w:sz w:val="20"/>
        </w:rPr>
      </w:pPr>
      <w:r w:rsidRPr="001C2556">
        <w:rPr>
          <w:rStyle w:val="FootnoteReference"/>
          <w:sz w:val="20"/>
        </w:rPr>
        <w:footnoteRef/>
      </w:r>
      <w:r w:rsidRPr="001C2556">
        <w:rPr>
          <w:sz w:val="20"/>
        </w:rPr>
        <w:t xml:space="preserve"> </w:t>
      </w:r>
      <w:r w:rsidRPr="001C2556">
        <w:rPr>
          <w:i/>
          <w:sz w:val="20"/>
        </w:rPr>
        <w:t>See</w:t>
      </w:r>
      <w:r w:rsidRPr="001C2556">
        <w:rPr>
          <w:sz w:val="20"/>
        </w:rPr>
        <w:t xml:space="preserve"> </w:t>
      </w:r>
      <w:r w:rsidRPr="001C2556">
        <w:rPr>
          <w:i/>
          <w:sz w:val="20"/>
        </w:rPr>
        <w:t>Forfeiture Policy Statement</w:t>
      </w:r>
      <w:r w:rsidRPr="001C2556">
        <w:rPr>
          <w:sz w:val="20"/>
        </w:rPr>
        <w:t>, 12 FCC Rcd at 17104-05</w:t>
      </w:r>
      <w:r>
        <w:rPr>
          <w:sz w:val="20"/>
        </w:rPr>
        <w:t xml:space="preserve">, para. </w:t>
      </w:r>
      <w:r w:rsidRPr="001C2556">
        <w:rPr>
          <w:sz w:val="20"/>
        </w:rPr>
        <w:t>39.</w:t>
      </w:r>
    </w:p>
  </w:footnote>
  <w:footnote w:id="21">
    <w:p w:rsidR="001F75AA" w:rsidP="001F75AA">
      <w:pPr>
        <w:pStyle w:val="FootnoteText"/>
      </w:pPr>
      <w:r>
        <w:rPr>
          <w:rStyle w:val="FootnoteReference"/>
        </w:rPr>
        <w:footnoteRef/>
      </w:r>
      <w:r>
        <w:t xml:space="preserve"> </w:t>
      </w:r>
      <w:r w:rsidRPr="001C2556">
        <w:rPr>
          <w:i/>
        </w:rPr>
        <w:t xml:space="preserve">See </w:t>
      </w:r>
      <w:r w:rsidRPr="001C2556">
        <w:t>47 U.S.C. § 309(k)(1)(b).</w:t>
      </w:r>
    </w:p>
  </w:footnote>
  <w:footnote w:id="22">
    <w:p w:rsidR="001F75AA" w:rsidRPr="001C2556" w:rsidP="001F75AA">
      <w:pPr>
        <w:pStyle w:val="Footer"/>
        <w:spacing w:after="120"/>
        <w:rPr>
          <w:sz w:val="20"/>
        </w:rPr>
      </w:pPr>
      <w:r w:rsidRPr="001C2556">
        <w:rPr>
          <w:rStyle w:val="FootnoteReference"/>
          <w:sz w:val="20"/>
        </w:rPr>
        <w:footnoteRef/>
      </w:r>
      <w:r w:rsidRPr="001C2556">
        <w:rPr>
          <w:sz w:val="20"/>
        </w:rPr>
        <w:t xml:space="preserve"> </w:t>
      </w:r>
      <w:r w:rsidRPr="001C2556">
        <w:rPr>
          <w:i/>
          <w:sz w:val="20"/>
        </w:rPr>
        <w:t>See</w:t>
      </w:r>
      <w:r w:rsidRPr="001C2556">
        <w:rPr>
          <w:sz w:val="20"/>
        </w:rPr>
        <w:t xml:space="preserve"> 47 U.S.C. § 309(k)(1)(c).</w:t>
      </w:r>
    </w:p>
  </w:footnote>
  <w:footnote w:id="23">
    <w:p w:rsidR="001F75AA" w:rsidRPr="001C2556" w:rsidP="001F75AA">
      <w:pPr>
        <w:pStyle w:val="FootnoteText"/>
      </w:pPr>
      <w:r w:rsidRPr="001C2556">
        <w:rPr>
          <w:rStyle w:val="FootnoteReference"/>
        </w:rPr>
        <w:footnoteRef/>
      </w:r>
      <w:r w:rsidRPr="001C2556">
        <w:t xml:space="preserve"> </w:t>
      </w:r>
      <w:r>
        <w:t>W</w:t>
      </w:r>
      <w:r w:rsidRPr="001C2556">
        <w:t xml:space="preserve">e do not find that Licensee’s operation of the Station “was conducted in an exceedingly careless, inept and negligent manner and that Licensee is either incapable of correcting or unwilling to correct the operating deficiencies.”  </w:t>
      </w:r>
      <w:r w:rsidRPr="001C2556">
        <w:rPr>
          <w:i/>
        </w:rPr>
        <w:t xml:space="preserve">Heart of the Black Hills Stations, </w:t>
      </w:r>
      <w:r w:rsidRPr="001C2556">
        <w:t>Decision, 32 FCC 2d 196, 198</w:t>
      </w:r>
      <w:r>
        <w:t>, para. 6</w:t>
      </w:r>
      <w:r w:rsidRPr="001C2556">
        <w:t xml:space="preserve"> (1971).  Nor do we find on the record here that “the number, nature and extent” of the violations indicate that “the licensee cannot be relied upon to operate [the station] in the future in accordance with the requirements of its licenses and the Commission’s Rules.”  </w:t>
      </w:r>
      <w:r w:rsidRPr="001C2556">
        <w:rPr>
          <w:i/>
        </w:rPr>
        <w:t xml:space="preserve">Id. </w:t>
      </w:r>
      <w:r w:rsidRPr="001C2556">
        <w:t>at 200</w:t>
      </w:r>
      <w:r>
        <w:t>, para. 10</w:t>
      </w:r>
      <w:r w:rsidRPr="001C2556">
        <w:t>.</w:t>
      </w:r>
      <w:r>
        <w:t xml:space="preserve">  </w:t>
      </w:r>
      <w:r>
        <w:rPr>
          <w:i/>
        </w:rPr>
        <w:t>See also Center for Study and Application of Black Econ</w:t>
      </w:r>
      <w:r w:rsidR="009540A1">
        <w:rPr>
          <w:i/>
        </w:rPr>
        <w:t>.</w:t>
      </w:r>
      <w:r>
        <w:rPr>
          <w:i/>
        </w:rPr>
        <w:t xml:space="preserve"> Dev</w:t>
      </w:r>
      <w:r w:rsidR="009540A1">
        <w:rPr>
          <w:i/>
        </w:rPr>
        <w:t>.</w:t>
      </w:r>
      <w:r>
        <w:t xml:space="preserve">, Hearing Designation Order, 6 FCC Rcd 4622 (1991), </w:t>
      </w:r>
      <w:r>
        <w:rPr>
          <w:i/>
        </w:rPr>
        <w:t>Calvary Educ. Broad. Network, Inc</w:t>
      </w:r>
      <w:r>
        <w:t>., Hearing Designation Order, 7 FCC Rcd 4037 (1992).</w:t>
      </w:r>
    </w:p>
  </w:footnote>
  <w:footnote w:id="24">
    <w:p w:rsidR="001F75AA" w:rsidRPr="006E3DC5" w:rsidP="001F75AA">
      <w:pPr>
        <w:pStyle w:val="FootnoteText"/>
      </w:pPr>
      <w:r w:rsidRPr="001C2556">
        <w:rPr>
          <w:rStyle w:val="FootnoteReference"/>
        </w:rPr>
        <w:footnoteRef/>
      </w:r>
      <w:r w:rsidRPr="001C2556">
        <w:t xml:space="preserve"> </w:t>
      </w:r>
      <w:r w:rsidRPr="006E3DC5">
        <w:rPr>
          <w:i/>
        </w:rPr>
        <w:t xml:space="preserve">See, e.g., </w:t>
      </w:r>
      <w:r>
        <w:rPr>
          <w:i/>
        </w:rPr>
        <w:t xml:space="preserve">Icicle, </w:t>
      </w:r>
      <w:r w:rsidRPr="001C2556">
        <w:t>2</w:t>
      </w:r>
      <w:r>
        <w:t>9</w:t>
      </w:r>
      <w:r w:rsidRPr="001C2556">
        <w:t xml:space="preserve"> FCC Rcd</w:t>
      </w:r>
      <w:r>
        <w:t xml:space="preserve"> at 2138, para. 11</w:t>
      </w:r>
      <w:r w:rsidRPr="001C2556">
        <w:t xml:space="preserve"> (MB 201</w:t>
      </w:r>
      <w:r>
        <w:t>4</w:t>
      </w:r>
      <w:r w:rsidRPr="001C2556">
        <w:t>) (</w:t>
      </w:r>
      <w:r>
        <w:t>four-year renewal proposed for violation of Section 73.3526 occurring over five years and involving 20 missing issues/programs lists).</w:t>
      </w:r>
    </w:p>
  </w:footnote>
  <w:footnote w:id="25">
    <w:p w:rsidR="001F75AA" w:rsidRPr="000C405F" w:rsidP="001F75AA">
      <w:pPr>
        <w:pStyle w:val="FootnoteText"/>
      </w:pPr>
      <w:r w:rsidRPr="000C405F">
        <w:rPr>
          <w:rStyle w:val="FootnoteReference"/>
        </w:rPr>
        <w:footnoteRef/>
      </w:r>
      <w:r w:rsidRPr="000C405F">
        <w:t xml:space="preserve"> </w:t>
      </w:r>
      <w:r w:rsidRPr="000C405F">
        <w:rPr>
          <w:i/>
        </w:rPr>
        <w:t>See</w:t>
      </w:r>
      <w:r w:rsidRPr="000C405F">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1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183" w:rsidRPr="009910A2">
    <w:pPr>
      <w:pStyle w:val="Header"/>
      <w:tabs>
        <w:tab w:val="clear" w:pos="4320"/>
        <w:tab w:val="center" w:pos="4680"/>
        <w:tab w:val="clear" w:pos="8640"/>
        <w:tab w:val="right" w:pos="9360"/>
      </w:tabs>
      <w:rPr>
        <w:b/>
        <w:szCs w:val="22"/>
      </w:rPr>
    </w:pPr>
    <w:r>
      <w:rPr>
        <w:b/>
      </w:rPr>
      <w:tab/>
    </w:r>
    <w:r w:rsidRPr="009910A2">
      <w:rPr>
        <w:b/>
        <w:szCs w:val="22"/>
      </w:rPr>
      <w:t>Federal Communications Commission</w:t>
    </w:r>
    <w:r w:rsidRPr="009910A2">
      <w:rPr>
        <w:b/>
        <w:szCs w:val="22"/>
      </w:rPr>
      <w:tab/>
      <w:t xml:space="preserve">                          DA </w:t>
    </w:r>
    <w:r>
      <w:rPr>
        <w:b/>
        <w:szCs w:val="22"/>
      </w:rPr>
      <w:t>18</w:t>
    </w:r>
    <w:r w:rsidRPr="009910A2">
      <w:rPr>
        <w:b/>
        <w:szCs w:val="22"/>
      </w:rPr>
      <w:t>-</w:t>
    </w:r>
    <w:r w:rsidR="00B31267">
      <w:rPr>
        <w:b/>
        <w:szCs w:val="22"/>
      </w:rPr>
      <w:t>121</w:t>
    </w:r>
  </w:p>
  <w:p w:rsidR="004B7183">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4B7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7183" w:rsidRPr="009910A2">
    <w:pPr>
      <w:pStyle w:val="Header"/>
      <w:tabs>
        <w:tab w:val="clear" w:pos="4320"/>
        <w:tab w:val="center" w:pos="4680"/>
        <w:tab w:val="clear" w:pos="8640"/>
        <w:tab w:val="right" w:pos="9360"/>
      </w:tabs>
      <w:rPr>
        <w:b/>
        <w:szCs w:val="22"/>
      </w:rPr>
    </w:pPr>
    <w:r>
      <w:rPr>
        <w:b/>
      </w:rPr>
      <w:tab/>
    </w:r>
    <w:r w:rsidRPr="009910A2">
      <w:rPr>
        <w:b/>
        <w:szCs w:val="22"/>
      </w:rPr>
      <w:t>Federal Communications Commission</w:t>
    </w:r>
    <w:r w:rsidRPr="009910A2">
      <w:rPr>
        <w:b/>
        <w:szCs w:val="22"/>
      </w:rPr>
      <w:tab/>
      <w:t xml:space="preserve">                          DA </w:t>
    </w:r>
    <w:r>
      <w:rPr>
        <w:b/>
        <w:szCs w:val="22"/>
      </w:rPr>
      <w:t>18</w:t>
    </w:r>
    <w:r w:rsidRPr="009910A2">
      <w:rPr>
        <w:b/>
        <w:szCs w:val="22"/>
      </w:rPr>
      <w:t>-</w:t>
    </w:r>
    <w:r w:rsidR="00B31267">
      <w:rPr>
        <w:b/>
        <w:szCs w:val="22"/>
      </w:rPr>
      <w:t>121</w:t>
    </w:r>
  </w:p>
  <w:p w:rsidR="004B7183" w:rsidRPr="00ED3F1D">
    <w:pPr>
      <w:pStyle w:val="Header"/>
      <w:tabs>
        <w:tab w:val="clear" w:pos="8640"/>
        <w:tab w:val="right" w:pos="9360"/>
      </w:tabs>
      <w:rPr>
        <w:rFonts w:ascii="Times New Roman Bold" w:hAnsi="Times New Roman Bold"/>
        <w:color w:val="FF0000"/>
      </w:rPr>
    </w:pPr>
    <w:r w:rsidRPr="00ED3F1D">
      <w:rPr>
        <w:rFonts w:ascii="Times New Roman Bold" w:hAnsi="Times New Roman Bold"/>
        <w:noProof/>
        <w:color w:val="FF000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D0F1B3D"/>
    <w:multiLevelType w:val="singleLevel"/>
    <w:tmpl w:val="577C8B4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cap="rnd">
          <w14:noFill/>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AA"/>
    <w:rsid w:val="00056D6E"/>
    <w:rsid w:val="00091DA9"/>
    <w:rsid w:val="000A2B6E"/>
    <w:rsid w:val="000B3982"/>
    <w:rsid w:val="000C2EFA"/>
    <w:rsid w:val="000C405F"/>
    <w:rsid w:val="000D14A2"/>
    <w:rsid w:val="000F3383"/>
    <w:rsid w:val="000F3ED0"/>
    <w:rsid w:val="00127E34"/>
    <w:rsid w:val="00177E76"/>
    <w:rsid w:val="00187B0F"/>
    <w:rsid w:val="001C2556"/>
    <w:rsid w:val="001F75AA"/>
    <w:rsid w:val="002276E2"/>
    <w:rsid w:val="00245D22"/>
    <w:rsid w:val="00251848"/>
    <w:rsid w:val="002A0996"/>
    <w:rsid w:val="002D388C"/>
    <w:rsid w:val="00325271"/>
    <w:rsid w:val="00361535"/>
    <w:rsid w:val="003737A0"/>
    <w:rsid w:val="003C1A51"/>
    <w:rsid w:val="003F3447"/>
    <w:rsid w:val="004272B4"/>
    <w:rsid w:val="00460C37"/>
    <w:rsid w:val="004B7183"/>
    <w:rsid w:val="004C53A3"/>
    <w:rsid w:val="004D0AFE"/>
    <w:rsid w:val="00505AE0"/>
    <w:rsid w:val="005633DE"/>
    <w:rsid w:val="005820D4"/>
    <w:rsid w:val="005F5ACF"/>
    <w:rsid w:val="00610E5B"/>
    <w:rsid w:val="00642433"/>
    <w:rsid w:val="00685023"/>
    <w:rsid w:val="00685458"/>
    <w:rsid w:val="00693980"/>
    <w:rsid w:val="006E3DC5"/>
    <w:rsid w:val="007015E1"/>
    <w:rsid w:val="007225DC"/>
    <w:rsid w:val="00731AAD"/>
    <w:rsid w:val="007752D2"/>
    <w:rsid w:val="00804FD2"/>
    <w:rsid w:val="00823CED"/>
    <w:rsid w:val="008A1B9A"/>
    <w:rsid w:val="008A4CB5"/>
    <w:rsid w:val="008B21F4"/>
    <w:rsid w:val="008B5B6B"/>
    <w:rsid w:val="008D3633"/>
    <w:rsid w:val="008F2352"/>
    <w:rsid w:val="008F4CD8"/>
    <w:rsid w:val="009540A1"/>
    <w:rsid w:val="009625F6"/>
    <w:rsid w:val="009910A2"/>
    <w:rsid w:val="00A725E7"/>
    <w:rsid w:val="00A77C18"/>
    <w:rsid w:val="00AD0396"/>
    <w:rsid w:val="00B023BA"/>
    <w:rsid w:val="00B31267"/>
    <w:rsid w:val="00B618AA"/>
    <w:rsid w:val="00B651D9"/>
    <w:rsid w:val="00B709C8"/>
    <w:rsid w:val="00B877B0"/>
    <w:rsid w:val="00B91E9C"/>
    <w:rsid w:val="00BD3C23"/>
    <w:rsid w:val="00BD4F5C"/>
    <w:rsid w:val="00C046B8"/>
    <w:rsid w:val="00C12E02"/>
    <w:rsid w:val="00C166FA"/>
    <w:rsid w:val="00C8091D"/>
    <w:rsid w:val="00C85806"/>
    <w:rsid w:val="00C95ACE"/>
    <w:rsid w:val="00C974B2"/>
    <w:rsid w:val="00CF2A2E"/>
    <w:rsid w:val="00D967A3"/>
    <w:rsid w:val="00E112E7"/>
    <w:rsid w:val="00E50BC2"/>
    <w:rsid w:val="00E54871"/>
    <w:rsid w:val="00ED3F1D"/>
    <w:rsid w:val="00F267F8"/>
    <w:rsid w:val="00F30D5B"/>
    <w:rsid w:val="00F72607"/>
    <w:rsid w:val="00FA1D9E"/>
    <w:rsid w:val="00FD70CA"/>
    <w:rsid w:val="00FF5C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5AA"/>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4 Char Char,Footnote Text Char1,Footnote Text Char1 Char,Footnote Text Char4 Char1 Char Char,Footnote Text Char7 Char,Footnote Text Char7 Char Char,Footnote Text Char7 Char Char Char Char Char"/>
    <w:basedOn w:val="Normal"/>
    <w:link w:val="FootnoteTextChar"/>
    <w:rsid w:val="008F2352"/>
    <w:pPr>
      <w:spacing w:after="120"/>
    </w:pPr>
    <w:rPr>
      <w:sz w:val="20"/>
    </w:rPr>
  </w:style>
  <w:style w:type="character" w:customStyle="1" w:styleId="FootnoteTextChar">
    <w:name w:val="Footnote Text Char"/>
    <w:aliases w:val="Footnote Text Char Char Char4 Char Char Char1,Footnote Text Char1 Char Char1,Footnote Text Char1 Char1,Footnote Text Char4 Char1 Char Char Char1,Footnote Text Char7 Char Char Char Char Char Char1,Footnote Text Char7 Char Char Char1"/>
    <w:basedOn w:val="DefaultParagraphFont"/>
    <w:link w:val="FootnoteText"/>
    <w:semiHidden/>
    <w:rsid w:val="008F2352"/>
    <w:rPr>
      <w:rFonts w:ascii="Times New Roman" w:eastAsia="Times New Roman" w:hAnsi="Times New Roman" w:cs="Times New Roman"/>
      <w:sz w:val="20"/>
      <w:szCs w:val="20"/>
    </w:rPr>
  </w:style>
  <w:style w:type="paragraph" w:customStyle="1" w:styleId="ParaNum">
    <w:name w:val="ParaNum"/>
    <w:basedOn w:val="Normal"/>
    <w:rsid w:val="001F75AA"/>
    <w:pPr>
      <w:widowControl w:val="0"/>
      <w:numPr>
        <w:numId w:val="1"/>
      </w:numPr>
      <w:tabs>
        <w:tab w:val="clear" w:pos="1080"/>
        <w:tab w:val="left" w:pos="1440"/>
      </w:tabs>
      <w:spacing w:after="220"/>
      <w:jc w:val="both"/>
    </w:pPr>
  </w:style>
  <w:style w:type="character" w:styleId="FootnoteReference">
    <w:name w:val="footnote reference"/>
    <w:aliases w:val="(NECG) Footnote Reference,Appel note de bas de p,Style 12,Style 124"/>
    <w:basedOn w:val="DefaultParagraphFont"/>
    <w:semiHidden/>
    <w:rsid w:val="001F75AA"/>
    <w:rPr>
      <w:vertAlign w:val="superscript"/>
    </w:rPr>
  </w:style>
  <w:style w:type="paragraph" w:styleId="Header">
    <w:name w:val="header"/>
    <w:basedOn w:val="Normal"/>
    <w:link w:val="HeaderChar"/>
    <w:rsid w:val="001F75AA"/>
    <w:pPr>
      <w:tabs>
        <w:tab w:val="center" w:pos="4320"/>
        <w:tab w:val="right" w:pos="8640"/>
      </w:tabs>
    </w:pPr>
  </w:style>
  <w:style w:type="character" w:customStyle="1" w:styleId="HeaderChar">
    <w:name w:val="Header Char"/>
    <w:basedOn w:val="DefaultParagraphFont"/>
    <w:link w:val="Header"/>
    <w:rsid w:val="001F75AA"/>
    <w:rPr>
      <w:rFonts w:ascii="Times New Roman" w:eastAsia="Times New Roman" w:hAnsi="Times New Roman" w:cs="Times New Roman"/>
      <w:szCs w:val="20"/>
    </w:rPr>
  </w:style>
  <w:style w:type="paragraph" w:styleId="Footer">
    <w:name w:val="footer"/>
    <w:basedOn w:val="Normal"/>
    <w:link w:val="FooterChar"/>
    <w:rsid w:val="001F75AA"/>
    <w:pPr>
      <w:tabs>
        <w:tab w:val="center" w:pos="4320"/>
        <w:tab w:val="right" w:pos="8640"/>
      </w:tabs>
    </w:pPr>
  </w:style>
  <w:style w:type="character" w:customStyle="1" w:styleId="FooterChar">
    <w:name w:val="Footer Char"/>
    <w:basedOn w:val="DefaultParagraphFont"/>
    <w:link w:val="Footer"/>
    <w:rsid w:val="001F75AA"/>
    <w:rPr>
      <w:rFonts w:ascii="Times New Roman" w:eastAsia="Times New Roman" w:hAnsi="Times New Roman" w:cs="Times New Roman"/>
      <w:szCs w:val="20"/>
    </w:rPr>
  </w:style>
  <w:style w:type="character" w:styleId="PageNumber">
    <w:name w:val="page number"/>
    <w:basedOn w:val="DefaultParagraphFont"/>
    <w:rsid w:val="001F75AA"/>
  </w:style>
  <w:style w:type="character" w:customStyle="1" w:styleId="FootnoteTextChar2">
    <w:name w:val="Footnote Text Char2"/>
    <w:aliases w:val="Footnote Text Char Char,Footnote Text Char Char Char4 Char Char Char,Footnote Text Char1 Char Char,Footnote Text Char4 Char1 Char Char Char,Footnote Text Char7 Char Char Char,Footnote Text Char7 Char Char Char Char Char Char"/>
    <w:basedOn w:val="DefaultParagraphFont"/>
    <w:rsid w:val="001F75AA"/>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2018-02-08T14:08:16Z</dcterms:created>
  <dcterms:modified xsi:type="dcterms:W3CDTF">2018-02-08T14:08:16Z</dcterms:modified>
</cp:coreProperties>
</file>