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B73C1" w:rsidRPr="008B21F4">
      <w:pPr>
        <w:jc w:val="center"/>
        <w:rPr>
          <w:b/>
          <w:szCs w:val="22"/>
        </w:rPr>
      </w:pPr>
      <w:bookmarkStart w:id="0" w:name="_GoBack"/>
      <w:bookmarkEnd w:id="0"/>
      <w:r w:rsidRPr="008B21F4">
        <w:rPr>
          <w:b/>
          <w:szCs w:val="22"/>
        </w:rPr>
        <w:t>Before the</w:t>
      </w:r>
    </w:p>
    <w:p w:rsidR="004B7183" w:rsidRPr="008B21F4">
      <w:pPr>
        <w:jc w:val="center"/>
        <w:rPr>
          <w:b/>
          <w:szCs w:val="22"/>
        </w:rPr>
      </w:pPr>
      <w:r w:rsidRPr="008B21F4">
        <w:rPr>
          <w:b/>
          <w:szCs w:val="22"/>
        </w:rPr>
        <w:t>Federal Communications Commission</w:t>
      </w:r>
    </w:p>
    <w:p w:rsidR="004B7183" w:rsidRPr="008B21F4">
      <w:pPr>
        <w:jc w:val="center"/>
        <w:rPr>
          <w:b/>
          <w:szCs w:val="22"/>
        </w:rPr>
      </w:pPr>
      <w:r w:rsidRPr="008B21F4">
        <w:rPr>
          <w:b/>
          <w:szCs w:val="22"/>
        </w:rPr>
        <w:t>Washington, D.C. 20554</w:t>
      </w:r>
    </w:p>
    <w:p w:rsidR="004B7183" w:rsidRPr="008B21F4">
      <w:pPr>
        <w:rPr>
          <w:szCs w:val="22"/>
        </w:rPr>
      </w:pPr>
    </w:p>
    <w:tbl>
      <w:tblPr>
        <w:tblW w:w="9648" w:type="dxa"/>
        <w:tblInd w:w="0" w:type="dxa"/>
        <w:tblLayout w:type="fixed"/>
        <w:tblCellMar>
          <w:top w:w="0" w:type="dxa"/>
          <w:left w:w="108" w:type="dxa"/>
          <w:bottom w:w="0" w:type="dxa"/>
          <w:right w:w="108" w:type="dxa"/>
        </w:tblCellMar>
        <w:tblLook w:val="0000"/>
      </w:tblPr>
      <w:tblGrid>
        <w:gridCol w:w="4698"/>
        <w:gridCol w:w="720"/>
        <w:gridCol w:w="4230"/>
      </w:tblGrid>
      <w:tr>
        <w:tblPrEx>
          <w:tblW w:w="9648" w:type="dxa"/>
          <w:tblInd w:w="0" w:type="dxa"/>
          <w:tblLayout w:type="fixed"/>
          <w:tblCellMar>
            <w:top w:w="0" w:type="dxa"/>
            <w:left w:w="108" w:type="dxa"/>
            <w:bottom w:w="0" w:type="dxa"/>
            <w:right w:w="108" w:type="dxa"/>
          </w:tblCellMar>
          <w:tblLook w:val="0000"/>
        </w:tblPrEx>
        <w:tc>
          <w:tcPr>
            <w:tcW w:w="4698" w:type="dxa"/>
          </w:tcPr>
          <w:p w:rsidR="004B7183" w:rsidRPr="008B21F4">
            <w:pPr>
              <w:ind w:right="-18"/>
              <w:rPr>
                <w:rStyle w:val="DefaultParagraphFont"/>
                <w:sz w:val="22"/>
                <w:szCs w:val="22"/>
                <w:lang w:val="en-US" w:eastAsia="en-US" w:bidi="ar-SA"/>
              </w:rPr>
            </w:pPr>
            <w:r w:rsidRPr="008B21F4">
              <w:rPr>
                <w:sz w:val="22"/>
                <w:szCs w:val="22"/>
                <w:lang w:val="en-US" w:eastAsia="en-US" w:bidi="ar-SA"/>
              </w:rPr>
              <w:t xml:space="preserve">In </w:t>
            </w:r>
            <w:r w:rsidR="002D388C">
              <w:rPr>
                <w:sz w:val="22"/>
                <w:szCs w:val="22"/>
                <w:lang w:val="en-US" w:eastAsia="en-US" w:bidi="ar-SA"/>
              </w:rPr>
              <w:t xml:space="preserve">re Application of </w:t>
            </w:r>
            <w:r w:rsidRPr="008B21F4" w:rsidR="00F8279A">
              <w:rPr>
                <w:sz w:val="22"/>
                <w:szCs w:val="22"/>
                <w:lang w:val="en-US" w:eastAsia="en-US" w:bidi="ar-SA"/>
              </w:rPr>
              <w:t xml:space="preserve"> </w:t>
            </w:r>
            <w:r w:rsidRPr="008B21F4" w:rsidR="001917C4">
              <w:rPr>
                <w:sz w:val="22"/>
                <w:szCs w:val="22"/>
                <w:lang w:val="en-US" w:eastAsia="en-US" w:bidi="ar-SA"/>
              </w:rPr>
              <w:t xml:space="preserve"> </w:t>
            </w:r>
          </w:p>
          <w:p w:rsidR="004B7183" w:rsidRPr="008B21F4">
            <w:pPr>
              <w:ind w:right="-18"/>
              <w:rPr>
                <w:rStyle w:val="DefaultParagraphFont"/>
                <w:sz w:val="22"/>
                <w:szCs w:val="22"/>
                <w:lang w:val="en-US" w:eastAsia="en-US" w:bidi="ar-SA"/>
              </w:rPr>
            </w:pPr>
          </w:p>
          <w:p w:rsidR="005C17DD" w:rsidRPr="002D388C" w:rsidP="005C17DD">
            <w:pPr>
              <w:tabs>
                <w:tab w:val="left" w:pos="0"/>
              </w:tabs>
              <w:suppressAutoHyphens/>
              <w:ind w:left="5040" w:hanging="5040"/>
              <w:rPr>
                <w:rStyle w:val="DefaultParagraphFont"/>
                <w:b/>
                <w:sz w:val="22"/>
                <w:szCs w:val="22"/>
                <w:lang w:val="en-US" w:eastAsia="en-US" w:bidi="ar-SA"/>
              </w:rPr>
            </w:pPr>
            <w:r>
              <w:rPr>
                <w:b/>
                <w:sz w:val="22"/>
                <w:szCs w:val="22"/>
                <w:lang w:val="en-US" w:eastAsia="en-US" w:bidi="ar-SA"/>
              </w:rPr>
              <w:t>Cumulus Licensing LLC</w:t>
            </w:r>
          </w:p>
          <w:p w:rsidR="002D388C" w:rsidP="005C17DD">
            <w:pPr>
              <w:tabs>
                <w:tab w:val="left" w:pos="0"/>
              </w:tabs>
              <w:suppressAutoHyphens/>
              <w:ind w:left="5040" w:hanging="5040"/>
              <w:rPr>
                <w:rStyle w:val="DefaultParagraphFont"/>
                <w:sz w:val="22"/>
                <w:szCs w:val="22"/>
                <w:lang w:val="en-US" w:eastAsia="en-US" w:bidi="ar-SA"/>
              </w:rPr>
            </w:pPr>
          </w:p>
          <w:p w:rsidR="002D388C">
            <w:pPr>
              <w:ind w:right="-18"/>
              <w:rPr>
                <w:rStyle w:val="DefaultParagraphFont"/>
                <w:sz w:val="22"/>
                <w:szCs w:val="22"/>
                <w:lang w:val="en-US" w:eastAsia="en-US" w:bidi="ar-SA"/>
              </w:rPr>
            </w:pPr>
            <w:r>
              <w:rPr>
                <w:sz w:val="22"/>
                <w:szCs w:val="22"/>
                <w:lang w:val="en-US" w:eastAsia="en-US" w:bidi="ar-SA"/>
              </w:rPr>
              <w:t xml:space="preserve">For Renewal of License for </w:t>
            </w:r>
          </w:p>
          <w:p w:rsidR="00E51A6C" w:rsidRPr="008B21F4">
            <w:pPr>
              <w:ind w:right="-18"/>
              <w:rPr>
                <w:rStyle w:val="DefaultParagraphFont"/>
                <w:b/>
                <w:sz w:val="22"/>
                <w:szCs w:val="22"/>
                <w:lang w:val="en-US" w:eastAsia="en-US" w:bidi="ar-SA"/>
              </w:rPr>
            </w:pPr>
            <w:r w:rsidRPr="008B21F4">
              <w:rPr>
                <w:sz w:val="22"/>
                <w:szCs w:val="22"/>
                <w:lang w:val="en-US" w:eastAsia="en-US" w:bidi="ar-SA"/>
              </w:rPr>
              <w:t xml:space="preserve">Station </w:t>
            </w:r>
            <w:r w:rsidR="00C42D13">
              <w:rPr>
                <w:sz w:val="22"/>
                <w:szCs w:val="22"/>
                <w:lang w:val="en-US" w:eastAsia="en-US" w:bidi="ar-SA"/>
              </w:rPr>
              <w:t>W</w:t>
            </w:r>
            <w:r w:rsidR="00685023">
              <w:rPr>
                <w:sz w:val="22"/>
                <w:szCs w:val="22"/>
                <w:lang w:val="en-US" w:eastAsia="en-US" w:bidi="ar-SA"/>
              </w:rPr>
              <w:t>LFF(</w:t>
            </w:r>
            <w:r w:rsidR="00C42D13">
              <w:rPr>
                <w:sz w:val="22"/>
                <w:szCs w:val="22"/>
                <w:lang w:val="en-US" w:eastAsia="en-US" w:bidi="ar-SA"/>
              </w:rPr>
              <w:t>FM</w:t>
            </w:r>
            <w:r w:rsidR="00685023">
              <w:rPr>
                <w:sz w:val="22"/>
                <w:szCs w:val="22"/>
                <w:lang w:val="en-US" w:eastAsia="en-US" w:bidi="ar-SA"/>
              </w:rPr>
              <w:t>)</w:t>
            </w:r>
          </w:p>
          <w:p w:rsidR="00642433" w:rsidRPr="008B21F4">
            <w:pPr>
              <w:ind w:right="-18"/>
              <w:rPr>
                <w:rStyle w:val="DefaultParagraphFont"/>
                <w:sz w:val="22"/>
                <w:szCs w:val="22"/>
                <w:lang w:val="en-US" w:eastAsia="en-US" w:bidi="ar-SA"/>
              </w:rPr>
            </w:pPr>
            <w:r>
              <w:rPr>
                <w:sz w:val="22"/>
                <w:szCs w:val="22"/>
                <w:lang w:val="en-US" w:eastAsia="en-US" w:bidi="ar-SA"/>
              </w:rPr>
              <w:t>Georgetown,</w:t>
            </w:r>
            <w:r w:rsidR="00C974B2">
              <w:rPr>
                <w:sz w:val="22"/>
                <w:szCs w:val="22"/>
                <w:lang w:val="en-US" w:eastAsia="en-US" w:bidi="ar-SA"/>
              </w:rPr>
              <w:t xml:space="preserve"> </w:t>
            </w:r>
            <w:r w:rsidR="007A1855">
              <w:rPr>
                <w:sz w:val="22"/>
                <w:szCs w:val="22"/>
                <w:lang w:val="en-US" w:eastAsia="en-US" w:bidi="ar-SA"/>
              </w:rPr>
              <w:t>South Carolina</w:t>
            </w:r>
            <w:r w:rsidRPr="008B21F4" w:rsidR="00243D87">
              <w:rPr>
                <w:sz w:val="22"/>
                <w:szCs w:val="22"/>
                <w:lang w:val="en-US" w:eastAsia="en-US" w:bidi="ar-SA"/>
              </w:rPr>
              <w:t xml:space="preserve"> </w:t>
            </w:r>
          </w:p>
        </w:tc>
        <w:tc>
          <w:tcPr>
            <w:tcW w:w="720" w:type="dxa"/>
          </w:tcPr>
          <w:p w:rsidR="004B7183" w:rsidRPr="008B21F4">
            <w:pPr>
              <w:rPr>
                <w:rStyle w:val="DefaultParagraphFont"/>
                <w:b/>
                <w:sz w:val="22"/>
                <w:szCs w:val="22"/>
                <w:lang w:val="en-US" w:eastAsia="en-US" w:bidi="ar-SA"/>
              </w:rPr>
            </w:pPr>
            <w:r w:rsidRPr="008B21F4">
              <w:rPr>
                <w:b/>
                <w:sz w:val="22"/>
                <w:szCs w:val="22"/>
                <w:lang w:val="en-US" w:eastAsia="en-US" w:bidi="ar-SA"/>
              </w:rPr>
              <w:t>)</w:t>
            </w:r>
          </w:p>
          <w:p w:rsidR="004B7183" w:rsidRPr="008B21F4">
            <w:pPr>
              <w:rPr>
                <w:rStyle w:val="DefaultParagraphFont"/>
                <w:b/>
                <w:sz w:val="22"/>
                <w:szCs w:val="22"/>
                <w:lang w:val="en-US" w:eastAsia="en-US" w:bidi="ar-SA"/>
              </w:rPr>
            </w:pPr>
            <w:r w:rsidRPr="008B21F4">
              <w:rPr>
                <w:b/>
                <w:sz w:val="22"/>
                <w:szCs w:val="22"/>
                <w:lang w:val="en-US" w:eastAsia="en-US" w:bidi="ar-SA"/>
              </w:rPr>
              <w:t>)</w:t>
            </w:r>
          </w:p>
          <w:p w:rsidR="004B7183" w:rsidRPr="008B21F4">
            <w:pPr>
              <w:rPr>
                <w:rStyle w:val="DefaultParagraphFont"/>
                <w:b/>
                <w:sz w:val="22"/>
                <w:szCs w:val="22"/>
                <w:lang w:val="en-US" w:eastAsia="en-US" w:bidi="ar-SA"/>
              </w:rPr>
            </w:pPr>
            <w:r w:rsidRPr="008B21F4">
              <w:rPr>
                <w:b/>
                <w:sz w:val="22"/>
                <w:szCs w:val="22"/>
                <w:lang w:val="en-US" w:eastAsia="en-US" w:bidi="ar-SA"/>
              </w:rPr>
              <w:t>)</w:t>
            </w:r>
          </w:p>
          <w:p w:rsidR="004B7183" w:rsidRPr="008B21F4">
            <w:pPr>
              <w:rPr>
                <w:rStyle w:val="DefaultParagraphFont"/>
                <w:b/>
                <w:sz w:val="22"/>
                <w:szCs w:val="22"/>
                <w:lang w:val="en-US" w:eastAsia="en-US" w:bidi="ar-SA"/>
              </w:rPr>
            </w:pPr>
            <w:r w:rsidRPr="008B21F4">
              <w:rPr>
                <w:b/>
                <w:sz w:val="22"/>
                <w:szCs w:val="22"/>
                <w:lang w:val="en-US" w:eastAsia="en-US" w:bidi="ar-SA"/>
              </w:rPr>
              <w:t>)</w:t>
            </w:r>
          </w:p>
          <w:p w:rsidR="004B7183" w:rsidRPr="008B21F4">
            <w:pPr>
              <w:rPr>
                <w:rStyle w:val="DefaultParagraphFont"/>
                <w:b/>
                <w:sz w:val="22"/>
                <w:szCs w:val="22"/>
                <w:lang w:val="en-US" w:eastAsia="en-US" w:bidi="ar-SA"/>
              </w:rPr>
            </w:pPr>
            <w:r w:rsidRPr="008B21F4">
              <w:rPr>
                <w:b/>
                <w:sz w:val="22"/>
                <w:szCs w:val="22"/>
                <w:lang w:val="en-US" w:eastAsia="en-US" w:bidi="ar-SA"/>
              </w:rPr>
              <w:t>)</w:t>
            </w:r>
          </w:p>
          <w:p w:rsidR="006C6037">
            <w:pPr>
              <w:rPr>
                <w:rStyle w:val="DefaultParagraphFont"/>
                <w:b/>
                <w:sz w:val="22"/>
                <w:szCs w:val="22"/>
                <w:lang w:val="en-US" w:eastAsia="en-US" w:bidi="ar-SA"/>
              </w:rPr>
            </w:pPr>
            <w:r>
              <w:rPr>
                <w:b/>
                <w:sz w:val="22"/>
                <w:szCs w:val="22"/>
                <w:lang w:val="en-US" w:eastAsia="en-US" w:bidi="ar-SA"/>
              </w:rPr>
              <w:t>)</w:t>
            </w:r>
          </w:p>
          <w:p w:rsidR="002D388C" w:rsidRPr="008B21F4">
            <w:pPr>
              <w:rPr>
                <w:rStyle w:val="DefaultParagraphFont"/>
                <w:b/>
                <w:sz w:val="22"/>
                <w:szCs w:val="22"/>
                <w:lang w:val="en-US" w:eastAsia="en-US" w:bidi="ar-SA"/>
              </w:rPr>
            </w:pPr>
            <w:r>
              <w:rPr>
                <w:b/>
                <w:sz w:val="22"/>
                <w:szCs w:val="22"/>
                <w:lang w:val="en-US" w:eastAsia="en-US" w:bidi="ar-SA"/>
              </w:rPr>
              <w:t>)</w:t>
            </w:r>
          </w:p>
        </w:tc>
        <w:tc>
          <w:tcPr>
            <w:tcW w:w="4230" w:type="dxa"/>
          </w:tcPr>
          <w:p w:rsidR="004B7183" w:rsidRPr="008B21F4">
            <w:pPr>
              <w:rPr>
                <w:rStyle w:val="DefaultParagraphFont"/>
                <w:sz w:val="22"/>
                <w:szCs w:val="22"/>
                <w:lang w:val="en-US" w:eastAsia="en-US" w:bidi="ar-SA"/>
              </w:rPr>
            </w:pPr>
          </w:p>
          <w:p w:rsidR="004B7183" w:rsidRPr="008B21F4">
            <w:pPr>
              <w:rPr>
                <w:rStyle w:val="DefaultParagraphFont"/>
                <w:sz w:val="22"/>
                <w:szCs w:val="22"/>
                <w:lang w:val="en-US" w:eastAsia="en-US" w:bidi="ar-SA"/>
              </w:rPr>
            </w:pPr>
          </w:p>
          <w:p w:rsidR="004B7183" w:rsidRPr="008B21F4">
            <w:pPr>
              <w:rPr>
                <w:rStyle w:val="DefaultParagraphFont"/>
                <w:sz w:val="22"/>
                <w:szCs w:val="22"/>
                <w:lang w:val="en-US" w:eastAsia="en-US" w:bidi="ar-SA"/>
              </w:rPr>
            </w:pPr>
            <w:r w:rsidRPr="008B21F4">
              <w:rPr>
                <w:sz w:val="22"/>
                <w:szCs w:val="22"/>
                <w:lang w:val="en-US" w:eastAsia="en-US" w:bidi="ar-SA"/>
              </w:rPr>
              <w:t>Facility I.D. No.</w:t>
            </w:r>
            <w:r w:rsidRPr="008B21F4" w:rsidR="00243D87">
              <w:rPr>
                <w:sz w:val="22"/>
                <w:szCs w:val="22"/>
                <w:lang w:val="en-US" w:eastAsia="en-US" w:bidi="ar-SA"/>
              </w:rPr>
              <w:t xml:space="preserve"> </w:t>
            </w:r>
            <w:r w:rsidR="00685023">
              <w:rPr>
                <w:sz w:val="22"/>
                <w:szCs w:val="22"/>
                <w:lang w:val="en-US" w:eastAsia="en-US" w:bidi="ar-SA"/>
              </w:rPr>
              <w:t>63932</w:t>
            </w:r>
          </w:p>
          <w:p w:rsidR="00E51A6C" w:rsidRPr="00C974B2">
            <w:pPr>
              <w:rPr>
                <w:rStyle w:val="DefaultParagraphFont"/>
                <w:b/>
                <w:sz w:val="22"/>
                <w:szCs w:val="22"/>
                <w:lang w:val="en-US" w:eastAsia="en-US" w:bidi="ar-SA"/>
              </w:rPr>
            </w:pPr>
            <w:r w:rsidRPr="008B21F4">
              <w:rPr>
                <w:sz w:val="22"/>
                <w:szCs w:val="22"/>
                <w:lang w:val="en-US" w:eastAsia="en-US" w:bidi="ar-SA"/>
              </w:rPr>
              <w:t>NAL/</w:t>
            </w:r>
            <w:r w:rsidRPr="008B21F4" w:rsidR="00642433">
              <w:rPr>
                <w:sz w:val="22"/>
                <w:szCs w:val="22"/>
                <w:lang w:val="en-US" w:eastAsia="en-US" w:bidi="ar-SA"/>
              </w:rPr>
              <w:t>Acct. No.</w:t>
            </w:r>
            <w:r w:rsidR="00063955">
              <w:rPr>
                <w:sz w:val="22"/>
                <w:szCs w:val="22"/>
                <w:lang w:val="en-US" w:eastAsia="en-US" w:bidi="ar-SA"/>
              </w:rPr>
              <w:t xml:space="preserve"> </w:t>
            </w:r>
            <w:r w:rsidRPr="007752D2" w:rsidR="00063955">
              <w:rPr>
                <w:sz w:val="22"/>
                <w:szCs w:val="22"/>
                <w:lang w:val="en-US" w:eastAsia="en-US" w:bidi="ar-SA"/>
              </w:rPr>
              <w:t>MB</w:t>
            </w:r>
            <w:r w:rsidR="001F44A2">
              <w:rPr>
                <w:sz w:val="22"/>
                <w:szCs w:val="22"/>
                <w:lang w:val="en-US" w:eastAsia="en-US" w:bidi="ar-SA"/>
              </w:rPr>
              <w:t>-201841410007</w:t>
            </w:r>
          </w:p>
          <w:p w:rsidR="00B5418F">
            <w:pPr>
              <w:rPr>
                <w:rStyle w:val="DefaultParagraphFont"/>
                <w:sz w:val="22"/>
                <w:szCs w:val="22"/>
                <w:lang w:val="en-US" w:eastAsia="en-US" w:bidi="ar-SA"/>
              </w:rPr>
            </w:pPr>
            <w:r w:rsidRPr="008B21F4">
              <w:rPr>
                <w:sz w:val="22"/>
                <w:szCs w:val="22"/>
                <w:lang w:val="en-US" w:eastAsia="en-US" w:bidi="ar-SA"/>
              </w:rPr>
              <w:t xml:space="preserve">FRN: </w:t>
            </w:r>
            <w:r w:rsidRPr="00685023" w:rsidR="00685023">
              <w:rPr>
                <w:sz w:val="22"/>
                <w:szCs w:val="22"/>
                <w:lang w:val="en-US" w:eastAsia="en-US" w:bidi="ar-SA"/>
              </w:rPr>
              <w:t>0002834810</w:t>
            </w:r>
          </w:p>
          <w:p w:rsidR="009F7F3F" w:rsidRPr="008B21F4">
            <w:pPr>
              <w:rPr>
                <w:rStyle w:val="DefaultParagraphFont"/>
                <w:sz w:val="22"/>
                <w:szCs w:val="22"/>
                <w:lang w:val="en-US" w:eastAsia="en-US" w:bidi="ar-SA"/>
              </w:rPr>
            </w:pPr>
            <w:r>
              <w:rPr>
                <w:sz w:val="22"/>
                <w:szCs w:val="22"/>
                <w:lang w:val="en-US" w:eastAsia="en-US" w:bidi="ar-SA"/>
              </w:rPr>
              <w:t>File No.  BRH-</w:t>
            </w:r>
            <w:r w:rsidR="007A1855">
              <w:rPr>
                <w:sz w:val="22"/>
                <w:szCs w:val="22"/>
                <w:lang w:val="en-US" w:eastAsia="en-US" w:bidi="ar-SA"/>
              </w:rPr>
              <w:t>20110</w:t>
            </w:r>
            <w:r w:rsidR="006A6564">
              <w:rPr>
                <w:sz w:val="22"/>
                <w:szCs w:val="22"/>
                <w:lang w:val="en-US" w:eastAsia="en-US" w:bidi="ar-SA"/>
              </w:rPr>
              <w:t>801AP</w:t>
            </w:r>
            <w:r w:rsidR="00685023">
              <w:rPr>
                <w:sz w:val="22"/>
                <w:szCs w:val="22"/>
                <w:lang w:val="en-US" w:eastAsia="en-US" w:bidi="ar-SA"/>
              </w:rPr>
              <w:t>L</w:t>
            </w:r>
          </w:p>
        </w:tc>
      </w:tr>
    </w:tbl>
    <w:p w:rsidR="004B7183" w:rsidRPr="008B21F4">
      <w:pPr>
        <w:rPr>
          <w:szCs w:val="22"/>
        </w:rPr>
      </w:pPr>
    </w:p>
    <w:p w:rsidR="004B17A8" w:rsidP="004B17A8">
      <w:pPr>
        <w:jc w:val="center"/>
        <w:rPr>
          <w:b/>
          <w:spacing w:val="-2"/>
          <w:szCs w:val="22"/>
        </w:rPr>
      </w:pPr>
      <w:r>
        <w:rPr>
          <w:b/>
          <w:spacing w:val="-2"/>
          <w:szCs w:val="22"/>
        </w:rPr>
        <w:t xml:space="preserve">MEMORANDUM OPINION AND ORDER </w:t>
      </w:r>
    </w:p>
    <w:p w:rsidR="004B17A8" w:rsidP="004B17A8">
      <w:pPr>
        <w:jc w:val="center"/>
        <w:rPr>
          <w:b/>
          <w:spacing w:val="-2"/>
          <w:szCs w:val="22"/>
        </w:rPr>
      </w:pPr>
      <w:r>
        <w:rPr>
          <w:b/>
          <w:spacing w:val="-2"/>
          <w:szCs w:val="22"/>
        </w:rPr>
        <w:t>AND</w:t>
      </w:r>
    </w:p>
    <w:p w:rsidR="004B17A8" w:rsidRPr="008B21F4" w:rsidP="004B17A8">
      <w:pPr>
        <w:jc w:val="center"/>
        <w:rPr>
          <w:b/>
          <w:szCs w:val="22"/>
        </w:rPr>
      </w:pPr>
      <w:r w:rsidRPr="008B21F4">
        <w:rPr>
          <w:b/>
          <w:spacing w:val="-2"/>
          <w:szCs w:val="22"/>
        </w:rPr>
        <w:t>NOTICE OF APPARENT LIABILITY FOR FORFEITURE</w:t>
      </w:r>
    </w:p>
    <w:p w:rsidR="004B7183" w:rsidRPr="008B21F4">
      <w:pPr>
        <w:rPr>
          <w:szCs w:val="22"/>
        </w:rPr>
      </w:pPr>
    </w:p>
    <w:p w:rsidR="004B7183" w:rsidRPr="008B21F4">
      <w:pPr>
        <w:tabs>
          <w:tab w:val="left" w:pos="5760"/>
        </w:tabs>
        <w:rPr>
          <w:b/>
          <w:szCs w:val="22"/>
        </w:rPr>
      </w:pPr>
      <w:r w:rsidRPr="008B21F4">
        <w:rPr>
          <w:b/>
          <w:szCs w:val="22"/>
        </w:rPr>
        <w:t xml:space="preserve">   Adopted:  </w:t>
      </w:r>
      <w:r w:rsidR="004D196B">
        <w:rPr>
          <w:b/>
          <w:szCs w:val="22"/>
        </w:rPr>
        <w:t>February 7,</w:t>
      </w:r>
      <w:r w:rsidRPr="008B21F4" w:rsidR="001B48A4">
        <w:rPr>
          <w:b/>
          <w:szCs w:val="22"/>
        </w:rPr>
        <w:t xml:space="preserve"> 20</w:t>
      </w:r>
      <w:r w:rsidR="007A1855">
        <w:rPr>
          <w:b/>
          <w:szCs w:val="22"/>
        </w:rPr>
        <w:t>1</w:t>
      </w:r>
      <w:r w:rsidR="00263EC3">
        <w:rPr>
          <w:b/>
          <w:szCs w:val="22"/>
        </w:rPr>
        <w:t>8</w:t>
      </w:r>
      <w:r w:rsidRPr="008B21F4" w:rsidR="00642433">
        <w:rPr>
          <w:b/>
          <w:szCs w:val="22"/>
        </w:rPr>
        <w:tab/>
      </w:r>
      <w:r w:rsidRPr="008B21F4">
        <w:rPr>
          <w:b/>
          <w:szCs w:val="22"/>
        </w:rPr>
        <w:t xml:space="preserve">Released:  </w:t>
      </w:r>
      <w:r w:rsidR="004D196B">
        <w:rPr>
          <w:b/>
          <w:szCs w:val="22"/>
        </w:rPr>
        <w:t>February 8</w:t>
      </w:r>
      <w:r w:rsidRPr="008B21F4" w:rsidR="001B48A4">
        <w:rPr>
          <w:b/>
          <w:szCs w:val="22"/>
        </w:rPr>
        <w:t>, 20</w:t>
      </w:r>
      <w:r w:rsidR="007A1855">
        <w:rPr>
          <w:b/>
          <w:szCs w:val="22"/>
        </w:rPr>
        <w:t>1</w:t>
      </w:r>
      <w:r w:rsidR="00263EC3">
        <w:rPr>
          <w:b/>
          <w:szCs w:val="22"/>
        </w:rPr>
        <w:t>8</w:t>
      </w:r>
    </w:p>
    <w:p w:rsidR="004B7183" w:rsidRPr="008B21F4">
      <w:pPr>
        <w:tabs>
          <w:tab w:val="left" w:pos="5760"/>
        </w:tabs>
        <w:rPr>
          <w:b/>
          <w:szCs w:val="22"/>
        </w:rPr>
      </w:pPr>
    </w:p>
    <w:p w:rsidR="004B7183" w:rsidRPr="008B21F4">
      <w:pPr>
        <w:tabs>
          <w:tab w:val="left" w:pos="5760"/>
        </w:tabs>
        <w:rPr>
          <w:spacing w:val="-2"/>
          <w:szCs w:val="22"/>
        </w:rPr>
      </w:pPr>
      <w:r w:rsidRPr="008B21F4">
        <w:rPr>
          <w:szCs w:val="22"/>
        </w:rPr>
        <w:t xml:space="preserve">By the </w:t>
      </w:r>
      <w:r w:rsidRPr="008B21F4" w:rsidR="005633DE">
        <w:rPr>
          <w:szCs w:val="22"/>
        </w:rPr>
        <w:t xml:space="preserve">Chief, </w:t>
      </w:r>
      <w:r w:rsidR="007B151D">
        <w:rPr>
          <w:szCs w:val="22"/>
        </w:rPr>
        <w:t xml:space="preserve">Audio Division, </w:t>
      </w:r>
      <w:r w:rsidRPr="008B21F4" w:rsidR="005633DE">
        <w:rPr>
          <w:szCs w:val="22"/>
        </w:rPr>
        <w:t>Media Bureau</w:t>
      </w:r>
      <w:r w:rsidRPr="008B21F4">
        <w:rPr>
          <w:spacing w:val="-2"/>
          <w:szCs w:val="22"/>
        </w:rPr>
        <w:t>:</w:t>
      </w:r>
    </w:p>
    <w:p w:rsidR="00642433" w:rsidRPr="008B21F4">
      <w:pPr>
        <w:tabs>
          <w:tab w:val="left" w:pos="5760"/>
        </w:tabs>
        <w:rPr>
          <w:szCs w:val="22"/>
        </w:rPr>
      </w:pPr>
    </w:p>
    <w:p w:rsidR="00642433" w:rsidRPr="008B21F4" w:rsidP="007B151D">
      <w:pPr>
        <w:tabs>
          <w:tab w:val="left" w:pos="5760"/>
        </w:tabs>
        <w:rPr>
          <w:b/>
          <w:szCs w:val="22"/>
        </w:rPr>
      </w:pPr>
      <w:r w:rsidRPr="008B21F4">
        <w:rPr>
          <w:b/>
          <w:szCs w:val="22"/>
        </w:rPr>
        <w:t xml:space="preserve">I.  </w:t>
      </w:r>
      <w:r w:rsidRPr="008B21F4" w:rsidR="008B73C1">
        <w:rPr>
          <w:b/>
          <w:szCs w:val="22"/>
        </w:rPr>
        <w:t xml:space="preserve">    </w:t>
      </w:r>
      <w:r w:rsidR="00B95B97">
        <w:rPr>
          <w:b/>
          <w:szCs w:val="22"/>
        </w:rPr>
        <w:t xml:space="preserve">     </w:t>
      </w:r>
      <w:r w:rsidRPr="008B21F4" w:rsidR="008B73C1">
        <w:rPr>
          <w:b/>
          <w:szCs w:val="22"/>
        </w:rPr>
        <w:t>IN</w:t>
      </w:r>
      <w:r w:rsidRPr="008B21F4">
        <w:rPr>
          <w:b/>
          <w:szCs w:val="22"/>
        </w:rPr>
        <w:t>TRODUCTION</w:t>
      </w:r>
    </w:p>
    <w:p w:rsidR="00642433" w:rsidRPr="008B21F4" w:rsidP="007B151D">
      <w:pPr>
        <w:tabs>
          <w:tab w:val="left" w:pos="5760"/>
        </w:tabs>
        <w:rPr>
          <w:b/>
          <w:szCs w:val="22"/>
        </w:rPr>
      </w:pPr>
    </w:p>
    <w:p w:rsidR="000C2EFA" w:rsidRPr="008B21F4" w:rsidP="007B151D">
      <w:pPr>
        <w:pStyle w:val="ParaNum"/>
        <w:jc w:val="left"/>
        <w:rPr>
          <w:szCs w:val="22"/>
        </w:rPr>
      </w:pPr>
      <w:r>
        <w:rPr>
          <w:szCs w:val="22"/>
        </w:rPr>
        <w:t xml:space="preserve">The </w:t>
      </w:r>
      <w:r w:rsidR="00716767">
        <w:rPr>
          <w:szCs w:val="22"/>
        </w:rPr>
        <w:t xml:space="preserve">Media Bureau (“Bureau”) </w:t>
      </w:r>
      <w:r>
        <w:rPr>
          <w:szCs w:val="22"/>
        </w:rPr>
        <w:t>has before it the application</w:t>
      </w:r>
      <w:r w:rsidR="000925B6">
        <w:rPr>
          <w:szCs w:val="22"/>
        </w:rPr>
        <w:t xml:space="preserve"> </w:t>
      </w:r>
      <w:r>
        <w:rPr>
          <w:szCs w:val="22"/>
        </w:rPr>
        <w:t xml:space="preserve">of </w:t>
      </w:r>
      <w:r w:rsidR="00FD520E">
        <w:rPr>
          <w:szCs w:val="22"/>
        </w:rPr>
        <w:t>Cumulus Licensing LLC</w:t>
      </w:r>
      <w:r>
        <w:rPr>
          <w:szCs w:val="22"/>
        </w:rPr>
        <w:t xml:space="preserve"> </w:t>
      </w:r>
      <w:r w:rsidRPr="008B21F4">
        <w:rPr>
          <w:szCs w:val="22"/>
        </w:rPr>
        <w:t>(Licensee)</w:t>
      </w:r>
      <w:r>
        <w:rPr>
          <w:szCs w:val="22"/>
        </w:rPr>
        <w:t xml:space="preserve"> for renewal of its </w:t>
      </w:r>
      <w:r w:rsidRPr="008B21F4">
        <w:rPr>
          <w:szCs w:val="22"/>
        </w:rPr>
        <w:t>license</w:t>
      </w:r>
      <w:r>
        <w:rPr>
          <w:szCs w:val="22"/>
        </w:rPr>
        <w:t xml:space="preserve"> </w:t>
      </w:r>
      <w:r w:rsidRPr="008B21F4">
        <w:rPr>
          <w:szCs w:val="22"/>
        </w:rPr>
        <w:t>f</w:t>
      </w:r>
      <w:r>
        <w:rPr>
          <w:szCs w:val="22"/>
        </w:rPr>
        <w:t>or</w:t>
      </w:r>
      <w:r w:rsidRPr="008B21F4">
        <w:rPr>
          <w:szCs w:val="22"/>
        </w:rPr>
        <w:t xml:space="preserve"> </w:t>
      </w:r>
      <w:r w:rsidR="00685023">
        <w:rPr>
          <w:szCs w:val="22"/>
        </w:rPr>
        <w:t xml:space="preserve">Station </w:t>
      </w:r>
      <w:r w:rsidR="00C42D13">
        <w:rPr>
          <w:szCs w:val="22"/>
        </w:rPr>
        <w:t>W</w:t>
      </w:r>
      <w:r w:rsidR="00685023">
        <w:rPr>
          <w:szCs w:val="22"/>
        </w:rPr>
        <w:t>LFF(</w:t>
      </w:r>
      <w:r w:rsidR="00C42D13">
        <w:rPr>
          <w:szCs w:val="22"/>
        </w:rPr>
        <w:t>FM</w:t>
      </w:r>
      <w:r w:rsidR="00685023">
        <w:rPr>
          <w:szCs w:val="22"/>
        </w:rPr>
        <w:t>)</w:t>
      </w:r>
      <w:r w:rsidRPr="008B21F4">
        <w:rPr>
          <w:szCs w:val="22"/>
        </w:rPr>
        <w:t xml:space="preserve">, </w:t>
      </w:r>
      <w:r w:rsidR="00685023">
        <w:rPr>
          <w:szCs w:val="22"/>
        </w:rPr>
        <w:t>Georgetown</w:t>
      </w:r>
      <w:r>
        <w:rPr>
          <w:szCs w:val="22"/>
        </w:rPr>
        <w:t xml:space="preserve">, </w:t>
      </w:r>
      <w:r w:rsidR="00004950">
        <w:rPr>
          <w:szCs w:val="22"/>
        </w:rPr>
        <w:t xml:space="preserve">South Carolina </w:t>
      </w:r>
      <w:r>
        <w:rPr>
          <w:szCs w:val="22"/>
        </w:rPr>
        <w:t>(</w:t>
      </w:r>
      <w:r w:rsidRPr="008B21F4">
        <w:rPr>
          <w:szCs w:val="22"/>
        </w:rPr>
        <w:t>Station)</w:t>
      </w:r>
      <w:r>
        <w:rPr>
          <w:szCs w:val="22"/>
        </w:rPr>
        <w:t xml:space="preserve">.  </w:t>
      </w:r>
      <w:r w:rsidRPr="008B21F4" w:rsidR="00DC2010">
        <w:rPr>
          <w:szCs w:val="22"/>
        </w:rPr>
        <w:t xml:space="preserve">In this </w:t>
      </w:r>
      <w:r w:rsidR="00CF2A2E">
        <w:rPr>
          <w:i/>
          <w:szCs w:val="22"/>
        </w:rPr>
        <w:t>Memorandum Opinion and Order and N</w:t>
      </w:r>
      <w:r w:rsidRPr="008B21F4" w:rsidR="00DC2010">
        <w:rPr>
          <w:i/>
          <w:szCs w:val="22"/>
        </w:rPr>
        <w:t xml:space="preserve">otice of Apparent Liability for Forfeiture </w:t>
      </w:r>
      <w:r w:rsidRPr="000A2B6E" w:rsidR="00DC2010">
        <w:rPr>
          <w:szCs w:val="22"/>
        </w:rPr>
        <w:t>(</w:t>
      </w:r>
      <w:r w:rsidRPr="008B21F4" w:rsidR="00DC2010">
        <w:rPr>
          <w:i/>
          <w:szCs w:val="22"/>
        </w:rPr>
        <w:t>NAL</w:t>
      </w:r>
      <w:r w:rsidRPr="000A2B6E" w:rsidR="00E62388">
        <w:rPr>
          <w:szCs w:val="22"/>
        </w:rPr>
        <w:t>)</w:t>
      </w:r>
      <w:r w:rsidR="000A2B6E">
        <w:rPr>
          <w:szCs w:val="22"/>
        </w:rPr>
        <w:t>,</w:t>
      </w:r>
      <w:r>
        <w:rPr>
          <w:rStyle w:val="FootnoteReference"/>
          <w:szCs w:val="22"/>
        </w:rPr>
        <w:footnoteReference w:id="3"/>
      </w:r>
      <w:r w:rsidRPr="008B21F4" w:rsidR="00F8279A">
        <w:rPr>
          <w:szCs w:val="22"/>
        </w:rPr>
        <w:t xml:space="preserve"> we find that</w:t>
      </w:r>
      <w:r w:rsidRPr="008B21F4" w:rsidR="00993870">
        <w:rPr>
          <w:szCs w:val="22"/>
        </w:rPr>
        <w:t xml:space="preserve"> </w:t>
      </w:r>
      <w:r>
        <w:rPr>
          <w:szCs w:val="22"/>
        </w:rPr>
        <w:t xml:space="preserve">Licensee </w:t>
      </w:r>
      <w:r w:rsidRPr="008B21F4" w:rsidR="00E0667C">
        <w:rPr>
          <w:szCs w:val="22"/>
        </w:rPr>
        <w:t xml:space="preserve">apparently </w:t>
      </w:r>
      <w:r>
        <w:rPr>
          <w:szCs w:val="22"/>
        </w:rPr>
        <w:t xml:space="preserve">willfully and repeatedly </w:t>
      </w:r>
      <w:r w:rsidRPr="008B21F4" w:rsidR="00E0667C">
        <w:rPr>
          <w:szCs w:val="22"/>
        </w:rPr>
        <w:t>violated Section</w:t>
      </w:r>
      <w:r w:rsidRPr="008B21F4" w:rsidR="005849D3">
        <w:rPr>
          <w:szCs w:val="22"/>
        </w:rPr>
        <w:t xml:space="preserve"> </w:t>
      </w:r>
      <w:r w:rsidRPr="008B21F4" w:rsidR="00243D87">
        <w:rPr>
          <w:szCs w:val="22"/>
        </w:rPr>
        <w:t>73.352</w:t>
      </w:r>
      <w:r w:rsidR="005C17DD">
        <w:rPr>
          <w:szCs w:val="22"/>
        </w:rPr>
        <w:t>6</w:t>
      </w:r>
      <w:r w:rsidRPr="008B21F4" w:rsidR="00243D87">
        <w:rPr>
          <w:szCs w:val="22"/>
        </w:rPr>
        <w:t xml:space="preserve"> </w:t>
      </w:r>
      <w:r w:rsidRPr="008B21F4" w:rsidR="005849D3">
        <w:rPr>
          <w:szCs w:val="22"/>
        </w:rPr>
        <w:t>of the Rules</w:t>
      </w:r>
      <w:r>
        <w:rPr>
          <w:rStyle w:val="FootnoteReference"/>
          <w:szCs w:val="22"/>
        </w:rPr>
        <w:footnoteReference w:id="4"/>
      </w:r>
      <w:r w:rsidR="008B21F4">
        <w:rPr>
          <w:szCs w:val="22"/>
        </w:rPr>
        <w:t xml:space="preserve"> </w:t>
      </w:r>
      <w:r w:rsidRPr="008B21F4" w:rsidR="005849D3">
        <w:rPr>
          <w:szCs w:val="22"/>
        </w:rPr>
        <w:t xml:space="preserve">by failing to </w:t>
      </w:r>
      <w:r w:rsidR="008B21F4">
        <w:rPr>
          <w:szCs w:val="22"/>
        </w:rPr>
        <w:t xml:space="preserve">retain </w:t>
      </w:r>
      <w:r w:rsidR="00F83999">
        <w:rPr>
          <w:szCs w:val="22"/>
        </w:rPr>
        <w:t xml:space="preserve">all </w:t>
      </w:r>
      <w:r w:rsidR="008B21F4">
        <w:rPr>
          <w:szCs w:val="22"/>
        </w:rPr>
        <w:t xml:space="preserve">required documentation in the </w:t>
      </w:r>
      <w:r w:rsidR="00685023">
        <w:rPr>
          <w:szCs w:val="22"/>
        </w:rPr>
        <w:t>WLFF(FM)</w:t>
      </w:r>
      <w:r w:rsidR="008B21F4">
        <w:rPr>
          <w:szCs w:val="22"/>
        </w:rPr>
        <w:t xml:space="preserve"> </w:t>
      </w:r>
      <w:r w:rsidRPr="008B21F4" w:rsidR="00243D87">
        <w:rPr>
          <w:szCs w:val="22"/>
        </w:rPr>
        <w:t xml:space="preserve">public inspection </w:t>
      </w:r>
      <w:r w:rsidRPr="008B21F4" w:rsidR="005D5DBF">
        <w:rPr>
          <w:szCs w:val="22"/>
        </w:rPr>
        <w:t>file</w:t>
      </w:r>
      <w:r w:rsidRPr="008B21F4" w:rsidR="00DC2010">
        <w:rPr>
          <w:szCs w:val="22"/>
        </w:rPr>
        <w:t>.</w:t>
      </w:r>
      <w:r w:rsidRPr="008B21F4" w:rsidR="009E5713">
        <w:rPr>
          <w:szCs w:val="22"/>
        </w:rPr>
        <w:t xml:space="preserve">  </w:t>
      </w:r>
      <w:r w:rsidRPr="008B21F4" w:rsidR="00DC2010">
        <w:rPr>
          <w:szCs w:val="22"/>
        </w:rPr>
        <w:t xml:space="preserve">Based upon our review of the </w:t>
      </w:r>
      <w:r w:rsidR="00FF0FB7">
        <w:rPr>
          <w:szCs w:val="22"/>
        </w:rPr>
        <w:t xml:space="preserve">record </w:t>
      </w:r>
      <w:r w:rsidRPr="008B21F4" w:rsidR="00DC2010">
        <w:rPr>
          <w:szCs w:val="22"/>
        </w:rPr>
        <w:t xml:space="preserve">before us, </w:t>
      </w:r>
      <w:r w:rsidRPr="008B21F4" w:rsidR="009E5713">
        <w:rPr>
          <w:szCs w:val="22"/>
        </w:rPr>
        <w:t xml:space="preserve">we </w:t>
      </w:r>
      <w:r w:rsidRPr="008B21F4" w:rsidR="00DC2010">
        <w:rPr>
          <w:szCs w:val="22"/>
        </w:rPr>
        <w:t xml:space="preserve">conclude that </w:t>
      </w:r>
      <w:r w:rsidRPr="008B21F4" w:rsidR="00993870">
        <w:rPr>
          <w:szCs w:val="22"/>
        </w:rPr>
        <w:t xml:space="preserve">Licensee </w:t>
      </w:r>
      <w:r w:rsidRPr="008B21F4" w:rsidR="00DC2010">
        <w:rPr>
          <w:szCs w:val="22"/>
        </w:rPr>
        <w:t xml:space="preserve">is </w:t>
      </w:r>
      <w:r w:rsidRPr="008B21F4" w:rsidR="00993870">
        <w:rPr>
          <w:szCs w:val="22"/>
        </w:rPr>
        <w:t>ap</w:t>
      </w:r>
      <w:r w:rsidRPr="008B21F4" w:rsidR="002037C5">
        <w:rPr>
          <w:szCs w:val="22"/>
        </w:rPr>
        <w:t xml:space="preserve">parently liable for a </w:t>
      </w:r>
      <w:r w:rsidRPr="008B21F4" w:rsidR="00DC2010">
        <w:rPr>
          <w:szCs w:val="22"/>
        </w:rPr>
        <w:t xml:space="preserve">monetary </w:t>
      </w:r>
      <w:r w:rsidRPr="008B21F4" w:rsidR="00243D87">
        <w:rPr>
          <w:szCs w:val="22"/>
        </w:rPr>
        <w:t>forfeiture in the</w:t>
      </w:r>
      <w:r w:rsidR="008B21F4">
        <w:rPr>
          <w:szCs w:val="22"/>
        </w:rPr>
        <w:t xml:space="preserve"> amount of </w:t>
      </w:r>
      <w:r w:rsidR="005C17DD">
        <w:rPr>
          <w:szCs w:val="22"/>
        </w:rPr>
        <w:t xml:space="preserve">ten </w:t>
      </w:r>
      <w:r w:rsidR="008B21F4">
        <w:rPr>
          <w:szCs w:val="22"/>
        </w:rPr>
        <w:t>thousand dollars</w:t>
      </w:r>
      <w:r>
        <w:rPr>
          <w:szCs w:val="22"/>
        </w:rPr>
        <w:t xml:space="preserve"> ($10,000)</w:t>
      </w:r>
      <w:r w:rsidR="008B21F4">
        <w:rPr>
          <w:szCs w:val="22"/>
        </w:rPr>
        <w:t>.</w:t>
      </w:r>
    </w:p>
    <w:p w:rsidR="000C2EFA" w:rsidRPr="008B21F4" w:rsidP="007B151D">
      <w:pPr>
        <w:rPr>
          <w:b/>
          <w:szCs w:val="22"/>
        </w:rPr>
      </w:pPr>
      <w:r w:rsidRPr="008B21F4">
        <w:rPr>
          <w:b/>
          <w:szCs w:val="22"/>
        </w:rPr>
        <w:t xml:space="preserve">II.  </w:t>
      </w:r>
      <w:r w:rsidRPr="008B21F4" w:rsidR="008B73C1">
        <w:rPr>
          <w:b/>
          <w:szCs w:val="22"/>
        </w:rPr>
        <w:t xml:space="preserve">   </w:t>
      </w:r>
      <w:r w:rsidR="00B95B97">
        <w:rPr>
          <w:b/>
          <w:szCs w:val="22"/>
        </w:rPr>
        <w:t xml:space="preserve">    </w:t>
      </w:r>
      <w:r w:rsidRPr="008B21F4">
        <w:rPr>
          <w:b/>
          <w:szCs w:val="22"/>
        </w:rPr>
        <w:t>BACKGROUND</w:t>
      </w:r>
    </w:p>
    <w:p w:rsidR="000C2EFA" w:rsidRPr="008B21F4" w:rsidP="007B151D">
      <w:pPr>
        <w:rPr>
          <w:b/>
          <w:szCs w:val="22"/>
        </w:rPr>
      </w:pPr>
    </w:p>
    <w:p w:rsidR="00EB3EF5" w:rsidP="007B151D">
      <w:pPr>
        <w:pStyle w:val="ParaNum"/>
        <w:tabs>
          <w:tab w:val="num" w:pos="1620"/>
          <w:tab w:val="num" w:pos="1674"/>
        </w:tabs>
        <w:jc w:val="left"/>
        <w:rPr>
          <w:szCs w:val="22"/>
        </w:rPr>
      </w:pPr>
      <w:r w:rsidRPr="008B21F4">
        <w:rPr>
          <w:szCs w:val="22"/>
        </w:rPr>
        <w:t>Section 73.352</w:t>
      </w:r>
      <w:r w:rsidR="005C17DD">
        <w:rPr>
          <w:szCs w:val="22"/>
        </w:rPr>
        <w:t>6</w:t>
      </w:r>
      <w:r w:rsidRPr="008B21F4">
        <w:rPr>
          <w:szCs w:val="22"/>
        </w:rPr>
        <w:t xml:space="preserve"> of the Rules requires</w:t>
      </w:r>
      <w:r w:rsidR="000E4701">
        <w:rPr>
          <w:szCs w:val="22"/>
        </w:rPr>
        <w:t xml:space="preserve"> a commercial </w:t>
      </w:r>
      <w:r w:rsidRPr="008B21F4">
        <w:rPr>
          <w:szCs w:val="22"/>
        </w:rPr>
        <w:t xml:space="preserve">broadcast licensee to maintain a public inspection file containing specific types of information related to station operations.  The purpose of this requirement is to provide the public with timely information </w:t>
      </w:r>
      <w:r w:rsidR="0061700B">
        <w:rPr>
          <w:szCs w:val="22"/>
        </w:rPr>
        <w:t xml:space="preserve">about the station </w:t>
      </w:r>
      <w:r w:rsidRPr="008B21F4">
        <w:rPr>
          <w:szCs w:val="22"/>
        </w:rPr>
        <w:t>at regular intervals throughout the license period.</w:t>
      </w:r>
      <w:r>
        <w:rPr>
          <w:rStyle w:val="FootnoteReference"/>
          <w:szCs w:val="22"/>
        </w:rPr>
        <w:footnoteReference w:id="5"/>
      </w:r>
      <w:r w:rsidRPr="008B21F4">
        <w:rPr>
          <w:szCs w:val="22"/>
        </w:rPr>
        <w:t xml:space="preserve">  </w:t>
      </w:r>
      <w:r w:rsidR="00063955">
        <w:rPr>
          <w:szCs w:val="22"/>
        </w:rPr>
        <w:t>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6"/>
      </w:r>
    </w:p>
    <w:p w:rsidR="00D034B2" w:rsidRPr="008B0C1C" w:rsidP="008B0C1C">
      <w:pPr>
        <w:pStyle w:val="ParaNum"/>
        <w:tabs>
          <w:tab w:val="num" w:pos="1620"/>
          <w:tab w:val="num" w:pos="1674"/>
        </w:tabs>
        <w:jc w:val="left"/>
        <w:rPr>
          <w:szCs w:val="22"/>
        </w:rPr>
      </w:pPr>
      <w:r w:rsidRPr="008B21F4">
        <w:t xml:space="preserve">Section III, Item 3 of the license renewal application form, FCC Form 303-S, requests that the </w:t>
      </w:r>
      <w:r w:rsidR="007B144E">
        <w:t>l</w:t>
      </w:r>
      <w:r w:rsidRPr="008B21F4">
        <w:t>icensee certify that the documentation required by Section 73.352</w:t>
      </w:r>
      <w:r w:rsidR="003637F8">
        <w:t>6</w:t>
      </w:r>
      <w:r w:rsidRPr="008B21F4">
        <w:t xml:space="preserve">, has been placed in </w:t>
      </w:r>
      <w:r w:rsidR="00730C71">
        <w:t>the</w:t>
      </w:r>
      <w:r w:rsidR="007B144E">
        <w:t xml:space="preserve"> s</w:t>
      </w:r>
      <w:r w:rsidRPr="008B21F4">
        <w:t xml:space="preserve">tation’s public inspection file at the appropriate times.  </w:t>
      </w:r>
      <w:r w:rsidR="003637F8">
        <w:t>Licensee</w:t>
      </w:r>
      <w:r w:rsidRPr="008B21F4">
        <w:t xml:space="preserve"> </w:t>
      </w:r>
      <w:r w:rsidR="00CD1247">
        <w:t xml:space="preserve">answered </w:t>
      </w:r>
      <w:r w:rsidRPr="008B21F4">
        <w:t xml:space="preserve">“No” to that </w:t>
      </w:r>
      <w:r w:rsidR="00CD1247">
        <w:t xml:space="preserve">certification and </w:t>
      </w:r>
      <w:r w:rsidR="00CD1247">
        <w:t xml:space="preserve">attached an </w:t>
      </w:r>
      <w:r>
        <w:t>Exhibit</w:t>
      </w:r>
      <w:r w:rsidR="00CD1247">
        <w:t xml:space="preserve"> explaining</w:t>
      </w:r>
      <w:r>
        <w:t>, in pertinent part:</w:t>
      </w:r>
    </w:p>
    <w:p w:rsidR="00D034B2" w:rsidP="00D034B2">
      <w:pPr>
        <w:pStyle w:val="ParaNum"/>
        <w:numPr>
          <w:ilvl w:val="0"/>
          <w:numId w:val="0"/>
        </w:numPr>
        <w:ind w:left="720" w:right="720"/>
        <w:jc w:val="left"/>
        <w:rPr>
          <w:szCs w:val="22"/>
        </w:rPr>
      </w:pPr>
      <w:r>
        <w:rPr>
          <w:szCs w:val="22"/>
        </w:rPr>
        <w:t xml:space="preserve">The Licensee </w:t>
      </w:r>
      <w:r w:rsidRPr="002F723C" w:rsidR="00DE10CB">
        <w:t>is unable to locate the issues/programs lists for</w:t>
      </w:r>
      <w:r w:rsidR="00DE10CB">
        <w:t xml:space="preserve"> 4Q</w:t>
      </w:r>
      <w:r w:rsidRPr="002F723C" w:rsidR="00DE10CB">
        <w:t xml:space="preserve">2003, and all of 2004, 2005, 2006 and 2007. Due to numerous personnel changes during the license term, at all levels of management and staff, there is no one employed at the station currently or available to the </w:t>
      </w:r>
      <w:r w:rsidR="00DE10CB">
        <w:t>Licensee</w:t>
      </w:r>
      <w:r w:rsidRPr="002F723C" w:rsidR="00DE10CB">
        <w:t xml:space="preserve"> who has knowledge of the reports prepared for these early years of the term. Due to changes in software and computer systems during the same period, the </w:t>
      </w:r>
      <w:r w:rsidR="00DE10CB">
        <w:t>Licensee</w:t>
      </w:r>
      <w:r w:rsidRPr="002F723C" w:rsidR="00DE10CB">
        <w:t xml:space="preserve"> has been unable to locate any documentation regarding the programming carried during those years that dealt with issues of local concern. Therefore, the </w:t>
      </w:r>
      <w:r w:rsidR="00DE10CB">
        <w:t>Licensee</w:t>
      </w:r>
      <w:r w:rsidRPr="002F723C" w:rsidR="00DE10CB">
        <w:t xml:space="preserve"> cannot recreate the missing reports for 2003-2007. </w:t>
      </w:r>
      <w:r w:rsidRPr="002F723C" w:rsidR="00DE10CB">
        <w:br/>
      </w:r>
      <w:r w:rsidRPr="002F723C" w:rsidR="00DE10CB">
        <w:br/>
        <w:t>Some reports also were missing from the file for all or parts of 2008, 2009 and 2010.</w:t>
      </w:r>
      <w:r w:rsidR="003A0D85">
        <w:t xml:space="preserve">  </w:t>
      </w:r>
      <w:r w:rsidRPr="002F723C" w:rsidR="00DE10CB">
        <w:t>These reports have been recreated and the file is complete for 2008 to date with regard to quarterly issues/programs lists.</w:t>
      </w:r>
      <w:r>
        <w:rPr>
          <w:rStyle w:val="FootnoteReference"/>
          <w:szCs w:val="22"/>
        </w:rPr>
        <w:footnoteReference w:id="7"/>
      </w:r>
    </w:p>
    <w:p w:rsidR="000D54A5" w:rsidRPr="00F267F8" w:rsidP="007B151D">
      <w:pPr>
        <w:rPr>
          <w:b/>
        </w:rPr>
      </w:pPr>
      <w:r w:rsidRPr="00F267F8">
        <w:rPr>
          <w:b/>
        </w:rPr>
        <w:t xml:space="preserve">III.  </w:t>
      </w:r>
      <w:r w:rsidRPr="00F267F8" w:rsidR="008B73C1">
        <w:rPr>
          <w:b/>
        </w:rPr>
        <w:t xml:space="preserve">   </w:t>
      </w:r>
      <w:r w:rsidR="00B95B97">
        <w:rPr>
          <w:b/>
        </w:rPr>
        <w:t xml:space="preserve"> </w:t>
      </w:r>
      <w:r w:rsidRPr="00F267F8" w:rsidR="008B73C1">
        <w:rPr>
          <w:b/>
        </w:rPr>
        <w:t xml:space="preserve"> </w:t>
      </w:r>
      <w:r w:rsidRPr="00F267F8">
        <w:rPr>
          <w:b/>
        </w:rPr>
        <w:t>DISCUSSION</w:t>
      </w:r>
    </w:p>
    <w:p w:rsidR="00F267F8" w:rsidRPr="008B21F4" w:rsidP="007B151D"/>
    <w:p w:rsidR="008B21F4" w:rsidP="007B151D">
      <w:pPr>
        <w:pStyle w:val="ParaNum"/>
        <w:jc w:val="left"/>
        <w:rPr>
          <w:szCs w:val="22"/>
        </w:rPr>
      </w:pPr>
      <w:r>
        <w:rPr>
          <w:i/>
          <w:szCs w:val="22"/>
        </w:rPr>
        <w:t xml:space="preserve">Proposed </w:t>
      </w:r>
      <w:r w:rsidRPr="00BD4F5C">
        <w:rPr>
          <w:i/>
          <w:szCs w:val="22"/>
        </w:rPr>
        <w:t>Forfeiture.</w:t>
      </w:r>
      <w:r>
        <w:rPr>
          <w:szCs w:val="22"/>
        </w:rPr>
        <w:t xml:space="preserve">  As Licensee has acknowledged, at the time of filing of the</w:t>
      </w:r>
      <w:r w:rsidR="00C974B2">
        <w:rPr>
          <w:szCs w:val="22"/>
        </w:rPr>
        <w:t xml:space="preserve"> </w:t>
      </w:r>
      <w:r w:rsidR="001B25AF">
        <w:rPr>
          <w:szCs w:val="22"/>
        </w:rPr>
        <w:t>Station</w:t>
      </w:r>
      <w:r w:rsidR="0045271E">
        <w:rPr>
          <w:szCs w:val="22"/>
        </w:rPr>
        <w:t>’s</w:t>
      </w:r>
      <w:r w:rsidR="00C974B2">
        <w:rPr>
          <w:szCs w:val="22"/>
        </w:rPr>
        <w:t xml:space="preserve"> license </w:t>
      </w:r>
      <w:r>
        <w:rPr>
          <w:szCs w:val="22"/>
        </w:rPr>
        <w:t>renewal application</w:t>
      </w:r>
      <w:r w:rsidR="00F83999">
        <w:rPr>
          <w:szCs w:val="22"/>
        </w:rPr>
        <w:t xml:space="preserve"> and during periods within the license term</w:t>
      </w:r>
      <w:r>
        <w:rPr>
          <w:szCs w:val="22"/>
        </w:rPr>
        <w:t xml:space="preserve">, </w:t>
      </w:r>
      <w:r w:rsidR="00C974B2">
        <w:rPr>
          <w:szCs w:val="22"/>
        </w:rPr>
        <w:t xml:space="preserve">the Station’s </w:t>
      </w:r>
      <w:r>
        <w:rPr>
          <w:szCs w:val="22"/>
        </w:rPr>
        <w:t>public inspection file</w:t>
      </w:r>
      <w:r w:rsidR="00C36E5C">
        <w:rPr>
          <w:szCs w:val="22"/>
        </w:rPr>
        <w:t xml:space="preserve"> did not contain many of the items required to be retained in the file by Section 73.352</w:t>
      </w:r>
      <w:r w:rsidR="003637F8">
        <w:rPr>
          <w:szCs w:val="22"/>
        </w:rPr>
        <w:t>6</w:t>
      </w:r>
      <w:r w:rsidR="00C36E5C">
        <w:rPr>
          <w:szCs w:val="22"/>
        </w:rPr>
        <w:t xml:space="preserve"> of the Rules.  </w:t>
      </w:r>
      <w:r w:rsidRPr="008B21F4" w:rsidR="00C36E5C">
        <w:rPr>
          <w:szCs w:val="22"/>
        </w:rPr>
        <w:t>In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8"/>
      </w:r>
      <w:r w:rsidRPr="008B21F4" w:rsidR="00C36E5C">
        <w:rPr>
          <w:szCs w:val="22"/>
        </w:rPr>
        <w:t xml:space="preserve">  </w:t>
      </w:r>
    </w:p>
    <w:p w:rsidR="001917C4" w:rsidRPr="008B21F4" w:rsidP="007B151D">
      <w:pPr>
        <w:pStyle w:val="ParaNum"/>
        <w:jc w:val="left"/>
        <w:rPr>
          <w:szCs w:val="22"/>
        </w:rPr>
      </w:pPr>
      <w:r>
        <w:rPr>
          <w:szCs w:val="22"/>
        </w:rPr>
        <w:t xml:space="preserve">Under </w:t>
      </w:r>
      <w:r w:rsidRPr="008B21F4" w:rsidR="00E54871">
        <w:rPr>
          <w:szCs w:val="22"/>
        </w:rPr>
        <w:t>S</w:t>
      </w:r>
      <w:r w:rsidRPr="008B21F4" w:rsidR="007D2E87">
        <w:rPr>
          <w:szCs w:val="22"/>
        </w:rPr>
        <w:t>ection 503(b)(1)</w:t>
      </w:r>
      <w:r w:rsidRPr="008B21F4" w:rsidR="000C12E7">
        <w:rPr>
          <w:szCs w:val="22"/>
        </w:rPr>
        <w:t>(B)</w:t>
      </w:r>
      <w:r w:rsidRPr="008B21F4" w:rsidR="009F4F4C">
        <w:rPr>
          <w:szCs w:val="22"/>
        </w:rPr>
        <w:t xml:space="preserve"> of the Act</w:t>
      </w:r>
      <w:r>
        <w:rPr>
          <w:szCs w:val="22"/>
        </w:rPr>
        <w:t xml:space="preserve">, </w:t>
      </w:r>
      <w:r w:rsidRPr="008B21F4" w:rsidR="007D2E87">
        <w:rPr>
          <w:szCs w:val="22"/>
        </w:rPr>
        <w:t>a</w:t>
      </w:r>
      <w:r>
        <w:rPr>
          <w:szCs w:val="22"/>
        </w:rPr>
        <w:t xml:space="preserve"> </w:t>
      </w:r>
      <w:r w:rsidRPr="008B21F4" w:rsidR="007D2E87">
        <w:rPr>
          <w:szCs w:val="22"/>
        </w:rPr>
        <w:t xml:space="preserve">person who is </w:t>
      </w:r>
      <w:r w:rsidR="0045271E">
        <w:rPr>
          <w:szCs w:val="22"/>
        </w:rPr>
        <w:t>found</w:t>
      </w:r>
      <w:r w:rsidRPr="008B21F4" w:rsidR="007D2E87">
        <w:rPr>
          <w:szCs w:val="22"/>
        </w:rPr>
        <w:t xml:space="preserve">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9"/>
      </w:r>
      <w:r w:rsidRPr="008B21F4" w:rsidR="007D2E87">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0"/>
      </w:r>
      <w:r w:rsidRPr="008B21F4" w:rsidR="00E54871">
        <w:rPr>
          <w:szCs w:val="22"/>
        </w:rPr>
        <w:t xml:space="preserve">  The legislative history to S</w:t>
      </w:r>
      <w:r w:rsidRPr="008B21F4" w:rsidR="007D2E87">
        <w:rPr>
          <w:szCs w:val="22"/>
        </w:rPr>
        <w:t>ection 312(f)(1) of the Act clarifies that this definit</w:t>
      </w:r>
      <w:r w:rsidRPr="008B21F4" w:rsidR="00E54871">
        <w:rPr>
          <w:szCs w:val="22"/>
        </w:rPr>
        <w:t>ion of willful applies to both S</w:t>
      </w:r>
      <w:r w:rsidRPr="008B21F4" w:rsidR="007D2E87">
        <w:rPr>
          <w:szCs w:val="22"/>
        </w:rPr>
        <w:t>ections 312 and 503(b) of the Act,</w:t>
      </w:r>
      <w:r>
        <w:rPr>
          <w:rStyle w:val="FootnoteReference"/>
          <w:szCs w:val="22"/>
        </w:rPr>
        <w:footnoteReference w:id="11"/>
      </w:r>
      <w:r w:rsidRPr="008B21F4" w:rsidR="007D2E87">
        <w:rPr>
          <w:szCs w:val="22"/>
        </w:rPr>
        <w:t xml:space="preserve"> and the Commission has </w:t>
      </w:r>
      <w:r w:rsidRPr="008B21F4" w:rsidR="00E54871">
        <w:rPr>
          <w:szCs w:val="22"/>
        </w:rPr>
        <w:t>so interpreted the term in the S</w:t>
      </w:r>
      <w:r w:rsidRPr="008B21F4" w:rsidR="007D2E87">
        <w:rPr>
          <w:szCs w:val="22"/>
        </w:rPr>
        <w:t>ection 503(b) context.</w:t>
      </w:r>
      <w:r>
        <w:rPr>
          <w:rStyle w:val="FootnoteReference"/>
          <w:szCs w:val="22"/>
        </w:rPr>
        <w:footnoteReference w:id="12"/>
      </w:r>
      <w:r w:rsidRPr="008B21F4" w:rsidR="007D2E87">
        <w:rPr>
          <w:szCs w:val="22"/>
        </w:rPr>
        <w:t xml:space="preserve">  </w:t>
      </w:r>
      <w:r w:rsidRPr="008B21F4">
        <w:rPr>
          <w:szCs w:val="22"/>
        </w:rPr>
        <w:t>Section 312(f)(2) of the Act provides that “[t]he term</w:t>
      </w:r>
      <w:r w:rsidRPr="008B21F4" w:rsidR="00E62388">
        <w:rPr>
          <w:szCs w:val="22"/>
        </w:rPr>
        <w:t xml:space="preserve"> ‘repeated,’</w:t>
      </w:r>
      <w:r w:rsidRPr="008B21F4">
        <w:rPr>
          <w:szCs w:val="22"/>
        </w:rPr>
        <w:t xml:space="preserve">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3"/>
      </w:r>
      <w:r w:rsidRPr="008B21F4" w:rsidR="004558BB">
        <w:rPr>
          <w:szCs w:val="22"/>
        </w:rPr>
        <w:t xml:space="preserve">  </w:t>
      </w:r>
    </w:p>
    <w:p w:rsidR="001917C4" w:rsidRPr="008B21F4" w:rsidP="00D51B0D">
      <w:pPr>
        <w:pStyle w:val="ParaNum"/>
        <w:jc w:val="left"/>
        <w:rPr>
          <w:szCs w:val="22"/>
        </w:rPr>
      </w:pPr>
      <w:r w:rsidRPr="008B21F4">
        <w:rPr>
          <w:szCs w:val="22"/>
        </w:rPr>
        <w:t>The</w:t>
      </w:r>
      <w:r w:rsidRPr="008B21F4">
        <w:rPr>
          <w:i/>
          <w:szCs w:val="22"/>
        </w:rPr>
        <w:t xml:space="preserve"> </w:t>
      </w:r>
      <w:r w:rsidRPr="008B21F4">
        <w:rPr>
          <w:szCs w:val="22"/>
        </w:rPr>
        <w:t>Commission’s</w:t>
      </w:r>
      <w:r w:rsidRPr="008B21F4">
        <w:rPr>
          <w:i/>
          <w:szCs w:val="22"/>
        </w:rPr>
        <w:t xml:space="preserve"> Forfeiture Policy Statement</w:t>
      </w:r>
      <w:r w:rsidRPr="008B21F4">
        <w:rPr>
          <w:szCs w:val="22"/>
        </w:rPr>
        <w:t xml:space="preserve"> and Section 1.80</w:t>
      </w:r>
      <w:r w:rsidRPr="008B21F4" w:rsidR="00E475B1">
        <w:rPr>
          <w:szCs w:val="22"/>
        </w:rPr>
        <w:t>(b)(4)</w:t>
      </w:r>
      <w:r w:rsidRPr="008B21F4">
        <w:rPr>
          <w:szCs w:val="22"/>
        </w:rPr>
        <w:t xml:space="preserve"> of the Rules </w:t>
      </w:r>
      <w:r w:rsidRPr="008B21F4" w:rsidR="00E475B1">
        <w:rPr>
          <w:szCs w:val="22"/>
        </w:rPr>
        <w:t>establish</w:t>
      </w:r>
      <w:r w:rsidRPr="008B21F4">
        <w:rPr>
          <w:szCs w:val="22"/>
        </w:rPr>
        <w:t xml:space="preserve"> a base forfeiture amount of </w:t>
      </w:r>
      <w:r w:rsidR="008B21F4">
        <w:rPr>
          <w:szCs w:val="22"/>
        </w:rPr>
        <w:t>$</w:t>
      </w:r>
      <w:r w:rsidRPr="008B21F4" w:rsidR="00243D87">
        <w:rPr>
          <w:szCs w:val="22"/>
        </w:rPr>
        <w:t>1</w:t>
      </w:r>
      <w:r w:rsidR="008B21F4">
        <w:rPr>
          <w:szCs w:val="22"/>
        </w:rPr>
        <w:t>0</w:t>
      </w:r>
      <w:r w:rsidRPr="008B21F4" w:rsidR="00243D87">
        <w:rPr>
          <w:szCs w:val="22"/>
        </w:rPr>
        <w:t xml:space="preserve">,000 </w:t>
      </w:r>
      <w:r w:rsidRPr="008B21F4">
        <w:rPr>
          <w:szCs w:val="22"/>
        </w:rPr>
        <w:t xml:space="preserve">for violation of </w:t>
      </w:r>
      <w:r w:rsidR="000F6437">
        <w:rPr>
          <w:szCs w:val="22"/>
        </w:rPr>
        <w:t>Section 73.3526</w:t>
      </w:r>
      <w:r w:rsidRPr="008B21F4" w:rsidR="00EB3EF5">
        <w:rPr>
          <w:b/>
          <w:szCs w:val="22"/>
        </w:rPr>
        <w:t>.</w:t>
      </w:r>
      <w:r>
        <w:rPr>
          <w:rStyle w:val="FootnoteReference"/>
          <w:szCs w:val="22"/>
        </w:rPr>
        <w:footnoteReference w:id="14"/>
      </w:r>
      <w:r w:rsidRPr="008B21F4" w:rsidR="00243D87">
        <w:rPr>
          <w:szCs w:val="22"/>
        </w:rPr>
        <w:t xml:space="preserve">  </w:t>
      </w:r>
      <w:r w:rsidRPr="008B21F4">
        <w:rPr>
          <w:szCs w:val="22"/>
        </w:rPr>
        <w:t xml:space="preserve">In determining the appropriate forfeiture amount, we </w:t>
      </w:r>
      <w:r w:rsidRPr="008B21F4" w:rsidR="0067333E">
        <w:rPr>
          <w:szCs w:val="22"/>
        </w:rPr>
        <w:t>m</w:t>
      </w:r>
      <w:r w:rsidR="0067333E">
        <w:rPr>
          <w:szCs w:val="22"/>
        </w:rPr>
        <w:t xml:space="preserve">ay adjust the </w:t>
      </w:r>
      <w:r w:rsidR="00342354">
        <w:rPr>
          <w:szCs w:val="22"/>
        </w:rPr>
        <w:t xml:space="preserve">base </w:t>
      </w:r>
      <w:r w:rsidR="0067333E">
        <w:rPr>
          <w:szCs w:val="22"/>
        </w:rPr>
        <w:t xml:space="preserve">amount upward or downward by </w:t>
      </w:r>
      <w:r w:rsidRPr="008B21F4" w:rsidR="0067333E">
        <w:rPr>
          <w:szCs w:val="22"/>
        </w:rPr>
        <w:t>consider</w:t>
      </w:r>
      <w:r w:rsidR="0067333E">
        <w:rPr>
          <w:szCs w:val="22"/>
        </w:rPr>
        <w:t xml:space="preserve">ing </w:t>
      </w:r>
      <w:r w:rsidRPr="008B21F4">
        <w:rPr>
          <w:szCs w:val="22"/>
        </w:rPr>
        <w:t xml:space="preserve">the </w:t>
      </w:r>
      <w:r w:rsidRPr="008B21F4">
        <w:rPr>
          <w:szCs w:val="22"/>
        </w:rPr>
        <w:t>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5"/>
      </w:r>
    </w:p>
    <w:p w:rsidR="00CF2A2E" w:rsidRPr="00CF2A2E" w:rsidP="007B151D">
      <w:pPr>
        <w:pStyle w:val="ParaNum"/>
        <w:jc w:val="left"/>
        <w:rPr>
          <w:szCs w:val="22"/>
        </w:rPr>
      </w:pPr>
      <w:r w:rsidRPr="008B21F4">
        <w:t>In this case</w:t>
      </w:r>
      <w:r w:rsidRPr="008B21F4" w:rsidR="007D2E87">
        <w:t>,</w:t>
      </w:r>
      <w:r w:rsidRPr="008B21F4" w:rsidR="005D5DBF">
        <w:t xml:space="preserve"> </w:t>
      </w:r>
      <w:r>
        <w:t xml:space="preserve">although </w:t>
      </w:r>
      <w:r w:rsidR="00F038FA">
        <w:t>L</w:t>
      </w:r>
      <w:r w:rsidRPr="008B21F4" w:rsidR="005D5DBF">
        <w:t xml:space="preserve">icensee </w:t>
      </w:r>
      <w:r w:rsidR="00C2318D">
        <w:t xml:space="preserve">has </w:t>
      </w:r>
      <w:r w:rsidRPr="008B21F4" w:rsidR="005D5DBF">
        <w:t>admitted</w:t>
      </w:r>
      <w:r w:rsidR="009F0F90">
        <w:t xml:space="preserve"> to</w:t>
      </w:r>
      <w:r w:rsidRPr="008B21F4" w:rsidR="005D5DBF">
        <w:t xml:space="preserve"> </w:t>
      </w:r>
      <w:r w:rsidR="0045271E">
        <w:t>violating Section 73.3526</w:t>
      </w:r>
      <w:r>
        <w:t xml:space="preserve">, it did so only in the context of the question contained </w:t>
      </w:r>
      <w:r w:rsidRPr="008B21F4" w:rsidR="005D5DBF">
        <w:t xml:space="preserve">in </w:t>
      </w:r>
      <w:r w:rsidR="000E4701">
        <w:t>its</w:t>
      </w:r>
      <w:r>
        <w:t xml:space="preserve"> license renewal application that compelled such disclosure</w:t>
      </w:r>
      <w:r w:rsidRPr="008B21F4" w:rsidR="005D5DBF">
        <w:t xml:space="preserve">.  </w:t>
      </w:r>
      <w:r>
        <w:t>Moreover</w:t>
      </w:r>
      <w:r w:rsidRPr="008B21F4" w:rsidR="005D5DBF">
        <w:t xml:space="preserve">, the violations </w:t>
      </w:r>
      <w:r>
        <w:t xml:space="preserve">were extensive, </w:t>
      </w:r>
      <w:r w:rsidRPr="008B21F4" w:rsidR="005D5DBF">
        <w:t>occurr</w:t>
      </w:r>
      <w:r>
        <w:t xml:space="preserve">ing </w:t>
      </w:r>
      <w:r w:rsidR="00E64F6A">
        <w:t xml:space="preserve">over nearly the entire license term </w:t>
      </w:r>
      <w:r>
        <w:t xml:space="preserve">and involving </w:t>
      </w:r>
      <w:r w:rsidR="00C30E03">
        <w:t>17</w:t>
      </w:r>
      <w:r w:rsidR="00E64F6A">
        <w:t xml:space="preserve"> </w:t>
      </w:r>
      <w:r w:rsidR="008A1BD5">
        <w:t>issue</w:t>
      </w:r>
      <w:r w:rsidR="00566477">
        <w:t>s</w:t>
      </w:r>
      <w:r w:rsidR="00374945">
        <w:t>/</w:t>
      </w:r>
      <w:r w:rsidR="008A1BD5">
        <w:t>program</w:t>
      </w:r>
      <w:r w:rsidR="00566477">
        <w:t>s</w:t>
      </w:r>
      <w:r w:rsidR="005A21D3">
        <w:t xml:space="preserve"> lists.</w:t>
      </w:r>
      <w:r w:rsidR="00263EC3">
        <w:t xml:space="preserve">  </w:t>
      </w:r>
      <w:r w:rsidR="00263EC3">
        <w:rPr>
          <w:szCs w:val="22"/>
        </w:rPr>
        <w:t xml:space="preserve">Additionally, although Licensee has a history of compliance with the Rules, a downward adjustment is not appropriate here considering the extensive violations that occurred.  </w:t>
      </w:r>
      <w:r w:rsidRPr="008B21F4" w:rsidR="005D5DBF">
        <w:t>Considering the record as a whole, we believe that a</w:t>
      </w:r>
      <w:r w:rsidR="00194CCC">
        <w:t xml:space="preserve"> </w:t>
      </w:r>
      <w:r w:rsidR="009572BC">
        <w:t>$10</w:t>
      </w:r>
      <w:r w:rsidRPr="008B21F4" w:rsidR="005D5DBF">
        <w:t xml:space="preserve">,000 </w:t>
      </w:r>
      <w:r w:rsidR="009572BC">
        <w:t xml:space="preserve">forfeiture </w:t>
      </w:r>
      <w:r w:rsidRPr="008B21F4" w:rsidR="005D5DBF">
        <w:t xml:space="preserve">is appropriate for the </w:t>
      </w:r>
      <w:r w:rsidR="009572BC">
        <w:t xml:space="preserve">Section 73.3526 </w:t>
      </w:r>
      <w:r w:rsidRPr="008B21F4" w:rsidR="005D5DBF">
        <w:t>violations in this case.</w:t>
      </w:r>
      <w:r>
        <w:rPr>
          <w:rStyle w:val="FootnoteReference"/>
        </w:rPr>
        <w:footnoteReference w:id="16"/>
      </w:r>
      <w:r w:rsidRPr="008B21F4" w:rsidR="005D5DBF">
        <w:t xml:space="preserve">  </w:t>
      </w:r>
    </w:p>
    <w:p w:rsidR="008B5B6B" w:rsidRPr="00F76CC2" w:rsidP="007B151D">
      <w:pPr>
        <w:pStyle w:val="ParaNum"/>
        <w:jc w:val="left"/>
        <w:rPr>
          <w:szCs w:val="22"/>
        </w:rPr>
      </w:pPr>
      <w:r>
        <w:rPr>
          <w:i/>
        </w:rPr>
        <w:t>License Renewal Application.</w:t>
      </w:r>
      <w:r>
        <w:t xml:space="preserve">  </w:t>
      </w:r>
      <w:r w:rsidRPr="005F5ACF">
        <w:t>In evaluating an application for license renewal, the Commission’s decision is governed by Section 309(k) of the Act.</w:t>
      </w:r>
      <w:r>
        <w:rPr>
          <w:rStyle w:val="FootnoteReference"/>
          <w:szCs w:val="22"/>
        </w:rPr>
        <w:footnoteReference w:id="17"/>
      </w:r>
      <w:r w:rsidR="007B144E">
        <w:t xml:space="preserve">  That S</w:t>
      </w:r>
      <w:r w:rsidRPr="005F5ACF">
        <w:t>ection provides that if, upon consideration of the application and pleadings, we find that</w:t>
      </w:r>
      <w:r w:rsidR="00506660">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18"/>
      </w:r>
      <w:r w:rsidRPr="005F5ACF">
        <w:t xml:space="preserve"> </w:t>
      </w:r>
      <w:r w:rsidRPr="005F5ACF">
        <w:rPr>
          <w:i/>
        </w:rPr>
        <w:t xml:space="preserve"> </w:t>
      </w:r>
      <w:r w:rsidRPr="005F5ACF">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19"/>
      </w:r>
    </w:p>
    <w:p w:rsidR="00F76CC2" w:rsidRPr="008B5B6B" w:rsidP="007B151D">
      <w:pPr>
        <w:pStyle w:val="ParaNum"/>
        <w:jc w:val="left"/>
        <w:rPr>
          <w:szCs w:val="22"/>
        </w:rPr>
      </w:pPr>
      <w:r>
        <w:rPr>
          <w:color w:val="000000"/>
          <w:szCs w:val="22"/>
        </w:rPr>
        <w:t>We find that Licensee’s apparent violations of Section 73.3526 of the Rules do not constitute “serious violations” warranting designation for evidentiary hearing.  Moreover, we find no evidence of violations that, when considered together, evidence a pattern of abuse.</w:t>
      </w:r>
      <w:r>
        <w:rPr>
          <w:rStyle w:val="FootnoteReference"/>
          <w:color w:val="000000"/>
          <w:szCs w:val="22"/>
        </w:rPr>
        <w:footnoteReference w:id="20"/>
      </w:r>
      <w:r>
        <w:rPr>
          <w:color w:val="000000"/>
          <w:szCs w:val="22"/>
        </w:rPr>
        <w:t xml:space="preserve">  </w:t>
      </w:r>
      <w:r>
        <w:rPr>
          <w:spacing w:val="-2"/>
          <w:szCs w:val="22"/>
        </w:rPr>
        <w:t>Further, we find that</w:t>
      </w:r>
      <w:r>
        <w:rPr>
          <w:szCs w:val="22"/>
        </w:rPr>
        <w:t xml:space="preserve"> the Station served the public interest, convenience, and necessity during the subject license term.  We will therefore grant the license renewal application by separate action upon the conclusion of this forfeiture proceeding if there are no issues other than the apparent violation that would preclude grant of the application.    </w:t>
      </w:r>
    </w:p>
    <w:p w:rsidR="004558BB" w:rsidRPr="008B21F4" w:rsidP="007B151D">
      <w:pPr>
        <w:rPr>
          <w:b/>
          <w:szCs w:val="22"/>
        </w:rPr>
      </w:pPr>
      <w:r w:rsidRPr="008B21F4">
        <w:rPr>
          <w:b/>
          <w:szCs w:val="22"/>
        </w:rPr>
        <w:t xml:space="preserve">IV.  </w:t>
      </w:r>
      <w:r w:rsidRPr="008B21F4" w:rsidR="008B73C1">
        <w:rPr>
          <w:b/>
          <w:szCs w:val="22"/>
        </w:rPr>
        <w:t xml:space="preserve">    </w:t>
      </w:r>
      <w:r w:rsidR="00B95B97">
        <w:rPr>
          <w:b/>
          <w:szCs w:val="22"/>
        </w:rPr>
        <w:t xml:space="preserve"> </w:t>
      </w:r>
      <w:r w:rsidR="00263EC3">
        <w:rPr>
          <w:b/>
          <w:szCs w:val="22"/>
        </w:rPr>
        <w:t xml:space="preserve"> </w:t>
      </w:r>
      <w:r w:rsidRPr="008B21F4">
        <w:rPr>
          <w:b/>
          <w:szCs w:val="22"/>
        </w:rPr>
        <w:t>ORDERING CLAUSES</w:t>
      </w:r>
    </w:p>
    <w:p w:rsidR="004558BB" w:rsidRPr="008B21F4" w:rsidP="007B151D">
      <w:pPr>
        <w:rPr>
          <w:b/>
          <w:szCs w:val="22"/>
        </w:rPr>
      </w:pPr>
    </w:p>
    <w:p w:rsidR="00C30E03" w:rsidRPr="00C30E03" w:rsidP="00C30E03">
      <w:pPr>
        <w:pStyle w:val="ParaNum"/>
        <w:jc w:val="left"/>
        <w:rPr>
          <w:szCs w:val="22"/>
        </w:rPr>
      </w:pPr>
      <w:r w:rsidRPr="00C30E03">
        <w:rPr>
          <w:szCs w:val="22"/>
        </w:rPr>
        <w:t>Accordingly, IT IS ORDERED, pursuant to Section 503(b) of the Communications Act of 1934, as amended, and Section 1.80</w:t>
      </w:r>
      <w:r w:rsidR="00132ECD">
        <w:rPr>
          <w:szCs w:val="22"/>
        </w:rPr>
        <w:t>(f)(4)</w:t>
      </w:r>
      <w:r w:rsidRPr="00C30E03">
        <w:rPr>
          <w:szCs w:val="22"/>
        </w:rPr>
        <w:t xml:space="preserve"> of the Commission’s Rules, that Cumulus Licensing LLC is hereby NOTIFIED of its APPARENT LIABILITY FOR FORFEITURE in the amount of t</w:t>
      </w:r>
      <w:r w:rsidR="00E06009">
        <w:rPr>
          <w:szCs w:val="22"/>
        </w:rPr>
        <w:t>en</w:t>
      </w:r>
      <w:r w:rsidRPr="00C30E03">
        <w:rPr>
          <w:szCs w:val="22"/>
        </w:rPr>
        <w:t xml:space="preserve"> thousand dollars ($1</w:t>
      </w:r>
      <w:r w:rsidR="00E06009">
        <w:rPr>
          <w:szCs w:val="22"/>
        </w:rPr>
        <w:t>0</w:t>
      </w:r>
      <w:r w:rsidRPr="00C30E03">
        <w:rPr>
          <w:szCs w:val="22"/>
        </w:rPr>
        <w:t xml:space="preserve">,000) for its apparent willful and repeated violation of Section 73.3526 of the Commission’s Rules. </w:t>
      </w:r>
    </w:p>
    <w:p w:rsidR="00C30E03" w:rsidRPr="00C30E03" w:rsidP="008F09BC">
      <w:pPr>
        <w:pStyle w:val="ParaNum"/>
        <w:jc w:val="left"/>
        <w:rPr>
          <w:szCs w:val="22"/>
        </w:rPr>
      </w:pPr>
      <w:r w:rsidRPr="00C30E03">
        <w:rPr>
          <w:szCs w:val="22"/>
        </w:rPr>
        <w:t xml:space="preserve">IT IS FURTHER ORDERED, pursuant to Section 1.80 of the Commission’s Rules, that, within thirty (30) days of the release date of this </w:t>
      </w:r>
      <w:r w:rsidRPr="00C30E03">
        <w:rPr>
          <w:i/>
          <w:szCs w:val="22"/>
        </w:rPr>
        <w:t>NAL,</w:t>
      </w:r>
      <w:r w:rsidRPr="00C30E03">
        <w:rPr>
          <w:szCs w:val="22"/>
        </w:rPr>
        <w:t xml:space="preserve"> Cumulus Licensing LLC SHALL FORFEIT to the</w:t>
      </w:r>
      <w:r w:rsidR="00E06009">
        <w:rPr>
          <w:szCs w:val="22"/>
        </w:rPr>
        <w:t xml:space="preserve"> United States Government ten</w:t>
      </w:r>
      <w:r w:rsidRPr="00C30E03">
        <w:rPr>
          <w:szCs w:val="22"/>
        </w:rPr>
        <w:t xml:space="preserve"> thousand dollars ($1</w:t>
      </w:r>
      <w:r w:rsidR="00E06009">
        <w:rPr>
          <w:szCs w:val="22"/>
        </w:rPr>
        <w:t>0</w:t>
      </w:r>
      <w:r w:rsidRPr="00C30E03">
        <w:rPr>
          <w:szCs w:val="22"/>
        </w:rPr>
        <w:t xml:space="preserve">,000) or SHALL FILE a written statement seeking reduction or cancellation of the proposed forfeiture.  For collection, the Commission will file a proof of claim at the appropriate time in the Cumulus Licensing LLC bankruptcy action.   </w:t>
      </w:r>
    </w:p>
    <w:p w:rsidR="00C30E03" w:rsidRPr="00C30E03" w:rsidP="008F09BC">
      <w:pPr>
        <w:pStyle w:val="ParaNum"/>
        <w:jc w:val="left"/>
        <w:rPr>
          <w:szCs w:val="22"/>
        </w:rPr>
      </w:pPr>
      <w:r w:rsidRPr="00C30E03">
        <w:rPr>
          <w:szCs w:val="22"/>
        </w:rPr>
        <w:t>Payment of the proposed forfeiture must be made by check or similar instrument, wire transfer or credit card, and must include the NAL/Acct. No. and FRN referenced herein.  Regardless of the form of payment, a completed FCC Form 159 must be submitted.  When completing the FCC Form 159, enter the NAL/Acc</w:t>
      </w:r>
      <w:r w:rsidR="00052792">
        <w:rPr>
          <w:szCs w:val="22"/>
        </w:rPr>
        <w:t>t. No.</w:t>
      </w:r>
      <w:r w:rsidRPr="00C30E03">
        <w:rPr>
          <w:szCs w:val="22"/>
        </w:rPr>
        <w:t xml:space="preserve"> in block number 23A (call sign/other ID), and enter the letters “FORF” in block number 24A (payment type code).  Licensee will also send electronic notification on the date said payment is made to Karen Workeman at </w:t>
      </w:r>
      <w:r w:rsidRPr="008F09BC" w:rsidR="00263EC3">
        <w:t>Karen.Workeman@fcc.gov</w:t>
      </w:r>
      <w:r>
        <w:rPr>
          <w:szCs w:val="22"/>
        </w:rPr>
        <w:t xml:space="preserve"> </w:t>
      </w:r>
      <w:r w:rsidRPr="00C30E03">
        <w:rPr>
          <w:szCs w:val="22"/>
        </w:rPr>
        <w:t xml:space="preserve">and </w:t>
      </w:r>
      <w:r w:rsidR="00052792">
        <w:rPr>
          <w:szCs w:val="22"/>
        </w:rPr>
        <w:t xml:space="preserve">to </w:t>
      </w:r>
      <w:r w:rsidRPr="00C30E03">
        <w:rPr>
          <w:szCs w:val="22"/>
        </w:rPr>
        <w:t xml:space="preserve">Victoria McCauley at Victoria.McCauley@fcc.gov.  Below are additional instructions that should be followed based on the form of payment selected: </w:t>
      </w:r>
    </w:p>
    <w:p w:rsidR="00C30E03" w:rsidP="00C30E03">
      <w:pPr>
        <w:pStyle w:val="ParaNum"/>
        <w:numPr>
          <w:ilvl w:val="0"/>
          <w:numId w:val="0"/>
        </w:numPr>
        <w:ind w:left="720"/>
        <w:jc w:val="left"/>
      </w:pPr>
      <w:r>
        <w:rPr>
          <w:rFonts w:ascii="Wingdings" w:eastAsia="Wingdings" w:hAnsi="Wingdings" w:cs="Wingdings"/>
          <w:sz w:val="16"/>
          <w:szCs w:val="16"/>
        </w:rPr>
        <w:sym w:font="Wingdings" w:char="F06C"/>
      </w:r>
      <w:r>
        <w:rPr>
          <w:sz w:val="16"/>
          <w:szCs w:val="16"/>
        </w:rPr>
        <w:tab/>
      </w:r>
      <w:r>
        <w:t>Pay</w:t>
      </w:r>
      <w:r>
        <w:rPr>
          <w:spacing w:val="-4"/>
        </w:rPr>
        <w:t>m</w:t>
      </w:r>
      <w:r>
        <w:t xml:space="preserve">ent by check or </w:t>
      </w:r>
      <w:r>
        <w:rPr>
          <w:spacing w:val="-4"/>
        </w:rPr>
        <w:t>m</w:t>
      </w:r>
      <w:r>
        <w:t>oney o</w:t>
      </w:r>
      <w:r>
        <w:rPr>
          <w:spacing w:val="1"/>
        </w:rPr>
        <w:t>r</w:t>
      </w:r>
      <w:r>
        <w:t xml:space="preserve">der </w:t>
      </w:r>
      <w:r>
        <w:rPr>
          <w:spacing w:val="-4"/>
        </w:rPr>
        <w:t>m</w:t>
      </w:r>
      <w:r>
        <w:t>ust be</w:t>
      </w:r>
      <w:r>
        <w:rPr>
          <w:spacing w:val="5"/>
        </w:rPr>
        <w:t xml:space="preserve"> </w:t>
      </w:r>
      <w:r>
        <w:rPr>
          <w:spacing w:val="-4"/>
        </w:rPr>
        <w:t>m</w:t>
      </w:r>
      <w:r>
        <w:t>ade p</w:t>
      </w:r>
      <w:r>
        <w:rPr>
          <w:spacing w:val="4"/>
        </w:rPr>
        <w:t>a</w:t>
      </w:r>
      <w:r>
        <w:rPr>
          <w:spacing w:val="-2"/>
        </w:rPr>
        <w:t>y</w:t>
      </w:r>
      <w:r>
        <w:t>ab</w:t>
      </w:r>
      <w:r>
        <w:rPr>
          <w:spacing w:val="1"/>
        </w:rPr>
        <w:t>l</w:t>
      </w:r>
      <w:r>
        <w:t xml:space="preserve">e </w:t>
      </w:r>
      <w:r>
        <w:rPr>
          <w:spacing w:val="1"/>
        </w:rPr>
        <w:t>t</w:t>
      </w:r>
      <w:r>
        <w:t xml:space="preserve">o </w:t>
      </w:r>
      <w:r>
        <w:rPr>
          <w:spacing w:val="1"/>
        </w:rPr>
        <w:t>t</w:t>
      </w:r>
      <w:r>
        <w:t>he o</w:t>
      </w:r>
      <w:r>
        <w:rPr>
          <w:spacing w:val="1"/>
        </w:rPr>
        <w:t>r</w:t>
      </w:r>
      <w:r>
        <w:rPr>
          <w:spacing w:val="-2"/>
        </w:rPr>
        <w:t>d</w:t>
      </w:r>
      <w:r>
        <w:t xml:space="preserve">er of </w:t>
      </w:r>
      <w:r>
        <w:rPr>
          <w:spacing w:val="1"/>
        </w:rPr>
        <w:t>t</w:t>
      </w:r>
      <w:r>
        <w:t>he 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C30E03" w:rsidP="00C30E03">
      <w:pPr>
        <w:pStyle w:val="ParaNum"/>
        <w:numPr>
          <w:ilvl w:val="0"/>
          <w:numId w:val="0"/>
        </w:numPr>
        <w:ind w:left="720"/>
        <w:jc w:val="left"/>
      </w:pPr>
      <w:r>
        <w:rPr>
          <w:rFonts w:ascii="Wingdings" w:eastAsia="Wingdings" w:hAnsi="Wingdings" w:cs="Wingdings"/>
          <w:sz w:val="16"/>
          <w:szCs w:val="16"/>
        </w:rPr>
        <w:sym w:font="Wingdings" w:char="F06C"/>
      </w:r>
      <w:r>
        <w:rPr>
          <w:sz w:val="16"/>
          <w:szCs w:val="16"/>
        </w:rPr>
        <w:tab/>
      </w:r>
      <w:r>
        <w:t>Pay</w:t>
      </w:r>
      <w:r>
        <w:rPr>
          <w:spacing w:val="-4"/>
        </w:rPr>
        <w:t>m</w:t>
      </w:r>
      <w:r>
        <w:t>ent by</w:t>
      </w:r>
      <w:r>
        <w:rPr>
          <w:spacing w:val="-1"/>
        </w:rPr>
        <w:t xml:space="preserve"> w</w:t>
      </w:r>
      <w:r>
        <w:rPr>
          <w:spacing w:val="1"/>
        </w:rPr>
        <w:t>ir</w:t>
      </w:r>
      <w:r>
        <w:t xml:space="preserve">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be </w:t>
      </w:r>
      <w:r>
        <w:rPr>
          <w:spacing w:val="-4"/>
        </w:rPr>
        <w:t>m</w:t>
      </w:r>
      <w:r>
        <w:t xml:space="preserve">ade </w:t>
      </w:r>
      <w:r>
        <w:rPr>
          <w:spacing w:val="-1"/>
        </w:rPr>
        <w:t>t</w:t>
      </w:r>
      <w:r>
        <w:t xml:space="preserve">o </w:t>
      </w:r>
      <w:r>
        <w:rPr>
          <w:spacing w:val="-1"/>
        </w:rPr>
        <w:t>AB</w:t>
      </w:r>
      <w:r>
        <w:t xml:space="preserve">A </w:t>
      </w:r>
      <w:r>
        <w:rPr>
          <w:spacing w:val="-1"/>
        </w:rPr>
        <w:t>N</w:t>
      </w:r>
      <w:r>
        <w:t>u</w:t>
      </w:r>
      <w:r>
        <w:rPr>
          <w:spacing w:val="-4"/>
        </w:rPr>
        <w:t>m</w:t>
      </w:r>
      <w:r>
        <w:t>ber 02103000</w:t>
      </w:r>
      <w:r>
        <w:rPr>
          <w:spacing w:val="-2"/>
        </w:rPr>
        <w:t>4</w:t>
      </w:r>
      <w:r>
        <w:t xml:space="preserve">, </w:t>
      </w:r>
      <w:r>
        <w:rPr>
          <w:spacing w:val="-2"/>
        </w:rPr>
        <w:t>r</w:t>
      </w:r>
      <w:r>
        <w:t>ec</w:t>
      </w:r>
      <w:r>
        <w:rPr>
          <w:spacing w:val="-2"/>
        </w:rPr>
        <w:t>e</w:t>
      </w:r>
      <w:r>
        <w:rPr>
          <w:spacing w:val="1"/>
        </w:rPr>
        <w:t>i</w:t>
      </w:r>
      <w:r>
        <w:rPr>
          <w:spacing w:val="-2"/>
        </w:rPr>
        <w:t>v</w:t>
      </w:r>
      <w:r>
        <w:rPr>
          <w:spacing w:val="1"/>
        </w:rPr>
        <w:t>i</w:t>
      </w:r>
      <w:r>
        <w:t xml:space="preserve">ng 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C30E03" w:rsidRPr="00056D6E" w:rsidP="00C30E03">
      <w:pPr>
        <w:pStyle w:val="ParaNum"/>
        <w:numPr>
          <w:ilvl w:val="0"/>
          <w:numId w:val="0"/>
        </w:numPr>
        <w:ind w:left="720"/>
        <w:jc w:val="left"/>
      </w:pPr>
      <w:r>
        <w:rPr>
          <w:rFonts w:ascii="Wingdings" w:eastAsia="Wingdings" w:hAnsi="Wingdings" w:cs="Wingdings"/>
          <w:sz w:val="16"/>
          <w:szCs w:val="16"/>
        </w:rPr>
        <w:sym w:font="Wingdings" w:char="F06C"/>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St</w:t>
      </w:r>
      <w:r>
        <w:t>.</w:t>
      </w:r>
      <w:r>
        <w:rPr>
          <w:spacing w:val="53"/>
        </w:rPr>
        <w:t xml:space="preserve"> </w:t>
      </w:r>
      <w:r>
        <w:t>Loui</w:t>
      </w:r>
      <w:r>
        <w:rPr>
          <w:spacing w:val="1"/>
        </w:rPr>
        <w:t>s</w:t>
      </w:r>
      <w:r>
        <w:t>,</w:t>
      </w:r>
      <w:r>
        <w:rPr>
          <w:spacing w:val="53"/>
        </w:rPr>
        <w:t xml:space="preserve"> </w:t>
      </w:r>
      <w:r>
        <w:t>MO 63101.</w:t>
      </w:r>
    </w:p>
    <w:p w:rsidR="00C30E03" w:rsidRPr="00C30E03" w:rsidP="008F09BC">
      <w:pPr>
        <w:pStyle w:val="ParaNum"/>
        <w:jc w:val="left"/>
        <w:rPr>
          <w:szCs w:val="22"/>
        </w:rPr>
      </w:pPr>
      <w:r w:rsidRPr="00C30E03">
        <w:rPr>
          <w:szCs w:val="22"/>
        </w:rPr>
        <w:t>The response, if any, must be mailed to Office of the Secretary, Federal Communications Commission, 445 12th Street, S.W., Washington DC 20554, ATTN: Albert Shuldiner, Chief, Audio Division, Media Bureau, and MUST INCLUDE the NAL/Acct. No. referenced above.</w:t>
      </w:r>
    </w:p>
    <w:p w:rsidR="00C30E03" w:rsidRPr="00C30E03" w:rsidP="008F09BC">
      <w:pPr>
        <w:pStyle w:val="ParaNum"/>
        <w:jc w:val="left"/>
        <w:rPr>
          <w:szCs w:val="22"/>
        </w:rPr>
      </w:pPr>
      <w:r w:rsidRPr="00C30E03">
        <w:rPr>
          <w:szCs w:val="22"/>
        </w:rPr>
        <w:t xml:space="preserve">The Commission will not consider reducing or canceling a forfeiture in response to a claim of inability to pay unless the respondent submits: </w:t>
      </w:r>
      <w:r w:rsidR="00E969C6">
        <w:rPr>
          <w:szCs w:val="22"/>
        </w:rPr>
        <w:t xml:space="preserve"> </w:t>
      </w:r>
      <w:r w:rsidRPr="00C30E03">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C30E03" w:rsidRPr="00C30E03" w:rsidP="008F09BC">
      <w:pPr>
        <w:pStyle w:val="ParaNum"/>
        <w:jc w:val="left"/>
        <w:rPr>
          <w:szCs w:val="22"/>
        </w:rPr>
      </w:pPr>
      <w:r w:rsidRPr="00C30E03">
        <w:rPr>
          <w:szCs w:val="22"/>
        </w:rPr>
        <w:t xml:space="preserve">Requests for full payment of the forfeiture proposed in this </w:t>
      </w:r>
      <w:r w:rsidRPr="00C30E03">
        <w:rPr>
          <w:i/>
          <w:szCs w:val="22"/>
        </w:rPr>
        <w:t>NAL</w:t>
      </w:r>
      <w:r w:rsidRPr="00C30E03">
        <w:rPr>
          <w:szCs w:val="22"/>
        </w:rPr>
        <w:t xml:space="preserve"> under the installment plan should be sent to: </w:t>
      </w:r>
      <w:r w:rsidR="004B5AC5">
        <w:rPr>
          <w:szCs w:val="22"/>
        </w:rPr>
        <w:t xml:space="preserve"> </w:t>
      </w:r>
      <w:r w:rsidRPr="00C30E03">
        <w:rPr>
          <w:szCs w:val="22"/>
        </w:rPr>
        <w:t>Associate Managing Director-Financial Operations, 445 12th Street, S.W., Room 1-A625, Washington, DC 20554.</w:t>
      </w:r>
      <w:r>
        <w:rPr>
          <w:szCs w:val="22"/>
          <w:vertAlign w:val="superscript"/>
        </w:rPr>
        <w:footnoteReference w:id="21"/>
      </w:r>
    </w:p>
    <w:p w:rsidR="00C30E03" w:rsidRPr="00C30E03" w:rsidP="008F09BC">
      <w:pPr>
        <w:pStyle w:val="ParaNum"/>
        <w:jc w:val="left"/>
        <w:rPr>
          <w:szCs w:val="22"/>
        </w:rPr>
      </w:pPr>
      <w:r w:rsidRPr="00C30E03">
        <w:rPr>
          <w:szCs w:val="22"/>
        </w:rPr>
        <w:t xml:space="preserve">IT IS FURTHER ORDERED that copies of this </w:t>
      </w:r>
      <w:r w:rsidRPr="00C30E03">
        <w:rPr>
          <w:i/>
          <w:szCs w:val="22"/>
        </w:rPr>
        <w:t>NAL</w:t>
      </w:r>
      <w:r w:rsidRPr="00C30E03">
        <w:rPr>
          <w:szCs w:val="22"/>
        </w:rPr>
        <w:t xml:space="preserve"> shall be sent, by First Class and Certified Mail, Return Receipt Requested, to Cumulus Licensing, LLC, 3280 Peachtree Road, NW, Suite 2300, Atlanta, GA 30305, and its counsel, Andrew S. Kersting, Esq., Cumulus Media Inc., 3280 Peachtree Road, </w:t>
      </w:r>
      <w:r w:rsidR="001518E1">
        <w:rPr>
          <w:szCs w:val="22"/>
        </w:rPr>
        <w:t>NW, Suite 2300, Atlanta, GA</w:t>
      </w:r>
      <w:r w:rsidRPr="00C30E03">
        <w:rPr>
          <w:szCs w:val="22"/>
        </w:rPr>
        <w:t xml:space="preserve"> 30305, and to Mark N. Lipp, Esq., </w:t>
      </w:r>
      <w:bookmarkStart w:id="1" w:name="_Hlk505067521"/>
      <w:r w:rsidRPr="00C30E03">
        <w:rPr>
          <w:szCs w:val="22"/>
        </w:rPr>
        <w:t>Fletcher, Heald &amp; Hildreth, PLC, 1300 North 17th Street, 11</w:t>
      </w:r>
      <w:r w:rsidRPr="00C30E03">
        <w:rPr>
          <w:szCs w:val="22"/>
          <w:vertAlign w:val="superscript"/>
        </w:rPr>
        <w:t>th</w:t>
      </w:r>
      <w:r w:rsidR="001518E1">
        <w:rPr>
          <w:szCs w:val="22"/>
        </w:rPr>
        <w:t xml:space="preserve"> Floor, Arlington, VA</w:t>
      </w:r>
      <w:r w:rsidRPr="00C30E03">
        <w:rPr>
          <w:szCs w:val="22"/>
        </w:rPr>
        <w:t xml:space="preserve"> 22209.</w:t>
      </w:r>
      <w:bookmarkEnd w:id="1"/>
    </w:p>
    <w:p w:rsidR="009F12F9" w:rsidRPr="008B21F4" w:rsidP="007B151D">
      <w:pPr>
        <w:tabs>
          <w:tab w:val="left" w:pos="0"/>
        </w:tabs>
        <w:suppressAutoHyphens/>
        <w:rPr>
          <w:szCs w:val="22"/>
        </w:rPr>
      </w:pPr>
    </w:p>
    <w:p w:rsidR="00E9329C" w:rsidRPr="00B023BA" w:rsidP="007B151D">
      <w:pPr>
        <w:tabs>
          <w:tab w:val="left" w:pos="0"/>
        </w:tabs>
        <w:suppressAutoHyphens/>
        <w:rPr>
          <w:szCs w:val="22"/>
        </w:rPr>
      </w:pPr>
      <w:r w:rsidRPr="008B21F4">
        <w:tab/>
      </w:r>
      <w:r w:rsidRPr="008B21F4">
        <w:tab/>
      </w:r>
      <w:r w:rsidRPr="008B21F4">
        <w:tab/>
      </w:r>
      <w:r w:rsidRPr="008B21F4">
        <w:tab/>
      </w:r>
      <w:r w:rsidRPr="008B21F4">
        <w:tab/>
      </w:r>
      <w:r w:rsidRPr="008B21F4">
        <w:tab/>
      </w:r>
      <w:r w:rsidRPr="00B023BA">
        <w:rPr>
          <w:szCs w:val="22"/>
        </w:rPr>
        <w:t>FEDERAL COMMUNICATIONS COMMISSION</w:t>
      </w:r>
    </w:p>
    <w:p w:rsidR="00E9329C" w:rsidRPr="00B023BA" w:rsidP="007B151D">
      <w:pPr>
        <w:tabs>
          <w:tab w:val="left" w:pos="0"/>
        </w:tabs>
        <w:suppressAutoHyphens/>
        <w:rPr>
          <w:szCs w:val="22"/>
        </w:rPr>
      </w:pPr>
    </w:p>
    <w:p w:rsidR="00E9329C" w:rsidRPr="00B023BA" w:rsidP="007B151D">
      <w:pPr>
        <w:tabs>
          <w:tab w:val="left" w:pos="0"/>
        </w:tabs>
        <w:suppressAutoHyphens/>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p>
    <w:p w:rsidR="00C123CB" w:rsidRPr="00B023BA" w:rsidP="007B151D">
      <w:pPr>
        <w:tabs>
          <w:tab w:val="left" w:pos="0"/>
        </w:tabs>
        <w:suppressAutoHyphens/>
        <w:rPr>
          <w:szCs w:val="22"/>
        </w:rPr>
      </w:pPr>
    </w:p>
    <w:p w:rsidR="00E9329C" w:rsidRPr="00B023BA" w:rsidP="007B151D">
      <w:pPr>
        <w:rPr>
          <w:szCs w:val="22"/>
        </w:rPr>
      </w:pPr>
      <w:r w:rsidRPr="00B023BA">
        <w:tab/>
      </w:r>
      <w:r w:rsidRPr="00B023BA">
        <w:tab/>
      </w:r>
      <w:r w:rsidRPr="00B023BA">
        <w:tab/>
      </w:r>
      <w:r w:rsidRPr="00B023BA">
        <w:tab/>
      </w:r>
      <w:r w:rsidRPr="00B023BA">
        <w:tab/>
      </w:r>
      <w:r w:rsidRPr="00B023BA">
        <w:tab/>
      </w:r>
      <w:r w:rsidR="00C30E03">
        <w:rPr>
          <w:szCs w:val="22"/>
        </w:rPr>
        <w:t>Albert Shuldiner</w:t>
      </w:r>
    </w:p>
    <w:p w:rsidR="0077267B" w:rsidP="007B151D">
      <w:pPr>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t xml:space="preserve">Chief, </w:t>
      </w:r>
      <w:r w:rsidR="007B151D">
        <w:rPr>
          <w:szCs w:val="22"/>
        </w:rPr>
        <w:t>Audio Division</w:t>
      </w:r>
    </w:p>
    <w:p w:rsidR="00E9329C" w:rsidRPr="00B023BA" w:rsidP="0077267B">
      <w:pPr>
        <w:ind w:left="3600" w:firstLine="720"/>
        <w:rPr>
          <w:szCs w:val="22"/>
        </w:rPr>
      </w:pPr>
      <w:r w:rsidRPr="00B023BA">
        <w:rPr>
          <w:szCs w:val="22"/>
        </w:rPr>
        <w:t>Media Bureau</w:t>
      </w:r>
    </w:p>
    <w:p w:rsidR="009F12F9" w:rsidRPr="008B21F4" w:rsidP="007B151D">
      <w:pPr>
        <w:tabs>
          <w:tab w:val="left" w:pos="0"/>
        </w:tabs>
        <w:suppressAutoHyphens/>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33"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42433" w:rsidP="00642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33"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80C">
      <w:rPr>
        <w:rStyle w:val="PageNumber"/>
        <w:noProof/>
      </w:rPr>
      <w:t>2</w:t>
    </w:r>
    <w:r>
      <w:rPr>
        <w:rStyle w:val="PageNumber"/>
      </w:rPr>
      <w:fldChar w:fldCharType="end"/>
    </w:r>
  </w:p>
  <w:p w:rsidR="004B7183" w:rsidRPr="000C2EFA" w:rsidP="00642433">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33" w:rsidRPr="00642433" w:rsidP="0064243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6A2E">
      <w:pPr>
        <w:rPr>
          <w:sz w:val="20"/>
        </w:rPr>
      </w:pPr>
      <w:r>
        <w:rPr>
          <w:sz w:val="20"/>
        </w:rPr>
        <w:separator/>
      </w:r>
    </w:p>
  </w:footnote>
  <w:footnote w:type="continuationSeparator" w:id="1">
    <w:p w:rsidR="004F6A2E">
      <w:pPr>
        <w:rPr>
          <w:sz w:val="20"/>
        </w:rPr>
      </w:pPr>
      <w:r>
        <w:rPr>
          <w:sz w:val="20"/>
        </w:rPr>
        <w:separator/>
      </w:r>
    </w:p>
    <w:p w:rsidR="004F6A2E">
      <w:pPr>
        <w:rPr>
          <w:sz w:val="20"/>
        </w:rPr>
      </w:pPr>
      <w:r>
        <w:rPr>
          <w:sz w:val="20"/>
        </w:rPr>
        <w:t>(...continued from previous page)</w:t>
      </w:r>
    </w:p>
  </w:footnote>
  <w:footnote w:type="continuationNotice" w:id="2">
    <w:p w:rsidR="004F6A2E">
      <w:pPr>
        <w:jc w:val="right"/>
        <w:rPr>
          <w:sz w:val="20"/>
        </w:rPr>
      </w:pPr>
      <w:r>
        <w:rPr>
          <w:sz w:val="20"/>
        </w:rPr>
        <w:t>(continued....)</w:t>
      </w:r>
    </w:p>
  </w:footnote>
  <w:footnote w:id="3">
    <w:p w:rsidR="000A2B6E">
      <w:pPr>
        <w:pStyle w:val="FootnoteText"/>
      </w:pPr>
      <w:r>
        <w:rPr>
          <w:rStyle w:val="FootnoteReference"/>
        </w:rPr>
        <w:footnoteRef/>
      </w:r>
      <w:r>
        <w:t xml:space="preserve"> This </w:t>
      </w:r>
      <w:r>
        <w:rPr>
          <w:i/>
        </w:rPr>
        <w:t>NAL</w:t>
      </w:r>
      <w:r>
        <w:t xml:space="preserve"> is issued pursuant to Sections 309(k) and 503(b) of the Communications Act of 1934, as amended “Act), and Section 1.80 of the Commission’s rules (Rules).  </w:t>
      </w:r>
      <w:r>
        <w:rPr>
          <w:i/>
        </w:rPr>
        <w:t>See</w:t>
      </w:r>
      <w:r>
        <w:t xml:space="preserve"> 47 U.S.C. §§ 309(k), 503(b); 47 CFR § 1.80.  The Bureau has delegated authority to issue the </w:t>
      </w:r>
      <w:r>
        <w:rPr>
          <w:i/>
        </w:rPr>
        <w:t>NAL</w:t>
      </w:r>
      <w:r>
        <w:t xml:space="preserve"> under Section 0.283 of the Rules.  </w:t>
      </w:r>
      <w:r>
        <w:rPr>
          <w:i/>
        </w:rPr>
        <w:t>See</w:t>
      </w:r>
      <w:r>
        <w:t xml:space="preserve"> 47 CFR § 0.283.</w:t>
      </w:r>
    </w:p>
  </w:footnote>
  <w:footnote w:id="4">
    <w:p w:rsidR="008B21F4" w:rsidP="00B51D54">
      <w:pPr>
        <w:pStyle w:val="FootnoteText"/>
        <w:jc w:val="left"/>
      </w:pPr>
      <w:r>
        <w:rPr>
          <w:rStyle w:val="FootnoteReference"/>
        </w:rPr>
        <w:footnoteRef/>
      </w:r>
      <w:r>
        <w:t xml:space="preserve"> </w:t>
      </w:r>
      <w:r>
        <w:rPr>
          <w:i/>
        </w:rPr>
        <w:t xml:space="preserve">See </w:t>
      </w:r>
      <w:r w:rsidRPr="00BD3C23">
        <w:t>47</w:t>
      </w:r>
      <w:r>
        <w:t xml:space="preserve"> CFR § 73.352</w:t>
      </w:r>
      <w:r w:rsidR="003637F8">
        <w:t>6</w:t>
      </w:r>
      <w:r>
        <w:t>.</w:t>
      </w:r>
    </w:p>
  </w:footnote>
  <w:footnote w:id="5">
    <w:p w:rsidR="00A579F8" w:rsidRPr="00C12E02" w:rsidP="00B51D54">
      <w:pPr>
        <w:pStyle w:val="FootnoteText"/>
        <w:jc w:val="left"/>
      </w:pPr>
      <w:r w:rsidRPr="00C12E02">
        <w:rPr>
          <w:rStyle w:val="FootnoteReference"/>
        </w:rPr>
        <w:footnoteRef/>
      </w:r>
      <w:r w:rsidRPr="00C12E02">
        <w:t xml:space="preserve"> </w:t>
      </w:r>
      <w:r w:rsidRPr="00C046B8" w:rsidR="00263EC3">
        <w:rPr>
          <w:i/>
        </w:rPr>
        <w:t>See WEZB(FM)</w:t>
      </w:r>
      <w:r w:rsidR="00263EC3">
        <w:t>, Letter Order</w:t>
      </w:r>
      <w:r w:rsidRPr="00C12E02" w:rsidR="00263EC3">
        <w:t>, 13 FCC Rcd 4102</w:t>
      </w:r>
      <w:r w:rsidR="00263EC3">
        <w:t>, 4105</w:t>
      </w:r>
      <w:r w:rsidRPr="00C12E02" w:rsidR="00263EC3">
        <w:t xml:space="preserve"> (</w:t>
      </w:r>
      <w:r w:rsidR="00263EC3">
        <w:t xml:space="preserve">MMB </w:t>
      </w:r>
      <w:r w:rsidRPr="00C12E02" w:rsidR="00263EC3">
        <w:t>1997)</w:t>
      </w:r>
      <w:r w:rsidR="00263EC3">
        <w:t xml:space="preserve">, </w:t>
      </w:r>
      <w:r w:rsidRPr="003C1A51" w:rsidR="00263EC3">
        <w:t>citing</w:t>
      </w:r>
      <w:r w:rsidRPr="00C12E02" w:rsidR="00263EC3">
        <w:rPr>
          <w:i/>
        </w:rPr>
        <w:t xml:space="preserve"> License Renewal Applications of Certain Commercial Radio Stations</w:t>
      </w:r>
      <w:r w:rsidR="00263EC3">
        <w:rPr>
          <w:i/>
        </w:rPr>
        <w:t xml:space="preserve"> Serving Philadelphia, Pennsylvania</w:t>
      </w:r>
      <w:r w:rsidRPr="00C12E02" w:rsidR="00263EC3">
        <w:rPr>
          <w:i/>
        </w:rPr>
        <w:t>,</w:t>
      </w:r>
      <w:r w:rsidRPr="00C12E02" w:rsidR="00263EC3">
        <w:t xml:space="preserve"> </w:t>
      </w:r>
      <w:r w:rsidR="00263EC3">
        <w:t xml:space="preserve">Memorandum Opinion and Order, </w:t>
      </w:r>
      <w:r w:rsidRPr="00C12E02" w:rsidR="00263EC3">
        <w:t>8 FCC Rcd 6400 (</w:t>
      </w:r>
      <w:r w:rsidR="00263EC3">
        <w:t xml:space="preserve">MMB </w:t>
      </w:r>
      <w:r w:rsidRPr="00C12E02" w:rsidR="00263EC3">
        <w:t>1993</w:t>
      </w:r>
      <w:r w:rsidR="00263EC3">
        <w:t>)</w:t>
      </w:r>
      <w:r w:rsidR="00C321E6">
        <w:t>.</w:t>
      </w:r>
    </w:p>
  </w:footnote>
  <w:footnote w:id="6">
    <w:p w:rsidR="00063955" w:rsidP="00B51D54">
      <w:pPr>
        <w:pStyle w:val="FootnoteText"/>
        <w:jc w:val="left"/>
      </w:pPr>
      <w:r>
        <w:rPr>
          <w:rStyle w:val="FootnoteReference"/>
        </w:rPr>
        <w:footnoteRef/>
      </w:r>
      <w:r>
        <w:t xml:space="preserve"> </w:t>
      </w:r>
      <w:r w:rsidRPr="008A1B9A">
        <w:rPr>
          <w:i/>
        </w:rPr>
        <w:t>See</w:t>
      </w:r>
      <w:r>
        <w:t xml:space="preserve"> 47 CFR</w:t>
      </w:r>
      <w:r w:rsidR="00FD2CF7">
        <w:t xml:space="preserve"> §</w:t>
      </w:r>
      <w:r>
        <w:t xml:space="preserve"> 73.3526.</w:t>
      </w:r>
    </w:p>
  </w:footnote>
  <w:footnote w:id="7">
    <w:p w:rsidR="000925B6" w:rsidP="00B51D54">
      <w:pPr>
        <w:pStyle w:val="FootnoteText"/>
        <w:jc w:val="left"/>
      </w:pPr>
      <w:r>
        <w:rPr>
          <w:rStyle w:val="FootnoteReference"/>
        </w:rPr>
        <w:footnoteRef/>
      </w:r>
      <w:r>
        <w:t xml:space="preserve"> Application</w:t>
      </w:r>
      <w:r w:rsidR="001B25AF">
        <w:t>, Exh</w:t>
      </w:r>
      <w:r w:rsidR="00FD2CF7">
        <w:t>.</w:t>
      </w:r>
      <w:r w:rsidR="001B25AF">
        <w:t xml:space="preserve"> 12</w:t>
      </w:r>
      <w:r w:rsidR="00690477">
        <w:t>.</w:t>
      </w:r>
    </w:p>
  </w:footnote>
  <w:footnote w:id="8">
    <w:p w:rsidR="00C36E5C" w:rsidRPr="00C12E02" w:rsidP="00B51D54">
      <w:pPr>
        <w:pStyle w:val="FootnoteText"/>
        <w:jc w:val="left"/>
      </w:pPr>
      <w:r w:rsidRPr="00C12E02">
        <w:rPr>
          <w:rStyle w:val="FootnoteReference"/>
        </w:rPr>
        <w:footnoteRef/>
      </w:r>
      <w:r w:rsidRPr="00C12E02">
        <w:t xml:space="preserve"> </w:t>
      </w:r>
      <w:r w:rsidRPr="00C12E02">
        <w:rPr>
          <w:i/>
        </w:rPr>
        <w:t>See Padre Serra Comm</w:t>
      </w:r>
      <w:r w:rsidR="001E3EB1">
        <w:rPr>
          <w:i/>
        </w:rPr>
        <w:t>c’</w:t>
      </w:r>
      <w:r w:rsidRPr="00C12E02">
        <w:rPr>
          <w:i/>
        </w:rPr>
        <w:t>ns, Inc.</w:t>
      </w:r>
      <w:r w:rsidRPr="00C12E02">
        <w:t>,</w:t>
      </w:r>
      <w:r w:rsidR="004B6132">
        <w:t xml:space="preserve"> Letter</w:t>
      </w:r>
      <w:r w:rsidR="00A93ADF">
        <w:t xml:space="preserve"> Order</w:t>
      </w:r>
      <w:r w:rsidR="004B6132">
        <w:t>,</w:t>
      </w:r>
      <w:r w:rsidRPr="00C12E02">
        <w:t xml:space="preserve"> 14 FCC Rcd 9709 (</w:t>
      </w:r>
      <w:r>
        <w:t xml:space="preserve">MMB </w:t>
      </w:r>
      <w:r w:rsidRPr="00C12E02">
        <w:t>1999</w:t>
      </w:r>
      <w:r w:rsidR="004174A6">
        <w:t>).</w:t>
      </w:r>
    </w:p>
  </w:footnote>
  <w:footnote w:id="9">
    <w:p w:rsidR="007D2E87" w:rsidRPr="00091DA9" w:rsidP="00B51D54">
      <w:pPr>
        <w:pStyle w:val="FootnoteText"/>
        <w:jc w:val="left"/>
      </w:pPr>
      <w:r w:rsidRPr="00091DA9">
        <w:rPr>
          <w:rStyle w:val="FootnoteReference"/>
        </w:rPr>
        <w:footnoteRef/>
      </w:r>
      <w:r w:rsidRPr="00091DA9">
        <w:t xml:space="preserve"> 47 U.S.C. § 503(b)(1)(</w:t>
      </w:r>
      <w:r>
        <w:t>B</w:t>
      </w:r>
      <w:r w:rsidR="00E475B1">
        <w:t>)</w:t>
      </w:r>
      <w:r w:rsidRPr="00091DA9">
        <w:t xml:space="preserve">.  </w:t>
      </w:r>
      <w:r w:rsidRPr="00091DA9">
        <w:rPr>
          <w:i/>
        </w:rPr>
        <w:t>S</w:t>
      </w:r>
      <w:r w:rsidRPr="00091DA9">
        <w:rPr>
          <w:i/>
          <w:iCs/>
        </w:rPr>
        <w:t>ee also</w:t>
      </w:r>
      <w:r w:rsidRPr="00091DA9">
        <w:t xml:space="preserve"> 47 CFR</w:t>
      </w:r>
      <w:r w:rsidR="00FD2CF7">
        <w:t xml:space="preserve"> §</w:t>
      </w:r>
      <w:r w:rsidRPr="00091DA9">
        <w:t xml:space="preserve"> 1.80(a)(1).</w:t>
      </w:r>
    </w:p>
  </w:footnote>
  <w:footnote w:id="10">
    <w:p w:rsidR="007D2E87" w:rsidRPr="00091DA9" w:rsidP="00B51D54">
      <w:pPr>
        <w:pStyle w:val="FootnoteText"/>
        <w:jc w:val="left"/>
      </w:pPr>
      <w:r w:rsidRPr="00091DA9">
        <w:rPr>
          <w:rStyle w:val="FootnoteReference"/>
        </w:rPr>
        <w:footnoteRef/>
      </w:r>
      <w:r w:rsidRPr="00091DA9">
        <w:t xml:space="preserve"> 47 U.S.C. § 312(f)(1).</w:t>
      </w:r>
    </w:p>
  </w:footnote>
  <w:footnote w:id="11">
    <w:p w:rsidR="007D2E87" w:rsidRPr="00091DA9" w:rsidP="00B51D54">
      <w:pPr>
        <w:pStyle w:val="FootnoteText"/>
        <w:jc w:val="left"/>
      </w:pPr>
      <w:r w:rsidRPr="00091DA9">
        <w:rPr>
          <w:rStyle w:val="FootnoteReference"/>
        </w:rPr>
        <w:footnoteRef/>
      </w:r>
      <w:r w:rsidRPr="00091DA9">
        <w:rPr>
          <w:i/>
        </w:rPr>
        <w:t xml:space="preserve"> See</w:t>
      </w:r>
      <w:r w:rsidRPr="00091DA9">
        <w:t xml:space="preserve"> H.R. Rep. No. 97-765, 97</w:t>
      </w:r>
      <w:r w:rsidRPr="00091DA9">
        <w:rPr>
          <w:vertAlign w:val="superscript"/>
        </w:rPr>
        <w:t>th</w:t>
      </w:r>
      <w:r w:rsidRPr="00091DA9">
        <w:t xml:space="preserve"> Cong. 2d Sess. 51 (1982).</w:t>
      </w:r>
    </w:p>
  </w:footnote>
  <w:footnote w:id="12">
    <w:p w:rsidR="007D2E87" w:rsidRPr="00091DA9" w:rsidP="00B51D54">
      <w:pPr>
        <w:pStyle w:val="FootnoteText"/>
        <w:jc w:val="left"/>
      </w:pPr>
      <w:r w:rsidRPr="00091DA9">
        <w:rPr>
          <w:rStyle w:val="FootnoteReference"/>
        </w:rPr>
        <w:footnoteRef/>
      </w:r>
      <w:r w:rsidRPr="00091DA9">
        <w:rPr>
          <w:i/>
          <w:iCs/>
        </w:rPr>
        <w:t xml:space="preserve"> See Southern California Broad</w:t>
      </w:r>
      <w:r w:rsidR="001E3EB1">
        <w:rPr>
          <w:i/>
          <w:iCs/>
        </w:rPr>
        <w:t>.</w:t>
      </w:r>
      <w:r w:rsidRPr="00091DA9">
        <w:rPr>
          <w:i/>
          <w:iCs/>
        </w:rPr>
        <w:t xml:space="preserve"> Co.</w:t>
      </w:r>
      <w:r w:rsidRPr="00091DA9">
        <w:t xml:space="preserve">, </w:t>
      </w:r>
      <w:r>
        <w:t xml:space="preserve">Memorandum Opinion and Order, </w:t>
      </w:r>
      <w:r w:rsidRPr="00091DA9">
        <w:t>6 FCC Rcd 4387, 4388</w:t>
      </w:r>
      <w:r w:rsidR="00A93ADF">
        <w:t>, para. 5</w:t>
      </w:r>
      <w:r w:rsidRPr="00091DA9">
        <w:t xml:space="preserve"> (1991).</w:t>
      </w:r>
    </w:p>
  </w:footnote>
  <w:footnote w:id="13">
    <w:p w:rsidR="004558BB" w:rsidP="00B51D54">
      <w:pPr>
        <w:pStyle w:val="FootnoteText"/>
        <w:jc w:val="left"/>
      </w:pPr>
      <w:r>
        <w:rPr>
          <w:rStyle w:val="FootnoteReference"/>
        </w:rPr>
        <w:footnoteRef/>
      </w:r>
      <w:r>
        <w:t xml:space="preserve"> 47 U.S.C. § 312(f)(2). </w:t>
      </w:r>
    </w:p>
  </w:footnote>
  <w:footnote w:id="14">
    <w:p w:rsidR="00E54871" w:rsidP="00B51D54">
      <w:pPr>
        <w:pStyle w:val="FootnoteText"/>
        <w:jc w:val="left"/>
      </w:pPr>
      <w:r>
        <w:rPr>
          <w:rStyle w:val="FootnoteReference"/>
        </w:rPr>
        <w:footnoteRef/>
      </w:r>
      <w:r>
        <w:t xml:space="preserve"> </w:t>
      </w:r>
      <w:r w:rsidR="00EF2D3D">
        <w:rPr>
          <w:i/>
        </w:rPr>
        <w:t>See</w:t>
      </w:r>
      <w:r w:rsidRPr="00B618AA">
        <w:rPr>
          <w:i/>
        </w:rPr>
        <w:t xml:space="preserve"> Forfeiture Policy Statement</w:t>
      </w:r>
      <w:r w:rsidRPr="00C166FA">
        <w:rPr>
          <w:i/>
          <w:sz w:val="24"/>
          <w:szCs w:val="24"/>
        </w:rPr>
        <w:t xml:space="preserve"> </w:t>
      </w:r>
      <w:r w:rsidRPr="00C166FA">
        <w:rPr>
          <w:i/>
        </w:rPr>
        <w:t>and Amendment of Section 1.80(b) of the Rules to Incorporate the Forfeiture Guidelines</w:t>
      </w:r>
      <w:r w:rsidRPr="00C166FA">
        <w:t>,</w:t>
      </w:r>
      <w:r>
        <w:t xml:space="preserve"> </w:t>
      </w:r>
      <w:r w:rsidR="008B21F4">
        <w:t xml:space="preserve">Report and Order, </w:t>
      </w:r>
      <w:r>
        <w:t>12 FCC Rcd 17087, 171</w:t>
      </w:r>
      <w:r w:rsidR="00E62388">
        <w:t>13-15</w:t>
      </w:r>
      <w:r>
        <w:t xml:space="preserve"> (1997) </w:t>
      </w:r>
      <w:r w:rsidRPr="00C166FA">
        <w:rPr>
          <w:i/>
        </w:rPr>
        <w:t>(Forfeiture Policy Statement),</w:t>
      </w:r>
      <w:r>
        <w:t xml:space="preserve"> </w:t>
      </w:r>
      <w:r w:rsidRPr="00FD70CA">
        <w:rPr>
          <w:i/>
        </w:rPr>
        <w:t>recon. denied</w:t>
      </w:r>
      <w:r>
        <w:t>, 15 FCC Rcd 303 (1999)</w:t>
      </w:r>
      <w:r w:rsidR="00EF2D3D">
        <w:t>; 47 C.F.R. § 1.80(b)(4), note to paragraph (b)(4)</w:t>
      </w:r>
      <w:r w:rsidR="00E62388">
        <w:t>, Section I</w:t>
      </w:r>
      <w:r w:rsidR="00EF2D3D">
        <w:t>.</w:t>
      </w:r>
    </w:p>
  </w:footnote>
  <w:footnote w:id="15">
    <w:p w:rsidR="00E54871" w:rsidP="00B51D54">
      <w:pPr>
        <w:pStyle w:val="FootnoteText"/>
        <w:jc w:val="left"/>
      </w:pPr>
      <w:r>
        <w:rPr>
          <w:rStyle w:val="FootnoteReference"/>
        </w:rPr>
        <w:footnoteRef/>
      </w:r>
      <w:r>
        <w:t xml:space="preserve"> 47 U.S.C. § 503(b)(2)(D); </w:t>
      </w:r>
      <w:r w:rsidRPr="00B618AA">
        <w:rPr>
          <w:i/>
        </w:rPr>
        <w:t>see also F</w:t>
      </w:r>
      <w:r>
        <w:rPr>
          <w:i/>
        </w:rPr>
        <w:t xml:space="preserve">orfeiture Policy Statement, </w:t>
      </w:r>
      <w:r w:rsidRPr="00E54871">
        <w:t>12</w:t>
      </w:r>
      <w:r>
        <w:t xml:space="preserve"> FCC Rcd </w:t>
      </w:r>
      <w:r w:rsidR="00EF2D3D">
        <w:t>at</w:t>
      </w:r>
      <w:r>
        <w:t xml:space="preserve"> 17100; 47 CFR § 1.80(b)(4)</w:t>
      </w:r>
      <w:r w:rsidR="00AB7652">
        <w:t>.</w:t>
      </w:r>
    </w:p>
  </w:footnote>
  <w:footnote w:id="16">
    <w:p w:rsidR="004076B5" w:rsidP="005439FA">
      <w:pPr>
        <w:pStyle w:val="FootnoteText"/>
        <w:jc w:val="left"/>
      </w:pPr>
      <w:r>
        <w:rPr>
          <w:rStyle w:val="FootnoteReference"/>
        </w:rPr>
        <w:footnoteRef/>
      </w:r>
      <w:r>
        <w:t xml:space="preserve"> </w:t>
      </w:r>
      <w:r>
        <w:rPr>
          <w:i/>
        </w:rPr>
        <w:t xml:space="preserve">See, e.g., </w:t>
      </w:r>
      <w:r w:rsidR="005439FA">
        <w:rPr>
          <w:i/>
        </w:rPr>
        <w:t>WJZT Commc’ns, LLC</w:t>
      </w:r>
      <w:r>
        <w:t>, Memorandum Opinion and Order and Notice of Apparent Liability, 2</w:t>
      </w:r>
      <w:r w:rsidR="005439FA">
        <w:t>7</w:t>
      </w:r>
      <w:r>
        <w:t xml:space="preserve"> FCC Rcd </w:t>
      </w:r>
      <w:r w:rsidR="005439FA">
        <w:t>2059</w:t>
      </w:r>
      <w:r>
        <w:t xml:space="preserve"> (MB 20</w:t>
      </w:r>
      <w:r w:rsidR="005439FA">
        <w:t>12</w:t>
      </w:r>
      <w:r>
        <w:t>) ($10,000 forfeiture proposed for violation of Section 73.3526</w:t>
      </w:r>
      <w:r w:rsidR="005439FA">
        <w:t xml:space="preserve"> involving 18</w:t>
      </w:r>
      <w:r>
        <w:t xml:space="preserve"> missing issues/programs lists).</w:t>
      </w:r>
    </w:p>
  </w:footnote>
  <w:footnote w:id="17">
    <w:p w:rsidR="00CF2A2E" w:rsidP="005439FA">
      <w:pPr>
        <w:pStyle w:val="FootnoteText"/>
        <w:jc w:val="left"/>
      </w:pPr>
      <w:r>
        <w:rPr>
          <w:rStyle w:val="FootnoteReference"/>
        </w:rPr>
        <w:footnoteRef/>
      </w:r>
      <w:r>
        <w:rPr>
          <w:i/>
        </w:rPr>
        <w:t xml:space="preserve"> </w:t>
      </w:r>
      <w:r>
        <w:t>47 U.S.C. § 309(k).</w:t>
      </w:r>
    </w:p>
  </w:footnote>
  <w:footnote w:id="18">
    <w:p w:rsidR="00CF2A2E" w:rsidP="005439FA">
      <w:pPr>
        <w:pStyle w:val="FootnoteText"/>
        <w:jc w:val="left"/>
      </w:pPr>
      <w:r>
        <w:rPr>
          <w:rStyle w:val="FootnoteReference"/>
        </w:rPr>
        <w:footnoteRef/>
      </w:r>
      <w:r>
        <w:t xml:space="preserve"> 47 U.S.C. § 309(k)(1).  </w:t>
      </w:r>
    </w:p>
  </w:footnote>
  <w:footnote w:id="19">
    <w:p w:rsidR="00CF2A2E" w:rsidP="005439FA">
      <w:pPr>
        <w:pStyle w:val="FootnoteText"/>
        <w:jc w:val="left"/>
      </w:pPr>
      <w:r>
        <w:rPr>
          <w:rStyle w:val="FootnoteReference"/>
        </w:rPr>
        <w:footnoteRef/>
      </w:r>
      <w:r>
        <w:t xml:space="preserve"> 47 U.S.C. §§ 309(k)(2), 309(k)(3).</w:t>
      </w:r>
    </w:p>
  </w:footnote>
  <w:footnote w:id="20">
    <w:p w:rsidR="00F76CC2" w:rsidP="00F76CC2">
      <w:pPr>
        <w:pStyle w:val="Footer"/>
        <w:rPr>
          <w:sz w:val="20"/>
        </w:rPr>
      </w:pPr>
      <w:r>
        <w:rPr>
          <w:rStyle w:val="FootnoteReference"/>
          <w:sz w:val="20"/>
        </w:rPr>
        <w:footnoteRef/>
      </w:r>
      <w:r>
        <w:rPr>
          <w:sz w:val="20"/>
          <w:vertAlign w:val="superscript"/>
        </w:rPr>
        <w:t xml:space="preserve">  </w:t>
      </w:r>
      <w:r>
        <w:rPr>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Pr>
          <w:i/>
          <w:sz w:val="20"/>
        </w:rPr>
        <w:t xml:space="preserve">See Heart of the </w:t>
      </w:r>
      <w:smartTag w:uri="urn:schemas-microsoft-com:office:smarttags" w:element="place">
        <w:r>
          <w:rPr>
            <w:i/>
            <w:sz w:val="20"/>
          </w:rPr>
          <w:t>Black Hills</w:t>
        </w:r>
      </w:smartTag>
      <w:r>
        <w:rPr>
          <w:i/>
          <w:sz w:val="20"/>
        </w:rPr>
        <w:t xml:space="preserve"> Stations</w:t>
      </w:r>
      <w:r>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smartTag w:uri="urn:schemas-microsoft-com:office:smarttags" w:element="place">
        <w:smartTag w:uri="urn:schemas-microsoft-com:office:smarttags" w:element="State">
          <w:r>
            <w:rPr>
              <w:i/>
              <w:sz w:val="20"/>
            </w:rPr>
            <w:t>Id.</w:t>
          </w:r>
        </w:smartTag>
      </w:smartTag>
      <w:r>
        <w:rPr>
          <w:sz w:val="20"/>
        </w:rPr>
        <w:t xml:space="preserve"> at 200.  </w:t>
      </w:r>
      <w:r>
        <w:rPr>
          <w:i/>
          <w:sz w:val="20"/>
        </w:rPr>
        <w:t>See also Center for Study and Application of Black Econ</w:t>
      </w:r>
      <w:r w:rsidR="00C321E6">
        <w:rPr>
          <w:i/>
          <w:sz w:val="20"/>
        </w:rPr>
        <w:t>.</w:t>
      </w:r>
      <w:r>
        <w:rPr>
          <w:i/>
          <w:sz w:val="20"/>
        </w:rPr>
        <w:t xml:space="preserve"> Dev</w:t>
      </w:r>
      <w:r w:rsidR="00C321E6">
        <w:rPr>
          <w:i/>
          <w:sz w:val="20"/>
        </w:rPr>
        <w:t>.</w:t>
      </w:r>
      <w:r>
        <w:rPr>
          <w:i/>
          <w:sz w:val="20"/>
        </w:rPr>
        <w:t>,</w:t>
      </w:r>
      <w:r>
        <w:rPr>
          <w:sz w:val="20"/>
        </w:rPr>
        <w:t xml:space="preserve"> Hearing Designation Order, 6 FCC Rcd 4622 (1991), </w:t>
      </w:r>
      <w:r>
        <w:rPr>
          <w:i/>
          <w:sz w:val="20"/>
        </w:rPr>
        <w:t>Calvary Educ</w:t>
      </w:r>
      <w:r w:rsidR="00E9586B">
        <w:rPr>
          <w:i/>
          <w:sz w:val="20"/>
        </w:rPr>
        <w:t>.</w:t>
      </w:r>
      <w:r>
        <w:rPr>
          <w:i/>
          <w:sz w:val="20"/>
        </w:rPr>
        <w:t xml:space="preserve"> Broad</w:t>
      </w:r>
      <w:r w:rsidR="00C321E6">
        <w:rPr>
          <w:i/>
          <w:sz w:val="20"/>
        </w:rPr>
        <w:t>.</w:t>
      </w:r>
      <w:r>
        <w:rPr>
          <w:i/>
          <w:sz w:val="20"/>
        </w:rPr>
        <w:t xml:space="preserve"> Network, Inc</w:t>
      </w:r>
      <w:r>
        <w:rPr>
          <w:sz w:val="20"/>
        </w:rPr>
        <w:t>., Hearing Designation Order, 7 FCC Rcd 4037 (1992).</w:t>
      </w:r>
    </w:p>
    <w:p w:rsidR="00F76CC2" w:rsidP="00F76CC2">
      <w:pPr>
        <w:pStyle w:val="Footer"/>
        <w:rPr>
          <w:sz w:val="20"/>
        </w:rPr>
      </w:pPr>
    </w:p>
  </w:footnote>
  <w:footnote w:id="21">
    <w:p w:rsidR="00C30E03" w:rsidRPr="000C405F" w:rsidP="00C30E03">
      <w:pPr>
        <w:pStyle w:val="FootnoteText"/>
      </w:pPr>
      <w:r w:rsidRPr="000C405F">
        <w:rPr>
          <w:rStyle w:val="FootnoteReference"/>
        </w:rPr>
        <w:footnoteRef/>
      </w:r>
      <w:r w:rsidRPr="000C405F">
        <w:t xml:space="preserve"> </w:t>
      </w:r>
      <w:r w:rsidRPr="000C405F">
        <w:rPr>
          <w:i/>
        </w:rPr>
        <w:t>See</w:t>
      </w:r>
      <w:r w:rsidRPr="000C405F">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83" w:rsidRPr="009910A2">
    <w:pPr>
      <w:pStyle w:val="Header"/>
      <w:tabs>
        <w:tab w:val="clear" w:pos="4320"/>
        <w:tab w:val="center" w:pos="4680"/>
        <w:tab w:val="clear" w:pos="8640"/>
        <w:tab w:val="right" w:pos="9360"/>
      </w:tabs>
      <w:rPr>
        <w:b/>
        <w:szCs w:val="22"/>
      </w:rPr>
    </w:pPr>
    <w:r>
      <w:rPr>
        <w:b/>
      </w:rPr>
      <w:tab/>
    </w:r>
    <w:r w:rsidRPr="009910A2">
      <w:rPr>
        <w:b/>
        <w:szCs w:val="22"/>
      </w:rPr>
      <w:t xml:space="preserve">Federal </w:t>
    </w:r>
    <w:r w:rsidRPr="009910A2" w:rsidR="000C2EFA">
      <w:rPr>
        <w:b/>
        <w:szCs w:val="22"/>
      </w:rPr>
      <w:t>Communications Commission</w:t>
    </w:r>
    <w:r w:rsidRPr="009910A2" w:rsidR="000C2EFA">
      <w:rPr>
        <w:b/>
        <w:szCs w:val="22"/>
      </w:rPr>
      <w:tab/>
      <w:t xml:space="preserve">                        </w:t>
    </w:r>
    <w:r w:rsidRPr="009910A2" w:rsidR="005633DE">
      <w:rPr>
        <w:b/>
        <w:szCs w:val="22"/>
      </w:rPr>
      <w:t xml:space="preserve">  DA </w:t>
    </w:r>
    <w:r w:rsidR="00795C1A">
      <w:rPr>
        <w:b/>
        <w:szCs w:val="22"/>
      </w:rPr>
      <w:t>1</w:t>
    </w:r>
    <w:r w:rsidR="00C30E03">
      <w:rPr>
        <w:b/>
        <w:szCs w:val="22"/>
      </w:rPr>
      <w:t>8</w:t>
    </w:r>
    <w:r w:rsidRPr="009910A2">
      <w:rPr>
        <w:b/>
        <w:szCs w:val="22"/>
      </w:rPr>
      <w:t>-</w:t>
    </w:r>
    <w:r w:rsidR="00EA16FB">
      <w:rPr>
        <w:b/>
        <w:szCs w:val="22"/>
      </w:rPr>
      <w:t>122</w:t>
    </w:r>
  </w:p>
  <w:p w:rsidR="004B7183">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4B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83" w:rsidRPr="009910A2">
    <w:pPr>
      <w:pStyle w:val="Header"/>
      <w:tabs>
        <w:tab w:val="clear" w:pos="4320"/>
        <w:tab w:val="center" w:pos="4680"/>
        <w:tab w:val="clear" w:pos="8640"/>
        <w:tab w:val="right" w:pos="9360"/>
      </w:tabs>
      <w:rPr>
        <w:b/>
        <w:szCs w:val="22"/>
      </w:rPr>
    </w:pPr>
    <w:r>
      <w:rPr>
        <w:b/>
      </w:rPr>
      <w:tab/>
    </w:r>
    <w:r w:rsidRPr="009910A2">
      <w:rPr>
        <w:b/>
        <w:szCs w:val="22"/>
      </w:rPr>
      <w:t xml:space="preserve">Federal </w:t>
    </w:r>
    <w:r w:rsidRPr="009910A2" w:rsidR="00642433">
      <w:rPr>
        <w:b/>
        <w:szCs w:val="22"/>
      </w:rPr>
      <w:t>Communications Commission</w:t>
    </w:r>
    <w:r w:rsidRPr="009910A2" w:rsidR="00642433">
      <w:rPr>
        <w:b/>
        <w:szCs w:val="22"/>
      </w:rPr>
      <w:tab/>
      <w:t xml:space="preserve">                         </w:t>
    </w:r>
    <w:r w:rsidRPr="009910A2" w:rsidR="005633DE">
      <w:rPr>
        <w:b/>
        <w:szCs w:val="22"/>
      </w:rPr>
      <w:t xml:space="preserve"> DA</w:t>
    </w:r>
    <w:r w:rsidRPr="009910A2" w:rsidR="00642433">
      <w:rPr>
        <w:b/>
        <w:szCs w:val="22"/>
      </w:rPr>
      <w:t xml:space="preserve"> </w:t>
    </w:r>
    <w:r w:rsidR="00795C1A">
      <w:rPr>
        <w:b/>
        <w:szCs w:val="22"/>
      </w:rPr>
      <w:t>1</w:t>
    </w:r>
    <w:r w:rsidR="00263EC3">
      <w:rPr>
        <w:b/>
        <w:szCs w:val="22"/>
      </w:rPr>
      <w:t>8</w:t>
    </w:r>
    <w:r w:rsidRPr="009910A2">
      <w:rPr>
        <w:b/>
        <w:szCs w:val="22"/>
      </w:rPr>
      <w:t>-</w:t>
    </w:r>
    <w:r w:rsidR="00EA16FB">
      <w:rPr>
        <w:b/>
        <w:szCs w:val="22"/>
      </w:rPr>
      <w:t>122</w:t>
    </w:r>
  </w:p>
  <w:p w:rsidR="004B7183" w:rsidRPr="00ED3F1D">
    <w:pPr>
      <w:pStyle w:val="Header"/>
      <w:tabs>
        <w:tab w:val="clear" w:pos="8640"/>
        <w:tab w:val="right" w:pos="9360"/>
      </w:tabs>
      <w:rPr>
        <w:rFonts w:ascii="Times New Roman Bold" w:hAnsi="Times New Roman Bold"/>
        <w:color w:val="FF0000"/>
      </w:rPr>
    </w:pPr>
    <w:r w:rsidRPr="00ED3F1D">
      <w:rPr>
        <w:rFonts w:ascii="Times New Roman Bold" w:hAnsi="Times New Roman Bold"/>
        <w:noProof/>
        <w:color w:val="FF000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19"/>
    <w:rsid w:val="00004950"/>
    <w:rsid w:val="00007F3B"/>
    <w:rsid w:val="000107F1"/>
    <w:rsid w:val="000176EC"/>
    <w:rsid w:val="00017CC3"/>
    <w:rsid w:val="00037B08"/>
    <w:rsid w:val="00037FED"/>
    <w:rsid w:val="000447AB"/>
    <w:rsid w:val="00052792"/>
    <w:rsid w:val="000551AA"/>
    <w:rsid w:val="00056D6E"/>
    <w:rsid w:val="0006140D"/>
    <w:rsid w:val="00063955"/>
    <w:rsid w:val="000654C8"/>
    <w:rsid w:val="0007503A"/>
    <w:rsid w:val="00077784"/>
    <w:rsid w:val="00084620"/>
    <w:rsid w:val="00086A5B"/>
    <w:rsid w:val="00091DA9"/>
    <w:rsid w:val="000925B6"/>
    <w:rsid w:val="000A2B6E"/>
    <w:rsid w:val="000B07C4"/>
    <w:rsid w:val="000B0B04"/>
    <w:rsid w:val="000B5F7E"/>
    <w:rsid w:val="000C12E7"/>
    <w:rsid w:val="000C1433"/>
    <w:rsid w:val="000C2EFA"/>
    <w:rsid w:val="000C405F"/>
    <w:rsid w:val="000C6EF1"/>
    <w:rsid w:val="000C7955"/>
    <w:rsid w:val="000D54A5"/>
    <w:rsid w:val="000D670E"/>
    <w:rsid w:val="000E1733"/>
    <w:rsid w:val="000E4701"/>
    <w:rsid w:val="000F08CB"/>
    <w:rsid w:val="000F6437"/>
    <w:rsid w:val="00105A52"/>
    <w:rsid w:val="00106186"/>
    <w:rsid w:val="00110087"/>
    <w:rsid w:val="001222CF"/>
    <w:rsid w:val="00132ECD"/>
    <w:rsid w:val="00136BEC"/>
    <w:rsid w:val="00145919"/>
    <w:rsid w:val="001518E1"/>
    <w:rsid w:val="00175BC9"/>
    <w:rsid w:val="00177577"/>
    <w:rsid w:val="0018292D"/>
    <w:rsid w:val="00182D4F"/>
    <w:rsid w:val="001917C4"/>
    <w:rsid w:val="00194CCC"/>
    <w:rsid w:val="001B25AF"/>
    <w:rsid w:val="001B2F27"/>
    <w:rsid w:val="001B48A4"/>
    <w:rsid w:val="001C2D48"/>
    <w:rsid w:val="001C405C"/>
    <w:rsid w:val="001D36A3"/>
    <w:rsid w:val="001D73EA"/>
    <w:rsid w:val="001E3EB1"/>
    <w:rsid w:val="001F28B8"/>
    <w:rsid w:val="001F2E54"/>
    <w:rsid w:val="001F44A2"/>
    <w:rsid w:val="001F7CDD"/>
    <w:rsid w:val="00201BB1"/>
    <w:rsid w:val="00201D99"/>
    <w:rsid w:val="00202C09"/>
    <w:rsid w:val="002037C5"/>
    <w:rsid w:val="00203B81"/>
    <w:rsid w:val="00220419"/>
    <w:rsid w:val="00233DF6"/>
    <w:rsid w:val="00237B65"/>
    <w:rsid w:val="00243D87"/>
    <w:rsid w:val="002444AD"/>
    <w:rsid w:val="002524BD"/>
    <w:rsid w:val="002552E5"/>
    <w:rsid w:val="002570B3"/>
    <w:rsid w:val="00262BEF"/>
    <w:rsid w:val="00263EC3"/>
    <w:rsid w:val="00267949"/>
    <w:rsid w:val="002755F0"/>
    <w:rsid w:val="002760C2"/>
    <w:rsid w:val="002918D2"/>
    <w:rsid w:val="0029346A"/>
    <w:rsid w:val="00293789"/>
    <w:rsid w:val="002A2021"/>
    <w:rsid w:val="002B3E5E"/>
    <w:rsid w:val="002B6E74"/>
    <w:rsid w:val="002C1E07"/>
    <w:rsid w:val="002C77BC"/>
    <w:rsid w:val="002D0230"/>
    <w:rsid w:val="002D2A6C"/>
    <w:rsid w:val="002D388C"/>
    <w:rsid w:val="002D757B"/>
    <w:rsid w:val="002D7701"/>
    <w:rsid w:val="002E5A5E"/>
    <w:rsid w:val="002E7DB7"/>
    <w:rsid w:val="002F2E9A"/>
    <w:rsid w:val="002F723C"/>
    <w:rsid w:val="002F7673"/>
    <w:rsid w:val="00302214"/>
    <w:rsid w:val="00335F26"/>
    <w:rsid w:val="00342354"/>
    <w:rsid w:val="00354EA0"/>
    <w:rsid w:val="003555BC"/>
    <w:rsid w:val="003560E9"/>
    <w:rsid w:val="003637F8"/>
    <w:rsid w:val="00366764"/>
    <w:rsid w:val="00370440"/>
    <w:rsid w:val="003710FB"/>
    <w:rsid w:val="00371301"/>
    <w:rsid w:val="00372FD0"/>
    <w:rsid w:val="00374945"/>
    <w:rsid w:val="00381EF5"/>
    <w:rsid w:val="00387931"/>
    <w:rsid w:val="0039053F"/>
    <w:rsid w:val="00391CD3"/>
    <w:rsid w:val="003A0D85"/>
    <w:rsid w:val="003C1A51"/>
    <w:rsid w:val="003D04DE"/>
    <w:rsid w:val="003D3A2B"/>
    <w:rsid w:val="003D3C86"/>
    <w:rsid w:val="003E75AC"/>
    <w:rsid w:val="003F5AA8"/>
    <w:rsid w:val="004076B5"/>
    <w:rsid w:val="004102FF"/>
    <w:rsid w:val="004107EE"/>
    <w:rsid w:val="004174A6"/>
    <w:rsid w:val="004212B4"/>
    <w:rsid w:val="00421B79"/>
    <w:rsid w:val="00423494"/>
    <w:rsid w:val="004254E0"/>
    <w:rsid w:val="004267FE"/>
    <w:rsid w:val="00430BB0"/>
    <w:rsid w:val="004313AA"/>
    <w:rsid w:val="004322C4"/>
    <w:rsid w:val="00432873"/>
    <w:rsid w:val="00432C15"/>
    <w:rsid w:val="0045271E"/>
    <w:rsid w:val="004558BB"/>
    <w:rsid w:val="00455BEA"/>
    <w:rsid w:val="004571B1"/>
    <w:rsid w:val="00464C1F"/>
    <w:rsid w:val="004652BE"/>
    <w:rsid w:val="00465CD3"/>
    <w:rsid w:val="00482964"/>
    <w:rsid w:val="004930B6"/>
    <w:rsid w:val="004A10B8"/>
    <w:rsid w:val="004A2FFB"/>
    <w:rsid w:val="004B17A8"/>
    <w:rsid w:val="004B5AC5"/>
    <w:rsid w:val="004B6132"/>
    <w:rsid w:val="004B7183"/>
    <w:rsid w:val="004D196B"/>
    <w:rsid w:val="004D3918"/>
    <w:rsid w:val="004D456B"/>
    <w:rsid w:val="004F0195"/>
    <w:rsid w:val="004F6A2E"/>
    <w:rsid w:val="00506660"/>
    <w:rsid w:val="00513392"/>
    <w:rsid w:val="00513A34"/>
    <w:rsid w:val="00513F1F"/>
    <w:rsid w:val="00527CEA"/>
    <w:rsid w:val="00534385"/>
    <w:rsid w:val="005417A3"/>
    <w:rsid w:val="00541D8F"/>
    <w:rsid w:val="005439FA"/>
    <w:rsid w:val="00545705"/>
    <w:rsid w:val="0054790B"/>
    <w:rsid w:val="00551888"/>
    <w:rsid w:val="005633DE"/>
    <w:rsid w:val="00566477"/>
    <w:rsid w:val="0057057D"/>
    <w:rsid w:val="00577DAE"/>
    <w:rsid w:val="0058280C"/>
    <w:rsid w:val="005849D3"/>
    <w:rsid w:val="005A21D3"/>
    <w:rsid w:val="005A7F32"/>
    <w:rsid w:val="005C17DD"/>
    <w:rsid w:val="005C5A68"/>
    <w:rsid w:val="005D00B7"/>
    <w:rsid w:val="005D2F5E"/>
    <w:rsid w:val="005D593E"/>
    <w:rsid w:val="005D5DBF"/>
    <w:rsid w:val="005E1D6A"/>
    <w:rsid w:val="005E22E8"/>
    <w:rsid w:val="005E6913"/>
    <w:rsid w:val="005F30A9"/>
    <w:rsid w:val="005F5ACF"/>
    <w:rsid w:val="006024C5"/>
    <w:rsid w:val="006100A6"/>
    <w:rsid w:val="006146C7"/>
    <w:rsid w:val="00615EF2"/>
    <w:rsid w:val="00616EC9"/>
    <w:rsid w:val="0061700B"/>
    <w:rsid w:val="006174CC"/>
    <w:rsid w:val="00622BA2"/>
    <w:rsid w:val="006274AA"/>
    <w:rsid w:val="00630FD1"/>
    <w:rsid w:val="006353DF"/>
    <w:rsid w:val="00642433"/>
    <w:rsid w:val="0065221A"/>
    <w:rsid w:val="006523B5"/>
    <w:rsid w:val="006532A2"/>
    <w:rsid w:val="00657121"/>
    <w:rsid w:val="0067333E"/>
    <w:rsid w:val="00674843"/>
    <w:rsid w:val="00680A2D"/>
    <w:rsid w:val="00681B19"/>
    <w:rsid w:val="00685023"/>
    <w:rsid w:val="00690477"/>
    <w:rsid w:val="00696C2D"/>
    <w:rsid w:val="006A5F2C"/>
    <w:rsid w:val="006A6564"/>
    <w:rsid w:val="006B1DA2"/>
    <w:rsid w:val="006B1F09"/>
    <w:rsid w:val="006C09E1"/>
    <w:rsid w:val="006C474C"/>
    <w:rsid w:val="006C5363"/>
    <w:rsid w:val="006C6037"/>
    <w:rsid w:val="006F54A0"/>
    <w:rsid w:val="006F7DC5"/>
    <w:rsid w:val="0071090E"/>
    <w:rsid w:val="00711DE6"/>
    <w:rsid w:val="00716767"/>
    <w:rsid w:val="00721103"/>
    <w:rsid w:val="0073015C"/>
    <w:rsid w:val="00730C71"/>
    <w:rsid w:val="00735EF4"/>
    <w:rsid w:val="00756C82"/>
    <w:rsid w:val="007571ED"/>
    <w:rsid w:val="007627B8"/>
    <w:rsid w:val="00762AF3"/>
    <w:rsid w:val="00762F3E"/>
    <w:rsid w:val="00763449"/>
    <w:rsid w:val="0076594F"/>
    <w:rsid w:val="0077267B"/>
    <w:rsid w:val="00772E21"/>
    <w:rsid w:val="007752D2"/>
    <w:rsid w:val="00777199"/>
    <w:rsid w:val="00794C3D"/>
    <w:rsid w:val="00795C1A"/>
    <w:rsid w:val="00795C3C"/>
    <w:rsid w:val="007A0E58"/>
    <w:rsid w:val="007A1855"/>
    <w:rsid w:val="007A1E32"/>
    <w:rsid w:val="007B144E"/>
    <w:rsid w:val="007B151D"/>
    <w:rsid w:val="007B5012"/>
    <w:rsid w:val="007D2E87"/>
    <w:rsid w:val="007F06FA"/>
    <w:rsid w:val="007F1EAB"/>
    <w:rsid w:val="007F63A1"/>
    <w:rsid w:val="00805324"/>
    <w:rsid w:val="00805CCB"/>
    <w:rsid w:val="008105FF"/>
    <w:rsid w:val="0081223A"/>
    <w:rsid w:val="0082381A"/>
    <w:rsid w:val="00826293"/>
    <w:rsid w:val="0083143E"/>
    <w:rsid w:val="008317F6"/>
    <w:rsid w:val="00834447"/>
    <w:rsid w:val="00840662"/>
    <w:rsid w:val="008627D3"/>
    <w:rsid w:val="008647C9"/>
    <w:rsid w:val="00876553"/>
    <w:rsid w:val="00892D1D"/>
    <w:rsid w:val="00897CF1"/>
    <w:rsid w:val="008A1B9A"/>
    <w:rsid w:val="008A1BD5"/>
    <w:rsid w:val="008A62A1"/>
    <w:rsid w:val="008B0C1C"/>
    <w:rsid w:val="008B21F4"/>
    <w:rsid w:val="008B5B6B"/>
    <w:rsid w:val="008B73C1"/>
    <w:rsid w:val="008C29B1"/>
    <w:rsid w:val="008C3AFB"/>
    <w:rsid w:val="008E6114"/>
    <w:rsid w:val="008F01F6"/>
    <w:rsid w:val="008F09BC"/>
    <w:rsid w:val="008F1595"/>
    <w:rsid w:val="008F556C"/>
    <w:rsid w:val="008F63AD"/>
    <w:rsid w:val="00900BBB"/>
    <w:rsid w:val="00902FFD"/>
    <w:rsid w:val="009106A7"/>
    <w:rsid w:val="00911BCE"/>
    <w:rsid w:val="00915F15"/>
    <w:rsid w:val="0091675F"/>
    <w:rsid w:val="00924475"/>
    <w:rsid w:val="00925D5C"/>
    <w:rsid w:val="00943B0D"/>
    <w:rsid w:val="0095171D"/>
    <w:rsid w:val="009519A5"/>
    <w:rsid w:val="00954BEE"/>
    <w:rsid w:val="009572BC"/>
    <w:rsid w:val="00961C99"/>
    <w:rsid w:val="00965626"/>
    <w:rsid w:val="00974CA9"/>
    <w:rsid w:val="00975397"/>
    <w:rsid w:val="0097582A"/>
    <w:rsid w:val="00987259"/>
    <w:rsid w:val="009910A2"/>
    <w:rsid w:val="00993870"/>
    <w:rsid w:val="00994ACF"/>
    <w:rsid w:val="009A0216"/>
    <w:rsid w:val="009A116D"/>
    <w:rsid w:val="009A1C56"/>
    <w:rsid w:val="009B3AB4"/>
    <w:rsid w:val="009B57DF"/>
    <w:rsid w:val="009C0ED5"/>
    <w:rsid w:val="009C1F33"/>
    <w:rsid w:val="009C4CBA"/>
    <w:rsid w:val="009C6F4A"/>
    <w:rsid w:val="009D0B4B"/>
    <w:rsid w:val="009D33D5"/>
    <w:rsid w:val="009D5DC9"/>
    <w:rsid w:val="009E4E08"/>
    <w:rsid w:val="009E5713"/>
    <w:rsid w:val="009F0F90"/>
    <w:rsid w:val="009F12F9"/>
    <w:rsid w:val="009F4F4C"/>
    <w:rsid w:val="009F7F3F"/>
    <w:rsid w:val="00A24C39"/>
    <w:rsid w:val="00A34BFB"/>
    <w:rsid w:val="00A46FE0"/>
    <w:rsid w:val="00A57139"/>
    <w:rsid w:val="00A579F8"/>
    <w:rsid w:val="00A63FD0"/>
    <w:rsid w:val="00A67584"/>
    <w:rsid w:val="00A8351D"/>
    <w:rsid w:val="00A92ACF"/>
    <w:rsid w:val="00A93ADF"/>
    <w:rsid w:val="00A967C1"/>
    <w:rsid w:val="00A97930"/>
    <w:rsid w:val="00A97A79"/>
    <w:rsid w:val="00AB2FD5"/>
    <w:rsid w:val="00AB3D64"/>
    <w:rsid w:val="00AB7652"/>
    <w:rsid w:val="00AC7C26"/>
    <w:rsid w:val="00AD213C"/>
    <w:rsid w:val="00AF31E8"/>
    <w:rsid w:val="00AF3535"/>
    <w:rsid w:val="00B023BA"/>
    <w:rsid w:val="00B0369C"/>
    <w:rsid w:val="00B077C4"/>
    <w:rsid w:val="00B14655"/>
    <w:rsid w:val="00B151A7"/>
    <w:rsid w:val="00B16627"/>
    <w:rsid w:val="00B16679"/>
    <w:rsid w:val="00B17D99"/>
    <w:rsid w:val="00B2062D"/>
    <w:rsid w:val="00B22E91"/>
    <w:rsid w:val="00B30706"/>
    <w:rsid w:val="00B3605B"/>
    <w:rsid w:val="00B4620A"/>
    <w:rsid w:val="00B475D5"/>
    <w:rsid w:val="00B51D54"/>
    <w:rsid w:val="00B5380B"/>
    <w:rsid w:val="00B5418F"/>
    <w:rsid w:val="00B55AC7"/>
    <w:rsid w:val="00B618AA"/>
    <w:rsid w:val="00B70FFF"/>
    <w:rsid w:val="00B769E7"/>
    <w:rsid w:val="00B87CFB"/>
    <w:rsid w:val="00B9073C"/>
    <w:rsid w:val="00B944D0"/>
    <w:rsid w:val="00B95B97"/>
    <w:rsid w:val="00BA55DF"/>
    <w:rsid w:val="00BB3D6B"/>
    <w:rsid w:val="00BC71DB"/>
    <w:rsid w:val="00BC71FD"/>
    <w:rsid w:val="00BD3C23"/>
    <w:rsid w:val="00BD4F5C"/>
    <w:rsid w:val="00BF0B2E"/>
    <w:rsid w:val="00BF70D0"/>
    <w:rsid w:val="00BF7C9F"/>
    <w:rsid w:val="00C02D4C"/>
    <w:rsid w:val="00C043FB"/>
    <w:rsid w:val="00C046B8"/>
    <w:rsid w:val="00C070C9"/>
    <w:rsid w:val="00C123CB"/>
    <w:rsid w:val="00C12E02"/>
    <w:rsid w:val="00C166FA"/>
    <w:rsid w:val="00C2318D"/>
    <w:rsid w:val="00C26784"/>
    <w:rsid w:val="00C27F07"/>
    <w:rsid w:val="00C30E03"/>
    <w:rsid w:val="00C321E6"/>
    <w:rsid w:val="00C36DAA"/>
    <w:rsid w:val="00C36E5C"/>
    <w:rsid w:val="00C42D13"/>
    <w:rsid w:val="00C52B9A"/>
    <w:rsid w:val="00C83ECB"/>
    <w:rsid w:val="00C84044"/>
    <w:rsid w:val="00C85E14"/>
    <w:rsid w:val="00C91553"/>
    <w:rsid w:val="00C94340"/>
    <w:rsid w:val="00C974B2"/>
    <w:rsid w:val="00C97842"/>
    <w:rsid w:val="00CB07B4"/>
    <w:rsid w:val="00CB634D"/>
    <w:rsid w:val="00CC05FD"/>
    <w:rsid w:val="00CC3597"/>
    <w:rsid w:val="00CC4A98"/>
    <w:rsid w:val="00CC6F31"/>
    <w:rsid w:val="00CD1247"/>
    <w:rsid w:val="00CE1BFA"/>
    <w:rsid w:val="00CE70A3"/>
    <w:rsid w:val="00CE73FE"/>
    <w:rsid w:val="00CE7F7D"/>
    <w:rsid w:val="00CF2A2E"/>
    <w:rsid w:val="00D034B2"/>
    <w:rsid w:val="00D0662C"/>
    <w:rsid w:val="00D07EC9"/>
    <w:rsid w:val="00D15B15"/>
    <w:rsid w:val="00D3078A"/>
    <w:rsid w:val="00D45D5D"/>
    <w:rsid w:val="00D51B0D"/>
    <w:rsid w:val="00D569EF"/>
    <w:rsid w:val="00D61123"/>
    <w:rsid w:val="00D64262"/>
    <w:rsid w:val="00D805FB"/>
    <w:rsid w:val="00D84CBD"/>
    <w:rsid w:val="00D902CA"/>
    <w:rsid w:val="00D905EF"/>
    <w:rsid w:val="00D96971"/>
    <w:rsid w:val="00DA46F3"/>
    <w:rsid w:val="00DA5955"/>
    <w:rsid w:val="00DA5959"/>
    <w:rsid w:val="00DB0A2A"/>
    <w:rsid w:val="00DC2010"/>
    <w:rsid w:val="00DC5D20"/>
    <w:rsid w:val="00DD36F7"/>
    <w:rsid w:val="00DD509E"/>
    <w:rsid w:val="00DE10CB"/>
    <w:rsid w:val="00DF32CA"/>
    <w:rsid w:val="00E00879"/>
    <w:rsid w:val="00E01007"/>
    <w:rsid w:val="00E017CC"/>
    <w:rsid w:val="00E06009"/>
    <w:rsid w:val="00E0667C"/>
    <w:rsid w:val="00E14D33"/>
    <w:rsid w:val="00E172AE"/>
    <w:rsid w:val="00E20470"/>
    <w:rsid w:val="00E234D7"/>
    <w:rsid w:val="00E26101"/>
    <w:rsid w:val="00E36647"/>
    <w:rsid w:val="00E475B1"/>
    <w:rsid w:val="00E51A6C"/>
    <w:rsid w:val="00E54871"/>
    <w:rsid w:val="00E62388"/>
    <w:rsid w:val="00E64F6A"/>
    <w:rsid w:val="00E675C3"/>
    <w:rsid w:val="00E70671"/>
    <w:rsid w:val="00E72D06"/>
    <w:rsid w:val="00E82FC7"/>
    <w:rsid w:val="00E90276"/>
    <w:rsid w:val="00E90531"/>
    <w:rsid w:val="00E9084D"/>
    <w:rsid w:val="00E91194"/>
    <w:rsid w:val="00E92DE4"/>
    <w:rsid w:val="00E9329C"/>
    <w:rsid w:val="00E9586B"/>
    <w:rsid w:val="00E969C6"/>
    <w:rsid w:val="00EA16FB"/>
    <w:rsid w:val="00EA3C06"/>
    <w:rsid w:val="00EA7A64"/>
    <w:rsid w:val="00EB3EF5"/>
    <w:rsid w:val="00EB595C"/>
    <w:rsid w:val="00EC133D"/>
    <w:rsid w:val="00EC52AB"/>
    <w:rsid w:val="00ED3F1D"/>
    <w:rsid w:val="00EE7C5F"/>
    <w:rsid w:val="00EF2D3D"/>
    <w:rsid w:val="00EF5ED3"/>
    <w:rsid w:val="00EF6520"/>
    <w:rsid w:val="00F038FA"/>
    <w:rsid w:val="00F04D2A"/>
    <w:rsid w:val="00F067C5"/>
    <w:rsid w:val="00F267F8"/>
    <w:rsid w:val="00F4008C"/>
    <w:rsid w:val="00F418A2"/>
    <w:rsid w:val="00F56F7A"/>
    <w:rsid w:val="00F608D8"/>
    <w:rsid w:val="00F60976"/>
    <w:rsid w:val="00F664E4"/>
    <w:rsid w:val="00F71BA8"/>
    <w:rsid w:val="00F7309C"/>
    <w:rsid w:val="00F76801"/>
    <w:rsid w:val="00F76CC2"/>
    <w:rsid w:val="00F80E81"/>
    <w:rsid w:val="00F8279A"/>
    <w:rsid w:val="00F83999"/>
    <w:rsid w:val="00F9221C"/>
    <w:rsid w:val="00FA36CA"/>
    <w:rsid w:val="00FA46E5"/>
    <w:rsid w:val="00FB059E"/>
    <w:rsid w:val="00FB13C1"/>
    <w:rsid w:val="00FB1813"/>
    <w:rsid w:val="00FC269F"/>
    <w:rsid w:val="00FC73E4"/>
    <w:rsid w:val="00FD1DA1"/>
    <w:rsid w:val="00FD25DB"/>
    <w:rsid w:val="00FD2CF7"/>
    <w:rsid w:val="00FD520E"/>
    <w:rsid w:val="00FD5535"/>
    <w:rsid w:val="00FD70CA"/>
    <w:rsid w:val="00FE5C58"/>
    <w:rsid w:val="00FE6AC3"/>
    <w:rsid w:val="00FE719B"/>
    <w:rsid w:val="00FF0FB7"/>
    <w:rsid w:val="00FF33C3"/>
    <w:rsid w:val="00FF6137"/>
    <w:rsid w:val="00FF79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Style 12,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basedOn w:val="DefaultParagraphFont"/>
    <w:link w:val="FootnoteText"/>
    <w:rsid w:val="002037C5"/>
    <w:rPr>
      <w:lang w:val="en-US" w:eastAsia="en-US" w:bidi="ar-SA"/>
    </w:rPr>
  </w:style>
  <w:style w:type="character" w:styleId="Emphasis">
    <w:name w:val="Emphasis"/>
    <w:basedOn w:val="DefaultParagraphFont"/>
    <w:qFormat/>
    <w:rsid w:val="00A579F8"/>
    <w:rPr>
      <w:i/>
      <w:iCs/>
    </w:rPr>
  </w:style>
  <w:style w:type="paragraph" w:styleId="BalloonText">
    <w:name w:val="Balloon Text"/>
    <w:basedOn w:val="Normal"/>
    <w:semiHidden/>
    <w:rsid w:val="00AD213C"/>
    <w:rPr>
      <w:rFonts w:ascii="Tahoma" w:hAnsi="Tahoma" w:cs="Tahoma"/>
      <w:sz w:val="16"/>
      <w:szCs w:val="16"/>
    </w:rPr>
  </w:style>
  <w:style w:type="character" w:styleId="CommentReference">
    <w:name w:val="annotation reference"/>
    <w:basedOn w:val="DefaultParagraphFont"/>
    <w:semiHidden/>
    <w:rsid w:val="00D64262"/>
    <w:rPr>
      <w:sz w:val="16"/>
      <w:szCs w:val="16"/>
    </w:rPr>
  </w:style>
  <w:style w:type="paragraph" w:styleId="CommentText">
    <w:name w:val="annotation text"/>
    <w:basedOn w:val="Normal"/>
    <w:semiHidden/>
    <w:rsid w:val="00D64262"/>
    <w:rPr>
      <w:sz w:val="20"/>
    </w:rPr>
  </w:style>
  <w:style w:type="paragraph" w:styleId="CommentSubject">
    <w:name w:val="annotation subject"/>
    <w:basedOn w:val="CommentText"/>
    <w:next w:val="CommentText"/>
    <w:semiHidden/>
    <w:rsid w:val="00D64262"/>
    <w:rPr>
      <w:b/>
      <w:bCs/>
    </w:rPr>
  </w:style>
  <w:style w:type="character" w:customStyle="1" w:styleId="FootnoteTextChar4Char1CharCharCharCharChar">
    <w:name w:val="Footnote Text Char4 Char1 Char Char Char Char Char"/>
    <w:aliases w:val="rrfootnote Char"/>
    <w:basedOn w:val="DefaultParagraphFont"/>
    <w:rsid w:val="004076B5"/>
    <w:rPr>
      <w:sz w:val="22"/>
      <w:lang w:val="en-US" w:eastAsia="en-US" w:bidi="ar-SA"/>
    </w:rPr>
  </w:style>
  <w:style w:type="character" w:styleId="Hyperlink">
    <w:name w:val="Hyperlink"/>
    <w:basedOn w:val="DefaultParagraphFont"/>
    <w:rsid w:val="00C30E03"/>
    <w:rPr>
      <w:color w:val="0563C1" w:themeColor="hyperlink"/>
      <w:u w:val="single"/>
    </w:rPr>
  </w:style>
  <w:style w:type="character" w:customStyle="1" w:styleId="UnresolvedMention">
    <w:name w:val="Unresolved Mention"/>
    <w:basedOn w:val="DefaultParagraphFont"/>
    <w:uiPriority w:val="99"/>
    <w:semiHidden/>
    <w:unhideWhenUsed/>
    <w:rsid w:val="00C3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2018-02-08T14:13:32Z</dcterms:created>
  <dcterms:modified xsi:type="dcterms:W3CDTF">2018-02-08T14:13:32Z</dcterms:modified>
</cp:coreProperties>
</file>