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Pr>
          <w:rFonts w:ascii="Times New Roman Bold" w:hAnsi="Times New Roman Bold"/>
          <w:b/>
          <w:kern w:val="0"/>
          <w:szCs w:val="22"/>
        </w:rPr>
        <w:t xml:space="preserve"> </w:t>
      </w: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 xml:space="preserve">In the Matter </w:t>
            </w:r>
            <w:r w:rsidR="00727C12">
              <w:rPr>
                <w:spacing w:val="-2"/>
              </w:rPr>
              <w:t>of</w:t>
            </w:r>
          </w:p>
          <w:p w:rsidR="004C2EE3">
            <w:pPr>
              <w:tabs>
                <w:tab w:val="center" w:pos="4680"/>
              </w:tabs>
              <w:suppressAutoHyphens/>
              <w:rPr>
                <w:spacing w:val="-2"/>
              </w:rPr>
            </w:pPr>
          </w:p>
          <w:p w:rsidR="00727C12">
            <w:pPr>
              <w:tabs>
                <w:tab w:val="center" w:pos="4680"/>
              </w:tabs>
              <w:suppressAutoHyphens/>
              <w:rPr>
                <w:spacing w:val="-2"/>
              </w:rPr>
            </w:pPr>
          </w:p>
          <w:p w:rsidR="003179B7" w:rsidP="00105057">
            <w:pPr>
              <w:widowControl/>
              <w:autoSpaceDE w:val="0"/>
              <w:autoSpaceDN w:val="0"/>
              <w:adjustRightInd w:val="0"/>
              <w:rPr>
                <w:spacing w:val="-2"/>
              </w:rPr>
            </w:pPr>
            <w:r>
              <w:rPr>
                <w:spacing w:val="-2"/>
              </w:rPr>
              <w:t>Amendment of Section 73.</w:t>
            </w:r>
            <w:r w:rsidR="00671F04">
              <w:rPr>
                <w:spacing w:val="-2"/>
              </w:rPr>
              <w:t>622(i)</w:t>
            </w:r>
            <w:r>
              <w:rPr>
                <w:spacing w:val="-2"/>
              </w:rPr>
              <w:t xml:space="preserve"> </w:t>
            </w:r>
          </w:p>
          <w:p w:rsidR="003179B7" w:rsidP="00105057">
            <w:pPr>
              <w:widowControl/>
              <w:autoSpaceDE w:val="0"/>
              <w:autoSpaceDN w:val="0"/>
              <w:adjustRightInd w:val="0"/>
              <w:rPr>
                <w:spacing w:val="-2"/>
              </w:rPr>
            </w:pPr>
            <w:r>
              <w:rPr>
                <w:spacing w:val="-2"/>
              </w:rPr>
              <w:t>Digital Television Broadcast Stations</w:t>
            </w:r>
          </w:p>
          <w:p w:rsidR="003179B7" w:rsidRPr="00105057" w:rsidP="00105057">
            <w:pPr>
              <w:widowControl/>
              <w:autoSpaceDE w:val="0"/>
              <w:autoSpaceDN w:val="0"/>
              <w:adjustRightInd w:val="0"/>
              <w:rPr>
                <w:spacing w:val="-2"/>
              </w:rPr>
            </w:pPr>
            <w:r>
              <w:rPr>
                <w:spacing w:val="-2"/>
              </w:rPr>
              <w:t>(Morehead</w:t>
            </w:r>
            <w:r>
              <w:rPr>
                <w:spacing w:val="-2"/>
              </w:rPr>
              <w:t xml:space="preserve"> and </w:t>
            </w:r>
            <w:r>
              <w:rPr>
                <w:spacing w:val="-2"/>
              </w:rPr>
              <w:t>Richmond</w:t>
            </w:r>
            <w:r>
              <w:rPr>
                <w:spacing w:val="-2"/>
              </w:rPr>
              <w:t xml:space="preserve">, </w:t>
            </w:r>
            <w:r>
              <w:rPr>
                <w:spacing w:val="-2"/>
              </w:rPr>
              <w:t>Kentucky</w:t>
            </w:r>
            <w:r>
              <w:rPr>
                <w:spacing w:val="-2"/>
              </w:rPr>
              <w:t>)</w:t>
            </w:r>
          </w:p>
          <w:p w:rsidR="004C2EE3" w:rsidRPr="007115F7" w:rsidP="00CF0B5C">
            <w:pPr>
              <w:widowControl/>
              <w:autoSpaceDE w:val="0"/>
              <w:autoSpaceDN w:val="0"/>
              <w:adjustRightInd w:val="0"/>
              <w:rPr>
                <w:spacing w:val="-2"/>
              </w:rPr>
            </w:pPr>
          </w:p>
        </w:tc>
        <w:tc>
          <w:tcPr>
            <w:tcW w:w="630" w:type="dxa"/>
          </w:tcPr>
          <w:p w:rsidR="004C2EE3" w:rsidRPr="00105057">
            <w:pPr>
              <w:tabs>
                <w:tab w:val="center" w:pos="4680"/>
              </w:tabs>
              <w:suppressAutoHyphens/>
              <w:rPr>
                <w:spacing w:val="-2"/>
              </w:rPr>
            </w:pPr>
            <w:r w:rsidRPr="00105057">
              <w:rPr>
                <w:spacing w:val="-2"/>
              </w:rPr>
              <w:t>)</w:t>
            </w:r>
          </w:p>
          <w:p w:rsidR="004C2EE3" w:rsidRPr="00105057">
            <w:pPr>
              <w:tabs>
                <w:tab w:val="center" w:pos="4680"/>
              </w:tabs>
              <w:suppressAutoHyphens/>
              <w:rPr>
                <w:spacing w:val="-2"/>
              </w:rPr>
            </w:pPr>
            <w:r w:rsidRPr="00105057">
              <w:rPr>
                <w:spacing w:val="-2"/>
              </w:rPr>
              <w:t>)</w:t>
            </w:r>
          </w:p>
          <w:p w:rsidR="004C2EE3" w:rsidRPr="00105057">
            <w:pPr>
              <w:tabs>
                <w:tab w:val="center" w:pos="4680"/>
              </w:tabs>
              <w:suppressAutoHyphens/>
              <w:rPr>
                <w:spacing w:val="-2"/>
              </w:rPr>
            </w:pPr>
            <w:r w:rsidRPr="00105057">
              <w:rPr>
                <w:spacing w:val="-2"/>
              </w:rPr>
              <w:t>)</w:t>
            </w:r>
          </w:p>
          <w:p w:rsidR="004C2EE3" w:rsidRPr="00105057">
            <w:pPr>
              <w:tabs>
                <w:tab w:val="center" w:pos="4680"/>
              </w:tabs>
              <w:suppressAutoHyphens/>
              <w:rPr>
                <w:spacing w:val="-2"/>
              </w:rPr>
            </w:pPr>
            <w:r w:rsidRPr="00105057">
              <w:rPr>
                <w:spacing w:val="-2"/>
              </w:rPr>
              <w:t>)</w:t>
            </w:r>
          </w:p>
          <w:p w:rsidR="004C2EE3" w:rsidRPr="00105057">
            <w:pPr>
              <w:tabs>
                <w:tab w:val="center" w:pos="4680"/>
              </w:tabs>
              <w:suppressAutoHyphens/>
              <w:rPr>
                <w:spacing w:val="-2"/>
              </w:rPr>
            </w:pPr>
            <w:r w:rsidRPr="00105057">
              <w:rPr>
                <w:spacing w:val="-2"/>
              </w:rPr>
              <w:t>)</w:t>
            </w:r>
          </w:p>
          <w:p w:rsidR="00CF0B5C">
            <w:pPr>
              <w:tabs>
                <w:tab w:val="center" w:pos="4680"/>
              </w:tabs>
              <w:suppressAutoHyphens/>
              <w:rPr>
                <w:spacing w:val="-2"/>
              </w:rPr>
            </w:pPr>
            <w:r>
              <w:rPr>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727C12">
            <w:pPr>
              <w:tabs>
                <w:tab w:val="center" w:pos="4680"/>
              </w:tabs>
              <w:suppressAutoHyphens/>
              <w:rPr>
                <w:spacing w:val="-2"/>
              </w:rPr>
            </w:pPr>
            <w:bookmarkStart w:id="0" w:name="_Hlk500146806"/>
          </w:p>
          <w:p w:rsidR="0091419E">
            <w:pPr>
              <w:tabs>
                <w:tab w:val="center" w:pos="4680"/>
              </w:tabs>
              <w:suppressAutoHyphens/>
              <w:rPr>
                <w:spacing w:val="-2"/>
              </w:rPr>
            </w:pPr>
            <w:r>
              <w:rPr>
                <w:spacing w:val="-2"/>
              </w:rPr>
              <w:t>MB Docket No.</w:t>
            </w:r>
            <w:bookmarkStart w:id="1" w:name="_GoBack"/>
            <w:bookmarkEnd w:id="1"/>
            <w:r w:rsidR="00EF26ED">
              <w:rPr>
                <w:spacing w:val="-2"/>
              </w:rPr>
              <w:t xml:space="preserve"> 18-</w:t>
            </w:r>
            <w:r w:rsidR="009127E4">
              <w:rPr>
                <w:spacing w:val="-2"/>
              </w:rPr>
              <w:t>320</w:t>
            </w:r>
          </w:p>
          <w:p w:rsidR="00C7372D">
            <w:pPr>
              <w:tabs>
                <w:tab w:val="center" w:pos="4680"/>
              </w:tabs>
              <w:suppressAutoHyphens/>
              <w:rPr>
                <w:spacing w:val="-2"/>
              </w:rPr>
            </w:pPr>
            <w:r>
              <w:rPr>
                <w:spacing w:val="-2"/>
              </w:rPr>
              <w:t>RM-</w:t>
            </w:r>
            <w:r w:rsidR="009127E4">
              <w:rPr>
                <w:spacing w:val="-2"/>
              </w:rPr>
              <w:t>11817</w:t>
            </w:r>
          </w:p>
          <w:p w:rsidR="00105057" w:rsidP="00C7372D">
            <w:pPr>
              <w:widowControl/>
              <w:autoSpaceDE w:val="0"/>
              <w:autoSpaceDN w:val="0"/>
              <w:adjustRightInd w:val="0"/>
              <w:rPr>
                <w:spacing w:val="-2"/>
              </w:rPr>
            </w:pPr>
            <w:bookmarkEnd w:id="0"/>
          </w:p>
        </w:tc>
      </w:tr>
    </w:tbl>
    <w:p w:rsidR="004C2EE3" w:rsidP="0070224F"/>
    <w:p w:rsidR="00841AB1" w:rsidP="00F021FA">
      <w:pPr>
        <w:pStyle w:val="StyleBoldCentered"/>
      </w:pPr>
      <w:r>
        <w:t>Report and Order</w:t>
      </w:r>
      <w:r w:rsidR="00C7372D">
        <w:t xml:space="preserve"> </w:t>
      </w:r>
    </w:p>
    <w:p w:rsidR="00EF0AF7" w:rsidP="00EF0AF7">
      <w:pPr>
        <w:tabs>
          <w:tab w:val="left" w:pos="720"/>
          <w:tab w:val="right" w:pos="9360"/>
        </w:tabs>
        <w:suppressAutoHyphens/>
        <w:spacing w:line="227" w:lineRule="auto"/>
        <w:jc w:val="center"/>
        <w:rPr>
          <w:b/>
          <w:spacing w:val="-2"/>
        </w:rPr>
      </w:pPr>
      <w:r>
        <w:rPr>
          <w:b/>
          <w:spacing w:val="-2"/>
        </w:rPr>
        <w:t>(Proceeding Terminated)</w:t>
      </w:r>
    </w:p>
    <w:p w:rsidR="00EF0AF7" w:rsidP="00133F79">
      <w:pPr>
        <w:tabs>
          <w:tab w:val="left" w:pos="720"/>
          <w:tab w:val="right" w:pos="9360"/>
        </w:tabs>
        <w:suppressAutoHyphens/>
        <w:spacing w:line="227" w:lineRule="auto"/>
        <w:rPr>
          <w:b/>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D1E4A">
        <w:rPr>
          <w:b/>
          <w:spacing w:val="-2"/>
        </w:rPr>
        <w:t>December 11, 2018</w:t>
      </w:r>
      <w:r w:rsidR="00CE1F7C">
        <w:rPr>
          <w:b/>
          <w:spacing w:val="-2"/>
        </w:rPr>
        <w:t xml:space="preserve">       </w:t>
      </w:r>
      <w:r w:rsidR="00BD1E4A">
        <w:rPr>
          <w:b/>
          <w:spacing w:val="-2"/>
        </w:rPr>
        <w:t xml:space="preserve">  </w:t>
      </w:r>
      <w:r w:rsidR="00CE1F7C">
        <w:rPr>
          <w:b/>
          <w:spacing w:val="-2"/>
        </w:rPr>
        <w:t xml:space="preserve">                        </w:t>
      </w:r>
      <w:r w:rsidR="00BD1E4A">
        <w:rPr>
          <w:b/>
          <w:spacing w:val="-2"/>
        </w:rPr>
        <w:t xml:space="preserve">          </w:t>
      </w:r>
      <w:r w:rsidR="00CE1F7C">
        <w:rPr>
          <w:b/>
          <w:spacing w:val="-2"/>
        </w:rPr>
        <w:t xml:space="preserve">                     </w:t>
      </w:r>
      <w:r w:rsidR="00822CE0">
        <w:rPr>
          <w:b/>
          <w:spacing w:val="-2"/>
        </w:rPr>
        <w:t>Released</w:t>
      </w:r>
      <w:r>
        <w:rPr>
          <w:b/>
          <w:spacing w:val="-2"/>
        </w:rPr>
        <w:t>:</w:t>
      </w:r>
      <w:r w:rsidR="00822CE0">
        <w:rPr>
          <w:b/>
          <w:spacing w:val="-2"/>
        </w:rPr>
        <w:t xml:space="preserve"> </w:t>
      </w:r>
      <w:r w:rsidR="00BD1E4A">
        <w:rPr>
          <w:b/>
          <w:spacing w:val="-2"/>
        </w:rPr>
        <w:t xml:space="preserve"> December 11, 2018</w:t>
      </w:r>
    </w:p>
    <w:p w:rsidR="00C7372D"/>
    <w:p w:rsidR="004C2EE3">
      <w:pPr>
        <w:rPr>
          <w:spacing w:val="-2"/>
        </w:rPr>
      </w:pPr>
      <w:r>
        <w:t xml:space="preserve">By </w:t>
      </w:r>
      <w:r w:rsidR="004E4A22">
        <w:t>the</w:t>
      </w:r>
      <w:r w:rsidR="002A2D2E">
        <w:t xml:space="preserve"> </w:t>
      </w:r>
      <w:r w:rsidR="003F47A5">
        <w:t>Chief, Video Division</w:t>
      </w:r>
      <w:r w:rsidR="00BF3242">
        <w:t>, Media Bureau</w:t>
      </w:r>
      <w:r>
        <w:rPr>
          <w:spacing w:val="-2"/>
        </w:rPr>
        <w:t>:</w:t>
      </w:r>
    </w:p>
    <w:p w:rsidR="00412FC5" w:rsidP="00412FC5"/>
    <w:p w:rsidR="00BE45E7" w:rsidP="00BE45E7">
      <w:pPr>
        <w:pStyle w:val="ListParagraph"/>
        <w:numPr>
          <w:ilvl w:val="0"/>
          <w:numId w:val="17"/>
        </w:numPr>
        <w:ind w:left="720"/>
        <w:rPr>
          <w:b/>
        </w:rPr>
      </w:pPr>
      <w:r>
        <w:rPr>
          <w:b/>
        </w:rPr>
        <w:t>INTRODUCTION</w:t>
      </w:r>
    </w:p>
    <w:p w:rsidR="00BE45E7" w:rsidRPr="00BE45E7" w:rsidP="00BE45E7">
      <w:pPr>
        <w:rPr>
          <w:b/>
        </w:rPr>
      </w:pPr>
    </w:p>
    <w:p w:rsidR="00B87078" w:rsidP="00A25603">
      <w:pPr>
        <w:pStyle w:val="ParaNum"/>
        <w:tabs>
          <w:tab w:val="clear" w:pos="1080"/>
          <w:tab w:val="num" w:pos="1440"/>
        </w:tabs>
      </w:pPr>
      <w:r>
        <w:t xml:space="preserve">At the request of </w:t>
      </w:r>
      <w:r w:rsidR="00E124E8">
        <w:t>ION Media Lexington License</w:t>
      </w:r>
      <w:r w:rsidR="00757FA9">
        <w:t xml:space="preserve">, </w:t>
      </w:r>
      <w:r w:rsidR="00E124E8">
        <w:t>Inc.</w:t>
      </w:r>
      <w:r w:rsidR="00757FA9">
        <w:t xml:space="preserve"> (ION),</w:t>
      </w:r>
      <w:r w:rsidR="00C7372D">
        <w:t xml:space="preserve"> licensee of</w:t>
      </w:r>
      <w:r w:rsidR="00E124E8">
        <w:t xml:space="preserve"> digital television station WUPX-TV, channel 21</w:t>
      </w:r>
      <w:r w:rsidR="001947B7">
        <w:t xml:space="preserve">, </w:t>
      </w:r>
      <w:r w:rsidR="00E124E8">
        <w:t>Morehead</w:t>
      </w:r>
      <w:r w:rsidR="001947B7">
        <w:t xml:space="preserve">, </w:t>
      </w:r>
      <w:r w:rsidR="00E124E8">
        <w:t>Kentucky</w:t>
      </w:r>
      <w:r w:rsidR="00DF3050">
        <w:t xml:space="preserve"> (</w:t>
      </w:r>
      <w:r w:rsidR="00E124E8">
        <w:t>WUPX</w:t>
      </w:r>
      <w:r w:rsidR="00DF3050">
        <w:t>)</w:t>
      </w:r>
      <w:r>
        <w:t>, the Commission has before it a</w:t>
      </w:r>
      <w:r w:rsidR="00BE45E7">
        <w:t>n unopposed</w:t>
      </w:r>
      <w:r>
        <w:t xml:space="preserve"> </w:t>
      </w:r>
      <w:r>
        <w:rPr>
          <w:i/>
        </w:rPr>
        <w:t>Notice of Proposed Rulemaking</w:t>
      </w:r>
      <w:r>
        <w:t xml:space="preserve"> (</w:t>
      </w:r>
      <w:r>
        <w:rPr>
          <w:i/>
        </w:rPr>
        <w:t>NPRM</w:t>
      </w:r>
      <w:r w:rsidR="00D846EC">
        <w:t>)</w:t>
      </w:r>
      <w:r w:rsidR="00163E40">
        <w:t xml:space="preserve"> </w:t>
      </w:r>
      <w:r w:rsidR="00E85EA2">
        <w:t xml:space="preserve">to </w:t>
      </w:r>
      <w:r>
        <w:t xml:space="preserve">amend the DTV Table of </w:t>
      </w:r>
      <w:r w:rsidR="00E124E8">
        <w:t>Allotments to reallot channel 21</w:t>
      </w:r>
      <w:r>
        <w:t xml:space="preserve"> from </w:t>
      </w:r>
      <w:r w:rsidR="00E124E8">
        <w:t>Morehead</w:t>
      </w:r>
      <w:r w:rsidR="006D49FB">
        <w:t xml:space="preserve">, </w:t>
      </w:r>
      <w:r w:rsidR="00E124E8">
        <w:t>Kentucky</w:t>
      </w:r>
      <w:r w:rsidR="006D49FB">
        <w:t>,</w:t>
      </w:r>
      <w:r>
        <w:t xml:space="preserve"> to </w:t>
      </w:r>
      <w:r w:rsidR="00E124E8">
        <w:t>Richmond</w:t>
      </w:r>
      <w:r>
        <w:t xml:space="preserve">, </w:t>
      </w:r>
      <w:r w:rsidR="00E124E8">
        <w:t>Kentucky</w:t>
      </w:r>
      <w:r w:rsidR="001947B7">
        <w:t>.</w:t>
      </w:r>
      <w:r>
        <w:rPr>
          <w:rStyle w:val="FootnoteReference"/>
        </w:rPr>
        <w:footnoteReference w:id="3"/>
      </w:r>
      <w:r w:rsidR="001947B7">
        <w:t xml:space="preserve"> </w:t>
      </w:r>
      <w:r w:rsidR="005E47D2">
        <w:t xml:space="preserve"> </w:t>
      </w:r>
      <w:r>
        <w:t>ION filed</w:t>
      </w:r>
      <w:r w:rsidR="004F790A">
        <w:t xml:space="preserve"> comments</w:t>
      </w:r>
      <w:r w:rsidR="008A21E8">
        <w:t xml:space="preserve"> in support of</w:t>
      </w:r>
      <w:r w:rsidR="00BC3C5B">
        <w:t xml:space="preserve"> </w:t>
      </w:r>
      <w:r>
        <w:t xml:space="preserve">the </w:t>
      </w:r>
      <w:r w:rsidR="00163E40">
        <w:rPr>
          <w:i/>
        </w:rPr>
        <w:t>NPRM</w:t>
      </w:r>
      <w:r>
        <w:t>.</w:t>
      </w:r>
      <w:r>
        <w:rPr>
          <w:rStyle w:val="FootnoteReference"/>
        </w:rPr>
        <w:footnoteReference w:id="4"/>
      </w:r>
      <w:r>
        <w:t xml:space="preserve"> </w:t>
      </w:r>
      <w:r w:rsidR="00CB115E">
        <w:t xml:space="preserve"> For the reasons </w:t>
      </w:r>
      <w:r w:rsidR="00670CA9">
        <w:t>below,</w:t>
      </w:r>
      <w:r w:rsidR="00F248E2">
        <w:t xml:space="preserve"> this Report and Order</w:t>
      </w:r>
      <w:r w:rsidR="00F76A06">
        <w:t>:</w:t>
      </w:r>
      <w:r w:rsidR="00670CA9">
        <w:t xml:space="preserve">  (1) grant</w:t>
      </w:r>
      <w:r w:rsidR="00F248E2">
        <w:t>s</w:t>
      </w:r>
      <w:r w:rsidR="00757FA9">
        <w:t xml:space="preserve"> ION</w:t>
      </w:r>
      <w:r w:rsidR="008A21E8">
        <w:t>’s</w:t>
      </w:r>
      <w:r w:rsidR="00CB115E">
        <w:t xml:space="preserve"> request to change </w:t>
      </w:r>
      <w:r w:rsidR="00E124E8">
        <w:t>WUPX</w:t>
      </w:r>
      <w:r w:rsidR="00CB115E">
        <w:t xml:space="preserve">’s community </w:t>
      </w:r>
      <w:r w:rsidR="008A21E8">
        <w:t xml:space="preserve">of license </w:t>
      </w:r>
      <w:r w:rsidR="00CB115E">
        <w:t xml:space="preserve">to </w:t>
      </w:r>
      <w:r w:rsidR="00E124E8">
        <w:t>Richmond</w:t>
      </w:r>
      <w:r w:rsidR="008A21E8">
        <w:t>,</w:t>
      </w:r>
      <w:r w:rsidR="00670CA9">
        <w:t xml:space="preserve"> </w:t>
      </w:r>
      <w:r w:rsidR="00E124E8">
        <w:t>Kentucky</w:t>
      </w:r>
      <w:r w:rsidR="0040322D">
        <w:t xml:space="preserve">; </w:t>
      </w:r>
      <w:r w:rsidR="00CB115E">
        <w:t>(2</w:t>
      </w:r>
      <w:r w:rsidR="00920850">
        <w:t>) amend</w:t>
      </w:r>
      <w:r w:rsidR="00F248E2">
        <w:t>s</w:t>
      </w:r>
      <w:r w:rsidR="00CB115E">
        <w:t xml:space="preserve"> the </w:t>
      </w:r>
      <w:r w:rsidR="006D49FB">
        <w:t xml:space="preserve">DTV </w:t>
      </w:r>
      <w:r w:rsidR="00CB115E">
        <w:t xml:space="preserve">Table of Allotments to reflect the change; (3) </w:t>
      </w:r>
      <w:r w:rsidR="00670CA9">
        <w:t>modif</w:t>
      </w:r>
      <w:r w:rsidR="00F248E2">
        <w:t>ies</w:t>
      </w:r>
      <w:r w:rsidR="00CB115E">
        <w:t xml:space="preserve"> </w:t>
      </w:r>
      <w:r w:rsidR="00E124E8">
        <w:t>WUPX</w:t>
      </w:r>
      <w:r w:rsidR="00CB115E">
        <w:t>’s license to reflect that its comm</w:t>
      </w:r>
      <w:r w:rsidR="008A21E8">
        <w:t>unity of license i</w:t>
      </w:r>
      <w:r w:rsidR="00E124E8">
        <w:t>s Richmond, Kentucky</w:t>
      </w:r>
      <w:r w:rsidR="00302AE3">
        <w:t xml:space="preserve">; </w:t>
      </w:r>
      <w:r w:rsidR="00840544">
        <w:t xml:space="preserve">and </w:t>
      </w:r>
      <w:r w:rsidR="00302AE3">
        <w:t>(4) condition any authorizations implementing this community of license change on c</w:t>
      </w:r>
      <w:r w:rsidR="00E124E8">
        <w:t>ontinued service to Morehead, Kentucky</w:t>
      </w:r>
      <w:r w:rsidR="00816070">
        <w:t>.</w:t>
      </w:r>
    </w:p>
    <w:p w:rsidR="00BE45E7" w:rsidP="00BE45E7">
      <w:pPr>
        <w:pStyle w:val="ParaNum"/>
        <w:numPr>
          <w:ilvl w:val="0"/>
          <w:numId w:val="17"/>
        </w:numPr>
        <w:ind w:left="720"/>
      </w:pPr>
      <w:r>
        <w:rPr>
          <w:b/>
        </w:rPr>
        <w:t>BACKGROUND</w:t>
      </w:r>
    </w:p>
    <w:p w:rsidR="009127E4" w:rsidP="009127E4">
      <w:pPr>
        <w:pStyle w:val="ParaNum"/>
        <w:numPr>
          <w:ilvl w:val="0"/>
          <w:numId w:val="18"/>
        </w:numPr>
        <w:tabs>
          <w:tab w:val="clear" w:pos="1080"/>
          <w:tab w:val="num" w:pos="1440"/>
        </w:tabs>
      </w:pPr>
      <w:bookmarkStart w:id="2" w:name="_Hlk501539640"/>
      <w:r>
        <w:t xml:space="preserve"> </w:t>
      </w:r>
      <w:r w:rsidR="00192A2D">
        <w:t>On October 9</w:t>
      </w:r>
      <w:r w:rsidR="00757FA9">
        <w:t>, 201</w:t>
      </w:r>
      <w:r w:rsidR="00E124E8">
        <w:t>8</w:t>
      </w:r>
      <w:r w:rsidR="00757FA9">
        <w:t>, ION</w:t>
      </w:r>
      <w:r w:rsidR="008720D6">
        <w:t xml:space="preserve"> filed a petition for rulemaking proposing to reallot channel </w:t>
      </w:r>
      <w:r w:rsidR="00192A2D">
        <w:t>21</w:t>
      </w:r>
      <w:r w:rsidR="008720D6">
        <w:t xml:space="preserve"> from </w:t>
      </w:r>
      <w:r w:rsidR="00192A2D">
        <w:t>Morehead</w:t>
      </w:r>
      <w:r w:rsidR="00BC3C5B">
        <w:t xml:space="preserve"> to Richmond</w:t>
      </w:r>
      <w:r>
        <w:rPr>
          <w:rStyle w:val="FootnoteReference"/>
        </w:rPr>
        <w:footnoteReference w:id="5"/>
      </w:r>
      <w:r w:rsidR="00920850">
        <w:t xml:space="preserve"> </w:t>
      </w:r>
      <w:r w:rsidR="008D1E02">
        <w:t>pursuant</w:t>
      </w:r>
      <w:r w:rsidR="00EF0AF7">
        <w:t xml:space="preserve"> to Section </w:t>
      </w:r>
      <w:r w:rsidR="00CE1F7C">
        <w:t>1.</w:t>
      </w:r>
      <w:r w:rsidR="005052EA">
        <w:t>42</w:t>
      </w:r>
      <w:r w:rsidR="00CE1F7C">
        <w:t>0</w:t>
      </w:r>
      <w:r w:rsidR="005052EA">
        <w:t>(i) of the</w:t>
      </w:r>
      <w:r w:rsidR="00EF0AF7">
        <w:t xml:space="preserve"> Commission’s rul</w:t>
      </w:r>
      <w:r w:rsidR="00DC76CF">
        <w:t>es</w:t>
      </w:r>
      <w:r w:rsidR="00920850">
        <w:t>.</w:t>
      </w:r>
      <w:r>
        <w:rPr>
          <w:rStyle w:val="FootnoteReference"/>
        </w:rPr>
        <w:footnoteReference w:id="6"/>
      </w:r>
      <w:r w:rsidR="00670CA9">
        <w:t xml:space="preserve"> </w:t>
      </w:r>
      <w:r w:rsidR="00341124">
        <w:t xml:space="preserve"> </w:t>
      </w:r>
      <w:r w:rsidR="00302D9B">
        <w:t xml:space="preserve">In the Petition, </w:t>
      </w:r>
      <w:r w:rsidR="00302D9B">
        <w:t>ION first claimed that</w:t>
      </w:r>
      <w:r>
        <w:t xml:space="preserve"> the proposed reallotment is mutually exclusive with WUPX’s current allotment because it is based on the technical specifications currently authorized for WUPX, which ION is currently not proposing to change.</w:t>
      </w:r>
      <w:r>
        <w:rPr>
          <w:rStyle w:val="FootnoteReference"/>
        </w:rPr>
        <w:footnoteReference w:id="7"/>
      </w:r>
      <w:r>
        <w:t xml:space="preserve">  Second, </w:t>
      </w:r>
      <w:r w:rsidR="00302D9B">
        <w:t>ION asserted</w:t>
      </w:r>
      <w:r>
        <w:t xml:space="preserve"> that the proposed reallotment represents a preferential arrangement of allotments under the Commission’s second allotment priority by providing Richmond with its first local transmission service.</w:t>
      </w:r>
      <w:r>
        <w:rPr>
          <w:rStyle w:val="FootnoteReference"/>
        </w:rPr>
        <w:footnoteReference w:id="8"/>
      </w:r>
      <w:r>
        <w:t xml:space="preserve">  ION</w:t>
      </w:r>
      <w:r w:rsidR="00302D9B">
        <w:t xml:space="preserve"> explained</w:t>
      </w:r>
      <w:r>
        <w:t xml:space="preserve"> that Richmond not only qualifies as a community for allotment purposes, but also is a much larger community than Morehead and is deserving of its first local transmission service.</w:t>
      </w:r>
      <w:r>
        <w:rPr>
          <w:rStyle w:val="FootnoteReference"/>
        </w:rPr>
        <w:footnoteReference w:id="9"/>
      </w:r>
      <w:r w:rsidR="00302D9B">
        <w:t xml:space="preserve">  ION noted</w:t>
      </w:r>
      <w:r>
        <w:t xml:space="preserve"> that Richmond (population of 31,364, compared to Morehead’s population of 6,845) is the third largest city in the “Bluegrass Region” and is the county seat of Madison County, Kentucky.</w:t>
      </w:r>
      <w:r>
        <w:rPr>
          <w:rStyle w:val="FootnoteReference"/>
        </w:rPr>
        <w:footnoteReference w:id="10"/>
      </w:r>
      <w:r w:rsidR="00302D9B">
        <w:t xml:space="preserve">  ION also noted</w:t>
      </w:r>
      <w:r>
        <w:t xml:space="preserve"> that Richmond has an active government, which “oversees municipal services such as the Richmond Fire Department, the Richmond Police Department, [the] Richmond Recycling Plant, and Richm</w:t>
      </w:r>
      <w:r w:rsidR="00BC3C5B">
        <w:t>ond [u]tilities (including [w]at</w:t>
      </w:r>
      <w:r>
        <w:t>er, [g]as[,] and [s]anitary [s]ewer services).”</w:t>
      </w:r>
      <w:r>
        <w:rPr>
          <w:rStyle w:val="FootnoteReference"/>
        </w:rPr>
        <w:footnoteReference w:id="11"/>
      </w:r>
      <w:r>
        <w:t xml:space="preserve">  Furthermore, </w:t>
      </w:r>
      <w:r w:rsidR="00E91C47">
        <w:t>ION claimed that</w:t>
      </w:r>
      <w:r>
        <w:t xml:space="preserve"> Richmond has a local newspaper service; a regional airport; two libraries; two performing arts centers; four hospital/medical centers; five museums; six radio stations; six historical sites; over 50 places of worship; several public, private, and technical/trade schools; numerous state and local parks; and is home to the Eastern Kentucky University.</w:t>
      </w:r>
      <w:r>
        <w:rPr>
          <w:rStyle w:val="FootnoteReference"/>
        </w:rPr>
        <w:footnoteReference w:id="12"/>
      </w:r>
      <w:r>
        <w:t xml:space="preserve">  Finally, ION</w:t>
      </w:r>
      <w:r w:rsidR="00302D9B">
        <w:t xml:space="preserve"> asserted</w:t>
      </w:r>
      <w:r>
        <w:t xml:space="preserve"> that the proposed reallotment will not deprive Morehead of its sole broadcast station as it will continue to be served by station WKMR(TV), licensed to Kentucky Authority for Educational TV, on channel *15 at Morehead.</w:t>
      </w:r>
      <w:r>
        <w:rPr>
          <w:rStyle w:val="FootnoteReference"/>
        </w:rPr>
        <w:footnoteReference w:id="13"/>
      </w:r>
      <w:r>
        <w:t xml:space="preserve">  </w:t>
      </w:r>
    </w:p>
    <w:p w:rsidR="00CE1F7C" w:rsidP="00873850">
      <w:pPr>
        <w:pStyle w:val="ParaNum"/>
        <w:widowControl/>
        <w:tabs>
          <w:tab w:val="clear" w:pos="1080"/>
          <w:tab w:val="num" w:pos="1440"/>
        </w:tabs>
      </w:pPr>
      <w:r>
        <w:t>On October 18</w:t>
      </w:r>
      <w:r w:rsidR="008720D6">
        <w:t>, 2018, the Video Division</w:t>
      </w:r>
      <w:r w:rsidR="00757FA9">
        <w:t xml:space="preserve"> </w:t>
      </w:r>
      <w:r w:rsidR="007144DA">
        <w:t xml:space="preserve">issued the </w:t>
      </w:r>
      <w:r w:rsidR="007144DA">
        <w:rPr>
          <w:i/>
        </w:rPr>
        <w:t>NPRM</w:t>
      </w:r>
      <w:r w:rsidR="00873850">
        <w:t>, which</w:t>
      </w:r>
      <w:r w:rsidR="00873850">
        <w:rPr>
          <w:i/>
        </w:rPr>
        <w:t xml:space="preserve"> </w:t>
      </w:r>
      <w:r w:rsidR="00873850">
        <w:t>concluded that ION provided sufficient information to warrant further consideration of</w:t>
      </w:r>
      <w:r>
        <w:t xml:space="preserve"> </w:t>
      </w:r>
      <w:r w:rsidR="00873850">
        <w:t>its</w:t>
      </w:r>
      <w:r w:rsidRPr="00873850" w:rsidR="00873850">
        <w:t xml:space="preserve"> </w:t>
      </w:r>
      <w:r w:rsidR="00873850">
        <w:t>proposal to amend the DTV Table of A</w:t>
      </w:r>
      <w:r>
        <w:t>llotments by deleting channel 21</w:t>
      </w:r>
      <w:r w:rsidR="00873850">
        <w:t xml:space="preserve"> at </w:t>
      </w:r>
      <w:r>
        <w:t>Morehead</w:t>
      </w:r>
      <w:r w:rsidR="00873850">
        <w:t xml:space="preserve"> and substitut</w:t>
      </w:r>
      <w:r w:rsidR="002A2B92">
        <w:t>ing</w:t>
      </w:r>
      <w:r w:rsidR="00873850">
        <w:t xml:space="preserve"> channel </w:t>
      </w:r>
      <w:r>
        <w:t>2</w:t>
      </w:r>
      <w:r w:rsidR="00873850">
        <w:t xml:space="preserve">1 at </w:t>
      </w:r>
      <w:r>
        <w:t>Richmond</w:t>
      </w:r>
      <w:r w:rsidR="00873850">
        <w:t>.</w:t>
      </w:r>
      <w:r>
        <w:rPr>
          <w:rStyle w:val="FootnoteReference"/>
        </w:rPr>
        <w:footnoteReference w:id="14"/>
      </w:r>
      <w:r w:rsidR="00873850">
        <w:t xml:space="preserve"> </w:t>
      </w:r>
      <w:r w:rsidR="008720D6">
        <w:t xml:space="preserve"> </w:t>
      </w:r>
      <w:r w:rsidR="00F6492D">
        <w:t>Accordingly, t</w:t>
      </w:r>
      <w:r w:rsidR="009E6436">
        <w:t>he</w:t>
      </w:r>
      <w:r w:rsidR="00F6492D">
        <w:t xml:space="preserve"> Video Division</w:t>
      </w:r>
      <w:r w:rsidR="009E6436">
        <w:t xml:space="preserve"> </w:t>
      </w:r>
      <w:r w:rsidR="00CD615F">
        <w:t xml:space="preserve">sought </w:t>
      </w:r>
      <w:r w:rsidR="00873850">
        <w:t xml:space="preserve">public </w:t>
      </w:r>
      <w:r w:rsidR="00CD615F">
        <w:t xml:space="preserve">comment </w:t>
      </w:r>
      <w:r w:rsidR="00873850">
        <w:t xml:space="preserve">on whether </w:t>
      </w:r>
      <w:r w:rsidR="004F3488">
        <w:t xml:space="preserve">the Commission should grant </w:t>
      </w:r>
      <w:r w:rsidR="00BC3C5B">
        <w:t xml:space="preserve">the </w:t>
      </w:r>
      <w:r w:rsidR="004F3488">
        <w:t>proposed reallotment.</w:t>
      </w:r>
      <w:r>
        <w:rPr>
          <w:rStyle w:val="FootnoteReference"/>
        </w:rPr>
        <w:footnoteReference w:id="15"/>
      </w:r>
    </w:p>
    <w:p w:rsidR="009E6436" w:rsidP="00EE51A8">
      <w:pPr>
        <w:pStyle w:val="ParaNum"/>
        <w:tabs>
          <w:tab w:val="clear" w:pos="1080"/>
          <w:tab w:val="num" w:pos="1440"/>
        </w:tabs>
      </w:pPr>
      <w:bookmarkStart w:id="3" w:name="_Hlk506449115"/>
      <w:r>
        <w:t xml:space="preserve"> </w:t>
      </w:r>
      <w:r w:rsidR="006712B0">
        <w:t>On November 29</w:t>
      </w:r>
      <w:r w:rsidR="00302D9B">
        <w:t xml:space="preserve">, </w:t>
      </w:r>
      <w:r w:rsidR="005D3787">
        <w:t>2018, ION</w:t>
      </w:r>
      <w:r w:rsidR="009E0DB1">
        <w:t xml:space="preserve"> filed comments expressing continued</w:t>
      </w:r>
      <w:r w:rsidR="00F6492D">
        <w:t xml:space="preserve"> support for the proposed reallotment.</w:t>
      </w:r>
      <w:r>
        <w:rPr>
          <w:rStyle w:val="FootnoteReference"/>
        </w:rPr>
        <w:footnoteReference w:id="16"/>
      </w:r>
      <w:r w:rsidR="00B3031B">
        <w:t xml:space="preserve"> </w:t>
      </w:r>
      <w:r w:rsidR="00EE51A8">
        <w:t xml:space="preserve"> </w:t>
      </w:r>
      <w:r w:rsidR="00D3086F">
        <w:t xml:space="preserve">ION </w:t>
      </w:r>
      <w:r w:rsidR="00B3031B">
        <w:t xml:space="preserve">reiterated </w:t>
      </w:r>
      <w:r w:rsidR="00671FBA">
        <w:t>that the propose</w:t>
      </w:r>
      <w:r w:rsidR="00A46A7A">
        <w:t>d reallotment</w:t>
      </w:r>
      <w:r w:rsidR="00CD615F">
        <w:t xml:space="preserve"> would serve the public interest because it satisfies the Commission’s second allotment priority</w:t>
      </w:r>
      <w:r w:rsidR="00671FBA">
        <w:t>.</w:t>
      </w:r>
      <w:r>
        <w:rPr>
          <w:rStyle w:val="FootnoteReference"/>
        </w:rPr>
        <w:footnoteReference w:id="17"/>
      </w:r>
      <w:r w:rsidR="00671FBA">
        <w:t xml:space="preserve">  </w:t>
      </w:r>
      <w:r w:rsidR="00A46A7A">
        <w:t xml:space="preserve">  </w:t>
      </w:r>
    </w:p>
    <w:p w:rsidR="00F6492D" w:rsidRPr="00F6492D" w:rsidP="00F6492D">
      <w:pPr>
        <w:pStyle w:val="ParaNum"/>
        <w:numPr>
          <w:ilvl w:val="0"/>
          <w:numId w:val="17"/>
        </w:numPr>
        <w:ind w:left="720"/>
        <w:rPr>
          <w:b/>
        </w:rPr>
      </w:pPr>
      <w:r w:rsidRPr="00F6492D">
        <w:rPr>
          <w:b/>
        </w:rPr>
        <w:t>DISCUSSION</w:t>
      </w:r>
    </w:p>
    <w:p w:rsidR="00A9333F" w:rsidP="00E91C47">
      <w:pPr>
        <w:pStyle w:val="ParaNum"/>
        <w:tabs>
          <w:tab w:val="clear" w:pos="1080"/>
          <w:tab w:val="num" w:pos="1440"/>
        </w:tabs>
      </w:pPr>
      <w:r>
        <w:t>When</w:t>
      </w:r>
      <w:r w:rsidR="00793EAC">
        <w:t xml:space="preserve"> evaluating a proposed</w:t>
      </w:r>
      <w:r>
        <w:t xml:space="preserve"> reallotment, the Commission compares the</w:t>
      </w:r>
      <w:r w:rsidR="003D26A2">
        <w:t xml:space="preserve"> proposal against the</w:t>
      </w:r>
      <w:r>
        <w:t xml:space="preserve"> existing allotment to determine whether the change would result in a preferential arrangement of allotments.</w:t>
      </w:r>
      <w:r>
        <w:rPr>
          <w:rStyle w:val="FootnoteReference"/>
        </w:rPr>
        <w:footnoteReference w:id="18"/>
      </w:r>
      <w:r>
        <w:t xml:space="preserve">  </w:t>
      </w:r>
      <w:r w:rsidR="003D26A2">
        <w:t>The Commission</w:t>
      </w:r>
      <w:r w:rsidR="002E75D1">
        <w:t xml:space="preserve"> will consider any proposal to change the DTV Table of Allotments </w:t>
      </w:r>
      <w:r>
        <w:t xml:space="preserve">to be </w:t>
      </w:r>
      <w:r>
        <w:t>in the pub</w:t>
      </w:r>
      <w:r w:rsidR="00163428">
        <w:t xml:space="preserve">lic interest if it </w:t>
      </w:r>
      <w:r w:rsidR="0082292A">
        <w:t>satisfies</w:t>
      </w:r>
      <w:r>
        <w:t xml:space="preserve"> one of the Commission’s</w:t>
      </w:r>
      <w:r w:rsidRPr="00762A73">
        <w:t xml:space="preserve"> five </w:t>
      </w:r>
      <w:r>
        <w:t xml:space="preserve">allotment </w:t>
      </w:r>
      <w:r w:rsidR="002E75D1">
        <w:t>priorities</w:t>
      </w:r>
      <w:r w:rsidRPr="00762A73">
        <w:t>.</w:t>
      </w:r>
      <w:r>
        <w:rPr>
          <w:rStyle w:val="FootnoteReference"/>
        </w:rPr>
        <w:footnoteReference w:id="19"/>
      </w:r>
      <w:r>
        <w:t xml:space="preserve">  Her</w:t>
      </w:r>
      <w:r w:rsidR="003D26A2">
        <w:t>e, we find that the proposal represents a preferential arrangement of allotments pursuant to the Commission’s second allotment priority</w:t>
      </w:r>
      <w:r w:rsidR="007F5BC6">
        <w:t xml:space="preserve"> by</w:t>
      </w:r>
      <w:r w:rsidR="0082292A">
        <w:t xml:space="preserve"> providing</w:t>
      </w:r>
      <w:r w:rsidR="00E91C47">
        <w:t xml:space="preserve"> Richmond</w:t>
      </w:r>
      <w:r>
        <w:t xml:space="preserve">, the </w:t>
      </w:r>
      <w:r w:rsidR="00E91C47">
        <w:t>third largest city in Kentucky, with</w:t>
      </w:r>
      <w:r>
        <w:t xml:space="preserve"> its first local television service</w:t>
      </w:r>
      <w:r w:rsidR="00E91C47">
        <w:t>.  Moreover, because Morehead will not be deprived of its sole local service, we believe that</w:t>
      </w:r>
      <w:r w:rsidR="003D26A2">
        <w:t xml:space="preserve"> </w:t>
      </w:r>
      <w:r w:rsidR="001B483D">
        <w:t>grant of</w:t>
      </w:r>
      <w:r w:rsidR="0082292A">
        <w:t xml:space="preserve"> the proposed </w:t>
      </w:r>
      <w:r w:rsidR="00E91C47">
        <w:t>reallotment is in the public interest</w:t>
      </w:r>
      <w:r w:rsidR="001B483D">
        <w:t>.</w:t>
      </w:r>
      <w:r>
        <w:rPr>
          <w:rStyle w:val="FootnoteReference"/>
        </w:rPr>
        <w:footnoteReference w:id="20"/>
      </w:r>
    </w:p>
    <w:p w:rsidR="005B2C5D" w:rsidRPr="006D429C" w:rsidP="006D429C">
      <w:pPr>
        <w:pStyle w:val="ParaNum"/>
        <w:numPr>
          <w:ilvl w:val="0"/>
          <w:numId w:val="17"/>
        </w:numPr>
        <w:ind w:left="720"/>
      </w:pPr>
      <w:r>
        <w:rPr>
          <w:b/>
        </w:rPr>
        <w:t>ORDERING CLAUSES</w:t>
      </w:r>
    </w:p>
    <w:p w:rsidR="00B57082" w:rsidRPr="00E3073B" w:rsidP="001364E3">
      <w:pPr>
        <w:pStyle w:val="ParaNum"/>
        <w:tabs>
          <w:tab w:val="clear" w:pos="1080"/>
          <w:tab w:val="num" w:pos="1440"/>
        </w:tabs>
      </w:pPr>
      <w:r>
        <w:rPr>
          <w:b/>
        </w:rPr>
        <w:t xml:space="preserve">ACCORDINGLY, </w:t>
      </w:r>
      <w:r w:rsidR="000A5648">
        <w:rPr>
          <w:b/>
        </w:rPr>
        <w:t xml:space="preserve">IT IS ORDERED </w:t>
      </w:r>
      <w:r w:rsidR="000A5648">
        <w:t xml:space="preserve">that </w:t>
      </w:r>
      <w:r w:rsidR="006E3F9D">
        <w:t>t</w:t>
      </w:r>
      <w:r>
        <w:t xml:space="preserve">he Petition for Rulemaking filed by </w:t>
      </w:r>
      <w:r>
        <w:t>ION Media</w:t>
      </w:r>
      <w:r w:rsidR="00BC3C5B">
        <w:t xml:space="preserve"> Lexington</w:t>
      </w:r>
      <w:r>
        <w:t xml:space="preserve"> License</w:t>
      </w:r>
      <w:r>
        <w:t xml:space="preserve">, </w:t>
      </w:r>
      <w:r>
        <w:t>Inc.</w:t>
      </w:r>
      <w:r>
        <w:t>, licensee of W</w:t>
      </w:r>
      <w:r>
        <w:t>U</w:t>
      </w:r>
      <w:r>
        <w:t xml:space="preserve">PX-TV, </w:t>
      </w:r>
      <w:r>
        <w:t>Morehead</w:t>
      </w:r>
      <w:r>
        <w:t xml:space="preserve">, </w:t>
      </w:r>
      <w:r>
        <w:t>Kentucky</w:t>
      </w:r>
      <w:r>
        <w:t xml:space="preserve">, </w:t>
      </w:r>
      <w:r>
        <w:rPr>
          <w:b/>
        </w:rPr>
        <w:t>IS GRANTED.</w:t>
      </w:r>
    </w:p>
    <w:p w:rsidR="001D1734" w:rsidP="001364E3">
      <w:pPr>
        <w:pStyle w:val="ParaNum"/>
        <w:tabs>
          <w:tab w:val="clear" w:pos="1080"/>
          <w:tab w:val="num" w:pos="1440"/>
        </w:tabs>
      </w:pPr>
      <w:r>
        <w:rPr>
          <w:b/>
        </w:rPr>
        <w:t xml:space="preserve">IT IS FURTHER </w:t>
      </w:r>
      <w:r w:rsidRPr="00B57082">
        <w:rPr>
          <w:b/>
        </w:rPr>
        <w:t>ORDERED</w:t>
      </w:r>
      <w:r>
        <w:rPr>
          <w:b/>
        </w:rPr>
        <w:t xml:space="preserve"> </w:t>
      </w:r>
      <w:r w:rsidR="00B548ED">
        <w:t xml:space="preserve">that, pursuant to the authority in </w:t>
      </w:r>
      <w:r w:rsidR="00897AB6">
        <w:t>S</w:t>
      </w:r>
      <w:r w:rsidR="00B548ED">
        <w:t xml:space="preserve">ections </w:t>
      </w:r>
      <w:r w:rsidR="00572FFC">
        <w:t>15</w:t>
      </w:r>
      <w:r w:rsidR="00B548ED">
        <w:t xml:space="preserve">4(i), </w:t>
      </w:r>
      <w:r w:rsidR="00572FFC">
        <w:t>155(c)(1</w:t>
      </w:r>
      <w:r w:rsidR="00B548ED">
        <w:t>), 303(g) and (r), and 307(b) of the Communications Act of 1934, as amended,</w:t>
      </w:r>
      <w:r>
        <w:rPr>
          <w:rStyle w:val="FootnoteReference"/>
        </w:rPr>
        <w:footnoteReference w:id="21"/>
      </w:r>
      <w:r w:rsidR="00B548ED">
        <w:t xml:space="preserve"> and </w:t>
      </w:r>
      <w:r w:rsidR="00897AB6">
        <w:t>S</w:t>
      </w:r>
      <w:r w:rsidR="00B548ED">
        <w:t xml:space="preserve">ections 0.61, 0.204(b), and </w:t>
      </w:r>
      <w:r w:rsidR="00177C38">
        <w:t>0</w:t>
      </w:r>
      <w:r w:rsidR="00B548ED">
        <w:t>.283 of the Commission’s rules,</w:t>
      </w:r>
      <w:r>
        <w:rPr>
          <w:rStyle w:val="FootnoteReference"/>
        </w:rPr>
        <w:footnoteReference w:id="22"/>
      </w:r>
      <w:r w:rsidR="00B548ED">
        <w:t xml:space="preserve"> the DTV Table of Allotments, </w:t>
      </w:r>
      <w:r w:rsidR="00897AB6">
        <w:t>S</w:t>
      </w:r>
      <w:r w:rsidR="00B548ED">
        <w:t xml:space="preserve">ection 73.622(i) of the Commission’s rules, </w:t>
      </w:r>
      <w:r w:rsidR="00B548ED">
        <w:rPr>
          <w:b/>
        </w:rPr>
        <w:t>IS AMENDED</w:t>
      </w:r>
      <w:r w:rsidR="00177C38">
        <w:t xml:space="preserve">, with respect to </w:t>
      </w:r>
      <w:r w:rsidR="00A6355B">
        <w:t>Morehead</w:t>
      </w:r>
      <w:r w:rsidR="00177C38">
        <w:t xml:space="preserve"> and </w:t>
      </w:r>
      <w:r w:rsidR="00A6355B">
        <w:t>Richmond</w:t>
      </w:r>
      <w:r w:rsidR="00177C38">
        <w:t xml:space="preserve">, </w:t>
      </w:r>
      <w:r w:rsidR="00A6355B">
        <w:t>Kentucky</w:t>
      </w:r>
      <w:r w:rsidR="00177C38">
        <w:t xml:space="preserve">, </w:t>
      </w:r>
      <w:r w:rsidR="00B548ED">
        <w:t>to read as follows</w:t>
      </w:r>
      <w:r w:rsidR="00BF6E00">
        <w:t>:</w:t>
      </w:r>
      <w:bookmarkEnd w:id="3"/>
    </w:p>
    <w:p w:rsidR="000636BB" w:rsidP="000636BB">
      <w:pPr>
        <w:pStyle w:val="ParaNum"/>
        <w:numPr>
          <w:ilvl w:val="0"/>
          <w:numId w:val="0"/>
        </w:numPr>
        <w:ind w:left="720"/>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2611"/>
        <w:gridCol w:w="2612"/>
      </w:tblGrid>
      <w:tr w:rsidTr="0031634D">
        <w:tblPrEx>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p>
        </w:tc>
        <w:tc>
          <w:tcPr>
            <w:tcW w:w="5223" w:type="dxa"/>
            <w:gridSpan w:val="2"/>
            <w:shd w:val="clear" w:color="auto" w:fill="auto"/>
          </w:tcPr>
          <w:p w:rsidR="00BF6E00" w:rsidP="001349BA">
            <w:pPr>
              <w:pStyle w:val="AppNum"/>
              <w:numPr>
                <w:ilvl w:val="0"/>
                <w:numId w:val="0"/>
              </w:numPr>
              <w:tabs>
                <w:tab w:val="center" w:pos="2364"/>
                <w:tab w:val="right" w:pos="4728"/>
              </w:tabs>
              <w:spacing w:after="24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Channel No.</w:t>
            </w:r>
            <w:r>
              <w:rPr>
                <w:rFonts w:ascii="Times New Roman" w:hAnsi="Times New Roman"/>
                <w:spacing w:val="-3"/>
                <w:sz w:val="22"/>
                <w:szCs w:val="22"/>
              </w:rPr>
              <w:tab/>
            </w:r>
          </w:p>
        </w:tc>
      </w:tr>
      <w:tr w:rsidTr="0031634D">
        <w:tblPrEx>
          <w:tblW w:w="0" w:type="auto"/>
          <w:tblInd w:w="976" w:type="dxa"/>
          <w:tblLook w:val="04A0"/>
        </w:tblPrEx>
        <w:trPr>
          <w:trHeight w:val="323"/>
        </w:trPr>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City and State</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Present </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Amended</w:t>
            </w:r>
          </w:p>
        </w:tc>
      </w:tr>
      <w:tr w:rsidTr="0031634D">
        <w:tblPrEx>
          <w:tblW w:w="0" w:type="auto"/>
          <w:tblInd w:w="976" w:type="dxa"/>
          <w:tblLook w:val="04A0"/>
        </w:tblPrEx>
        <w:trPr>
          <w:trHeight w:val="484"/>
        </w:trPr>
        <w:tc>
          <w:tcPr>
            <w:tcW w:w="2611" w:type="dxa"/>
            <w:shd w:val="clear" w:color="auto" w:fill="auto"/>
          </w:tcPr>
          <w:p w:rsidR="00BF6E00" w:rsidP="00BF6E00">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rPr>
              <w:t>Morehead</w:t>
            </w:r>
            <w:r>
              <w:rPr>
                <w:rFonts w:ascii="Times New Roman" w:hAnsi="Times New Roman"/>
                <w:spacing w:val="-3"/>
                <w:sz w:val="22"/>
                <w:szCs w:val="22"/>
              </w:rPr>
              <w:t xml:space="preserve">, </w:t>
            </w:r>
            <w:r>
              <w:rPr>
                <w:rFonts w:ascii="Times New Roman" w:hAnsi="Times New Roman"/>
                <w:spacing w:val="-3"/>
                <w:sz w:val="22"/>
                <w:szCs w:val="22"/>
              </w:rPr>
              <w:t>Kentucky</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*15, </w:t>
            </w:r>
            <w:r w:rsidR="00E91C47">
              <w:rPr>
                <w:rFonts w:ascii="Times New Roman" w:hAnsi="Times New Roman"/>
                <w:spacing w:val="-3"/>
                <w:sz w:val="22"/>
                <w:szCs w:val="22"/>
              </w:rPr>
              <w:t>21</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*15</w:t>
            </w:r>
          </w:p>
        </w:tc>
      </w:tr>
      <w:tr w:rsidTr="0031634D">
        <w:tblPrEx>
          <w:tblW w:w="0" w:type="auto"/>
          <w:tblInd w:w="976" w:type="dxa"/>
          <w:tblLook w:val="04A0"/>
        </w:tblPrEx>
        <w:trPr>
          <w:trHeight w:val="323"/>
        </w:trPr>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Richmond</w:t>
            </w:r>
            <w:r>
              <w:rPr>
                <w:rFonts w:ascii="Times New Roman" w:hAnsi="Times New Roman"/>
                <w:spacing w:val="-3"/>
                <w:sz w:val="22"/>
                <w:szCs w:val="22"/>
              </w:rPr>
              <w:t xml:space="preserve">, </w:t>
            </w:r>
            <w:r>
              <w:rPr>
                <w:rFonts w:ascii="Times New Roman" w:hAnsi="Times New Roman"/>
                <w:spacing w:val="-3"/>
                <w:sz w:val="22"/>
                <w:szCs w:val="22"/>
              </w:rPr>
              <w:t>Kentucky</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p>
        </w:tc>
        <w:tc>
          <w:tcPr>
            <w:tcW w:w="2611" w:type="dxa"/>
            <w:shd w:val="clear" w:color="auto" w:fill="auto"/>
          </w:tcPr>
          <w:p w:rsidR="00BF6E00" w:rsidP="00B378FD">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21</w:t>
            </w:r>
          </w:p>
        </w:tc>
      </w:tr>
    </w:tbl>
    <w:p w:rsidR="00BF6E00" w:rsidP="00BF6E00">
      <w:pPr>
        <w:pStyle w:val="ParaNum"/>
        <w:numPr>
          <w:ilvl w:val="0"/>
          <w:numId w:val="0"/>
        </w:numPr>
      </w:pPr>
    </w:p>
    <w:p w:rsidR="00B548ED" w:rsidP="006D321A">
      <w:pPr>
        <w:pStyle w:val="ParaNum"/>
        <w:tabs>
          <w:tab w:val="clear" w:pos="1080"/>
        </w:tabs>
      </w:pPr>
      <w:r>
        <w:rPr>
          <w:b/>
        </w:rPr>
        <w:t>IT IS FURTHER ORDERED</w:t>
      </w:r>
      <w:r>
        <w:t xml:space="preserve"> that th</w:t>
      </w:r>
      <w:r w:rsidR="00E91C47">
        <w:t>e authorization for station WUPX</w:t>
      </w:r>
      <w:r>
        <w:t xml:space="preserve">-TV </w:t>
      </w:r>
      <w:r>
        <w:rPr>
          <w:b/>
        </w:rPr>
        <w:t xml:space="preserve">IS MODIFIED </w:t>
      </w:r>
      <w:r>
        <w:t>to reflect that the station’s</w:t>
      </w:r>
      <w:r w:rsidR="00E91C47">
        <w:t xml:space="preserve"> community of license is Richmond</w:t>
      </w:r>
      <w:r>
        <w:t xml:space="preserve">, </w:t>
      </w:r>
      <w:r w:rsidR="00E91C47">
        <w:t>Kentucky</w:t>
      </w:r>
      <w:r>
        <w:t>.</w:t>
      </w:r>
    </w:p>
    <w:p w:rsidR="00BC3CFC" w:rsidP="00E3073B">
      <w:pPr>
        <w:pStyle w:val="ParaNum"/>
        <w:tabs>
          <w:tab w:val="clear" w:pos="1080"/>
          <w:tab w:val="num" w:pos="1440"/>
        </w:tabs>
      </w:pPr>
      <w:r>
        <w:rPr>
          <w:b/>
        </w:rPr>
        <w:t xml:space="preserve">IT IS FURTHER ORDERED </w:t>
      </w:r>
      <w:r>
        <w:t xml:space="preserve">that any authorization implementing this community of license change </w:t>
      </w:r>
      <w:r w:rsidR="00756A07">
        <w:rPr>
          <w:b/>
        </w:rPr>
        <w:t>IS CONDITIONED</w:t>
      </w:r>
      <w:r>
        <w:t xml:space="preserve"> upon continued service to </w:t>
      </w:r>
      <w:r w:rsidR="00E91C47">
        <w:t>Morehead</w:t>
      </w:r>
      <w:r>
        <w:t xml:space="preserve">, </w:t>
      </w:r>
      <w:r w:rsidR="00E91C47">
        <w:t>Kentucky</w:t>
      </w:r>
      <w:r>
        <w:t>.</w:t>
      </w:r>
    </w:p>
    <w:p w:rsidR="00B548ED" w:rsidP="006D321A">
      <w:pPr>
        <w:pStyle w:val="ParaNum"/>
        <w:tabs>
          <w:tab w:val="clear" w:pos="1080"/>
        </w:tabs>
      </w:pPr>
      <w:r>
        <w:rPr>
          <w:b/>
        </w:rPr>
        <w:t xml:space="preserve">IT IS FURTHER ORDERED </w:t>
      </w:r>
      <w:r>
        <w:t>that the Commission will send a copy of this order to Congress and the Government Accountability Office pursuant to the Congressional Review Act.</w:t>
      </w:r>
      <w:r>
        <w:rPr>
          <w:rStyle w:val="FootnoteReference"/>
        </w:rPr>
        <w:footnoteReference w:id="23"/>
      </w:r>
      <w:r w:rsidR="00F248E2">
        <w:t xml:space="preserve"> </w:t>
      </w:r>
    </w:p>
    <w:p w:rsidR="00B548ED" w:rsidP="006D321A">
      <w:pPr>
        <w:pStyle w:val="ParaNum"/>
        <w:tabs>
          <w:tab w:val="clear" w:pos="1080"/>
        </w:tabs>
      </w:pPr>
      <w:r>
        <w:rPr>
          <w:b/>
        </w:rPr>
        <w:t>IT IS FURTHER OREDER</w:t>
      </w:r>
      <w:r w:rsidR="00BC3C5B">
        <w:rPr>
          <w:b/>
        </w:rPr>
        <w:t>E</w:t>
      </w:r>
      <w:r>
        <w:rPr>
          <w:b/>
        </w:rPr>
        <w:t>D</w:t>
      </w:r>
      <w:r>
        <w:t xml:space="preserve"> that this proceeding </w:t>
      </w:r>
      <w:r>
        <w:rPr>
          <w:b/>
        </w:rPr>
        <w:t>IS TERMINATED</w:t>
      </w:r>
      <w:r>
        <w:t>.</w:t>
      </w:r>
    </w:p>
    <w:p w:rsidR="00177C38" w:rsidP="003107EF">
      <w:pPr>
        <w:tabs>
          <w:tab w:val="left" w:pos="-1440"/>
          <w:tab w:val="left" w:pos="-720"/>
        </w:tabs>
        <w:suppressAutoHyphens/>
        <w:spacing w:after="240"/>
        <w:jc w:val="both"/>
        <w:rPr>
          <w:spacing w:val="-3"/>
          <w:szCs w:val="22"/>
        </w:rPr>
      </w:pPr>
    </w:p>
    <w:p w:rsidR="00A6355B" w:rsidP="003107EF">
      <w:pPr>
        <w:tabs>
          <w:tab w:val="left" w:pos="-1440"/>
          <w:tab w:val="left" w:pos="-720"/>
        </w:tabs>
        <w:suppressAutoHyphens/>
        <w:spacing w:after="240"/>
        <w:jc w:val="both"/>
        <w:rPr>
          <w:spacing w:val="-3"/>
          <w:szCs w:val="22"/>
        </w:rPr>
      </w:pPr>
    </w:p>
    <w:p w:rsidR="003107EF" w:rsidP="003107EF">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3107EF" w:rsidP="003107EF">
      <w:pPr>
        <w:tabs>
          <w:tab w:val="left" w:pos="-1440"/>
          <w:tab w:val="left" w:pos="-720"/>
        </w:tabs>
        <w:suppressAutoHyphens/>
        <w:spacing w:after="240"/>
        <w:jc w:val="both"/>
        <w:rPr>
          <w:spacing w:val="-3"/>
          <w:szCs w:val="22"/>
        </w:rPr>
      </w:pPr>
    </w:p>
    <w:p w:rsidR="003107EF" w:rsidP="003107EF">
      <w:pPr>
        <w:tabs>
          <w:tab w:val="left" w:pos="-1440"/>
          <w:tab w:val="left" w:pos="-720"/>
        </w:tabs>
        <w:suppressAutoHyphens/>
        <w:spacing w:after="240"/>
        <w:jc w:val="both"/>
        <w:rPr>
          <w:spacing w:val="-3"/>
          <w:szCs w:val="22"/>
        </w:rPr>
      </w:pPr>
    </w:p>
    <w:p w:rsidR="003107EF" w:rsidP="003107EF">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 xml:space="preserve">Barbara A. Kreisman </w:t>
      </w:r>
    </w:p>
    <w:p w:rsidR="003107EF" w:rsidP="003107EF">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Chief, Video Division</w:t>
      </w:r>
    </w:p>
    <w:p w:rsidR="003107EF" w:rsidP="003107EF">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Media Bureau</w:t>
      </w:r>
    </w:p>
    <w:p w:rsidR="0065028B" w:rsidP="006D321A">
      <w:pPr>
        <w:keepNext/>
        <w:widowControl/>
      </w:pPr>
      <w:bookmarkEnd w:id="2"/>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6A6DF8">
      <w:rPr>
        <w:noProof/>
      </w:rPr>
      <w:t>5</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14C7">
      <w:r>
        <w:separator/>
      </w:r>
    </w:p>
  </w:footnote>
  <w:footnote w:type="continuationSeparator" w:id="1">
    <w:p w:rsidR="009014C7" w:rsidP="00C721AC">
      <w:pPr>
        <w:spacing w:before="120"/>
        <w:rPr>
          <w:sz w:val="20"/>
        </w:rPr>
      </w:pPr>
      <w:r>
        <w:continuationSeparator/>
      </w:r>
    </w:p>
  </w:footnote>
  <w:footnote w:type="continuationNotice" w:id="2">
    <w:p w:rsidR="009014C7" w:rsidP="00C721AC">
      <w:pPr>
        <w:jc w:val="right"/>
        <w:rPr>
          <w:sz w:val="20"/>
        </w:rPr>
      </w:pPr>
    </w:p>
  </w:footnote>
  <w:footnote w:id="3">
    <w:p w:rsidR="001947B7" w:rsidRPr="00374D46">
      <w:pPr>
        <w:pStyle w:val="FootnoteText"/>
      </w:pPr>
      <w:r w:rsidRPr="00374D46">
        <w:rPr>
          <w:rStyle w:val="FootnoteReference"/>
        </w:rPr>
        <w:footnoteRef/>
      </w:r>
      <w:r w:rsidRPr="00374D46">
        <w:t xml:space="preserve"> </w:t>
      </w:r>
      <w:r w:rsidRPr="00374D46" w:rsidR="008720D6">
        <w:rPr>
          <w:i/>
        </w:rPr>
        <w:t>Amendment of Section 73.622(i), Table of Allotments, Digital Television Broadcast Stations (</w:t>
      </w:r>
      <w:r w:rsidR="00E124E8">
        <w:rPr>
          <w:i/>
        </w:rPr>
        <w:t>Morehead and Richmond, Kentucky</w:t>
      </w:r>
      <w:r w:rsidRPr="00374D46" w:rsidR="004A5FCE">
        <w:t>),</w:t>
      </w:r>
      <w:r w:rsidRPr="00374D46" w:rsidR="008720D6">
        <w:t xml:space="preserve"> Notice of Proposed Rulemaki</w:t>
      </w:r>
      <w:r w:rsidRPr="00374D46" w:rsidR="004A5FCE">
        <w:t>ng, DA 18-</w:t>
      </w:r>
      <w:r w:rsidR="009127E4">
        <w:t>1070</w:t>
      </w:r>
      <w:r w:rsidR="00BC3C5B">
        <w:t xml:space="preserve"> (rel</w:t>
      </w:r>
      <w:r w:rsidR="007035D2">
        <w:t>.</w:t>
      </w:r>
      <w:r w:rsidR="00BC3C5B">
        <w:t xml:space="preserve"> Oct. 18,</w:t>
      </w:r>
      <w:r w:rsidRPr="00374D46" w:rsidR="004A5FCE">
        <w:t xml:space="preserve"> 2018)</w:t>
      </w:r>
      <w:r w:rsidRPr="00374D46" w:rsidR="008720D6">
        <w:t>.</w:t>
      </w:r>
      <w:r w:rsidRPr="00374D46" w:rsidR="00AB08D5">
        <w:t xml:space="preserve">  </w:t>
      </w:r>
    </w:p>
  </w:footnote>
  <w:footnote w:id="4">
    <w:p w:rsidR="00EF0AF7" w:rsidRPr="00374D46">
      <w:pPr>
        <w:pStyle w:val="FootnoteText"/>
      </w:pPr>
      <w:r w:rsidRPr="00374D46">
        <w:rPr>
          <w:rStyle w:val="FootnoteReference"/>
        </w:rPr>
        <w:footnoteRef/>
      </w:r>
      <w:r w:rsidRPr="00374D46">
        <w:t xml:space="preserve"> </w:t>
      </w:r>
      <w:r w:rsidRPr="00374D46" w:rsidR="009E6436">
        <w:t xml:space="preserve">Comments and Expression of Continued Interest </w:t>
      </w:r>
      <w:r w:rsidR="00E124E8">
        <w:t xml:space="preserve">of ION Media Lexington License, Inc. </w:t>
      </w:r>
      <w:r w:rsidRPr="00374D46" w:rsidR="009E6436">
        <w:t>(fi</w:t>
      </w:r>
      <w:r w:rsidR="00324888">
        <w:t>led Nov. 29, 2018</w:t>
      </w:r>
      <w:r w:rsidR="00BC3C5B">
        <w:t>) (ION</w:t>
      </w:r>
      <w:r w:rsidRPr="00374D46" w:rsidR="008A21E8">
        <w:t xml:space="preserve"> Comment</w:t>
      </w:r>
      <w:r w:rsidR="00BC3C5B">
        <w:t>s</w:t>
      </w:r>
      <w:r w:rsidRPr="00374D46" w:rsidR="009E6436">
        <w:t xml:space="preserve">). </w:t>
      </w:r>
    </w:p>
  </w:footnote>
  <w:footnote w:id="5">
    <w:p w:rsidR="00920850" w:rsidRPr="009127E4">
      <w:pPr>
        <w:pStyle w:val="FootnoteText"/>
      </w:pPr>
      <w:r w:rsidRPr="00374D46">
        <w:rPr>
          <w:rStyle w:val="FootnoteReference"/>
        </w:rPr>
        <w:footnoteRef/>
      </w:r>
      <w:r w:rsidRPr="00374D46">
        <w:t xml:space="preserve"> </w:t>
      </w:r>
      <w:r w:rsidR="00192A2D">
        <w:t>Petition for Rulemaking of ION Media Lexington License, Inc.</w:t>
      </w:r>
      <w:r w:rsidR="009127E4">
        <w:t xml:space="preserve"> </w:t>
      </w:r>
      <w:r w:rsidR="00192A2D">
        <w:t>(filed October 9, 2017) (Petition).  We note that</w:t>
      </w:r>
      <w:r w:rsidR="009127E4">
        <w:t xml:space="preserve"> this petition is </w:t>
      </w:r>
      <w:r w:rsidR="00BC3C5B">
        <w:t>the most recent iteration of ION</w:t>
      </w:r>
      <w:r w:rsidR="009127E4">
        <w:t xml:space="preserve">’s original petition filed on October 3, 2018. </w:t>
      </w:r>
      <w:r w:rsidR="00E91C47">
        <w:t xml:space="preserve"> </w:t>
      </w:r>
      <w:r w:rsidR="009127E4">
        <w:rPr>
          <w:i/>
        </w:rPr>
        <w:t>Se</w:t>
      </w:r>
      <w:r w:rsidR="00192A2D">
        <w:rPr>
          <w:i/>
        </w:rPr>
        <w:t xml:space="preserve">e </w:t>
      </w:r>
      <w:r w:rsidR="009127E4">
        <w:t>LMS File No. 0000060369.</w:t>
      </w:r>
    </w:p>
  </w:footnote>
  <w:footnote w:id="6">
    <w:p w:rsidR="006E0A6F" w:rsidRPr="00374D46">
      <w:pPr>
        <w:pStyle w:val="FootnoteText"/>
      </w:pPr>
      <w:r w:rsidRPr="00374D46">
        <w:rPr>
          <w:rStyle w:val="FootnoteReference"/>
        </w:rPr>
        <w:footnoteRef/>
      </w:r>
      <w:r w:rsidRPr="00374D46">
        <w:t xml:space="preserve"> </w:t>
      </w:r>
      <w:r w:rsidRPr="00374D46" w:rsidR="00920850">
        <w:rPr>
          <w:i/>
        </w:rPr>
        <w:t xml:space="preserve">See </w:t>
      </w:r>
      <w:r w:rsidRPr="00374D46">
        <w:t>Petition</w:t>
      </w:r>
      <w:r w:rsidRPr="00374D46" w:rsidR="00920850">
        <w:t xml:space="preserve"> at 1.  Section 1.420(i) of the rules provides that the Commission, during a rulemaking proceeding to amend the Table of Allotments, may modify a station’s license to specify a new community of license without affording other interest</w:t>
      </w:r>
      <w:r w:rsidRPr="00374D46" w:rsidR="002A2B92">
        <w:t>ed</w:t>
      </w:r>
      <w:r w:rsidRPr="00374D46" w:rsidR="00920850">
        <w:t xml:space="preserve"> parties an opportunity to file competing expressions of interest.  47 CFR § 1.420(i); </w:t>
      </w:r>
      <w:r w:rsidRPr="00374D46" w:rsidR="00B21037">
        <w:rPr>
          <w:i/>
        </w:rPr>
        <w:t>see also</w:t>
      </w:r>
      <w:r w:rsidRPr="00374D46" w:rsidR="00B21037">
        <w:t xml:space="preserve"> </w:t>
      </w:r>
      <w:r>
        <w:fldChar w:fldCharType="begin"/>
      </w:r>
      <w:r>
        <w:instrText xml:space="preserve"> HYPERLINK "https://1.next.westlaw.com/Link/Document/FullText?findType=Y&amp;serNum=1989192501&amp;pubNum=0004493&amp;originatingDoc=I9233453c1c0b11e6b86bd602cb8781fa&amp;refType=CA&amp;originationContext=document&amp;transitionType=DocumentItem&amp;contextData=(sc.DocLink)" </w:instrText>
      </w:r>
      <w:r>
        <w:fldChar w:fldCharType="separate"/>
      </w:r>
      <w:r w:rsidRPr="00374D46" w:rsidR="00920850">
        <w:rPr>
          <w:i/>
          <w:iCs/>
          <w:snapToGrid w:val="0"/>
          <w:kern w:val="28"/>
        </w:rPr>
        <w:t>Modification of FM and TV Authorizations to Specify a New Community of License</w:t>
      </w:r>
      <w:r w:rsidRPr="00374D46" w:rsidR="00920850">
        <w:rPr>
          <w:snapToGrid w:val="0"/>
          <w:kern w:val="28"/>
        </w:rPr>
        <w:t>, Report and Order, 4 FCC Rcd 4870, 4873, para. 22 (1989)</w:t>
      </w:r>
      <w:r>
        <w:fldChar w:fldCharType="end"/>
      </w:r>
      <w:r w:rsidRPr="00374D46" w:rsidR="00920850">
        <w:rPr>
          <w:snapToGrid w:val="0"/>
          <w:kern w:val="28"/>
        </w:rPr>
        <w:t xml:space="preserve"> </w:t>
      </w:r>
      <w:r w:rsidRPr="00374D46" w:rsidR="00920850">
        <w:t>(</w:t>
      </w:r>
      <w:r w:rsidRPr="00374D46" w:rsidR="00920850">
        <w:rPr>
          <w:i/>
        </w:rPr>
        <w:t>Change in Community R&amp;O</w:t>
      </w:r>
      <w:r w:rsidRPr="00374D46" w:rsidR="00920850">
        <w:t>)</w:t>
      </w:r>
      <w:r w:rsidRPr="00374D46" w:rsidR="00920850">
        <w:rPr>
          <w:snapToGrid w:val="0"/>
          <w:kern w:val="28"/>
        </w:rPr>
        <w:t>, </w:t>
      </w:r>
      <w:r w:rsidRPr="00374D46" w:rsidR="00920850">
        <w:rPr>
          <w:i/>
          <w:iCs/>
          <w:snapToGrid w:val="0"/>
          <w:kern w:val="28"/>
        </w:rPr>
        <w:t>recon. granted in part</w:t>
      </w:r>
      <w:r w:rsidRPr="00374D46" w:rsidR="00920850">
        <w:rPr>
          <w:snapToGrid w:val="0"/>
          <w:kern w:val="28"/>
        </w:rPr>
        <w:t>, </w:t>
      </w:r>
      <w:r>
        <w:fldChar w:fldCharType="begin"/>
      </w:r>
      <w:r>
        <w:instrText xml:space="preserve"> HYPERLINK "https://1.next.westlaw.com/Link/Document/FullText?findType=Y&amp;serNum=1990195134&amp;pubNum=0004493&amp;originatingDoc=I9233453c1c0b11e6b86bd602cb8781fa&amp;refType=CA&amp;originationContext=document&amp;transitionType=DocumentItem&amp;contextData=(sc.DocLink)" </w:instrText>
      </w:r>
      <w:r>
        <w:fldChar w:fldCharType="separate"/>
      </w:r>
      <w:r w:rsidRPr="00374D46" w:rsidR="00920850">
        <w:rPr>
          <w:snapToGrid w:val="0"/>
          <w:kern w:val="28"/>
        </w:rPr>
        <w:t>5 FCC Rcd 7094 (1990)</w:t>
      </w:r>
      <w:r>
        <w:fldChar w:fldCharType="end"/>
      </w:r>
      <w:r w:rsidRPr="00374D46" w:rsidR="00920850">
        <w:rPr>
          <w:snapToGrid w:val="0"/>
          <w:kern w:val="28"/>
        </w:rPr>
        <w:t xml:space="preserve"> </w:t>
      </w:r>
      <w:r w:rsidRPr="00374D46" w:rsidR="00920850">
        <w:t>(</w:t>
      </w:r>
      <w:r w:rsidRPr="00374D46" w:rsidR="00920850">
        <w:rPr>
          <w:i/>
        </w:rPr>
        <w:t>Recon MO&amp;O</w:t>
      </w:r>
      <w:r w:rsidRPr="00374D46" w:rsidR="00920850">
        <w:t>)</w:t>
      </w:r>
      <w:r w:rsidRPr="00374D46" w:rsidR="00920850">
        <w:rPr>
          <w:snapToGrid w:val="0"/>
          <w:kern w:val="28"/>
        </w:rPr>
        <w:t xml:space="preserve">.  </w:t>
      </w:r>
      <w:r w:rsidRPr="00374D46" w:rsidR="00920850">
        <w:t xml:space="preserve">The Commission will apply this procedure in the limited circumstances where: </w:t>
      </w:r>
      <w:r w:rsidRPr="00374D46" w:rsidR="00D70C9C">
        <w:t xml:space="preserve"> </w:t>
      </w:r>
      <w:r w:rsidRPr="00374D46" w:rsidR="00920850">
        <w:t xml:space="preserve">(1) the new allotment will be mutually exclusive with a station’s existing allotment; (2) the new allotment will result in a preferential arrangement of the allotments according to the Commission’s television allotment priorities; and (3) the new allotment will not deprive a community of its sole local transmission outlet.  </w:t>
      </w:r>
      <w:r w:rsidRPr="00374D46" w:rsidR="00920850">
        <w:rPr>
          <w:i/>
        </w:rPr>
        <w:t>Change in Community RO&amp;O</w:t>
      </w:r>
      <w:r w:rsidRPr="00374D46" w:rsidR="00B21037">
        <w:t>, 4 FCC Rcd</w:t>
      </w:r>
      <w:r w:rsidRPr="00374D46" w:rsidR="007144DA">
        <w:t xml:space="preserve"> </w:t>
      </w:r>
      <w:r w:rsidRPr="00374D46" w:rsidR="00920850">
        <w:t>at 4874, para. 28</w:t>
      </w:r>
      <w:r w:rsidRPr="00374D46" w:rsidR="00631BF7">
        <w:t>.</w:t>
      </w:r>
    </w:p>
  </w:footnote>
  <w:footnote w:id="7">
    <w:p w:rsidR="009127E4" w:rsidP="009127E4">
      <w:pPr>
        <w:pStyle w:val="FootnoteText"/>
      </w:pPr>
      <w:r>
        <w:rPr>
          <w:rStyle w:val="FootnoteReference"/>
        </w:rPr>
        <w:footnoteRef/>
      </w:r>
      <w:r>
        <w:t xml:space="preserve"> </w:t>
      </w:r>
      <w:r>
        <w:rPr>
          <w:i/>
        </w:rPr>
        <w:t xml:space="preserve">See </w:t>
      </w:r>
      <w:r>
        <w:t>Petition at 1-2.</w:t>
      </w:r>
    </w:p>
  </w:footnote>
  <w:footnote w:id="8">
    <w:p w:rsidR="009127E4" w:rsidRPr="006664FB" w:rsidP="009127E4">
      <w:pPr>
        <w:pStyle w:val="FootnoteText"/>
      </w:pPr>
      <w:r>
        <w:rPr>
          <w:rStyle w:val="FootnoteReference"/>
        </w:rPr>
        <w:footnoteRef/>
      </w:r>
      <w:r>
        <w:t xml:space="preserve"> </w:t>
      </w:r>
      <w:r>
        <w:rPr>
          <w:i/>
        </w:rPr>
        <w:t>Id</w:t>
      </w:r>
      <w:r>
        <w:t>. at 3-4.</w:t>
      </w:r>
    </w:p>
  </w:footnote>
  <w:footnote w:id="9">
    <w:p w:rsidR="009127E4" w:rsidRPr="006664FB" w:rsidP="009127E4">
      <w:pPr>
        <w:pStyle w:val="FootnoteText"/>
      </w:pPr>
      <w:r>
        <w:rPr>
          <w:rStyle w:val="FootnoteReference"/>
        </w:rPr>
        <w:footnoteRef/>
      </w:r>
      <w:r>
        <w:t xml:space="preserve"> </w:t>
      </w:r>
      <w:r>
        <w:rPr>
          <w:i/>
        </w:rPr>
        <w:t>Id</w:t>
      </w:r>
      <w:r>
        <w:t>.</w:t>
      </w:r>
    </w:p>
  </w:footnote>
  <w:footnote w:id="10">
    <w:p w:rsidR="009127E4" w:rsidRPr="0003274F" w:rsidP="009127E4">
      <w:pPr>
        <w:pStyle w:val="FootnoteText"/>
      </w:pPr>
      <w:r>
        <w:rPr>
          <w:rStyle w:val="FootnoteReference"/>
        </w:rPr>
        <w:footnoteRef/>
      </w:r>
      <w:r w:rsidR="00BC3C5B">
        <w:t xml:space="preserve"> Petition at 3, n.</w:t>
      </w:r>
      <w:r>
        <w:t xml:space="preserve">7. </w:t>
      </w:r>
    </w:p>
  </w:footnote>
  <w:footnote w:id="11">
    <w:p w:rsidR="009127E4" w:rsidRPr="0003274F" w:rsidP="009127E4">
      <w:pPr>
        <w:pStyle w:val="FootnoteText"/>
      </w:pPr>
      <w:r>
        <w:rPr>
          <w:rStyle w:val="FootnoteReference"/>
        </w:rPr>
        <w:footnoteRef/>
      </w:r>
      <w:r>
        <w:t xml:space="preserve"> Petition at 3-4.</w:t>
      </w:r>
    </w:p>
  </w:footnote>
  <w:footnote w:id="12">
    <w:p w:rsidR="009127E4" w:rsidP="009127E4">
      <w:pPr>
        <w:pStyle w:val="FootnoteText"/>
      </w:pPr>
      <w:r>
        <w:rPr>
          <w:rStyle w:val="FootnoteReference"/>
        </w:rPr>
        <w:footnoteRef/>
      </w:r>
      <w:r>
        <w:t xml:space="preserve"> Petition, Exhibit B.</w:t>
      </w:r>
    </w:p>
  </w:footnote>
  <w:footnote w:id="13">
    <w:p w:rsidR="009127E4" w:rsidP="009127E4">
      <w:pPr>
        <w:pStyle w:val="FootnoteText"/>
      </w:pPr>
      <w:r>
        <w:rPr>
          <w:rStyle w:val="FootnoteReference"/>
        </w:rPr>
        <w:footnoteRef/>
      </w:r>
      <w:r>
        <w:t xml:space="preserve"> Petition at 4.</w:t>
      </w:r>
    </w:p>
  </w:footnote>
  <w:footnote w:id="14">
    <w:p w:rsidR="00873850" w:rsidRPr="00374D46">
      <w:pPr>
        <w:pStyle w:val="FootnoteText"/>
      </w:pPr>
      <w:r w:rsidRPr="00374D46">
        <w:rPr>
          <w:rStyle w:val="FootnoteReference"/>
        </w:rPr>
        <w:footnoteRef/>
      </w:r>
      <w:r w:rsidRPr="00374D46">
        <w:t xml:space="preserve"> </w:t>
      </w:r>
      <w:r w:rsidRPr="00374D46">
        <w:rPr>
          <w:i/>
        </w:rPr>
        <w:t>Supra</w:t>
      </w:r>
      <w:r w:rsidR="00BC3C5B">
        <w:t xml:space="preserve"> n.</w:t>
      </w:r>
      <w:r w:rsidRPr="00374D46">
        <w:t>1, para. 4.</w:t>
      </w:r>
    </w:p>
  </w:footnote>
  <w:footnote w:id="15">
    <w:p w:rsidR="009E6436" w:rsidRPr="00374D46">
      <w:pPr>
        <w:pStyle w:val="FootnoteText"/>
      </w:pPr>
      <w:r w:rsidRPr="00374D46">
        <w:rPr>
          <w:rStyle w:val="FootnoteReference"/>
        </w:rPr>
        <w:footnoteRef/>
      </w:r>
      <w:r w:rsidRPr="00374D46">
        <w:t xml:space="preserve"> </w:t>
      </w:r>
      <w:r w:rsidRPr="00374D46">
        <w:rPr>
          <w:i/>
        </w:rPr>
        <w:t>Id</w:t>
      </w:r>
      <w:r w:rsidRPr="00374D46">
        <w:t>.</w:t>
      </w:r>
    </w:p>
  </w:footnote>
  <w:footnote w:id="16">
    <w:p w:rsidR="00F6492D" w:rsidRPr="00374D46">
      <w:pPr>
        <w:pStyle w:val="FootnoteText"/>
      </w:pPr>
      <w:r w:rsidRPr="00374D46">
        <w:rPr>
          <w:rStyle w:val="FootnoteReference"/>
        </w:rPr>
        <w:footnoteRef/>
      </w:r>
      <w:r w:rsidRPr="00374D46">
        <w:t xml:space="preserve"> </w:t>
      </w:r>
      <w:r w:rsidRPr="00374D46">
        <w:rPr>
          <w:i/>
        </w:rPr>
        <w:t xml:space="preserve">Supra </w:t>
      </w:r>
      <w:r w:rsidR="00BC3C5B">
        <w:t>n.</w:t>
      </w:r>
      <w:r w:rsidRPr="00374D46">
        <w:t>2.</w:t>
      </w:r>
    </w:p>
  </w:footnote>
  <w:footnote w:id="17">
    <w:p w:rsidR="00A46A7A" w:rsidRPr="00374D46">
      <w:pPr>
        <w:pStyle w:val="FootnoteText"/>
      </w:pPr>
      <w:r w:rsidRPr="00374D46">
        <w:rPr>
          <w:rStyle w:val="FootnoteReference"/>
        </w:rPr>
        <w:footnoteRef/>
      </w:r>
      <w:r w:rsidRPr="00374D46">
        <w:t xml:space="preserve"> </w:t>
      </w:r>
      <w:r w:rsidRPr="00374D46" w:rsidR="002A2B92">
        <w:t>ION Comment</w:t>
      </w:r>
      <w:r w:rsidR="00BC3C5B">
        <w:t>s</w:t>
      </w:r>
      <w:r w:rsidRPr="00374D46">
        <w:t xml:space="preserve"> at 2.</w:t>
      </w:r>
    </w:p>
  </w:footnote>
  <w:footnote w:id="18">
    <w:p w:rsidR="005E226C" w:rsidRPr="00374D46">
      <w:pPr>
        <w:pStyle w:val="FootnoteText"/>
      </w:pPr>
      <w:r w:rsidRPr="00374D46">
        <w:rPr>
          <w:rStyle w:val="FootnoteReference"/>
        </w:rPr>
        <w:footnoteRef/>
      </w:r>
      <w:r w:rsidRPr="00374D46">
        <w:t xml:space="preserve"> </w:t>
      </w:r>
      <w:r w:rsidRPr="00374D46">
        <w:rPr>
          <w:i/>
        </w:rPr>
        <w:t xml:space="preserve">Amendment of Section 3.606 of the Commission’s Rules and Regulations, </w:t>
      </w:r>
      <w:r w:rsidRPr="00374D46">
        <w:t>Sixth Report and Order, 41 F.C.C. 148, 167-173 (1952) (</w:t>
      </w:r>
      <w:r w:rsidRPr="00374D46">
        <w:rPr>
          <w:i/>
        </w:rPr>
        <w:t>Sixth Report and Order</w:t>
      </w:r>
      <w:r w:rsidRPr="00374D46">
        <w:t>)</w:t>
      </w:r>
      <w:r w:rsidRPr="00374D46">
        <w:rPr>
          <w:i/>
        </w:rPr>
        <w:t>.</w:t>
      </w:r>
    </w:p>
  </w:footnote>
  <w:footnote w:id="19">
    <w:p w:rsidR="005E226C" w:rsidRPr="00374D46">
      <w:pPr>
        <w:pStyle w:val="FootnoteText"/>
      </w:pPr>
      <w:r w:rsidRPr="00374D46">
        <w:rPr>
          <w:rStyle w:val="FootnoteReference"/>
        </w:rPr>
        <w:footnoteRef/>
      </w:r>
      <w:r w:rsidRPr="00374D46">
        <w:t xml:space="preserve"> </w:t>
      </w:r>
      <w:r w:rsidRPr="00374D46">
        <w:rPr>
          <w:i/>
        </w:rPr>
        <w:t>Id.</w:t>
      </w:r>
      <w:r w:rsidRPr="00374D46" w:rsidR="002E75D1">
        <w:rPr>
          <w:i/>
        </w:rPr>
        <w:t xml:space="preserve"> </w:t>
      </w:r>
      <w:r w:rsidRPr="00374D46" w:rsidR="002E75D1">
        <w:t xml:space="preserve">The five allotment priorities are: </w:t>
      </w:r>
      <w:r w:rsidRPr="00374D46" w:rsidR="00F034E5">
        <w:t xml:space="preserve"> </w:t>
      </w:r>
      <w:r w:rsidRPr="00374D46" w:rsidR="002E75D1">
        <w:t>(1) to provide at least one television service to all parts of the United States; (2) to provide each community with at least one television broadcast station; (3) to provide a choice of at least two television services to all parts of the United States; (4) to provide each community with at least two television broadcast stations; and (5) to assign any remaining channels to communities based on population, geographic location, and the number of television services available to the community from stations located in other communities</w:t>
      </w:r>
      <w:r w:rsidR="00840544">
        <w:t>.</w:t>
      </w:r>
      <w:r w:rsidRPr="00374D46" w:rsidR="002E75D1">
        <w:t xml:space="preserve">  </w:t>
      </w:r>
      <w:r w:rsidRPr="00374D46" w:rsidR="002E75D1">
        <w:rPr>
          <w:i/>
        </w:rPr>
        <w:t>Id</w:t>
      </w:r>
      <w:r w:rsidRPr="00374D46" w:rsidR="002E75D1">
        <w:t>.</w:t>
      </w:r>
    </w:p>
  </w:footnote>
  <w:footnote w:id="20">
    <w:p w:rsidR="003D26A2" w:rsidRPr="00374D46">
      <w:pPr>
        <w:pStyle w:val="FootnoteText"/>
      </w:pPr>
      <w:r w:rsidRPr="00374D46">
        <w:rPr>
          <w:rStyle w:val="FootnoteReference"/>
        </w:rPr>
        <w:footnoteRef/>
      </w:r>
      <w:r w:rsidRPr="00374D46">
        <w:t xml:space="preserve"> </w:t>
      </w:r>
      <w:r w:rsidRPr="00374D46">
        <w:rPr>
          <w:i/>
        </w:rPr>
        <w:t>Recon MO&amp;O</w:t>
      </w:r>
      <w:r w:rsidRPr="00374D46" w:rsidR="00897AB6">
        <w:t>, 5 FCC Rcd</w:t>
      </w:r>
      <w:r w:rsidRPr="00374D46">
        <w:rPr>
          <w:i/>
        </w:rPr>
        <w:t xml:space="preserve"> </w:t>
      </w:r>
      <w:r w:rsidRPr="00374D46">
        <w:t>at 7096, paras. 16-17.</w:t>
      </w:r>
    </w:p>
  </w:footnote>
  <w:footnote w:id="21">
    <w:p w:rsidR="00B925E1" w:rsidRPr="00374D46">
      <w:pPr>
        <w:pStyle w:val="FootnoteText"/>
      </w:pPr>
      <w:r w:rsidRPr="00374D46">
        <w:rPr>
          <w:rStyle w:val="FootnoteReference"/>
        </w:rPr>
        <w:footnoteRef/>
      </w:r>
      <w:r w:rsidRPr="00374D46">
        <w:t xml:space="preserve"> 47 U.S.C. §§</w:t>
      </w:r>
      <w:r w:rsidRPr="00374D46" w:rsidR="00572FFC">
        <w:t xml:space="preserve"> 154(i), 155(c)</w:t>
      </w:r>
      <w:r w:rsidRPr="00374D46" w:rsidR="00177C38">
        <w:t xml:space="preserve">(1), 303(g) and </w:t>
      </w:r>
      <w:r w:rsidRPr="00374D46" w:rsidR="00572FFC">
        <w:t xml:space="preserve">(r), </w:t>
      </w:r>
      <w:r w:rsidRPr="00374D46" w:rsidR="00177C38">
        <w:t xml:space="preserve">and </w:t>
      </w:r>
      <w:r w:rsidRPr="00374D46" w:rsidR="00572FFC">
        <w:t>307(b).</w:t>
      </w:r>
    </w:p>
  </w:footnote>
  <w:footnote w:id="22">
    <w:p w:rsidR="00177C38" w:rsidRPr="00374D46">
      <w:pPr>
        <w:pStyle w:val="FootnoteText"/>
      </w:pPr>
      <w:r w:rsidRPr="00374D46">
        <w:rPr>
          <w:rStyle w:val="FootnoteReference"/>
        </w:rPr>
        <w:footnoteRef/>
      </w:r>
      <w:r w:rsidRPr="00374D46">
        <w:t xml:space="preserve"> 47 CFR §§ 0.61, 0.204(b), and 0.283.</w:t>
      </w:r>
    </w:p>
  </w:footnote>
  <w:footnote w:id="23">
    <w:p w:rsidR="00177C38" w:rsidRPr="00374D46">
      <w:pPr>
        <w:pStyle w:val="FootnoteText"/>
      </w:pPr>
      <w:r w:rsidRPr="00374D46">
        <w:rPr>
          <w:rStyle w:val="FootnoteReference"/>
        </w:rPr>
        <w:footnoteRef/>
      </w:r>
      <w:r w:rsidRPr="00374D46">
        <w:t xml:space="preserve"> 5 U.S.C. §§ 801 </w:t>
      </w:r>
      <w:r w:rsidRPr="00374D46">
        <w:rPr>
          <w:i/>
        </w:rPr>
        <w:t>et seq</w:t>
      </w:r>
      <w:r w:rsidRPr="00374D4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34B2">
      <w:t xml:space="preserve">DA </w:t>
    </w:r>
    <w:r w:rsidR="00B42B47">
      <w:t>18</w:t>
    </w:r>
    <w:r w:rsidR="004534B2">
      <w:t>-</w:t>
    </w:r>
    <w:r w:rsidR="003C04AF">
      <w:t>1242</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156B25">
      <w:t>18</w:t>
    </w:r>
    <w:r w:rsidR="004534B2">
      <w:t>-</w:t>
    </w:r>
    <w:r w:rsidR="003C04AF">
      <w:t>1242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F2E99"/>
    <w:multiLevelType w:val="hybridMultilevel"/>
    <w:tmpl w:val="3510FD0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2B48D2"/>
    <w:multiLevelType w:val="singleLevel"/>
    <w:tmpl w:val="462A4EC8"/>
    <w:lvl w:ilvl="0">
      <w:start w:val="0"/>
      <w:numFmt w:val="decimal"/>
      <w:pStyle w:val="Paranum0"/>
      <w:lvlJc w:val="left"/>
    </w:lvl>
  </w:abstractNum>
  <w:abstractNum w:abstractNumId="10">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5"/>
  </w:num>
  <w:num w:numId="8">
    <w:abstractNumId w:val="7"/>
  </w:num>
  <w:num w:numId="9">
    <w:abstractNumId w:val="8"/>
  </w:num>
  <w:num w:numId="10">
    <w:abstractNumId w:val="8"/>
    <w:lvlOverride w:ilvl="0">
      <w:startOverride w:val="1"/>
    </w:lvlOverride>
  </w:num>
  <w:num w:numId="11">
    <w:abstractNumId w:val="8"/>
  </w:num>
  <w:num w:numId="12">
    <w:abstractNumId w:val="9"/>
  </w:num>
  <w:num w:numId="13">
    <w:abstractNumId w:val="8"/>
    <w:lvlOverride w:ilvl="0">
      <w:startOverride w:val="1"/>
    </w:lvlOverride>
  </w:num>
  <w:num w:numId="14">
    <w:abstractNumId w:val="8"/>
    <w:lvlOverride w:ilvl="0">
      <w:startOverride w:val="1"/>
    </w:lvlOverride>
  </w:num>
  <w:num w:numId="15">
    <w:abstractNumId w:val="10"/>
  </w:num>
  <w:num w:numId="16">
    <w:abstractNumId w:val="8"/>
  </w:num>
  <w:num w:numId="17">
    <w:abstractNumId w:val="0"/>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rPr>
      <w:rFonts w:ascii="Segoe UI" w:hAnsi="Segoe UI" w:cs="Segoe UI"/>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rPr>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character" w:customStyle="1" w:styleId="UnresolvedMention1">
    <w:name w:val="Unresolved Mention1"/>
    <w:basedOn w:val="DefaultParagraphFont"/>
    <w:uiPriority w:val="99"/>
    <w:semiHidden/>
    <w:unhideWhenUsed/>
    <w:rsid w:val="00936AA6"/>
    <w:rPr>
      <w:color w:val="808080"/>
      <w:shd w:val="clear" w:color="auto" w:fill="E6E6E6"/>
    </w:rPr>
  </w:style>
  <w:style w:type="paragraph" w:customStyle="1" w:styleId="AppNum">
    <w:name w:val="App Num"/>
    <w:basedOn w:val="Normal"/>
    <w:rsid w:val="00BF6E00"/>
    <w:pPr>
      <w:numPr>
        <w:numId w:val="15"/>
      </w:numPr>
    </w:pPr>
    <w:rPr>
      <w:rFonts w:ascii="Courier New" w:hAnsi="Courier New"/>
      <w:kern w:val="0"/>
      <w:sz w:val="24"/>
    </w:rPr>
  </w:style>
  <w:style w:type="paragraph" w:styleId="BodyText">
    <w:name w:val="Body Text"/>
    <w:basedOn w:val="Normal"/>
    <w:link w:val="BodyTextChar"/>
    <w:rsid w:val="0065028B"/>
    <w:pPr>
      <w:widowControl/>
      <w:spacing w:after="240"/>
      <w:jc w:val="both"/>
    </w:pPr>
    <w:rPr>
      <w:snapToGrid/>
      <w:kern w:val="0"/>
    </w:rPr>
  </w:style>
  <w:style w:type="character" w:customStyle="1" w:styleId="BodyTextChar">
    <w:name w:val="Body Text Char"/>
    <w:basedOn w:val="DefaultParagraphFont"/>
    <w:link w:val="BodyText"/>
    <w:rsid w:val="0065028B"/>
    <w:rPr>
      <w:sz w:val="22"/>
    </w:rPr>
  </w:style>
  <w:style w:type="character" w:styleId="FollowedHyperlink">
    <w:name w:val="FollowedHyperlink"/>
    <w:basedOn w:val="DefaultParagraphFont"/>
    <w:semiHidden/>
    <w:unhideWhenUsed/>
    <w:rsid w:val="00D81627"/>
    <w:rPr>
      <w:color w:val="954F72" w:themeColor="followedHyperlink"/>
      <w:u w:val="single"/>
    </w:rPr>
  </w:style>
  <w:style w:type="character" w:customStyle="1" w:styleId="UnresolvedMention2">
    <w:name w:val="Unresolved Mention2"/>
    <w:basedOn w:val="DefaultParagraphFont"/>
    <w:uiPriority w:val="99"/>
    <w:semiHidden/>
    <w:unhideWhenUsed/>
    <w:rsid w:val="00D81627"/>
    <w:rPr>
      <w:color w:val="808080"/>
      <w:shd w:val="clear" w:color="auto" w:fill="E6E6E6"/>
    </w:rPr>
  </w:style>
  <w:style w:type="paragraph" w:styleId="ListParagraph">
    <w:name w:val="List Paragraph"/>
    <w:basedOn w:val="Normal"/>
    <w:uiPriority w:val="34"/>
    <w:qFormat/>
    <w:rsid w:val="00BE4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