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187600" w:rsidP="006C0658">
      <w:pPr>
        <w:spacing w:after="0" w:line="240" w:lineRule="auto"/>
        <w:jc w:val="center"/>
        <w:rPr>
          <w:rFonts w:ascii="Times New Roman Bold" w:hAnsi="Times New Roman Bold"/>
          <w:b/>
          <w:kern w:val="0"/>
          <w:szCs w:val="22"/>
        </w:rPr>
      </w:pPr>
      <w:bookmarkStart w:id="0" w:name="_GoBack"/>
      <w:bookmarkEnd w:id="0"/>
    </w:p>
    <w:p w:rsidR="00803A6D" w:rsidP="006C0658">
      <w:pPr>
        <w:spacing w:after="0" w:line="240" w:lineRule="auto"/>
        <w:jc w:val="center"/>
        <w:rPr>
          <w:rFonts w:ascii="Times New Roman Bold" w:hAnsi="Times New Roman Bold"/>
          <w:b/>
          <w:kern w:val="0"/>
          <w:szCs w:val="22"/>
        </w:rPr>
      </w:pPr>
    </w:p>
    <w:p w:rsidR="004C2EE3" w:rsidRPr="00971D0D" w:rsidP="006C0658">
      <w:pPr>
        <w:spacing w:after="0" w:line="240" w:lineRule="auto"/>
        <w:jc w:val="center"/>
        <w:rPr>
          <w:b/>
        </w:rPr>
      </w:pPr>
      <w:r w:rsidRPr="00971D0D">
        <w:rPr>
          <w:rFonts w:ascii="Times New Roman Bold" w:hAnsi="Times New Roman Bold"/>
          <w:b/>
          <w:kern w:val="0"/>
          <w:szCs w:val="22"/>
        </w:rPr>
        <w:t>Before</w:t>
      </w:r>
      <w:r w:rsidRPr="00971D0D">
        <w:rPr>
          <w:b/>
        </w:rPr>
        <w:t xml:space="preserve"> the</w:t>
      </w:r>
    </w:p>
    <w:p w:rsidR="00921803" w:rsidRPr="00B76011" w:rsidP="008C6DC1">
      <w:pPr>
        <w:pStyle w:val="StyleBoldCentered"/>
        <w:spacing w:after="0" w:line="240" w:lineRule="auto"/>
      </w:pPr>
      <w:r w:rsidRPr="00B76011">
        <w:t>F</w:t>
      </w:r>
      <w:r w:rsidRPr="00B76011">
        <w:rPr>
          <w:caps w:val="0"/>
        </w:rPr>
        <w:t>ederal Communications Commission</w:t>
      </w:r>
    </w:p>
    <w:p w:rsidR="004C2EE3" w:rsidRPr="00CD2847" w:rsidP="008C6DC1">
      <w:pPr>
        <w:pStyle w:val="StyleBoldCentered"/>
        <w:spacing w:after="0" w:line="240" w:lineRule="auto"/>
      </w:pPr>
      <w:r w:rsidRPr="00CD2847">
        <w:rPr>
          <w:caps w:val="0"/>
        </w:rPr>
        <w:t>Washington, D.C. 20554</w:t>
      </w:r>
    </w:p>
    <w:p w:rsidR="004C2EE3" w:rsidRPr="00971D0D" w:rsidP="008C6DC1">
      <w:pPr>
        <w:spacing w:after="0" w:line="240" w:lineRule="auto"/>
      </w:pPr>
    </w:p>
    <w:tbl>
      <w:tblPr>
        <w:tblW w:w="0" w:type="auto"/>
        <w:tblInd w:w="0" w:type="dxa"/>
        <w:tblLayout w:type="fixed"/>
        <w:tblCellMar>
          <w:top w:w="0" w:type="dxa"/>
          <w:left w:w="108" w:type="dxa"/>
          <w:bottom w:w="0" w:type="dxa"/>
          <w:right w:w="108" w:type="dxa"/>
        </w:tblCellMar>
        <w:tblLook w:val="0000"/>
      </w:tblPr>
      <w:tblGrid>
        <w:gridCol w:w="4698"/>
        <w:gridCol w:w="630"/>
        <w:gridCol w:w="4248"/>
      </w:tblGrid>
      <w:tr>
        <w:tblPrEx>
          <w:tblW w:w="0" w:type="auto"/>
          <w:tblInd w:w="0" w:type="dxa"/>
          <w:tblLayout w:type="fixed"/>
          <w:tblCellMar>
            <w:top w:w="0" w:type="dxa"/>
            <w:left w:w="108" w:type="dxa"/>
            <w:bottom w:w="0" w:type="dxa"/>
            <w:right w:w="108" w:type="dxa"/>
          </w:tblCellMar>
          <w:tblLook w:val="0000"/>
        </w:tblPrEx>
        <w:tc>
          <w:tcPr>
            <w:tcW w:w="4698" w:type="dxa"/>
          </w:tcPr>
          <w:p w:rsidR="004C2EE3" w:rsidRPr="00971D0D" w:rsidP="008C6DC1">
            <w:pPr>
              <w:widowControl w:val="0"/>
              <w:tabs>
                <w:tab w:val="center" w:pos="4680"/>
              </w:tabs>
              <w:suppressAutoHyphens/>
              <w:spacing w:after="0" w:line="240" w:lineRule="auto"/>
              <w:rPr>
                <w:rStyle w:val="DefaultParagraphFont"/>
                <w:snapToGrid w:val="0"/>
                <w:spacing w:val="-2"/>
                <w:kern w:val="28"/>
                <w:sz w:val="22"/>
                <w:lang w:val="en-US" w:eastAsia="en-US" w:bidi="ar-SA"/>
              </w:rPr>
            </w:pPr>
            <w:r w:rsidRPr="00971D0D">
              <w:rPr>
                <w:snapToGrid w:val="0"/>
                <w:spacing w:val="-2"/>
                <w:kern w:val="28"/>
                <w:sz w:val="22"/>
                <w:lang w:val="en-US" w:eastAsia="en-US" w:bidi="ar-SA"/>
              </w:rPr>
              <w:t>In the Matter of</w:t>
            </w:r>
          </w:p>
          <w:p w:rsidR="004C2EE3" w:rsidRPr="00971D0D" w:rsidP="008C6DC1">
            <w:pPr>
              <w:widowControl w:val="0"/>
              <w:tabs>
                <w:tab w:val="center" w:pos="4680"/>
              </w:tabs>
              <w:suppressAutoHyphens/>
              <w:spacing w:after="0" w:line="240" w:lineRule="auto"/>
              <w:rPr>
                <w:rStyle w:val="DefaultParagraphFont"/>
                <w:snapToGrid w:val="0"/>
                <w:spacing w:val="-2"/>
                <w:kern w:val="28"/>
                <w:sz w:val="22"/>
                <w:lang w:val="en-US" w:eastAsia="en-US" w:bidi="ar-SA"/>
              </w:rPr>
            </w:pPr>
          </w:p>
          <w:p w:rsidR="00817E7A" w:rsidRPr="00971D0D" w:rsidP="008C6DC1">
            <w:pPr>
              <w:widowControl w:val="0"/>
              <w:tabs>
                <w:tab w:val="center" w:pos="4680"/>
              </w:tabs>
              <w:suppressAutoHyphens/>
              <w:spacing w:after="0" w:line="240" w:lineRule="auto"/>
              <w:rPr>
                <w:rStyle w:val="DefaultParagraphFont"/>
                <w:snapToGrid w:val="0"/>
                <w:spacing w:val="-2"/>
                <w:kern w:val="28"/>
                <w:sz w:val="22"/>
                <w:lang w:val="en-US" w:eastAsia="en-US" w:bidi="ar-SA"/>
              </w:rPr>
            </w:pPr>
            <w:r w:rsidRPr="00971D0D">
              <w:rPr>
                <w:snapToGrid w:val="0"/>
                <w:spacing w:val="-2"/>
                <w:kern w:val="28"/>
                <w:sz w:val="22"/>
                <w:lang w:val="en-US" w:eastAsia="en-US" w:bidi="ar-SA"/>
              </w:rPr>
              <w:t xml:space="preserve">Application </w:t>
            </w:r>
            <w:r w:rsidRPr="00971D0D" w:rsidR="00876273">
              <w:rPr>
                <w:snapToGrid w:val="0"/>
                <w:spacing w:val="-2"/>
                <w:kern w:val="28"/>
                <w:sz w:val="22"/>
                <w:lang w:val="en-US" w:eastAsia="en-US" w:bidi="ar-SA"/>
              </w:rPr>
              <w:t>of</w:t>
            </w:r>
            <w:r w:rsidRPr="00971D0D">
              <w:rPr>
                <w:snapToGrid w:val="0"/>
                <w:spacing w:val="-2"/>
                <w:kern w:val="28"/>
                <w:sz w:val="22"/>
                <w:lang w:val="en-US" w:eastAsia="en-US" w:bidi="ar-SA"/>
              </w:rPr>
              <w:t xml:space="preserve"> </w:t>
            </w:r>
            <w:r w:rsidR="009C19C7">
              <w:rPr>
                <w:snapToGrid w:val="0"/>
                <w:spacing w:val="-2"/>
                <w:kern w:val="28"/>
                <w:sz w:val="22"/>
                <w:lang w:val="en-US" w:eastAsia="en-US" w:bidi="ar-SA"/>
              </w:rPr>
              <w:t>AT&amp;T Mobility Spectrum LLC</w:t>
            </w:r>
            <w:r w:rsidRPr="00971D0D">
              <w:rPr>
                <w:snapToGrid w:val="0"/>
                <w:spacing w:val="-2"/>
                <w:kern w:val="28"/>
                <w:sz w:val="22"/>
                <w:lang w:val="en-US" w:eastAsia="en-US" w:bidi="ar-SA"/>
              </w:rPr>
              <w:t xml:space="preserve"> and </w:t>
            </w:r>
            <w:r w:rsidR="009C19C7">
              <w:rPr>
                <w:snapToGrid w:val="0"/>
                <w:spacing w:val="-2"/>
                <w:kern w:val="28"/>
                <w:sz w:val="22"/>
                <w:lang w:val="en-US" w:eastAsia="en-US" w:bidi="ar-SA"/>
              </w:rPr>
              <w:t>FiberTower Corporation</w:t>
            </w:r>
          </w:p>
          <w:p w:rsidR="00817E7A" w:rsidRPr="00971D0D" w:rsidP="008C6DC1">
            <w:pPr>
              <w:widowControl w:val="0"/>
              <w:tabs>
                <w:tab w:val="center" w:pos="4680"/>
              </w:tabs>
              <w:suppressAutoHyphens/>
              <w:spacing w:after="0" w:line="240" w:lineRule="auto"/>
              <w:rPr>
                <w:rStyle w:val="DefaultParagraphFont"/>
                <w:snapToGrid w:val="0"/>
                <w:spacing w:val="-2"/>
                <w:kern w:val="28"/>
                <w:sz w:val="22"/>
                <w:lang w:val="en-US" w:eastAsia="en-US" w:bidi="ar-SA"/>
              </w:rPr>
            </w:pPr>
          </w:p>
          <w:p w:rsidR="004C2EE3" w:rsidRPr="00971D0D" w:rsidP="00DA22BE">
            <w:pPr>
              <w:widowControl w:val="0"/>
              <w:tabs>
                <w:tab w:val="center" w:pos="4680"/>
              </w:tabs>
              <w:suppressAutoHyphens/>
              <w:spacing w:after="0" w:line="240" w:lineRule="auto"/>
              <w:rPr>
                <w:rStyle w:val="DefaultParagraphFont"/>
                <w:snapToGrid w:val="0"/>
                <w:spacing w:val="-2"/>
                <w:kern w:val="28"/>
                <w:sz w:val="22"/>
                <w:lang w:val="en-US" w:eastAsia="en-US" w:bidi="ar-SA"/>
              </w:rPr>
            </w:pPr>
            <w:r w:rsidRPr="00971D0D">
              <w:rPr>
                <w:snapToGrid w:val="0"/>
                <w:spacing w:val="-2"/>
                <w:kern w:val="28"/>
                <w:sz w:val="22"/>
                <w:lang w:val="en-US" w:eastAsia="en-US" w:bidi="ar-SA"/>
              </w:rPr>
              <w:t>F</w:t>
            </w:r>
            <w:r w:rsidRPr="00971D0D" w:rsidR="005D5981">
              <w:rPr>
                <w:snapToGrid w:val="0"/>
                <w:spacing w:val="-2"/>
                <w:kern w:val="28"/>
                <w:sz w:val="22"/>
                <w:lang w:val="en-US" w:eastAsia="en-US" w:bidi="ar-SA"/>
              </w:rPr>
              <w:t xml:space="preserve">or Consent to Transfer </w:t>
            </w:r>
            <w:r w:rsidR="004B784D">
              <w:rPr>
                <w:snapToGrid w:val="0"/>
                <w:spacing w:val="-2"/>
                <w:kern w:val="28"/>
                <w:sz w:val="22"/>
                <w:lang w:val="en-US" w:eastAsia="en-US" w:bidi="ar-SA"/>
              </w:rPr>
              <w:t>Control of 39 GH</w:t>
            </w:r>
            <w:r w:rsidR="009C19C7">
              <w:rPr>
                <w:snapToGrid w:val="0"/>
                <w:spacing w:val="-2"/>
                <w:kern w:val="28"/>
                <w:sz w:val="22"/>
                <w:lang w:val="en-US" w:eastAsia="en-US" w:bidi="ar-SA"/>
              </w:rPr>
              <w:t>z</w:t>
            </w:r>
            <w:r w:rsidR="004B784D">
              <w:rPr>
                <w:snapToGrid w:val="0"/>
                <w:spacing w:val="-2"/>
                <w:kern w:val="28"/>
                <w:sz w:val="22"/>
                <w:lang w:val="en-US" w:eastAsia="en-US" w:bidi="ar-SA"/>
              </w:rPr>
              <w:t xml:space="preserve"> Licenses</w:t>
            </w:r>
            <w:r w:rsidRPr="00971D0D" w:rsidR="005D5981">
              <w:rPr>
                <w:snapToGrid w:val="0"/>
                <w:spacing w:val="-2"/>
                <w:kern w:val="28"/>
                <w:sz w:val="22"/>
                <w:lang w:val="en-US" w:eastAsia="en-US" w:bidi="ar-SA"/>
              </w:rPr>
              <w:t xml:space="preserve"> </w:t>
            </w:r>
            <w:r w:rsidR="009328D2">
              <w:rPr>
                <w:snapToGrid w:val="0"/>
                <w:spacing w:val="-2"/>
                <w:kern w:val="28"/>
                <w:sz w:val="22"/>
                <w:lang w:val="en-US" w:eastAsia="en-US" w:bidi="ar-SA"/>
              </w:rPr>
              <w:t xml:space="preserve">                                                                                                   </w:t>
            </w:r>
          </w:p>
        </w:tc>
        <w:tc>
          <w:tcPr>
            <w:tcW w:w="630" w:type="dxa"/>
          </w:tcPr>
          <w:p w:rsidR="004C2EE3" w:rsidRPr="00971D0D" w:rsidP="008C6DC1">
            <w:pPr>
              <w:widowControl w:val="0"/>
              <w:tabs>
                <w:tab w:val="center" w:pos="4680"/>
              </w:tabs>
              <w:suppressAutoHyphens/>
              <w:spacing w:after="0" w:line="240" w:lineRule="auto"/>
              <w:rPr>
                <w:rStyle w:val="DefaultParagraphFont"/>
                <w:b/>
                <w:snapToGrid w:val="0"/>
                <w:spacing w:val="-2"/>
                <w:kern w:val="28"/>
                <w:sz w:val="22"/>
                <w:lang w:val="en-US" w:eastAsia="en-US" w:bidi="ar-SA"/>
              </w:rPr>
            </w:pPr>
            <w:r w:rsidRPr="00971D0D">
              <w:rPr>
                <w:b/>
                <w:snapToGrid w:val="0"/>
                <w:spacing w:val="-2"/>
                <w:kern w:val="28"/>
                <w:sz w:val="22"/>
                <w:lang w:val="en-US" w:eastAsia="en-US" w:bidi="ar-SA"/>
              </w:rPr>
              <w:t>)</w:t>
            </w:r>
          </w:p>
          <w:p w:rsidR="004C2EE3" w:rsidRPr="00971D0D" w:rsidP="008C6DC1">
            <w:pPr>
              <w:widowControl w:val="0"/>
              <w:tabs>
                <w:tab w:val="center" w:pos="4680"/>
              </w:tabs>
              <w:suppressAutoHyphens/>
              <w:spacing w:after="0" w:line="240" w:lineRule="auto"/>
              <w:rPr>
                <w:rStyle w:val="DefaultParagraphFont"/>
                <w:b/>
                <w:snapToGrid w:val="0"/>
                <w:spacing w:val="-2"/>
                <w:kern w:val="28"/>
                <w:sz w:val="22"/>
                <w:lang w:val="en-US" w:eastAsia="en-US" w:bidi="ar-SA"/>
              </w:rPr>
            </w:pPr>
            <w:r w:rsidRPr="00971D0D">
              <w:rPr>
                <w:b/>
                <w:snapToGrid w:val="0"/>
                <w:spacing w:val="-2"/>
                <w:kern w:val="28"/>
                <w:sz w:val="22"/>
                <w:lang w:val="en-US" w:eastAsia="en-US" w:bidi="ar-SA"/>
              </w:rPr>
              <w:t>)</w:t>
            </w:r>
          </w:p>
          <w:p w:rsidR="004C2EE3" w:rsidRPr="00971D0D" w:rsidP="008C6DC1">
            <w:pPr>
              <w:widowControl w:val="0"/>
              <w:tabs>
                <w:tab w:val="center" w:pos="4680"/>
              </w:tabs>
              <w:suppressAutoHyphens/>
              <w:spacing w:after="0" w:line="240" w:lineRule="auto"/>
              <w:rPr>
                <w:rStyle w:val="DefaultParagraphFont"/>
                <w:b/>
                <w:snapToGrid w:val="0"/>
                <w:spacing w:val="-2"/>
                <w:kern w:val="28"/>
                <w:sz w:val="22"/>
                <w:lang w:val="en-US" w:eastAsia="en-US" w:bidi="ar-SA"/>
              </w:rPr>
            </w:pPr>
            <w:r w:rsidRPr="00971D0D">
              <w:rPr>
                <w:b/>
                <w:snapToGrid w:val="0"/>
                <w:spacing w:val="-2"/>
                <w:kern w:val="28"/>
                <w:sz w:val="22"/>
                <w:lang w:val="en-US" w:eastAsia="en-US" w:bidi="ar-SA"/>
              </w:rPr>
              <w:t>)</w:t>
            </w:r>
          </w:p>
          <w:p w:rsidR="004C2EE3" w:rsidRPr="00971D0D" w:rsidP="008C6DC1">
            <w:pPr>
              <w:widowControl w:val="0"/>
              <w:tabs>
                <w:tab w:val="center" w:pos="4680"/>
              </w:tabs>
              <w:suppressAutoHyphens/>
              <w:spacing w:after="0" w:line="240" w:lineRule="auto"/>
              <w:rPr>
                <w:rStyle w:val="DefaultParagraphFont"/>
                <w:b/>
                <w:snapToGrid w:val="0"/>
                <w:spacing w:val="-2"/>
                <w:kern w:val="28"/>
                <w:sz w:val="22"/>
                <w:lang w:val="en-US" w:eastAsia="en-US" w:bidi="ar-SA"/>
              </w:rPr>
            </w:pPr>
            <w:r w:rsidRPr="00971D0D">
              <w:rPr>
                <w:b/>
                <w:snapToGrid w:val="0"/>
                <w:spacing w:val="-2"/>
                <w:kern w:val="28"/>
                <w:sz w:val="22"/>
                <w:lang w:val="en-US" w:eastAsia="en-US" w:bidi="ar-SA"/>
              </w:rPr>
              <w:t>)</w:t>
            </w:r>
          </w:p>
          <w:p w:rsidR="004C2EE3" w:rsidRPr="00971D0D" w:rsidP="008C6DC1">
            <w:pPr>
              <w:widowControl w:val="0"/>
              <w:tabs>
                <w:tab w:val="center" w:pos="4680"/>
              </w:tabs>
              <w:suppressAutoHyphens/>
              <w:spacing w:after="0" w:line="240" w:lineRule="auto"/>
              <w:rPr>
                <w:rStyle w:val="DefaultParagraphFont"/>
                <w:b/>
                <w:snapToGrid w:val="0"/>
                <w:spacing w:val="-2"/>
                <w:kern w:val="28"/>
                <w:sz w:val="22"/>
                <w:lang w:val="en-US" w:eastAsia="en-US" w:bidi="ar-SA"/>
              </w:rPr>
            </w:pPr>
            <w:r w:rsidRPr="00971D0D">
              <w:rPr>
                <w:b/>
                <w:snapToGrid w:val="0"/>
                <w:spacing w:val="-2"/>
                <w:kern w:val="28"/>
                <w:sz w:val="22"/>
                <w:lang w:val="en-US" w:eastAsia="en-US" w:bidi="ar-SA"/>
              </w:rPr>
              <w:t>)</w:t>
            </w:r>
          </w:p>
          <w:p w:rsidR="004C2EE3" w:rsidRPr="00971D0D" w:rsidP="008C6DC1">
            <w:pPr>
              <w:widowControl w:val="0"/>
              <w:tabs>
                <w:tab w:val="center" w:pos="4680"/>
              </w:tabs>
              <w:suppressAutoHyphens/>
              <w:spacing w:after="0" w:line="240" w:lineRule="auto"/>
              <w:rPr>
                <w:rStyle w:val="DefaultParagraphFont"/>
                <w:b/>
                <w:snapToGrid w:val="0"/>
                <w:spacing w:val="-2"/>
                <w:kern w:val="28"/>
                <w:sz w:val="22"/>
                <w:lang w:val="en-US" w:eastAsia="en-US" w:bidi="ar-SA"/>
              </w:rPr>
            </w:pPr>
            <w:r w:rsidRPr="00971D0D">
              <w:rPr>
                <w:b/>
                <w:snapToGrid w:val="0"/>
                <w:spacing w:val="-2"/>
                <w:kern w:val="28"/>
                <w:sz w:val="22"/>
                <w:lang w:val="en-US" w:eastAsia="en-US" w:bidi="ar-SA"/>
              </w:rPr>
              <w:t>)</w:t>
            </w:r>
          </w:p>
          <w:p w:rsidR="004C2EE3" w:rsidP="008C6DC1">
            <w:pPr>
              <w:widowControl w:val="0"/>
              <w:tabs>
                <w:tab w:val="center" w:pos="4680"/>
              </w:tabs>
              <w:suppressAutoHyphens/>
              <w:spacing w:after="0" w:line="240" w:lineRule="auto"/>
              <w:rPr>
                <w:rStyle w:val="DefaultParagraphFont"/>
                <w:b/>
                <w:snapToGrid w:val="0"/>
                <w:spacing w:val="-2"/>
                <w:kern w:val="28"/>
                <w:sz w:val="22"/>
                <w:lang w:val="en-US" w:eastAsia="en-US" w:bidi="ar-SA"/>
              </w:rPr>
            </w:pPr>
            <w:r w:rsidRPr="00971D0D">
              <w:rPr>
                <w:b/>
                <w:snapToGrid w:val="0"/>
                <w:spacing w:val="-2"/>
                <w:kern w:val="28"/>
                <w:sz w:val="22"/>
                <w:lang w:val="en-US" w:eastAsia="en-US" w:bidi="ar-SA"/>
              </w:rPr>
              <w:t>)</w:t>
            </w:r>
          </w:p>
          <w:p w:rsidR="009328D2" w:rsidRPr="00971D0D" w:rsidP="008C6DC1">
            <w:pPr>
              <w:widowControl w:val="0"/>
              <w:tabs>
                <w:tab w:val="center" w:pos="4680"/>
              </w:tabs>
              <w:suppressAutoHyphens/>
              <w:spacing w:after="0" w:line="240" w:lineRule="auto"/>
              <w:rPr>
                <w:rStyle w:val="DefaultParagraphFont"/>
                <w:snapToGrid w:val="0"/>
                <w:spacing w:val="-2"/>
                <w:kern w:val="28"/>
                <w:sz w:val="22"/>
                <w:lang w:val="en-US" w:eastAsia="en-US" w:bidi="ar-SA"/>
              </w:rPr>
            </w:pPr>
            <w:r>
              <w:rPr>
                <w:b/>
                <w:snapToGrid w:val="0"/>
                <w:spacing w:val="-2"/>
                <w:kern w:val="28"/>
                <w:sz w:val="22"/>
                <w:lang w:val="en-US" w:eastAsia="en-US" w:bidi="ar-SA"/>
              </w:rPr>
              <w:t>)</w:t>
            </w:r>
          </w:p>
        </w:tc>
        <w:tc>
          <w:tcPr>
            <w:tcW w:w="4248" w:type="dxa"/>
          </w:tcPr>
          <w:p w:rsidR="004C2EE3" w:rsidRPr="00971D0D" w:rsidP="008C6DC1">
            <w:pPr>
              <w:widowControl w:val="0"/>
              <w:tabs>
                <w:tab w:val="center" w:pos="4680"/>
              </w:tabs>
              <w:suppressAutoHyphens/>
              <w:spacing w:after="0" w:line="240" w:lineRule="auto"/>
              <w:rPr>
                <w:rStyle w:val="DefaultParagraphFont"/>
                <w:snapToGrid w:val="0"/>
                <w:spacing w:val="-2"/>
                <w:kern w:val="28"/>
                <w:sz w:val="22"/>
                <w:lang w:val="en-US" w:eastAsia="en-US" w:bidi="ar-SA"/>
              </w:rPr>
            </w:pPr>
          </w:p>
          <w:p w:rsidR="004C2EE3" w:rsidRPr="00971D0D" w:rsidP="008C6DC1">
            <w:pPr>
              <w:pStyle w:val="TOAHeading"/>
              <w:widowControl w:val="0"/>
              <w:tabs>
                <w:tab w:val="center" w:pos="4680"/>
                <w:tab w:val="clear" w:pos="9360"/>
              </w:tabs>
              <w:suppressAutoHyphens/>
              <w:spacing w:after="0" w:line="240" w:lineRule="auto"/>
              <w:rPr>
                <w:rStyle w:val="DefaultParagraphFont"/>
                <w:snapToGrid w:val="0"/>
                <w:spacing w:val="-2"/>
                <w:kern w:val="28"/>
                <w:sz w:val="22"/>
                <w:lang w:val="en-US" w:eastAsia="en-US" w:bidi="ar-SA"/>
              </w:rPr>
            </w:pPr>
          </w:p>
          <w:p w:rsidR="004C2EE3" w:rsidRPr="00971D0D" w:rsidP="009C19C7">
            <w:pPr>
              <w:widowControl w:val="0"/>
              <w:tabs>
                <w:tab w:val="center" w:pos="4680"/>
              </w:tabs>
              <w:suppressAutoHyphens/>
              <w:spacing w:after="0" w:line="240" w:lineRule="auto"/>
              <w:rPr>
                <w:rStyle w:val="DefaultParagraphFont"/>
                <w:snapToGrid w:val="0"/>
                <w:spacing w:val="-2"/>
                <w:kern w:val="28"/>
                <w:sz w:val="22"/>
                <w:lang w:val="en-US" w:eastAsia="en-US" w:bidi="ar-SA"/>
              </w:rPr>
            </w:pPr>
            <w:r w:rsidRPr="00971D0D">
              <w:rPr>
                <w:snapToGrid w:val="0"/>
                <w:spacing w:val="-2"/>
                <w:kern w:val="28"/>
                <w:sz w:val="22"/>
                <w:lang w:val="en-US" w:eastAsia="en-US" w:bidi="ar-SA"/>
              </w:rPr>
              <w:t>ULS File N</w:t>
            </w:r>
            <w:r w:rsidRPr="00971D0D" w:rsidR="00876273">
              <w:rPr>
                <w:snapToGrid w:val="0"/>
                <w:spacing w:val="-2"/>
                <w:kern w:val="28"/>
                <w:sz w:val="22"/>
                <w:lang w:val="en-US" w:eastAsia="en-US" w:bidi="ar-SA"/>
              </w:rPr>
              <w:t>o</w:t>
            </w:r>
            <w:r w:rsidR="009C19C7">
              <w:rPr>
                <w:snapToGrid w:val="0"/>
                <w:spacing w:val="-2"/>
                <w:kern w:val="28"/>
                <w:sz w:val="22"/>
                <w:lang w:val="en-US" w:eastAsia="en-US" w:bidi="ar-SA"/>
              </w:rPr>
              <w:t>s</w:t>
            </w:r>
            <w:r w:rsidRPr="00971D0D" w:rsidR="00876273">
              <w:rPr>
                <w:snapToGrid w:val="0"/>
                <w:spacing w:val="-2"/>
                <w:kern w:val="28"/>
                <w:sz w:val="22"/>
                <w:lang w:val="en-US" w:eastAsia="en-US" w:bidi="ar-SA"/>
              </w:rPr>
              <w:t>.</w:t>
            </w:r>
            <w:r w:rsidR="0008213A">
              <w:rPr>
                <w:snapToGrid w:val="0"/>
                <w:spacing w:val="-2"/>
                <w:kern w:val="28"/>
                <w:sz w:val="22"/>
                <w:lang w:val="en-US" w:eastAsia="en-US" w:bidi="ar-SA"/>
              </w:rPr>
              <w:t xml:space="preserve"> 000765</w:t>
            </w:r>
            <w:r w:rsidR="009C19C7">
              <w:rPr>
                <w:snapToGrid w:val="0"/>
                <w:spacing w:val="-2"/>
                <w:kern w:val="28"/>
                <w:sz w:val="22"/>
                <w:lang w:val="en-US" w:eastAsia="en-US" w:bidi="ar-SA"/>
              </w:rPr>
              <w:t>2635 and 0007652637</w:t>
            </w:r>
          </w:p>
        </w:tc>
      </w:tr>
      <w:tr>
        <w:tblPrEx>
          <w:tblW w:w="0" w:type="auto"/>
          <w:tblInd w:w="0" w:type="dxa"/>
          <w:tblLayout w:type="fixed"/>
          <w:tblCellMar>
            <w:top w:w="0" w:type="dxa"/>
            <w:left w:w="108" w:type="dxa"/>
            <w:bottom w:w="0" w:type="dxa"/>
            <w:right w:w="108" w:type="dxa"/>
          </w:tblCellMar>
          <w:tblLook w:val="0000"/>
        </w:tblPrEx>
        <w:tc>
          <w:tcPr>
            <w:tcW w:w="4698" w:type="dxa"/>
          </w:tcPr>
          <w:p w:rsidR="007E6CEC" w:rsidRPr="00971D0D" w:rsidP="008C6DC1">
            <w:pPr>
              <w:widowControl w:val="0"/>
              <w:tabs>
                <w:tab w:val="center" w:pos="4680"/>
              </w:tabs>
              <w:suppressAutoHyphens/>
              <w:spacing w:after="0" w:line="240" w:lineRule="auto"/>
              <w:rPr>
                <w:rStyle w:val="DefaultParagraphFont"/>
                <w:snapToGrid w:val="0"/>
                <w:spacing w:val="-2"/>
                <w:kern w:val="28"/>
                <w:sz w:val="22"/>
                <w:lang w:val="en-US" w:eastAsia="en-US" w:bidi="ar-SA"/>
              </w:rPr>
            </w:pPr>
          </w:p>
        </w:tc>
        <w:tc>
          <w:tcPr>
            <w:tcW w:w="630" w:type="dxa"/>
          </w:tcPr>
          <w:p w:rsidR="007E6CEC" w:rsidRPr="00971D0D" w:rsidP="008C6DC1">
            <w:pPr>
              <w:widowControl w:val="0"/>
              <w:tabs>
                <w:tab w:val="center" w:pos="4680"/>
              </w:tabs>
              <w:suppressAutoHyphens/>
              <w:spacing w:after="0" w:line="240" w:lineRule="auto"/>
              <w:rPr>
                <w:rStyle w:val="DefaultParagraphFont"/>
                <w:b/>
                <w:snapToGrid w:val="0"/>
                <w:spacing w:val="-2"/>
                <w:kern w:val="28"/>
                <w:sz w:val="22"/>
                <w:lang w:val="en-US" w:eastAsia="en-US" w:bidi="ar-SA"/>
              </w:rPr>
            </w:pPr>
          </w:p>
        </w:tc>
        <w:tc>
          <w:tcPr>
            <w:tcW w:w="4248" w:type="dxa"/>
          </w:tcPr>
          <w:p w:rsidR="007E6CEC" w:rsidRPr="00971D0D" w:rsidP="008C6DC1">
            <w:pPr>
              <w:widowControl w:val="0"/>
              <w:tabs>
                <w:tab w:val="center" w:pos="4680"/>
              </w:tabs>
              <w:suppressAutoHyphens/>
              <w:spacing w:after="0" w:line="240" w:lineRule="auto"/>
              <w:rPr>
                <w:rStyle w:val="DefaultParagraphFont"/>
                <w:snapToGrid w:val="0"/>
                <w:spacing w:val="-2"/>
                <w:kern w:val="28"/>
                <w:sz w:val="22"/>
                <w:lang w:val="en-US" w:eastAsia="en-US" w:bidi="ar-SA"/>
              </w:rPr>
            </w:pPr>
          </w:p>
        </w:tc>
      </w:tr>
    </w:tbl>
    <w:p w:rsidR="004C2EE3" w:rsidRPr="00971D0D" w:rsidP="00860523"/>
    <w:p w:rsidR="004C2EE3" w:rsidRPr="00971D0D" w:rsidP="003F6F30">
      <w:pPr>
        <w:pStyle w:val="StyleBoldCentered"/>
        <w:spacing w:after="280" w:line="240" w:lineRule="auto"/>
      </w:pPr>
      <w:r w:rsidRPr="00971D0D">
        <w:t>MEMORANDUM OPINION AND ORDER</w:t>
      </w:r>
    </w:p>
    <w:p w:rsidR="00822CE0" w:rsidRPr="00B76011" w:rsidP="003F6F30">
      <w:pPr>
        <w:tabs>
          <w:tab w:val="left" w:pos="720"/>
          <w:tab w:val="right" w:pos="9360"/>
        </w:tabs>
        <w:suppressAutoHyphens/>
        <w:spacing w:after="280" w:line="240" w:lineRule="auto"/>
      </w:pPr>
      <w:r w:rsidRPr="004131DF">
        <w:rPr>
          <w:b/>
          <w:spacing w:val="-2"/>
        </w:rPr>
        <w:t xml:space="preserve">Adopted:  </w:t>
      </w:r>
      <w:r w:rsidR="00005724">
        <w:rPr>
          <w:b/>
          <w:spacing w:val="-2"/>
        </w:rPr>
        <w:t>Febr</w:t>
      </w:r>
      <w:r w:rsidR="009C19C7">
        <w:rPr>
          <w:b/>
          <w:spacing w:val="-2"/>
        </w:rPr>
        <w:t xml:space="preserve">uary </w:t>
      </w:r>
      <w:r w:rsidR="00BF367D">
        <w:rPr>
          <w:b/>
          <w:spacing w:val="-2"/>
        </w:rPr>
        <w:t>8</w:t>
      </w:r>
      <w:r w:rsidR="00D763A8">
        <w:rPr>
          <w:b/>
          <w:spacing w:val="-2"/>
        </w:rPr>
        <w:t>, 201</w:t>
      </w:r>
      <w:r w:rsidR="009C19C7">
        <w:rPr>
          <w:b/>
          <w:spacing w:val="-2"/>
        </w:rPr>
        <w:t>8</w:t>
      </w:r>
      <w:r w:rsidRPr="004131DF">
        <w:rPr>
          <w:b/>
          <w:spacing w:val="-2"/>
        </w:rPr>
        <w:tab/>
      </w:r>
      <w:r w:rsidRPr="004131DF">
        <w:rPr>
          <w:b/>
          <w:spacing w:val="-2"/>
        </w:rPr>
        <w:t>Released</w:t>
      </w:r>
      <w:r w:rsidRPr="004131DF">
        <w:rPr>
          <w:b/>
          <w:spacing w:val="-2"/>
        </w:rPr>
        <w:t>:</w:t>
      </w:r>
      <w:r w:rsidRPr="004131DF">
        <w:rPr>
          <w:b/>
          <w:spacing w:val="-2"/>
        </w:rPr>
        <w:t xml:space="preserve"> </w:t>
      </w:r>
      <w:r w:rsidR="00240A3A">
        <w:rPr>
          <w:b/>
          <w:spacing w:val="-2"/>
        </w:rPr>
        <w:t xml:space="preserve"> </w:t>
      </w:r>
      <w:r w:rsidR="00005724">
        <w:rPr>
          <w:b/>
          <w:spacing w:val="-2"/>
        </w:rPr>
        <w:t>Febr</w:t>
      </w:r>
      <w:r w:rsidR="009C19C7">
        <w:rPr>
          <w:b/>
          <w:spacing w:val="-2"/>
        </w:rPr>
        <w:t xml:space="preserve">uary </w:t>
      </w:r>
      <w:r w:rsidR="00BF367D">
        <w:rPr>
          <w:b/>
          <w:spacing w:val="-2"/>
        </w:rPr>
        <w:t>8</w:t>
      </w:r>
      <w:r w:rsidR="00D763A8">
        <w:rPr>
          <w:b/>
          <w:spacing w:val="-2"/>
        </w:rPr>
        <w:t>, 201</w:t>
      </w:r>
      <w:r w:rsidR="009C19C7">
        <w:rPr>
          <w:b/>
          <w:spacing w:val="-2"/>
        </w:rPr>
        <w:t>8</w:t>
      </w:r>
    </w:p>
    <w:p w:rsidR="00F04372" w:rsidRPr="00971D0D" w:rsidP="003F6F30">
      <w:pPr>
        <w:spacing w:after="280" w:line="240" w:lineRule="auto"/>
      </w:pPr>
      <w:r w:rsidRPr="00B76011">
        <w:t xml:space="preserve">By </w:t>
      </w:r>
      <w:r w:rsidRPr="00B76011" w:rsidR="00817E7A">
        <w:t xml:space="preserve">the </w:t>
      </w:r>
      <w:r w:rsidRPr="00CD2847" w:rsidR="005D5981">
        <w:t>Chief, Wireless Telecommunications Bureau:</w:t>
      </w:r>
    </w:p>
    <w:p w:rsidR="002C00E8" w:rsidRPr="00971D0D" w:rsidP="003F6F30">
      <w:pPr>
        <w:pStyle w:val="Heading1"/>
        <w:keepNext w:val="0"/>
        <w:spacing w:after="240" w:line="240" w:lineRule="auto"/>
      </w:pPr>
      <w:r w:rsidRPr="00971D0D">
        <w:t>INTRODUCTION</w:t>
      </w:r>
    </w:p>
    <w:p w:rsidR="002D7C15" w:rsidP="003F6F30">
      <w:pPr>
        <w:pStyle w:val="ParaNum"/>
        <w:tabs>
          <w:tab w:val="num" w:pos="1440"/>
        </w:tabs>
        <w:spacing w:after="240" w:line="240" w:lineRule="auto"/>
        <w:ind w:left="86"/>
      </w:pPr>
      <w:r w:rsidRPr="00971D0D">
        <w:rPr>
          <w:kern w:val="0"/>
        </w:rPr>
        <w:t>In this Memorandum Opinion and Order, we consider the application</w:t>
      </w:r>
      <w:r w:rsidR="00BE0D9C">
        <w:rPr>
          <w:kern w:val="0"/>
        </w:rPr>
        <w:t>s</w:t>
      </w:r>
      <w:r w:rsidRPr="00971D0D">
        <w:t xml:space="preserve"> of </w:t>
      </w:r>
      <w:r w:rsidR="009C19C7">
        <w:t>AT&amp;T Mobility Spectrum LLC</w:t>
      </w:r>
      <w:r w:rsidRPr="00971D0D" w:rsidR="002E0209">
        <w:rPr>
          <w:szCs w:val="22"/>
        </w:rPr>
        <w:t xml:space="preserve"> (</w:t>
      </w:r>
      <w:r w:rsidR="00E35F2B">
        <w:rPr>
          <w:szCs w:val="22"/>
        </w:rPr>
        <w:t>AT&amp;T Mobility), an indirectly wholly-owned subsidiary of AT&amp;T Inc. (collectively with AT&amp;T Mobility, AT&amp;T), and FiberTower Corp</w:t>
      </w:r>
      <w:r w:rsidR="00BE0D9C">
        <w:rPr>
          <w:szCs w:val="22"/>
        </w:rPr>
        <w:t>o</w:t>
      </w:r>
      <w:r w:rsidR="00E35F2B">
        <w:rPr>
          <w:szCs w:val="22"/>
        </w:rPr>
        <w:t>ration (together with AT&amp;T, the Applicants)</w:t>
      </w:r>
      <w:r w:rsidR="004B784D">
        <w:t xml:space="preserve"> </w:t>
      </w:r>
      <w:r w:rsidRPr="00971D0D" w:rsidR="00417774">
        <w:t xml:space="preserve">for Commission consent to </w:t>
      </w:r>
      <w:r w:rsidR="004B784D">
        <w:t xml:space="preserve">the </w:t>
      </w:r>
      <w:r w:rsidRPr="00971D0D">
        <w:t xml:space="preserve">transfer </w:t>
      </w:r>
      <w:r w:rsidR="004B784D">
        <w:t>of control of</w:t>
      </w:r>
      <w:r w:rsidR="003C1D37">
        <w:t xml:space="preserve"> </w:t>
      </w:r>
      <w:r w:rsidR="004B784D">
        <w:t xml:space="preserve">39 GHz licenses held by </w:t>
      </w:r>
      <w:r w:rsidR="00E35F2B">
        <w:t>FiberTower Corporation’s</w:t>
      </w:r>
      <w:r w:rsidR="004B784D">
        <w:t xml:space="preserve"> subsidiary</w:t>
      </w:r>
      <w:r w:rsidR="006309DA">
        <w:t>,</w:t>
      </w:r>
      <w:r w:rsidR="004B784D">
        <w:t xml:space="preserve"> </w:t>
      </w:r>
      <w:r w:rsidR="00E35F2B">
        <w:t xml:space="preserve">FiberTower Spectrum Holdings </w:t>
      </w:r>
      <w:r w:rsidR="008C6DC1">
        <w:t>LLC (</w:t>
      </w:r>
      <w:r w:rsidR="00E35F2B">
        <w:t>FiberTower Spectrum, and, collectively with FiberTower Corporation, FiberTower</w:t>
      </w:r>
      <w:r w:rsidR="008C6DC1">
        <w:t>)</w:t>
      </w:r>
      <w:r w:rsidRPr="00971D0D">
        <w:t xml:space="preserve">.  </w:t>
      </w:r>
      <w:r w:rsidR="00513344">
        <w:t xml:space="preserve">Pursuant to a stock purchase agreement, AT&amp;T Mobility </w:t>
      </w:r>
      <w:r w:rsidR="00CF7F48">
        <w:t>will acquire all of the outstanding stock of FiberTower Corporation, after which FiberTower Corporation will become a wholly-owned subsidiary of AT&amp;T Mobility.</w:t>
      </w:r>
      <w:r w:rsidR="00D33B23">
        <w:t xml:space="preserve">  This will result in a transfer of control of FiberTower Spectrum’s licenses from FiberTower Corporation to </w:t>
      </w:r>
      <w:r w:rsidR="00566D69">
        <w:t>AT&amp;T Mobility</w:t>
      </w:r>
      <w:r w:rsidR="00DC6F6A">
        <w:t>.</w:t>
      </w:r>
      <w:r>
        <w:rPr>
          <w:rStyle w:val="FootnoteReference"/>
        </w:rPr>
        <w:footnoteReference w:id="3"/>
      </w:r>
      <w:r w:rsidR="001471E0">
        <w:t xml:space="preserve">  </w:t>
      </w:r>
    </w:p>
    <w:p w:rsidR="00C15647" w:rsidRPr="00971D0D" w:rsidP="003F6F30">
      <w:pPr>
        <w:pStyle w:val="ParaNum"/>
        <w:tabs>
          <w:tab w:val="num" w:pos="1440"/>
        </w:tabs>
        <w:spacing w:after="240" w:line="240" w:lineRule="auto"/>
        <w:ind w:left="86"/>
      </w:pPr>
      <w:r w:rsidRPr="00971D0D">
        <w:t>After carefully evaluating the likely competitive effects of th</w:t>
      </w:r>
      <w:r w:rsidR="001471E0">
        <w:t>e proposed transfer of control</w:t>
      </w:r>
      <w:r w:rsidRPr="00971D0D">
        <w:t xml:space="preserve">, </w:t>
      </w:r>
      <w:r w:rsidRPr="00971D0D">
        <w:rPr>
          <w:kern w:val="0"/>
        </w:rPr>
        <w:t xml:space="preserve">we find that the likelihood of </w:t>
      </w:r>
      <w:r w:rsidRPr="00971D0D" w:rsidR="00C12018">
        <w:rPr>
          <w:kern w:val="0"/>
        </w:rPr>
        <w:t xml:space="preserve">any </w:t>
      </w:r>
      <w:r w:rsidR="00072EC7">
        <w:rPr>
          <w:kern w:val="0"/>
        </w:rPr>
        <w:t>competitive</w:t>
      </w:r>
      <w:r w:rsidRPr="00971D0D" w:rsidR="00C12018">
        <w:rPr>
          <w:kern w:val="0"/>
        </w:rPr>
        <w:t xml:space="preserve"> harms</w:t>
      </w:r>
      <w:r w:rsidRPr="00971D0D">
        <w:rPr>
          <w:kern w:val="0"/>
        </w:rPr>
        <w:t xml:space="preserve"> is low.  </w:t>
      </w:r>
      <w:r w:rsidR="00BE0D9C">
        <w:rPr>
          <w:kern w:val="0"/>
        </w:rPr>
        <w:t xml:space="preserve">AT&amp;T’s </w:t>
      </w:r>
      <w:r w:rsidRPr="00971D0D" w:rsidR="00903339">
        <w:rPr>
          <w:kern w:val="0"/>
        </w:rPr>
        <w:t xml:space="preserve">post-transaction spectrum holdings across the 39 GHz bands do not raise any competitive concerns in light of the </w:t>
      </w:r>
      <w:r w:rsidRPr="00971D0D" w:rsidR="00DC5719">
        <w:rPr>
          <w:kern w:val="0"/>
        </w:rPr>
        <w:t xml:space="preserve">current </w:t>
      </w:r>
      <w:r w:rsidRPr="00971D0D" w:rsidR="00903339">
        <w:rPr>
          <w:kern w:val="0"/>
        </w:rPr>
        <w:t>state of the marketplace</w:t>
      </w:r>
      <w:r w:rsidR="00DC6F6A">
        <w:rPr>
          <w:kern w:val="0"/>
        </w:rPr>
        <w:t xml:space="preserve"> </w:t>
      </w:r>
      <w:r w:rsidR="004B255F">
        <w:rPr>
          <w:kern w:val="0"/>
        </w:rPr>
        <w:t>and our m</w:t>
      </w:r>
      <w:r w:rsidR="003C1D37">
        <w:rPr>
          <w:kern w:val="0"/>
        </w:rPr>
        <w:t>illimeter wave (mmW) spectrum holdings threshold</w:t>
      </w:r>
      <w:r w:rsidR="006500E4">
        <w:rPr>
          <w:kern w:val="0"/>
        </w:rPr>
        <w:t>,</w:t>
      </w:r>
      <w:r w:rsidR="003C1D37">
        <w:rPr>
          <w:kern w:val="0"/>
        </w:rPr>
        <w:t xml:space="preserve"> </w:t>
      </w:r>
      <w:r w:rsidR="004B255F">
        <w:rPr>
          <w:kern w:val="0"/>
        </w:rPr>
        <w:t xml:space="preserve">as recently revised </w:t>
      </w:r>
      <w:r w:rsidR="003C1D37">
        <w:rPr>
          <w:kern w:val="0"/>
        </w:rPr>
        <w:t xml:space="preserve">in the </w:t>
      </w:r>
      <w:r w:rsidR="003C1D37">
        <w:rPr>
          <w:i/>
          <w:kern w:val="0"/>
        </w:rPr>
        <w:t>Spectrum Frontiers Second Report and Order</w:t>
      </w:r>
      <w:r w:rsidR="00DC6F6A">
        <w:rPr>
          <w:i/>
          <w:kern w:val="0"/>
        </w:rPr>
        <w:t>.</w:t>
      </w:r>
      <w:r>
        <w:rPr>
          <w:rStyle w:val="FootnoteReference"/>
          <w:kern w:val="0"/>
        </w:rPr>
        <w:footnoteReference w:id="4"/>
      </w:r>
      <w:r w:rsidRPr="00971D0D" w:rsidR="00903339">
        <w:rPr>
          <w:kern w:val="0"/>
        </w:rPr>
        <w:t xml:space="preserve">  </w:t>
      </w:r>
      <w:r w:rsidRPr="00971D0D">
        <w:rPr>
          <w:kern w:val="0"/>
        </w:rPr>
        <w:t>Further, we find that public interest benefits are likely to be realized</w:t>
      </w:r>
      <w:r w:rsidR="00C76FC1">
        <w:rPr>
          <w:kern w:val="0"/>
        </w:rPr>
        <w:t xml:space="preserve"> from the transfer</w:t>
      </w:r>
      <w:r w:rsidRPr="00971D0D">
        <w:rPr>
          <w:kern w:val="0"/>
        </w:rPr>
        <w:t xml:space="preserve">, </w:t>
      </w:r>
      <w:r w:rsidR="00C76FC1">
        <w:rPr>
          <w:kern w:val="0"/>
        </w:rPr>
        <w:t xml:space="preserve">including </w:t>
      </w:r>
      <w:r w:rsidRPr="00971D0D" w:rsidR="00EF1685">
        <w:rPr>
          <w:kern w:val="0"/>
        </w:rPr>
        <w:t xml:space="preserve">the </w:t>
      </w:r>
      <w:r w:rsidRPr="00971D0D" w:rsidR="00DC5719">
        <w:rPr>
          <w:kern w:val="0"/>
        </w:rPr>
        <w:t xml:space="preserve">expeditious </w:t>
      </w:r>
      <w:r w:rsidRPr="00971D0D" w:rsidR="00EF1685">
        <w:rPr>
          <w:kern w:val="0"/>
        </w:rPr>
        <w:t xml:space="preserve">use of this </w:t>
      </w:r>
      <w:r w:rsidR="002D7C15">
        <w:rPr>
          <w:kern w:val="0"/>
        </w:rPr>
        <w:t xml:space="preserve">mmW </w:t>
      </w:r>
      <w:r w:rsidRPr="00971D0D" w:rsidR="00EF1685">
        <w:rPr>
          <w:kern w:val="0"/>
        </w:rPr>
        <w:t xml:space="preserve">spectrum for the </w:t>
      </w:r>
      <w:r w:rsidRPr="00971D0D" w:rsidR="00C12018">
        <w:rPr>
          <w:kern w:val="0"/>
        </w:rPr>
        <w:t xml:space="preserve">potential introduction </w:t>
      </w:r>
      <w:r w:rsidRPr="00971D0D" w:rsidR="00EF1685">
        <w:rPr>
          <w:kern w:val="0"/>
        </w:rPr>
        <w:t xml:space="preserve">of innovative </w:t>
      </w:r>
      <w:r w:rsidR="001262F4">
        <w:rPr>
          <w:kern w:val="0"/>
        </w:rPr>
        <w:t>fifth-generation (</w:t>
      </w:r>
      <w:r w:rsidRPr="00971D0D" w:rsidR="00EF1685">
        <w:rPr>
          <w:kern w:val="0"/>
        </w:rPr>
        <w:t>5G</w:t>
      </w:r>
      <w:r w:rsidR="001262F4">
        <w:rPr>
          <w:kern w:val="0"/>
        </w:rPr>
        <w:t>)</w:t>
      </w:r>
      <w:r w:rsidRPr="00971D0D" w:rsidR="00EF1685">
        <w:rPr>
          <w:kern w:val="0"/>
        </w:rPr>
        <w:t xml:space="preserve"> services to the benefit of American consumer</w:t>
      </w:r>
      <w:r w:rsidR="009971D2">
        <w:rPr>
          <w:kern w:val="0"/>
        </w:rPr>
        <w:t>s</w:t>
      </w:r>
      <w:r w:rsidRPr="00971D0D">
        <w:rPr>
          <w:kern w:val="0"/>
        </w:rPr>
        <w:t xml:space="preserve">.  </w:t>
      </w:r>
      <w:r w:rsidR="00C76FC1">
        <w:rPr>
          <w:kern w:val="0"/>
        </w:rPr>
        <w:t xml:space="preserve">Based </w:t>
      </w:r>
      <w:r w:rsidR="00C76FC1">
        <w:rPr>
          <w:kern w:val="0"/>
        </w:rPr>
        <w:t xml:space="preserve">on the record before us and </w:t>
      </w:r>
      <w:r w:rsidR="0065168D">
        <w:rPr>
          <w:kern w:val="0"/>
        </w:rPr>
        <w:t xml:space="preserve">on </w:t>
      </w:r>
      <w:r w:rsidR="00C76FC1">
        <w:rPr>
          <w:kern w:val="0"/>
        </w:rPr>
        <w:t xml:space="preserve">our competitive </w:t>
      </w:r>
      <w:r w:rsidR="006309DA">
        <w:rPr>
          <w:kern w:val="0"/>
        </w:rPr>
        <w:t xml:space="preserve">review, we </w:t>
      </w:r>
      <w:r w:rsidR="006309DA">
        <w:rPr>
          <w:szCs w:val="22"/>
        </w:rPr>
        <w:t xml:space="preserve">find </w:t>
      </w:r>
      <w:r w:rsidR="00C3143B">
        <w:rPr>
          <w:szCs w:val="22"/>
        </w:rPr>
        <w:t xml:space="preserve">that </w:t>
      </w:r>
      <w:r w:rsidR="006309DA">
        <w:rPr>
          <w:szCs w:val="22"/>
        </w:rPr>
        <w:t>th</w:t>
      </w:r>
      <w:r w:rsidR="00C76FC1">
        <w:rPr>
          <w:szCs w:val="22"/>
        </w:rPr>
        <w:t>e</w:t>
      </w:r>
      <w:r w:rsidR="006309DA">
        <w:rPr>
          <w:szCs w:val="22"/>
        </w:rPr>
        <w:t xml:space="preserve"> trans</w:t>
      </w:r>
      <w:r w:rsidR="00C76FC1">
        <w:rPr>
          <w:szCs w:val="22"/>
        </w:rPr>
        <w:t>fer proposed herein will</w:t>
      </w:r>
      <w:r w:rsidR="006309DA">
        <w:rPr>
          <w:szCs w:val="22"/>
        </w:rPr>
        <w:t xml:space="preserve"> </w:t>
      </w:r>
      <w:r w:rsidRPr="00DC3470" w:rsidR="00C3143B">
        <w:rPr>
          <w:szCs w:val="22"/>
        </w:rPr>
        <w:t xml:space="preserve">serve the public </w:t>
      </w:r>
      <w:r w:rsidR="00C3143B">
        <w:rPr>
          <w:szCs w:val="22"/>
        </w:rPr>
        <w:t xml:space="preserve">interest, </w:t>
      </w:r>
      <w:r w:rsidRPr="00DC3470" w:rsidR="00C3143B">
        <w:rPr>
          <w:szCs w:val="22"/>
        </w:rPr>
        <w:t>convenience</w:t>
      </w:r>
      <w:r w:rsidR="00C3143B">
        <w:rPr>
          <w:szCs w:val="22"/>
        </w:rPr>
        <w:t>,</w:t>
      </w:r>
      <w:r w:rsidRPr="00DC3470" w:rsidR="00C3143B">
        <w:rPr>
          <w:szCs w:val="22"/>
        </w:rPr>
        <w:t xml:space="preserve"> and </w:t>
      </w:r>
      <w:r w:rsidR="00C3143B">
        <w:rPr>
          <w:szCs w:val="22"/>
        </w:rPr>
        <w:t>necessity,</w:t>
      </w:r>
      <w:r w:rsidRPr="00DC3470" w:rsidR="00C3143B">
        <w:rPr>
          <w:szCs w:val="22"/>
        </w:rPr>
        <w:t xml:space="preserve"> </w:t>
      </w:r>
      <w:r w:rsidR="00C3143B">
        <w:rPr>
          <w:szCs w:val="22"/>
        </w:rPr>
        <w:t xml:space="preserve">and </w:t>
      </w:r>
      <w:r w:rsidR="002E0209">
        <w:rPr>
          <w:szCs w:val="22"/>
        </w:rPr>
        <w:t xml:space="preserve">therefore </w:t>
      </w:r>
      <w:r w:rsidR="00C3143B">
        <w:rPr>
          <w:szCs w:val="22"/>
        </w:rPr>
        <w:t>we</w:t>
      </w:r>
      <w:r w:rsidR="002E0209">
        <w:rPr>
          <w:szCs w:val="22"/>
        </w:rPr>
        <w:t xml:space="preserve"> consent to the trans</w:t>
      </w:r>
      <w:r w:rsidR="00C76FC1">
        <w:rPr>
          <w:szCs w:val="22"/>
        </w:rPr>
        <w:t>fer of control</w:t>
      </w:r>
      <w:r w:rsidR="00C3143B">
        <w:rPr>
          <w:szCs w:val="22"/>
        </w:rPr>
        <w:t xml:space="preserve">.  </w:t>
      </w:r>
    </w:p>
    <w:p w:rsidR="00417774" w:rsidRPr="00971D0D" w:rsidP="005233FA">
      <w:pPr>
        <w:pStyle w:val="Heading1"/>
        <w:tabs>
          <w:tab w:val="num" w:pos="1440"/>
        </w:tabs>
        <w:spacing w:line="240" w:lineRule="auto"/>
      </w:pPr>
      <w:bookmarkStart w:id="1" w:name="_Toc403981888"/>
      <w:bookmarkStart w:id="2" w:name="_Toc403998340"/>
      <w:bookmarkStart w:id="3" w:name="_Toc403998427"/>
      <w:bookmarkStart w:id="4" w:name="_Toc404003253"/>
      <w:bookmarkStart w:id="5" w:name="_Toc404003531"/>
      <w:bookmarkStart w:id="6" w:name="_Toc404152152"/>
      <w:bookmarkStart w:id="7" w:name="_Toc405185082"/>
      <w:bookmarkStart w:id="8" w:name="_Toc405799101"/>
      <w:bookmarkStart w:id="9" w:name="_Toc405799328"/>
      <w:bookmarkStart w:id="10" w:name="_Toc405801043"/>
      <w:bookmarkStart w:id="11" w:name="_Toc406492301"/>
      <w:bookmarkStart w:id="12" w:name="_Toc408387309"/>
      <w:bookmarkStart w:id="13" w:name="_Toc419201230"/>
      <w:bookmarkStart w:id="14" w:name="_Toc419201457"/>
      <w:bookmarkStart w:id="15" w:name="_Toc419206323"/>
      <w:bookmarkStart w:id="16" w:name="_Toc419206918"/>
      <w:bookmarkStart w:id="17" w:name="_Toc419206996"/>
      <w:bookmarkStart w:id="18" w:name="_Toc419287168"/>
      <w:bookmarkStart w:id="19" w:name="_Toc419447040"/>
      <w:bookmarkStart w:id="20" w:name="_Toc419815659"/>
      <w:bookmarkStart w:id="21" w:name="_Toc420400630"/>
      <w:bookmarkStart w:id="22" w:name="_Toc420499766"/>
      <w:bookmarkStart w:id="23" w:name="_Toc422929254"/>
      <w:bookmarkStart w:id="24" w:name="_Toc425423431"/>
      <w:bookmarkStart w:id="25" w:name="_Toc425502057"/>
      <w:bookmarkStart w:id="26" w:name="_Toc433707135"/>
      <w:bookmarkStart w:id="27" w:name="_Toc433804806"/>
      <w:bookmarkStart w:id="28" w:name="_Toc433806191"/>
      <w:bookmarkStart w:id="29" w:name="_Toc433974467"/>
      <w:bookmarkStart w:id="30" w:name="_Toc434918529"/>
      <w:r w:rsidRPr="00971D0D">
        <w:t>background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417774" w:rsidRPr="00971D0D" w:rsidP="005233FA">
      <w:pPr>
        <w:pStyle w:val="ParaNum"/>
        <w:keepNext/>
        <w:widowControl/>
        <w:tabs>
          <w:tab w:val="num" w:pos="1440"/>
        </w:tabs>
        <w:spacing w:line="240" w:lineRule="auto"/>
        <w:ind w:left="86"/>
      </w:pPr>
      <w:r w:rsidRPr="00971D0D">
        <w:rPr>
          <w:i/>
        </w:rPr>
        <w:t>Description of the</w:t>
      </w:r>
      <w:r w:rsidR="00701332">
        <w:rPr>
          <w:i/>
        </w:rPr>
        <w:t xml:space="preserve"> Applicants</w:t>
      </w:r>
      <w:r w:rsidRPr="00971D0D">
        <w:rPr>
          <w:i/>
        </w:rPr>
        <w:t>.</w:t>
      </w:r>
      <w:r w:rsidRPr="00971D0D">
        <w:t xml:space="preserve">  </w:t>
      </w:r>
      <w:r w:rsidR="00D33B23">
        <w:t xml:space="preserve">AT&amp;T Mobility is a wholly-owned indirect </w:t>
      </w:r>
      <w:r w:rsidR="002D7C15">
        <w:t xml:space="preserve">subsidiary of </w:t>
      </w:r>
      <w:r w:rsidR="00D33B23">
        <w:t xml:space="preserve">AT&amp;T Inc.  AT&amp;T </w:t>
      </w:r>
      <w:r w:rsidR="006500E4">
        <w:t xml:space="preserve">states that it </w:t>
      </w:r>
      <w:r w:rsidR="00D33B23">
        <w:t>is a leading provider in the United States of wireless, Wi-Fi, high-speed Internet, local and long-distance voice, mobile broadband, and advanced television services.</w:t>
      </w:r>
      <w:r>
        <w:rPr>
          <w:rStyle w:val="FootnoteReference"/>
        </w:rPr>
        <w:footnoteReference w:id="5"/>
      </w:r>
      <w:r w:rsidR="00566D69">
        <w:t xml:space="preserve">  FiberTower </w:t>
      </w:r>
      <w:r w:rsidR="006500E4">
        <w:t xml:space="preserve">states that it </w:t>
      </w:r>
      <w:r w:rsidR="00566D69">
        <w:t>offers point-to-point and point-to-multipoint backhaul, leasing, and equipment connectivity services.</w:t>
      </w:r>
      <w:r>
        <w:rPr>
          <w:rStyle w:val="FootnoteReference"/>
        </w:rPr>
        <w:footnoteReference w:id="6"/>
      </w:r>
    </w:p>
    <w:p w:rsidR="00220916" w:rsidRPr="00971D0D" w:rsidP="0025247C">
      <w:pPr>
        <w:pStyle w:val="ParaNum"/>
        <w:tabs>
          <w:tab w:val="num" w:pos="1440"/>
        </w:tabs>
        <w:spacing w:line="240" w:lineRule="auto"/>
        <w:ind w:left="86"/>
      </w:pPr>
      <w:r w:rsidRPr="00B76011">
        <w:rPr>
          <w:i/>
        </w:rPr>
        <w:t xml:space="preserve">Description of the </w:t>
      </w:r>
      <w:r w:rsidR="00701332">
        <w:rPr>
          <w:i/>
        </w:rPr>
        <w:t>Transaction</w:t>
      </w:r>
      <w:r w:rsidRPr="00B76011">
        <w:rPr>
          <w:i/>
        </w:rPr>
        <w:t xml:space="preserve">.  </w:t>
      </w:r>
      <w:r w:rsidR="009455B3">
        <w:rPr>
          <w:kern w:val="0"/>
        </w:rPr>
        <w:t xml:space="preserve">AT&amp;T Mobility </w:t>
      </w:r>
      <w:r w:rsidRPr="0064624E" w:rsidR="001D5810">
        <w:rPr>
          <w:kern w:val="0"/>
        </w:rPr>
        <w:t xml:space="preserve">and </w:t>
      </w:r>
      <w:r w:rsidR="009455B3">
        <w:rPr>
          <w:kern w:val="0"/>
        </w:rPr>
        <w:t>FiberTower Corporation</w:t>
      </w:r>
      <w:r w:rsidRPr="0064624E" w:rsidR="001D5810">
        <w:rPr>
          <w:kern w:val="0"/>
        </w:rPr>
        <w:t xml:space="preserve"> filed </w:t>
      </w:r>
      <w:r w:rsidR="008C6DC1">
        <w:rPr>
          <w:kern w:val="0"/>
        </w:rPr>
        <w:t xml:space="preserve">the </w:t>
      </w:r>
      <w:r w:rsidR="00E3041F">
        <w:rPr>
          <w:kern w:val="0"/>
        </w:rPr>
        <w:t>Application</w:t>
      </w:r>
      <w:r w:rsidR="009455B3">
        <w:rPr>
          <w:kern w:val="0"/>
        </w:rPr>
        <w:t>s</w:t>
      </w:r>
      <w:r w:rsidR="000E5A39">
        <w:rPr>
          <w:kern w:val="0"/>
        </w:rPr>
        <w:t>,</w:t>
      </w:r>
      <w:r w:rsidR="00E3041F">
        <w:rPr>
          <w:kern w:val="0"/>
        </w:rPr>
        <w:t xml:space="preserve"> </w:t>
      </w:r>
      <w:r w:rsidRPr="0064624E" w:rsidR="001D5810">
        <w:rPr>
          <w:kern w:val="0"/>
        </w:rPr>
        <w:t>pursuant to Section 310(d) of the Communications Act of 1934, as amended</w:t>
      </w:r>
      <w:r w:rsidR="00FD4783">
        <w:rPr>
          <w:kern w:val="0"/>
        </w:rPr>
        <w:t xml:space="preserve"> (the Act)</w:t>
      </w:r>
      <w:r>
        <w:rPr>
          <w:kern w:val="0"/>
          <w:vertAlign w:val="superscript"/>
        </w:rPr>
        <w:footnoteReference w:id="7"/>
      </w:r>
      <w:r w:rsidR="0065168D">
        <w:rPr>
          <w:kern w:val="0"/>
        </w:rPr>
        <w:t xml:space="preserve"> on February 13, 2017 </w:t>
      </w:r>
      <w:r w:rsidR="000E5A39">
        <w:rPr>
          <w:kern w:val="0"/>
        </w:rPr>
        <w:t xml:space="preserve">and </w:t>
      </w:r>
      <w:r w:rsidR="0065168D">
        <w:rPr>
          <w:kern w:val="0"/>
        </w:rPr>
        <w:t xml:space="preserve">amended </w:t>
      </w:r>
      <w:r w:rsidR="000E5A39">
        <w:rPr>
          <w:kern w:val="0"/>
        </w:rPr>
        <w:t xml:space="preserve">them </w:t>
      </w:r>
      <w:r w:rsidR="0065168D">
        <w:rPr>
          <w:kern w:val="0"/>
        </w:rPr>
        <w:t xml:space="preserve">on </w:t>
      </w:r>
      <w:r w:rsidR="00BB6413">
        <w:rPr>
          <w:kern w:val="0"/>
        </w:rPr>
        <w:t xml:space="preserve">January </w:t>
      </w:r>
      <w:r w:rsidR="00005724">
        <w:rPr>
          <w:kern w:val="0"/>
        </w:rPr>
        <w:t>31 and February 2</w:t>
      </w:r>
      <w:r w:rsidR="00BB6413">
        <w:rPr>
          <w:kern w:val="0"/>
        </w:rPr>
        <w:t>, 2018</w:t>
      </w:r>
      <w:r w:rsidR="000E5A39">
        <w:rPr>
          <w:kern w:val="0"/>
        </w:rPr>
        <w:t>.  The Applications</w:t>
      </w:r>
      <w:r w:rsidR="00281E2E">
        <w:rPr>
          <w:kern w:val="0"/>
        </w:rPr>
        <w:t xml:space="preserve"> </w:t>
      </w:r>
      <w:r w:rsidR="000E5A39">
        <w:rPr>
          <w:kern w:val="0"/>
        </w:rPr>
        <w:t>seek</w:t>
      </w:r>
      <w:r w:rsidRPr="0064624E" w:rsidR="001D5810">
        <w:rPr>
          <w:kern w:val="0"/>
        </w:rPr>
        <w:t xml:space="preserve"> Commission </w:t>
      </w:r>
      <w:bookmarkStart w:id="31" w:name="_Hlk504463810"/>
      <w:r w:rsidRPr="0064624E" w:rsidR="001D5810">
        <w:rPr>
          <w:kern w:val="0"/>
        </w:rPr>
        <w:t>consent to the transfer of control of</w:t>
      </w:r>
      <w:bookmarkEnd w:id="31"/>
      <w:r w:rsidR="001544D1">
        <w:rPr>
          <w:kern w:val="0"/>
        </w:rPr>
        <w:t xml:space="preserve"> </w:t>
      </w:r>
      <w:r w:rsidR="00071E91">
        <w:rPr>
          <w:kern w:val="0"/>
        </w:rPr>
        <w:t>514</w:t>
      </w:r>
      <w:r w:rsidR="002D7C15">
        <w:rPr>
          <w:kern w:val="0"/>
        </w:rPr>
        <w:t xml:space="preserve"> </w:t>
      </w:r>
      <w:r w:rsidRPr="0064624E" w:rsidR="001D5810">
        <w:rPr>
          <w:kern w:val="0"/>
        </w:rPr>
        <w:t xml:space="preserve">39 GHz licenses held by </w:t>
      </w:r>
      <w:r w:rsidR="001544D1">
        <w:rPr>
          <w:kern w:val="0"/>
        </w:rPr>
        <w:t>FiberTower Spectrum</w:t>
      </w:r>
      <w:r w:rsidRPr="0064624E" w:rsidR="001D5810">
        <w:rPr>
          <w:kern w:val="0"/>
        </w:rPr>
        <w:t>.</w:t>
      </w:r>
      <w:r>
        <w:rPr>
          <w:rStyle w:val="FootnoteReference"/>
          <w:kern w:val="0"/>
        </w:rPr>
        <w:footnoteReference w:id="8"/>
      </w:r>
      <w:r w:rsidRPr="0064624E" w:rsidR="001D5810">
        <w:rPr>
          <w:kern w:val="0"/>
        </w:rPr>
        <w:t xml:space="preserve">  </w:t>
      </w:r>
      <w:r w:rsidR="002F05E0">
        <w:rPr>
          <w:kern w:val="0"/>
        </w:rPr>
        <w:t>T</w:t>
      </w:r>
      <w:r w:rsidRPr="0064624E" w:rsidR="001D5810">
        <w:rPr>
          <w:kern w:val="0"/>
        </w:rPr>
        <w:t>he Applicants state that</w:t>
      </w:r>
      <w:r w:rsidR="00BB6413">
        <w:rPr>
          <w:kern w:val="0"/>
        </w:rPr>
        <w:t>,</w:t>
      </w:r>
      <w:r w:rsidRPr="0064624E" w:rsidR="001D5810">
        <w:rPr>
          <w:kern w:val="0"/>
        </w:rPr>
        <w:t xml:space="preserve"> </w:t>
      </w:r>
      <w:r w:rsidR="00566D69">
        <w:rPr>
          <w:kern w:val="0"/>
        </w:rPr>
        <w:t>on January 25, 2017, AT&amp;T Mobility, FiberTower, and all of FiberTower’s stockholders entered into a stock purchase agreement pursuant to which AT&amp;T Mobility agreed to acquire all of the outstanding stock of FiberTower Corporation</w:t>
      </w:r>
      <w:r w:rsidRPr="0064624E" w:rsidR="001D5810">
        <w:rPr>
          <w:kern w:val="0"/>
        </w:rPr>
        <w:t>.</w:t>
      </w:r>
      <w:r>
        <w:rPr>
          <w:kern w:val="0"/>
          <w:vertAlign w:val="superscript"/>
        </w:rPr>
        <w:footnoteReference w:id="9"/>
      </w:r>
      <w:r w:rsidRPr="00971D0D" w:rsidR="00295BFC">
        <w:t xml:space="preserve">  </w:t>
      </w:r>
    </w:p>
    <w:p w:rsidR="00950A7C" w:rsidP="00F2555A">
      <w:pPr>
        <w:pStyle w:val="ParaNum"/>
        <w:widowControl/>
        <w:tabs>
          <w:tab w:val="num" w:pos="1440"/>
        </w:tabs>
        <w:spacing w:line="240" w:lineRule="auto"/>
        <w:ind w:left="86"/>
      </w:pPr>
      <w:r w:rsidRPr="00971D0D">
        <w:t>On</w:t>
      </w:r>
      <w:r w:rsidR="001544D1">
        <w:t xml:space="preserve"> March 16</w:t>
      </w:r>
      <w:r w:rsidRPr="00971D0D">
        <w:t>,</w:t>
      </w:r>
      <w:r w:rsidRPr="00B76011">
        <w:t xml:space="preserve"> 201</w:t>
      </w:r>
      <w:r w:rsidR="00701332">
        <w:t>7</w:t>
      </w:r>
      <w:r w:rsidRPr="00B76011">
        <w:t>, the Wireless Telecommunications Bureau released a Public Notice</w:t>
      </w:r>
      <w:r w:rsidRPr="00B76011" w:rsidR="00227968">
        <w:t xml:space="preserve"> seeking comment on the pro</w:t>
      </w:r>
      <w:r w:rsidRPr="00B76011" w:rsidR="00CA4BCE">
        <w:t>posed</w:t>
      </w:r>
      <w:r w:rsidR="00701332">
        <w:t xml:space="preserve"> transfer of control</w:t>
      </w:r>
      <w:r w:rsidRPr="00CD2847" w:rsidR="00227968">
        <w:t>.</w:t>
      </w:r>
      <w:r>
        <w:rPr>
          <w:rStyle w:val="FootnoteReference"/>
        </w:rPr>
        <w:footnoteReference w:id="10"/>
      </w:r>
      <w:r w:rsidRPr="00971D0D" w:rsidR="00227968">
        <w:t xml:space="preserve">  </w:t>
      </w:r>
      <w:r w:rsidR="002625E7">
        <w:t>M&amp;M Brothers</w:t>
      </w:r>
      <w:r w:rsidR="00F72A06">
        <w:t>,</w:t>
      </w:r>
      <w:r w:rsidR="002625E7">
        <w:t xml:space="preserve"> LLC (M&amp;M) filed a petition to deny</w:t>
      </w:r>
      <w:r w:rsidR="00F47776">
        <w:t xml:space="preserve"> or condition grant of the Applications and a reply.</w:t>
      </w:r>
      <w:r>
        <w:rPr>
          <w:rStyle w:val="FootnoteReference"/>
        </w:rPr>
        <w:footnoteReference w:id="11"/>
      </w:r>
      <w:r w:rsidR="00F47776">
        <w:t xml:space="preserve">  Several individual former shareholders of FiberTower </w:t>
      </w:r>
      <w:r w:rsidR="00E2297D">
        <w:t xml:space="preserve">(Former Shareholders) </w:t>
      </w:r>
      <w:r w:rsidR="00F47776">
        <w:t>also filed petitions to deny</w:t>
      </w:r>
      <w:r w:rsidR="00525D9E">
        <w:t>, and two of the Former Shareholders filed a reply</w:t>
      </w:r>
      <w:r w:rsidR="00071E91">
        <w:t xml:space="preserve"> and supplemental comments</w:t>
      </w:r>
      <w:r w:rsidR="00F47776">
        <w:t>.</w:t>
      </w:r>
      <w:r>
        <w:rPr>
          <w:rStyle w:val="FootnoteReference"/>
        </w:rPr>
        <w:footnoteReference w:id="12"/>
      </w:r>
      <w:r w:rsidR="00F47776">
        <w:t xml:space="preserve">  </w:t>
      </w:r>
      <w:r w:rsidR="002F05E0">
        <w:t xml:space="preserve">The </w:t>
      </w:r>
      <w:r w:rsidR="001D5810">
        <w:t>Competitive Carriers Association (CC</w:t>
      </w:r>
      <w:r w:rsidR="000C6A3E">
        <w:t>A</w:t>
      </w:r>
      <w:r w:rsidR="001D5810">
        <w:t xml:space="preserve">) </w:t>
      </w:r>
      <w:r w:rsidR="005233FA">
        <w:t xml:space="preserve">filed </w:t>
      </w:r>
      <w:r w:rsidR="00F47776">
        <w:t xml:space="preserve">comments </w:t>
      </w:r>
      <w:r w:rsidR="005233FA">
        <w:t xml:space="preserve">and </w:t>
      </w:r>
      <w:r w:rsidR="00F47776">
        <w:t xml:space="preserve">a </w:t>
      </w:r>
      <w:r w:rsidR="005233FA">
        <w:t>reply,</w:t>
      </w:r>
      <w:r>
        <w:rPr>
          <w:rStyle w:val="FootnoteReference"/>
        </w:rPr>
        <w:footnoteReference w:id="13"/>
      </w:r>
      <w:r w:rsidR="005233FA">
        <w:t xml:space="preserve"> </w:t>
      </w:r>
      <w:r w:rsidR="001D5810">
        <w:t xml:space="preserve">and </w:t>
      </w:r>
      <w:r w:rsidR="00F47776">
        <w:t xml:space="preserve">T-Mobile USA, Inc. </w:t>
      </w:r>
      <w:r w:rsidR="00442E90">
        <w:t xml:space="preserve">(T-Mobile) </w:t>
      </w:r>
      <w:r w:rsidR="00F47776">
        <w:t>filed reply comments.</w:t>
      </w:r>
      <w:r>
        <w:rPr>
          <w:rStyle w:val="FootnoteReference"/>
        </w:rPr>
        <w:footnoteReference w:id="14"/>
      </w:r>
      <w:r w:rsidRPr="00971D0D" w:rsidR="00C4562C">
        <w:t xml:space="preserve">  </w:t>
      </w:r>
      <w:r w:rsidR="00F47776">
        <w:t xml:space="preserve">AT&amp;T Mobility </w:t>
      </w:r>
      <w:r w:rsidRPr="00971D0D" w:rsidR="00656046">
        <w:t xml:space="preserve">and </w:t>
      </w:r>
      <w:r w:rsidR="00F47776">
        <w:t xml:space="preserve">FiberTower Corporation </w:t>
      </w:r>
      <w:r w:rsidRPr="00971D0D" w:rsidR="00656046">
        <w:t>filed a joint opposition to the petitions</w:t>
      </w:r>
      <w:r w:rsidR="00F47776">
        <w:t xml:space="preserve"> to deny and </w:t>
      </w:r>
      <w:r w:rsidR="001262F4">
        <w:t xml:space="preserve">the </w:t>
      </w:r>
      <w:r w:rsidR="00F47776">
        <w:t>CCA Comments</w:t>
      </w:r>
      <w:r w:rsidR="001D5810">
        <w:t>.</w:t>
      </w:r>
      <w:r>
        <w:rPr>
          <w:rStyle w:val="FootnoteReference"/>
        </w:rPr>
        <w:footnoteReference w:id="15"/>
      </w:r>
    </w:p>
    <w:p w:rsidR="008870A9" w:rsidP="00F2555A">
      <w:pPr>
        <w:pStyle w:val="ParaNum"/>
        <w:widowControl/>
        <w:tabs>
          <w:tab w:val="num" w:pos="1440"/>
        </w:tabs>
        <w:spacing w:line="240" w:lineRule="auto"/>
        <w:ind w:left="86"/>
      </w:pPr>
      <w:r>
        <w:t xml:space="preserve">On January </w:t>
      </w:r>
      <w:r w:rsidR="00FF6A74">
        <w:t>26</w:t>
      </w:r>
      <w:r>
        <w:t xml:space="preserve">, 2018, </w:t>
      </w:r>
      <w:r w:rsidR="002B1BC1">
        <w:t xml:space="preserve">the </w:t>
      </w:r>
      <w:r w:rsidR="004B255F">
        <w:t>Broadband Division</w:t>
      </w:r>
      <w:r w:rsidR="00BB6413">
        <w:t xml:space="preserve"> of the</w:t>
      </w:r>
      <w:r w:rsidR="004B255F">
        <w:t xml:space="preserve"> Wireless Telecommunications Bureau (Division) </w:t>
      </w:r>
      <w:r w:rsidR="002B1BC1">
        <w:t>released an order</w:t>
      </w:r>
      <w:r w:rsidR="00AC4C5A">
        <w:t>,</w:t>
      </w:r>
      <w:r>
        <w:rPr>
          <w:rStyle w:val="FootnoteReference"/>
        </w:rPr>
        <w:footnoteReference w:id="16"/>
      </w:r>
      <w:r w:rsidR="002B1BC1">
        <w:t xml:space="preserve"> </w:t>
      </w:r>
      <w:r w:rsidR="00AC4C5A">
        <w:t xml:space="preserve">which </w:t>
      </w:r>
      <w:r w:rsidR="002B1BC1">
        <w:t>implement</w:t>
      </w:r>
      <w:r w:rsidR="00AC4C5A">
        <w:t>ed</w:t>
      </w:r>
      <w:r w:rsidR="002B1BC1">
        <w:t xml:space="preserve"> a settlement agreement between FiberTower Spectrum and the Commission resolving various pending proceedings</w:t>
      </w:r>
      <w:r>
        <w:rPr>
          <w:rStyle w:val="FootnoteReference"/>
        </w:rPr>
        <w:footnoteReference w:id="17"/>
      </w:r>
      <w:r w:rsidR="00AC4C5A">
        <w:t xml:space="preserve"> and waived certain Commission rules</w:t>
      </w:r>
      <w:r w:rsidR="00112326">
        <w:t>.  Under the terms of the S</w:t>
      </w:r>
      <w:r w:rsidR="002625E7">
        <w:t xml:space="preserve">ettlement Agreement, FiberTower Spectrum agreed, </w:t>
      </w:r>
      <w:r w:rsidR="002625E7">
        <w:rPr>
          <w:i/>
        </w:rPr>
        <w:t>inter alia</w:t>
      </w:r>
      <w:r w:rsidR="002625E7">
        <w:t>, to relinquish all of its 24 GHz licenses and some of its 39 GHz licenses.</w:t>
      </w:r>
      <w:r>
        <w:rPr>
          <w:rStyle w:val="FootnoteReference"/>
        </w:rPr>
        <w:footnoteReference w:id="18"/>
      </w:r>
      <w:r w:rsidR="002625E7">
        <w:t xml:space="preserve">  </w:t>
      </w:r>
      <w:r w:rsidR="004B255F">
        <w:t xml:space="preserve">In the </w:t>
      </w:r>
      <w:r w:rsidR="004B255F">
        <w:rPr>
          <w:i/>
        </w:rPr>
        <w:t>Waiver Order</w:t>
      </w:r>
      <w:r w:rsidR="004B255F">
        <w:t xml:space="preserve">, the Division also granted FiberTower a waiver of the buildout rule applicable to those 39 GHz licenses that </w:t>
      </w:r>
      <w:r w:rsidR="003E34A0">
        <w:t xml:space="preserve">FiberTower Spectrum is retaining under the </w:t>
      </w:r>
      <w:r w:rsidR="006500E4">
        <w:t xml:space="preserve">terms of the </w:t>
      </w:r>
      <w:r w:rsidR="003E34A0">
        <w:t>Settlement Agreement</w:t>
      </w:r>
      <w:r w:rsidR="00954678">
        <w:t>,</w:t>
      </w:r>
      <w:r>
        <w:rPr>
          <w:rStyle w:val="FootnoteReference"/>
        </w:rPr>
        <w:footnoteReference w:id="19"/>
      </w:r>
      <w:r w:rsidR="004D2D8A">
        <w:t xml:space="preserve"> and </w:t>
      </w:r>
      <w:r w:rsidR="00954678">
        <w:t xml:space="preserve">it </w:t>
      </w:r>
      <w:r w:rsidR="004D2D8A">
        <w:t>directed the licensing staff of the Division to return those licenses to active status.</w:t>
      </w:r>
      <w:r>
        <w:rPr>
          <w:rStyle w:val="FootnoteReference"/>
        </w:rPr>
        <w:footnoteReference w:id="20"/>
      </w:r>
      <w:r w:rsidR="00AC4C5A">
        <w:t xml:space="preserve"> </w:t>
      </w:r>
      <w:r w:rsidR="00C42B81">
        <w:t xml:space="preserve"> </w:t>
      </w:r>
      <w:r w:rsidR="00AC4C5A">
        <w:t xml:space="preserve">On January </w:t>
      </w:r>
      <w:r w:rsidR="00FF6A74">
        <w:t>31</w:t>
      </w:r>
      <w:r w:rsidR="006D1955">
        <w:t xml:space="preserve"> and February </w:t>
      </w:r>
      <w:r w:rsidR="00235759">
        <w:t>2</w:t>
      </w:r>
      <w:r w:rsidR="00FF6A74">
        <w:t>,</w:t>
      </w:r>
      <w:r w:rsidR="00AC4C5A">
        <w:t xml:space="preserve"> 2018, the Applicants amended the</w:t>
      </w:r>
      <w:r w:rsidR="00954678">
        <w:t>ir</w:t>
      </w:r>
      <w:r w:rsidR="00AC4C5A">
        <w:t xml:space="preserve"> Applications to</w:t>
      </w:r>
      <w:r w:rsidR="006D1955">
        <w:t xml:space="preserve"> reflect resulting changes in the FiberTower license holdings</w:t>
      </w:r>
      <w:r w:rsidR="00AC4C5A">
        <w:t>.</w:t>
      </w:r>
      <w:r>
        <w:rPr>
          <w:rStyle w:val="FootnoteReference"/>
        </w:rPr>
        <w:footnoteReference w:id="21"/>
      </w:r>
      <w:r w:rsidR="00AC4C5A">
        <w:t xml:space="preserve">  </w:t>
      </w:r>
    </w:p>
    <w:p w:rsidR="007C6A98" w:rsidP="0025247C">
      <w:pPr>
        <w:pStyle w:val="Heading1"/>
        <w:keepNext w:val="0"/>
        <w:tabs>
          <w:tab w:val="clear" w:pos="5850"/>
        </w:tabs>
        <w:spacing w:line="240" w:lineRule="auto"/>
      </w:pPr>
      <w:r>
        <w:rPr>
          <w:caps w:val="0"/>
        </w:rPr>
        <w:t>STANDARD OF REVIEW AND PUBLIC INTEREST FRAMEWORK</w:t>
      </w:r>
    </w:p>
    <w:p w:rsidR="007C6A98" w:rsidP="005233FA">
      <w:pPr>
        <w:pStyle w:val="ParaNum"/>
        <w:widowControl/>
        <w:tabs>
          <w:tab w:val="num" w:pos="1440"/>
          <w:tab w:val="clear" w:pos="5310"/>
        </w:tabs>
        <w:spacing w:line="240" w:lineRule="auto"/>
        <w:ind w:left="0"/>
      </w:pPr>
      <w:r w:rsidRPr="00842391">
        <w:rPr>
          <w:szCs w:val="22"/>
        </w:rPr>
        <w:t xml:space="preserve">Pursuant to </w:t>
      </w:r>
      <w:r w:rsidR="00643358">
        <w:rPr>
          <w:szCs w:val="22"/>
        </w:rPr>
        <w:t>S</w:t>
      </w:r>
      <w:r w:rsidRPr="00842391">
        <w:rPr>
          <w:szCs w:val="22"/>
        </w:rPr>
        <w:t>ection 310(d) of the Act</w:t>
      </w:r>
      <w:r w:rsidR="000C6A3E">
        <w:rPr>
          <w:szCs w:val="22"/>
        </w:rPr>
        <w:t>,</w:t>
      </w:r>
      <w:r>
        <w:rPr>
          <w:szCs w:val="22"/>
          <w:vertAlign w:val="superscript"/>
        </w:rPr>
        <w:footnoteReference w:id="22"/>
      </w:r>
      <w:r w:rsidRPr="00842391">
        <w:rPr>
          <w:szCs w:val="22"/>
        </w:rPr>
        <w:t xml:space="preserve"> the Commission must determine whether the proposed transfer of control of </w:t>
      </w:r>
      <w:r w:rsidR="00296F37">
        <w:rPr>
          <w:szCs w:val="22"/>
        </w:rPr>
        <w:t xml:space="preserve">the </w:t>
      </w:r>
      <w:r w:rsidRPr="00842391">
        <w:rPr>
          <w:szCs w:val="22"/>
        </w:rPr>
        <w:t xml:space="preserve">licenses held by </w:t>
      </w:r>
      <w:r w:rsidR="00BE0D9C">
        <w:rPr>
          <w:szCs w:val="22"/>
        </w:rPr>
        <w:t xml:space="preserve">FiberTower Corporation’s </w:t>
      </w:r>
      <w:r w:rsidR="00296F37">
        <w:rPr>
          <w:szCs w:val="22"/>
        </w:rPr>
        <w:t xml:space="preserve">subsidiary </w:t>
      </w:r>
      <w:r w:rsidR="00BE0D9C">
        <w:rPr>
          <w:szCs w:val="22"/>
        </w:rPr>
        <w:t xml:space="preserve">FiberTower Spectrum </w:t>
      </w:r>
      <w:r w:rsidRPr="00842391">
        <w:rPr>
          <w:szCs w:val="22"/>
        </w:rPr>
        <w:t>will serve the public interest, convenience, and necessity.  In making this determination, the Commission first assesses whether the proposed transaction complies with the specific provisions of the Act, other applicable statutes, and the Commission’s rules.</w:t>
      </w:r>
      <w:r>
        <w:rPr>
          <w:szCs w:val="22"/>
          <w:vertAlign w:val="superscript"/>
        </w:rPr>
        <w:footnoteReference w:id="23"/>
      </w:r>
      <w:r>
        <w:rPr>
          <w:szCs w:val="22"/>
        </w:rPr>
        <w:t xml:space="preserve">  If </w:t>
      </w:r>
      <w:r w:rsidRPr="00DC3470">
        <w:t>the proposed transaction does not violate a statute or rule, then the Commission considers whether the transaction could result in public interest harms by substantially frustrating or impairing the objectives or implementation of the Act or related statutes.</w:t>
      </w:r>
      <w:r>
        <w:rPr>
          <w:vertAlign w:val="superscript"/>
        </w:rPr>
        <w:footnoteReference w:id="24"/>
      </w:r>
      <w:r w:rsidRPr="00DC3470">
        <w:t xml:space="preserve">  </w:t>
      </w:r>
    </w:p>
    <w:p w:rsidR="007C6A98" w:rsidRPr="00EA702E" w:rsidP="005102F4">
      <w:pPr>
        <w:pStyle w:val="ParaNum"/>
        <w:widowControl/>
        <w:tabs>
          <w:tab w:val="num" w:pos="1440"/>
          <w:tab w:val="clear" w:pos="5310"/>
        </w:tabs>
        <w:spacing w:line="240" w:lineRule="auto"/>
        <w:ind w:left="0"/>
      </w:pPr>
      <w:r w:rsidRPr="00BC42A6">
        <w:t>Our competitive analysis, which forms an important part of the public interest evaluation, is informed by, but not limited to, traditional antitrust principles.</w:t>
      </w:r>
      <w:r>
        <w:rPr>
          <w:rStyle w:val="FootnoteReference"/>
          <w:szCs w:val="22"/>
        </w:rPr>
        <w:footnoteReference w:id="25"/>
      </w:r>
      <w:r w:rsidRPr="00BC42A6">
        <w:t xml:space="preserve">  The </w:t>
      </w:r>
      <w:r w:rsidR="00FD4783">
        <w:t>Department of Justice (</w:t>
      </w:r>
      <w:r w:rsidRPr="00BC42A6">
        <w:t>DOJ</w:t>
      </w:r>
      <w:r w:rsidR="00FD4783">
        <w:t>)</w:t>
      </w:r>
      <w:r w:rsidRPr="00BC42A6">
        <w:t xml:space="preserve"> has independent authority to examine the competitive impacts of proposed mergers and transactions involving transfers of Commission licenses, but the Commission’s competitive analysis under the public interest standard is somewhat broader. </w:t>
      </w:r>
      <w:r w:rsidRPr="00DC3470">
        <w:t xml:space="preserve"> </w:t>
      </w:r>
      <w:r w:rsidRPr="006A5111">
        <w:t>Notably, the Commission may impose and enforce narrowly tailored, transaction-specific conditions that address the potential harms of a transaction.</w:t>
      </w:r>
      <w:r>
        <w:rPr>
          <w:vertAlign w:val="superscript"/>
        </w:rPr>
        <w:footnoteReference w:id="26"/>
      </w:r>
      <w:r>
        <w:t xml:space="preserve">  Specifically, </w:t>
      </w:r>
      <w:r w:rsidRPr="00842391">
        <w:rPr>
          <w:szCs w:val="22"/>
        </w:rPr>
        <w:t>the Commission has repeatedly held that it will impose conditions “only to remedy harms that arise from the transaction (i.e., transaction-specific harms)” and “related to the Commission’s responsibilities under the Communications Act and related statutes,” and it</w:t>
      </w:r>
      <w:r w:rsidRPr="006A5EF1">
        <w:rPr>
          <w:szCs w:val="22"/>
        </w:rPr>
        <w:t xml:space="preserve"> </w:t>
      </w:r>
      <w:r w:rsidRPr="00D70361">
        <w:rPr>
          <w:szCs w:val="22"/>
        </w:rPr>
        <w:t>“will not impose conditions to remedy pre-existing harms or harms that are unrelated to the transaction.</w:t>
      </w:r>
      <w:r w:rsidRPr="006670E3">
        <w:rPr>
          <w:szCs w:val="22"/>
        </w:rPr>
        <w:t>”</w:t>
      </w:r>
      <w:r>
        <w:rPr>
          <w:rStyle w:val="FootnoteReference"/>
        </w:rPr>
        <w:footnoteReference w:id="27"/>
      </w:r>
    </w:p>
    <w:p w:rsidR="007C6A98" w:rsidP="0025247C">
      <w:pPr>
        <w:pStyle w:val="ParaNum"/>
        <w:widowControl/>
        <w:tabs>
          <w:tab w:val="num" w:pos="1440"/>
          <w:tab w:val="clear" w:pos="5310"/>
        </w:tabs>
        <w:spacing w:line="240" w:lineRule="auto"/>
        <w:ind w:left="0"/>
      </w:pPr>
      <w:r>
        <w:t xml:space="preserve">If the Commission has </w:t>
      </w:r>
      <w:r w:rsidR="00C831E5">
        <w:t>determ</w:t>
      </w:r>
      <w:r w:rsidR="00C85110">
        <w:t>in</w:t>
      </w:r>
      <w:r>
        <w:t>ed that</w:t>
      </w:r>
      <w:r w:rsidR="00002450">
        <w:t xml:space="preserve"> </w:t>
      </w:r>
      <w:r>
        <w:t xml:space="preserve">a transaction raises </w:t>
      </w:r>
      <w:r>
        <w:t>no</w:t>
      </w:r>
      <w:r w:rsidR="00002450">
        <w:t xml:space="preserve"> </w:t>
      </w:r>
      <w:r>
        <w:t>public interest harms</w:t>
      </w:r>
      <w:r w:rsidR="00C85110">
        <w:t xml:space="preserve"> </w:t>
      </w:r>
      <w:r>
        <w:t>or</w:t>
      </w:r>
      <w:r>
        <w:t xml:space="preserve"> any such harms </w:t>
      </w:r>
      <w:r>
        <w:t>have been</w:t>
      </w:r>
      <w:r>
        <w:t xml:space="preserve"> ameliorated by narrowly tailored conditions, the Commission </w:t>
      </w:r>
      <w:r>
        <w:t>next</w:t>
      </w:r>
      <w:r w:rsidR="00002450">
        <w:t xml:space="preserve"> </w:t>
      </w:r>
      <w:r>
        <w:t xml:space="preserve">considers a transaction’s public interest benefits.  </w:t>
      </w:r>
      <w:r w:rsidRPr="006A5111">
        <w:rPr>
          <w:szCs w:val="22"/>
        </w:rPr>
        <w:t>Notably, the Commission has long recognized the clear public interest benefits in a license or authorization holder being able to assign or transfer control of its license or authorization freely.</w:t>
      </w:r>
      <w:r>
        <w:rPr>
          <w:rStyle w:val="FootnoteReference"/>
          <w:szCs w:val="22"/>
        </w:rPr>
        <w:footnoteReference w:id="28"/>
      </w:r>
      <w:r>
        <w:t xml:space="preserve">  Indeed, the Commission has adopted streamlining procedures—including the automatic approval of a transaction—when a “transaction is unlikely to raise public interest concerns.”</w:t>
      </w:r>
      <w:r>
        <w:rPr>
          <w:rStyle w:val="FootnoteReference"/>
          <w:szCs w:val="22"/>
        </w:rPr>
        <w:footnoteReference w:id="29"/>
      </w:r>
      <w:r>
        <w:t xml:space="preserve">  The Commission </w:t>
      </w:r>
      <w:r w:rsidR="0025787C">
        <w:t xml:space="preserve">also </w:t>
      </w:r>
      <w:r>
        <w:t xml:space="preserve">will review other claimed public interest benefits of a transaction, with the applicants bearing the burden of proving those benefits </w:t>
      </w:r>
      <w:r w:rsidRPr="00DC3470">
        <w:t>by a preponderance of the evidence</w:t>
      </w:r>
      <w:r>
        <w:t>.</w:t>
      </w:r>
      <w:r>
        <w:rPr>
          <w:rStyle w:val="FootnoteReference"/>
        </w:rPr>
        <w:footnoteReference w:id="30"/>
      </w:r>
    </w:p>
    <w:p w:rsidR="007C6A98" w:rsidP="0025247C">
      <w:pPr>
        <w:pStyle w:val="ParaNum"/>
        <w:tabs>
          <w:tab w:val="num" w:pos="1440"/>
          <w:tab w:val="clear" w:pos="5310"/>
        </w:tabs>
        <w:spacing w:line="240" w:lineRule="auto"/>
        <w:ind w:left="0"/>
        <w:rPr>
          <w:szCs w:val="22"/>
        </w:rPr>
      </w:pPr>
      <w:r w:rsidRPr="004F3179">
        <w:rPr>
          <w:szCs w:val="22"/>
        </w:rPr>
        <w:t>Finally,</w:t>
      </w:r>
      <w:r>
        <w:rPr>
          <w:szCs w:val="22"/>
        </w:rPr>
        <w:t xml:space="preserve"> </w:t>
      </w:r>
      <w:r w:rsidRPr="004F3179">
        <w:rPr>
          <w:szCs w:val="22"/>
        </w:rPr>
        <w:t>if the Commission is able to find that narrowly tailored, transaction-specific conditions are able to ameliorate any public interest harms and the transaction is in the public interest, it may approve the transaction as so conditioned.</w:t>
      </w:r>
      <w:r>
        <w:rPr>
          <w:rStyle w:val="FootnoteReference"/>
          <w:szCs w:val="22"/>
        </w:rPr>
        <w:footnoteReference w:id="31"/>
      </w:r>
      <w:r w:rsidRPr="004F3179">
        <w:rPr>
          <w:szCs w:val="22"/>
        </w:rPr>
        <w:t xml:space="preserve">  In contrast, if the Commission is unable to find that a proposed transaction even with such conditions serves the public interest or if the record presents a substantial and material question of fact, then it must designate the application for hearing.</w:t>
      </w:r>
      <w:r>
        <w:rPr>
          <w:rStyle w:val="FootnoteReference"/>
          <w:sz w:val="22"/>
          <w:szCs w:val="22"/>
        </w:rPr>
        <w:footnoteReference w:id="32"/>
      </w:r>
    </w:p>
    <w:p w:rsidR="007C6A98" w:rsidRPr="006B18CA" w:rsidP="0025247C">
      <w:pPr>
        <w:pStyle w:val="Heading1"/>
        <w:keepNext w:val="0"/>
        <w:tabs>
          <w:tab w:val="clear" w:pos="5850"/>
        </w:tabs>
        <w:spacing w:line="240" w:lineRule="auto"/>
        <w:rPr>
          <w:rFonts w:ascii="Times New Roman" w:hAnsi="Times New Roman"/>
          <w:szCs w:val="22"/>
        </w:rPr>
      </w:pPr>
      <w:r w:rsidRPr="00B950B1">
        <w:rPr>
          <w:rFonts w:ascii="Times New Roman" w:hAnsi="Times New Roman"/>
          <w:szCs w:val="22"/>
        </w:rPr>
        <w:t>QUALIFICATIONS OF APPLICANTS AND compliance with communications act and fcc rules and policies</w:t>
      </w:r>
    </w:p>
    <w:p w:rsidR="007C6A98" w:rsidRPr="006A5EF1" w:rsidP="00DC154C">
      <w:pPr>
        <w:pStyle w:val="ParaNum"/>
        <w:widowControl/>
        <w:tabs>
          <w:tab w:val="num" w:pos="1440"/>
          <w:tab w:val="clear" w:pos="5310"/>
        </w:tabs>
        <w:spacing w:line="240" w:lineRule="auto"/>
        <w:ind w:left="0"/>
        <w:rPr>
          <w:szCs w:val="22"/>
        </w:rPr>
      </w:pPr>
      <w:r w:rsidRPr="000651AE">
        <w:t>Section 310(d) of the Act requires that we make a determination as to whether the Applicants have the requisite qualifications to hold Commission licenses.</w:t>
      </w:r>
      <w:r>
        <w:rPr>
          <w:vertAlign w:val="superscript"/>
        </w:rPr>
        <w:footnoteReference w:id="33"/>
      </w:r>
      <w:r w:rsidRPr="000651AE">
        <w:t xml:space="preserve">  Among the factors the Commission considers in its public interest review is whether the applicant for a license has the requisite “citizenship, character, financial, technical, and other qualifications.”</w:t>
      </w:r>
      <w:r>
        <w:rPr>
          <w:vertAlign w:val="superscript"/>
        </w:rPr>
        <w:footnoteReference w:id="34"/>
      </w:r>
      <w:r w:rsidRPr="000651AE">
        <w:t xml:space="preserve">  Therefore, as a threshold matter, the Commission must determine whether the applicants to a proposed transaction meet the requisite qualification requirements to hold and transfer licenses under </w:t>
      </w:r>
      <w:r w:rsidR="002E17DF">
        <w:t>S</w:t>
      </w:r>
      <w:r w:rsidRPr="000651AE">
        <w:t>ection 310(d) of the Act and the Commission’s rules</w:t>
      </w:r>
      <w:r>
        <w:t>.</w:t>
      </w:r>
      <w:r>
        <w:rPr>
          <w:szCs w:val="22"/>
          <w:vertAlign w:val="superscript"/>
        </w:rPr>
        <w:footnoteReference w:id="35"/>
      </w:r>
      <w:r>
        <w:t xml:space="preserve">  </w:t>
      </w:r>
    </w:p>
    <w:p w:rsidR="00763D52" w:rsidP="0008605B">
      <w:pPr>
        <w:pStyle w:val="ParaNum"/>
        <w:widowControl/>
        <w:tabs>
          <w:tab w:val="num" w:pos="1440"/>
          <w:tab w:val="clear" w:pos="5310"/>
        </w:tabs>
        <w:spacing w:line="240" w:lineRule="auto"/>
        <w:ind w:left="0"/>
        <w:rPr>
          <w:szCs w:val="22"/>
        </w:rPr>
      </w:pPr>
      <w:r w:rsidRPr="00971D0D">
        <w:t>W</w:t>
      </w:r>
      <w:r w:rsidRPr="00763D52">
        <w:rPr>
          <w:szCs w:val="22"/>
        </w:rPr>
        <w:t xml:space="preserve">e note that no issues were raised with respect to the basic qualifications of </w:t>
      </w:r>
      <w:r w:rsidR="00DC1A1E">
        <w:rPr>
          <w:szCs w:val="22"/>
        </w:rPr>
        <w:t>AT&amp;T or FiberTower</w:t>
      </w:r>
      <w:r w:rsidRPr="00763D52">
        <w:rPr>
          <w:szCs w:val="22"/>
        </w:rPr>
        <w:t>.</w:t>
      </w:r>
      <w:r w:rsidRPr="00B76011">
        <w:t xml:space="preserve">  In addition, </w:t>
      </w:r>
      <w:r w:rsidR="00DC1A1E">
        <w:t xml:space="preserve">AT&amp;T </w:t>
      </w:r>
      <w:r w:rsidRPr="00B76011">
        <w:t>has</w:t>
      </w:r>
      <w:r w:rsidRPr="00CD2847">
        <w:t xml:space="preserve"> repeatedly been found qualified to hold Commission licenses.</w:t>
      </w:r>
      <w:r>
        <w:rPr>
          <w:rStyle w:val="FootnoteReference"/>
          <w:szCs w:val="22"/>
        </w:rPr>
        <w:footnoteReference w:id="36"/>
      </w:r>
      <w:r w:rsidRPr="00763D52">
        <w:rPr>
          <w:szCs w:val="22"/>
        </w:rPr>
        <w:t xml:space="preserve">  </w:t>
      </w:r>
      <w:r w:rsidRPr="00971D0D">
        <w:t xml:space="preserve">We </w:t>
      </w:r>
      <w:r w:rsidRPr="00B76011">
        <w:t xml:space="preserve">therefore find no reason to reevaluate the requisite citizenship, character, financial, technical, or other basic qualifications </w:t>
      </w:r>
      <w:r w:rsidR="000F0AC3">
        <w:t xml:space="preserve">of </w:t>
      </w:r>
      <w:r w:rsidR="004D2D8A">
        <w:t xml:space="preserve">FiberTower or </w:t>
      </w:r>
      <w:r w:rsidR="0012012B">
        <w:t xml:space="preserve">AT&amp;T </w:t>
      </w:r>
      <w:r w:rsidRPr="00B76011">
        <w:t>under the Act and our rules, regulations, and policie</w:t>
      </w:r>
      <w:r w:rsidR="000F0AC3">
        <w:t>s</w:t>
      </w:r>
      <w:r w:rsidRPr="00763D52">
        <w:rPr>
          <w:szCs w:val="22"/>
        </w:rPr>
        <w:t>.</w:t>
      </w:r>
      <w:r>
        <w:rPr>
          <w:rStyle w:val="FootnoteReference"/>
          <w:szCs w:val="22"/>
        </w:rPr>
        <w:footnoteReference w:id="37"/>
      </w:r>
      <w:r w:rsidRPr="00DC3470" w:rsidR="000F0AC3">
        <w:rPr>
          <w:szCs w:val="22"/>
        </w:rPr>
        <w:t xml:space="preserve"> </w:t>
      </w:r>
    </w:p>
    <w:p w:rsidR="00F56B60" w:rsidRPr="00CD2847" w:rsidP="0025247C">
      <w:pPr>
        <w:pStyle w:val="ParaNum"/>
        <w:widowControl/>
        <w:tabs>
          <w:tab w:val="num" w:pos="1440"/>
          <w:tab w:val="clear" w:pos="5310"/>
        </w:tabs>
        <w:spacing w:line="240" w:lineRule="auto"/>
        <w:ind w:left="0"/>
      </w:pPr>
      <w:r w:rsidRPr="00707E1B">
        <w:rPr>
          <w:szCs w:val="22"/>
        </w:rPr>
        <w:t xml:space="preserve">The proposed transaction </w:t>
      </w:r>
      <w:r w:rsidR="0025787C">
        <w:rPr>
          <w:szCs w:val="22"/>
        </w:rPr>
        <w:t xml:space="preserve">also </w:t>
      </w:r>
      <w:r w:rsidRPr="00707E1B">
        <w:rPr>
          <w:szCs w:val="22"/>
        </w:rPr>
        <w:t>must comply with the Act, other applicable statutes, and the Commission’s rules before we can find that it is in the public interest.</w:t>
      </w:r>
      <w:r>
        <w:rPr>
          <w:szCs w:val="22"/>
          <w:vertAlign w:val="superscript"/>
        </w:rPr>
        <w:footnoteReference w:id="38"/>
      </w:r>
      <w:r w:rsidRPr="00707E1B">
        <w:rPr>
          <w:szCs w:val="22"/>
        </w:rPr>
        <w:t xml:space="preserve">  We find that the proposed transaction will not violate any statutory provision or Commission rule.</w:t>
      </w:r>
      <w:bookmarkStart w:id="35" w:name="_Toc403981896"/>
      <w:bookmarkStart w:id="36" w:name="_Toc403998348"/>
      <w:bookmarkStart w:id="37" w:name="_Toc403998435"/>
      <w:bookmarkStart w:id="38" w:name="_Toc404003259"/>
      <w:bookmarkStart w:id="39" w:name="_Toc404003539"/>
      <w:bookmarkStart w:id="40" w:name="_Toc404152160"/>
      <w:bookmarkStart w:id="41" w:name="_Toc405185088"/>
      <w:bookmarkStart w:id="42" w:name="_Toc405799107"/>
      <w:bookmarkStart w:id="43" w:name="_Toc405799334"/>
      <w:bookmarkStart w:id="44" w:name="_Toc405801049"/>
      <w:bookmarkStart w:id="45" w:name="_Toc406492307"/>
      <w:bookmarkStart w:id="46" w:name="_Toc408387315"/>
      <w:bookmarkStart w:id="47" w:name="_Toc419201236"/>
      <w:bookmarkStart w:id="48" w:name="_Toc419201463"/>
      <w:bookmarkStart w:id="49" w:name="_Toc419206329"/>
      <w:bookmarkStart w:id="50" w:name="_Toc419206925"/>
      <w:bookmarkStart w:id="51" w:name="_Toc419207003"/>
      <w:bookmarkStart w:id="52" w:name="_Toc419287175"/>
      <w:bookmarkStart w:id="53" w:name="_Toc419447047"/>
      <w:bookmarkStart w:id="54" w:name="_Toc419815666"/>
      <w:bookmarkStart w:id="55" w:name="_Toc420400637"/>
      <w:bookmarkStart w:id="56" w:name="_Toc420499767"/>
      <w:bookmarkStart w:id="57" w:name="_Toc422929255"/>
      <w:bookmarkStart w:id="58" w:name="_Toc425423432"/>
      <w:bookmarkStart w:id="59" w:name="_Toc425502058"/>
      <w:bookmarkStart w:id="60" w:name="_Toc433707136"/>
      <w:bookmarkStart w:id="61" w:name="_Toc433804807"/>
      <w:bookmarkStart w:id="62" w:name="_Toc433806192"/>
      <w:bookmarkStart w:id="63" w:name="_Toc433974468"/>
      <w:bookmarkStart w:id="64" w:name="_Toc434918530"/>
    </w:p>
    <w:p w:rsidR="00886331" w:rsidRPr="00B76011" w:rsidP="0025247C">
      <w:pPr>
        <w:pStyle w:val="Heading1"/>
        <w:keepNext w:val="0"/>
        <w:tabs>
          <w:tab w:val="num" w:pos="1440"/>
        </w:tabs>
        <w:spacing w:line="240" w:lineRule="auto"/>
      </w:pPr>
      <w:r w:rsidRPr="00B76011">
        <w:t>potential public interest harms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B76011">
        <w:t xml:space="preserve"> and Benefits</w:t>
      </w:r>
    </w:p>
    <w:p w:rsidR="00394736" w:rsidRPr="00971D0D" w:rsidP="0025247C">
      <w:pPr>
        <w:pStyle w:val="Heading3"/>
        <w:keepNext w:val="0"/>
        <w:widowControl/>
        <w:tabs>
          <w:tab w:val="num" w:pos="1440"/>
        </w:tabs>
        <w:spacing w:line="240" w:lineRule="auto"/>
      </w:pPr>
      <w:r w:rsidRPr="00971D0D">
        <w:t>Potential Public Interest Harms</w:t>
      </w:r>
    </w:p>
    <w:p w:rsidR="00763D52" w:rsidP="0025247C">
      <w:pPr>
        <w:pStyle w:val="ParaNum"/>
        <w:tabs>
          <w:tab w:val="num" w:pos="1440"/>
          <w:tab w:val="clear" w:pos="5310"/>
        </w:tabs>
        <w:spacing w:line="240" w:lineRule="auto"/>
        <w:ind w:left="0"/>
      </w:pPr>
      <w:r>
        <w:t xml:space="preserve">We find no evidence in the record to support a finding that the transaction will result in potential public interest harms.  </w:t>
      </w:r>
      <w:r>
        <w:rPr>
          <w:szCs w:val="22"/>
        </w:rPr>
        <w:t xml:space="preserve">We therefore deny </w:t>
      </w:r>
      <w:r w:rsidR="00241C7B">
        <w:rPr>
          <w:szCs w:val="22"/>
        </w:rPr>
        <w:t>or dismiss, as discussed below, the various petitions and comments of M&amp;M, CCA, T-Mobile, and the Former Shareholders</w:t>
      </w:r>
      <w:r>
        <w:rPr>
          <w:szCs w:val="22"/>
        </w:rPr>
        <w:t xml:space="preserve">. </w:t>
      </w:r>
    </w:p>
    <w:p w:rsidR="00394736" w:rsidRPr="00971D0D" w:rsidP="0025247C">
      <w:pPr>
        <w:pStyle w:val="ParaNum"/>
        <w:widowControl/>
        <w:tabs>
          <w:tab w:val="num" w:pos="1440"/>
        </w:tabs>
        <w:spacing w:line="240" w:lineRule="auto"/>
        <w:ind w:left="0"/>
      </w:pPr>
      <w:r w:rsidRPr="00971D0D">
        <w:rPr>
          <w:i/>
        </w:rPr>
        <w:t>Positions of the Parties</w:t>
      </w:r>
      <w:r w:rsidRPr="00971D0D">
        <w:t xml:space="preserve">.  The </w:t>
      </w:r>
      <w:r w:rsidR="000F0AC3">
        <w:t xml:space="preserve">Applicants </w:t>
      </w:r>
      <w:r w:rsidRPr="00971D0D">
        <w:t xml:space="preserve">claim that the proposed </w:t>
      </w:r>
      <w:r w:rsidR="000F0AC3">
        <w:t xml:space="preserve">transaction </w:t>
      </w:r>
      <w:r w:rsidRPr="00971D0D">
        <w:t xml:space="preserve">does not raise any </w:t>
      </w:r>
      <w:r w:rsidR="00607C19">
        <w:t xml:space="preserve">spectrum aggregation or </w:t>
      </w:r>
      <w:r w:rsidRPr="00971D0D">
        <w:t>competitive concerns.</w:t>
      </w:r>
      <w:r>
        <w:rPr>
          <w:rStyle w:val="FootnoteReference"/>
        </w:rPr>
        <w:footnoteReference w:id="39"/>
      </w:r>
      <w:r w:rsidRPr="00971D0D">
        <w:t xml:space="preserve">  </w:t>
      </w:r>
      <w:r w:rsidR="00322260">
        <w:t xml:space="preserve">They assert that the </w:t>
      </w:r>
      <w:r w:rsidR="00E37140">
        <w:t xml:space="preserve">proposed </w:t>
      </w:r>
      <w:r w:rsidR="00322260">
        <w:t xml:space="preserve">transaction </w:t>
      </w:r>
      <w:r w:rsidR="0059297C">
        <w:t>will not pose any anticompetitive risk or reduce actual competition in any meaningful way.</w:t>
      </w:r>
      <w:r>
        <w:rPr>
          <w:rStyle w:val="FootnoteReference"/>
        </w:rPr>
        <w:footnoteReference w:id="40"/>
      </w:r>
      <w:r w:rsidR="0059297C">
        <w:t xml:space="preserve">  Instead, they argue, the transaction will enhance competition by </w:t>
      </w:r>
      <w:r w:rsidR="0045399C">
        <w:t xml:space="preserve">helping </w:t>
      </w:r>
      <w:r w:rsidR="0059297C">
        <w:t>AT&amp;T to be a more effective competitor in the provision of</w:t>
      </w:r>
      <w:r w:rsidR="00322260">
        <w:t xml:space="preserve"> 5G services</w:t>
      </w:r>
      <w:r w:rsidR="0025247C">
        <w:t>.</w:t>
      </w:r>
      <w:r>
        <w:rPr>
          <w:rStyle w:val="FootnoteReference"/>
        </w:rPr>
        <w:footnoteReference w:id="41"/>
      </w:r>
      <w:r w:rsidR="00322260">
        <w:t xml:space="preserve">  </w:t>
      </w:r>
      <w:r w:rsidR="00C95226">
        <w:t xml:space="preserve">Moreover, the Applicants </w:t>
      </w:r>
      <w:r w:rsidR="0029563E">
        <w:t xml:space="preserve">assert </w:t>
      </w:r>
      <w:r w:rsidR="00C95226">
        <w:t>that</w:t>
      </w:r>
      <w:r w:rsidR="00B82834">
        <w:t>,</w:t>
      </w:r>
      <w:r w:rsidR="00C95226">
        <w:t xml:space="preserve"> with the instant transaction, </w:t>
      </w:r>
      <w:r w:rsidR="001E29C7">
        <w:t xml:space="preserve">AT&amp;T </w:t>
      </w:r>
      <w:r w:rsidR="00C95226">
        <w:t xml:space="preserve">would not exceed the 1250 </w:t>
      </w:r>
      <w:r w:rsidR="00406F4E">
        <w:t xml:space="preserve">megahertz </w:t>
      </w:r>
      <w:r w:rsidR="00C95226">
        <w:t xml:space="preserve">threshold established in the </w:t>
      </w:r>
      <w:r w:rsidR="00C95226">
        <w:rPr>
          <w:i/>
        </w:rPr>
        <w:t>Spectrum Frontiers Order</w:t>
      </w:r>
      <w:r>
        <w:rPr>
          <w:rStyle w:val="FootnoteReference"/>
        </w:rPr>
        <w:footnoteReference w:id="42"/>
      </w:r>
      <w:r w:rsidR="00C95226">
        <w:rPr>
          <w:i/>
        </w:rPr>
        <w:t xml:space="preserve"> </w:t>
      </w:r>
      <w:r w:rsidR="00C95226">
        <w:t>for secondary market transactions involving mmW spectrum</w:t>
      </w:r>
      <w:r w:rsidR="00FB3764">
        <w:t>.</w:t>
      </w:r>
      <w:r>
        <w:rPr>
          <w:rStyle w:val="FootnoteReference"/>
        </w:rPr>
        <w:footnoteReference w:id="43"/>
      </w:r>
      <w:r w:rsidR="00FB3764">
        <w:t xml:space="preserve">  </w:t>
      </w:r>
    </w:p>
    <w:p w:rsidR="00394736" w:rsidP="0025247C">
      <w:pPr>
        <w:pStyle w:val="ParaNum"/>
        <w:widowControl/>
        <w:tabs>
          <w:tab w:val="num" w:pos="1440"/>
        </w:tabs>
        <w:spacing w:line="240" w:lineRule="auto"/>
        <w:ind w:left="0"/>
      </w:pPr>
      <w:r>
        <w:t xml:space="preserve">M&amp;M, CCA, and T-Mobile </w:t>
      </w:r>
      <w:r w:rsidR="00BF3CCB">
        <w:t xml:space="preserve">argue that </w:t>
      </w:r>
      <w:r>
        <w:t xml:space="preserve">we should not grant FiberTower waivers of the substantial service requirements and should not reinstate </w:t>
      </w:r>
      <w:r w:rsidR="0027052C">
        <w:t>licenses</w:t>
      </w:r>
      <w:r w:rsidR="00C050D1">
        <w:t xml:space="preserve"> </w:t>
      </w:r>
      <w:r w:rsidR="00775740">
        <w:t xml:space="preserve">that were </w:t>
      </w:r>
      <w:r w:rsidR="0027052C">
        <w:t>terminated for failure to build out</w:t>
      </w:r>
      <w:r w:rsidR="00C050D1">
        <w:t xml:space="preserve"> </w:t>
      </w:r>
      <w:r w:rsidR="00775740">
        <w:t>and</w:t>
      </w:r>
      <w:r w:rsidR="0027052C">
        <w:t xml:space="preserve"> that were subject to a remand order from the D</w:t>
      </w:r>
      <w:r w:rsidR="00406F4E">
        <w:t>.</w:t>
      </w:r>
      <w:r w:rsidR="0027052C">
        <w:t>C</w:t>
      </w:r>
      <w:r w:rsidR="00406F4E">
        <w:t>.</w:t>
      </w:r>
      <w:r w:rsidR="0027052C">
        <w:t xml:space="preserve"> Circuit.  They argue that</w:t>
      </w:r>
      <w:r w:rsidR="00C050D1">
        <w:t xml:space="preserve"> instead</w:t>
      </w:r>
      <w:r w:rsidR="0027052C">
        <w:t xml:space="preserve"> we should reclaim and auction the spectrum associated with FiberTower’s unbuilt licenses.</w:t>
      </w:r>
      <w:r>
        <w:rPr>
          <w:rStyle w:val="FootnoteReference"/>
        </w:rPr>
        <w:footnoteReference w:id="44"/>
      </w:r>
      <w:r w:rsidR="0027052C">
        <w:t xml:space="preserve">  M&amp;M further argues that</w:t>
      </w:r>
      <w:r w:rsidR="00775740">
        <w:t>,</w:t>
      </w:r>
      <w:r w:rsidR="0027052C">
        <w:t xml:space="preserve"> in the alternative, we should decline to consent to the transfer of two terminated licenses that would overlap</w:t>
      </w:r>
      <w:r w:rsidR="00D9688A">
        <w:t xml:space="preserve"> </w:t>
      </w:r>
      <w:r w:rsidR="0027052C">
        <w:t>with M&amp;M’s 24</w:t>
      </w:r>
      <w:r w:rsidR="00406F4E">
        <w:t xml:space="preserve"> </w:t>
      </w:r>
      <w:r w:rsidR="0027052C">
        <w:t>GHz Economic Area licenses in the Las Vegas and Phoenix-Mesa Economic Areas.</w:t>
      </w:r>
      <w:r>
        <w:rPr>
          <w:rStyle w:val="FootnoteReference"/>
        </w:rPr>
        <w:footnoteReference w:id="45"/>
      </w:r>
      <w:r w:rsidRPr="00971D0D">
        <w:t xml:space="preserve">  </w:t>
      </w:r>
    </w:p>
    <w:p w:rsidR="00DA7FB5" w:rsidRPr="00971D0D" w:rsidP="002C290E">
      <w:pPr>
        <w:pStyle w:val="ParaNum"/>
        <w:widowControl/>
        <w:tabs>
          <w:tab w:val="num" w:pos="1440"/>
        </w:tabs>
        <w:spacing w:line="240" w:lineRule="auto"/>
        <w:ind w:left="0"/>
      </w:pPr>
      <w:r>
        <w:t xml:space="preserve">The Former Shareholders </w:t>
      </w:r>
      <w:r w:rsidR="00D9688A">
        <w:t>argue that the result of an earlier FiberTower bankruptcy proceeding was unfair to them because FiberTower’s spectrum holdings were valued at an artificially low l</w:t>
      </w:r>
      <w:r w:rsidR="007A69D1">
        <w:t>evel.</w:t>
      </w:r>
      <w:r>
        <w:rPr>
          <w:rStyle w:val="FootnoteReference"/>
        </w:rPr>
        <w:footnoteReference w:id="46"/>
      </w:r>
      <w:r w:rsidR="007A69D1">
        <w:t xml:space="preserve">  They </w:t>
      </w:r>
      <w:r w:rsidR="00155C34">
        <w:t xml:space="preserve">make various arguments related to the bankruptcy proceeding, including </w:t>
      </w:r>
      <w:r w:rsidR="007A69D1">
        <w:t>that former shareholders should share in proceeds of the proposed transaction.</w:t>
      </w:r>
      <w:r>
        <w:rPr>
          <w:rStyle w:val="FootnoteReference"/>
        </w:rPr>
        <w:footnoteReference w:id="47"/>
      </w:r>
      <w:r w:rsidR="00FF4876">
        <w:t xml:space="preserve"> </w:t>
      </w:r>
    </w:p>
    <w:p w:rsidR="00D153AB" w:rsidP="00DC154C">
      <w:pPr>
        <w:pStyle w:val="ParaNum"/>
        <w:widowControl/>
        <w:tabs>
          <w:tab w:val="num" w:pos="1440"/>
          <w:tab w:val="clear" w:pos="5310"/>
        </w:tabs>
        <w:spacing w:line="240" w:lineRule="auto"/>
        <w:ind w:left="0"/>
      </w:pPr>
      <w:r w:rsidRPr="00CD2847">
        <w:t>T</w:t>
      </w:r>
      <w:r w:rsidRPr="00CD2847" w:rsidR="00394736">
        <w:t xml:space="preserve">he </w:t>
      </w:r>
      <w:r w:rsidR="00BF3CCB">
        <w:t xml:space="preserve">Applicants </w:t>
      </w:r>
      <w:r w:rsidR="00717F92">
        <w:t xml:space="preserve">respond </w:t>
      </w:r>
      <w:r w:rsidRPr="00971D0D" w:rsidR="00394736">
        <w:t xml:space="preserve">that </w:t>
      </w:r>
      <w:r w:rsidR="007A69D1">
        <w:t xml:space="preserve">M&amp;M and </w:t>
      </w:r>
      <w:r w:rsidR="00E45CE0">
        <w:t>CCA</w:t>
      </w:r>
      <w:r w:rsidR="007A69D1">
        <w:t xml:space="preserve"> </w:t>
      </w:r>
      <w:bookmarkStart w:id="65" w:name="_Hlk504463347"/>
      <w:r w:rsidR="007A69D1">
        <w:t xml:space="preserve">do not </w:t>
      </w:r>
      <w:r w:rsidR="00775740">
        <w:t>point to</w:t>
      </w:r>
      <w:r w:rsidR="007A69D1">
        <w:t xml:space="preserve"> any competitive harm that might be caused by the proposed transaction</w:t>
      </w:r>
      <w:bookmarkEnd w:id="65"/>
      <w:r w:rsidR="00607C19">
        <w:t>.</w:t>
      </w:r>
      <w:r>
        <w:rPr>
          <w:rStyle w:val="FootnoteReference"/>
        </w:rPr>
        <w:footnoteReference w:id="48"/>
      </w:r>
      <w:r w:rsidR="00607C19">
        <w:t xml:space="preserve">  The Applicants further </w:t>
      </w:r>
      <w:r w:rsidR="00775740">
        <w:t>respond</w:t>
      </w:r>
      <w:r w:rsidR="00607C19">
        <w:t xml:space="preserve"> that the arguments of M&amp;M and CCA </w:t>
      </w:r>
      <w:r w:rsidR="0059297C">
        <w:t xml:space="preserve">that the FiberTower spectrum should be auctioned </w:t>
      </w:r>
      <w:r w:rsidR="003A4511">
        <w:t xml:space="preserve">are </w:t>
      </w:r>
      <w:r w:rsidR="0059297C">
        <w:t>not consistent with Commission policy</w:t>
      </w:r>
      <w:r w:rsidR="003A4511">
        <w:t xml:space="preserve">, articulated in the </w:t>
      </w:r>
      <w:r w:rsidR="003A4511">
        <w:rPr>
          <w:i/>
        </w:rPr>
        <w:t>Spectrum Frontiers Order</w:t>
      </w:r>
      <w:r w:rsidR="003A4511">
        <w:t>,</w:t>
      </w:r>
      <w:r w:rsidR="0059297C">
        <w:t xml:space="preserve"> </w:t>
      </w:r>
      <w:r w:rsidR="003A4511">
        <w:t>of prioritizing expeditious use of mmW spectrum.</w:t>
      </w:r>
      <w:r>
        <w:rPr>
          <w:rStyle w:val="FootnoteReference"/>
        </w:rPr>
        <w:footnoteReference w:id="49"/>
      </w:r>
      <w:r w:rsidR="003A4511">
        <w:t xml:space="preserve"> </w:t>
      </w:r>
      <w:r w:rsidR="00607C19">
        <w:t xml:space="preserve"> </w:t>
      </w:r>
      <w:r w:rsidR="00DC485D">
        <w:t xml:space="preserve">As to </w:t>
      </w:r>
      <w:r w:rsidR="001F49E3">
        <w:t>the p</w:t>
      </w:r>
      <w:r w:rsidR="00DC485D">
        <w:t>etition</w:t>
      </w:r>
      <w:r w:rsidR="001F49E3">
        <w:t>s of the Former Shareholders</w:t>
      </w:r>
      <w:r w:rsidR="00DC485D">
        <w:t xml:space="preserve">, the Applicants </w:t>
      </w:r>
      <w:r w:rsidR="001F49E3">
        <w:t>argue that the Former Shareholders lack standing because any interests that they may have had in the pre-bankruptcy FiberTower entity were extinguished in bankruptcy court,</w:t>
      </w:r>
      <w:r w:rsidR="00DC485D">
        <w:t xml:space="preserve"> but that</w:t>
      </w:r>
      <w:r w:rsidR="00775740">
        <w:t>,</w:t>
      </w:r>
      <w:r w:rsidR="00DC485D">
        <w:t xml:space="preserve"> </w:t>
      </w:r>
      <w:r w:rsidR="001F49E3">
        <w:t xml:space="preserve">to the extent that they have any interests, their allegations </w:t>
      </w:r>
      <w:r w:rsidR="00DC485D">
        <w:t>raise private</w:t>
      </w:r>
      <w:r w:rsidR="001F49E3">
        <w:t>,</w:t>
      </w:r>
      <w:r w:rsidR="00DC485D">
        <w:t xml:space="preserve"> contractual </w:t>
      </w:r>
      <w:r w:rsidR="001F49E3">
        <w:t>disputes over which the Commi</w:t>
      </w:r>
      <w:r w:rsidR="00241C7B">
        <w:t>ssion routinely declines to exercise authority under the Act.</w:t>
      </w:r>
      <w:r>
        <w:rPr>
          <w:rStyle w:val="FootnoteReference"/>
        </w:rPr>
        <w:footnoteReference w:id="50"/>
      </w:r>
    </w:p>
    <w:p w:rsidR="006F7226" w:rsidP="00EF347E">
      <w:pPr>
        <w:pStyle w:val="ParaNum"/>
        <w:widowControl/>
        <w:tabs>
          <w:tab w:val="num" w:pos="1440"/>
          <w:tab w:val="clear" w:pos="5310"/>
        </w:tabs>
        <w:spacing w:line="240" w:lineRule="auto"/>
        <w:ind w:left="0"/>
      </w:pPr>
      <w:r w:rsidRPr="00D153AB">
        <w:rPr>
          <w:i/>
        </w:rPr>
        <w:t>Discussion</w:t>
      </w:r>
      <w:r w:rsidRPr="00B76011">
        <w:t xml:space="preserve">.  In </w:t>
      </w:r>
      <w:r w:rsidR="00963C7F">
        <w:t xml:space="preserve">reviewing </w:t>
      </w:r>
      <w:r w:rsidRPr="00B76011">
        <w:t>proposed transaction</w:t>
      </w:r>
      <w:r w:rsidR="00963C7F">
        <w:t>s</w:t>
      </w:r>
      <w:r w:rsidRPr="00CD2847">
        <w:t>, the Commission evaluates the potential public interest harms and undertakes a case-by-case review o</w:t>
      </w:r>
      <w:r w:rsidRPr="00971D0D">
        <w:t>f the competitive effects of any increase in market concentration or in spectrum holdings in the relevant markets.</w:t>
      </w:r>
      <w:r>
        <w:rPr>
          <w:rStyle w:val="FootnoteReference"/>
        </w:rPr>
        <w:footnoteReference w:id="51"/>
      </w:r>
      <w:r w:rsidRPr="00971D0D">
        <w:t xml:space="preserve">  </w:t>
      </w:r>
      <w:r w:rsidRPr="00D153AB">
        <w:rPr>
          <w:szCs w:val="22"/>
        </w:rPr>
        <w:t xml:space="preserve">Spectrum is an essential input in the provision of wireless services, and ensuring that sufficient spectrum is available for incumbent licensees as well as potential new entrants is critical to promoting effective competition and innovation in the </w:t>
      </w:r>
      <w:r w:rsidR="008B3780">
        <w:rPr>
          <w:szCs w:val="22"/>
        </w:rPr>
        <w:t xml:space="preserve">wireless </w:t>
      </w:r>
      <w:r w:rsidRPr="00D153AB">
        <w:rPr>
          <w:szCs w:val="22"/>
        </w:rPr>
        <w:t>marketplace.</w:t>
      </w:r>
      <w:r>
        <w:rPr>
          <w:rStyle w:val="FootnoteReference"/>
          <w:sz w:val="22"/>
          <w:szCs w:val="22"/>
        </w:rPr>
        <w:footnoteReference w:id="52"/>
      </w:r>
      <w:r w:rsidRPr="00D153AB" w:rsidR="00EE5C69">
        <w:rPr>
          <w:szCs w:val="22"/>
        </w:rPr>
        <w:t xml:space="preserve">  </w:t>
      </w:r>
    </w:p>
    <w:p w:rsidR="00E205AB" w:rsidP="0008605B">
      <w:pPr>
        <w:pStyle w:val="ParaNum"/>
        <w:widowControl/>
        <w:tabs>
          <w:tab w:val="num" w:pos="1440"/>
          <w:tab w:val="clear" w:pos="5310"/>
        </w:tabs>
        <w:spacing w:line="240" w:lineRule="auto"/>
        <w:ind w:left="0"/>
      </w:pPr>
      <w:r>
        <w:t xml:space="preserve">Although </w:t>
      </w:r>
      <w:r w:rsidRPr="00B76011" w:rsidR="009515D2">
        <w:t xml:space="preserve">the </w:t>
      </w:r>
      <w:r w:rsidRPr="00B76011" w:rsidR="00B04EDB">
        <w:t xml:space="preserve">Commission’s spectrum screen historically </w:t>
      </w:r>
      <w:r w:rsidR="00D04A19">
        <w:t xml:space="preserve">has </w:t>
      </w:r>
      <w:r w:rsidRPr="00971D0D" w:rsidR="00B04EDB">
        <w:t>not include</w:t>
      </w:r>
      <w:r w:rsidR="00D04A19">
        <w:t>d</w:t>
      </w:r>
      <w:r w:rsidRPr="00971D0D" w:rsidR="00B04EDB">
        <w:t xml:space="preserve"> the mmW bands</w:t>
      </w:r>
      <w:r>
        <w:t>,</w:t>
      </w:r>
      <w:r>
        <w:rPr>
          <w:rStyle w:val="FootnoteReference"/>
        </w:rPr>
        <w:footnoteReference w:id="53"/>
      </w:r>
      <w:r w:rsidRPr="00971D0D" w:rsidR="00B04EDB">
        <w:t xml:space="preserve"> the Commission</w:t>
      </w:r>
      <w:r w:rsidR="00AE23CB">
        <w:t>,</w:t>
      </w:r>
      <w:r w:rsidRPr="00971D0D" w:rsidR="00B04EDB">
        <w:t xml:space="preserve"> in the </w:t>
      </w:r>
      <w:r w:rsidRPr="006F7226" w:rsidR="00B04EDB">
        <w:rPr>
          <w:i/>
        </w:rPr>
        <w:t>Spectrum Frontiers Order</w:t>
      </w:r>
      <w:r w:rsidR="00AE23CB">
        <w:t>,</w:t>
      </w:r>
      <w:r>
        <w:t xml:space="preserve"> </w:t>
      </w:r>
      <w:r w:rsidRPr="00971D0D" w:rsidR="00CA70B7">
        <w:t>found</w:t>
      </w:r>
      <w:r w:rsidR="00CA70B7">
        <w:t xml:space="preserve"> </w:t>
      </w:r>
      <w:r>
        <w:t>that</w:t>
      </w:r>
      <w:r w:rsidR="00691AE5">
        <w:t xml:space="preserve"> </w:t>
      </w:r>
      <w:r w:rsidRPr="00B76011" w:rsidR="00B04EDB">
        <w:t xml:space="preserve">the mmW bands are likely to be </w:t>
      </w:r>
      <w:r w:rsidR="00504E7F">
        <w:t xml:space="preserve">a </w:t>
      </w:r>
      <w:r w:rsidRPr="00B76011" w:rsidR="00B04EDB">
        <w:t xml:space="preserve">critical </w:t>
      </w:r>
      <w:r w:rsidR="00504E7F">
        <w:t>component in</w:t>
      </w:r>
      <w:r w:rsidRPr="00B76011" w:rsidR="00B04EDB">
        <w:t xml:space="preserve"> </w:t>
      </w:r>
      <w:r w:rsidRPr="00B76011" w:rsidR="009515D2">
        <w:t xml:space="preserve">the development of </w:t>
      </w:r>
      <w:r w:rsidRPr="00CD2847" w:rsidR="00B04EDB">
        <w:t>5G</w:t>
      </w:r>
      <w:r w:rsidR="0084202B">
        <w:t xml:space="preserve"> services</w:t>
      </w:r>
      <w:r w:rsidR="00E90E02">
        <w:t>,</w:t>
      </w:r>
      <w:r>
        <w:rPr>
          <w:rStyle w:val="FootnoteReference"/>
        </w:rPr>
        <w:footnoteReference w:id="54"/>
      </w:r>
      <w:r w:rsidRPr="00971D0D" w:rsidR="009515D2">
        <w:t xml:space="preserve"> </w:t>
      </w:r>
      <w:r w:rsidRPr="00971D0D" w:rsidR="003B2E0D">
        <w:t xml:space="preserve">and </w:t>
      </w:r>
      <w:r w:rsidR="00CA70B7">
        <w:t xml:space="preserve">it concluded </w:t>
      </w:r>
      <w:r w:rsidRPr="00971D0D" w:rsidR="003B2E0D">
        <w:t xml:space="preserve">that proposed secondary market transactions, such as this one, </w:t>
      </w:r>
      <w:r w:rsidR="003B2E0D">
        <w:t xml:space="preserve">should </w:t>
      </w:r>
      <w:r w:rsidRPr="00971D0D" w:rsidR="003B2E0D">
        <w:t xml:space="preserve">be analyzed on a case-by-case basis using a </w:t>
      </w:r>
      <w:r w:rsidR="00AE23CB">
        <w:t xml:space="preserve">specific </w:t>
      </w:r>
      <w:r w:rsidRPr="00971D0D" w:rsidR="003B2E0D">
        <w:t>mmW spectrum threshold</w:t>
      </w:r>
      <w:r w:rsidR="003B2E0D">
        <w:t xml:space="preserve"> </w:t>
      </w:r>
      <w:r w:rsidRPr="00CD2847" w:rsidR="00B04EDB">
        <w:t>as an initial analytical tool to aid in identifying certain markets for further review</w:t>
      </w:r>
      <w:r w:rsidRPr="00971D0D" w:rsidR="00B04EDB">
        <w:t>.</w:t>
      </w:r>
      <w:r>
        <w:rPr>
          <w:rStyle w:val="FootnoteReference"/>
        </w:rPr>
        <w:footnoteReference w:id="55"/>
      </w:r>
      <w:r w:rsidRPr="00971D0D" w:rsidR="00B04EDB">
        <w:t xml:space="preserve">  </w:t>
      </w:r>
      <w:r w:rsidR="00194804">
        <w:t>In the</w:t>
      </w:r>
      <w:r w:rsidRPr="00971D0D" w:rsidR="00B04EDB">
        <w:t xml:space="preserve"> </w:t>
      </w:r>
      <w:r w:rsidRPr="006F7226" w:rsidR="0011365D">
        <w:rPr>
          <w:i/>
        </w:rPr>
        <w:t>Spectrum Frontiers Order</w:t>
      </w:r>
      <w:r w:rsidRPr="008C6DC1" w:rsidR="00194804">
        <w:t>, the Commission</w:t>
      </w:r>
      <w:r w:rsidRPr="00194804" w:rsidR="00B04EDB">
        <w:t xml:space="preserve"> </w:t>
      </w:r>
      <w:r w:rsidRPr="00B76011" w:rsidR="00B04EDB">
        <w:t xml:space="preserve">adopted a </w:t>
      </w:r>
      <w:r w:rsidR="00194804">
        <w:t xml:space="preserve">mmW </w:t>
      </w:r>
      <w:r w:rsidRPr="00B76011" w:rsidR="00B04EDB">
        <w:t xml:space="preserve">spectrum threshold </w:t>
      </w:r>
      <w:r w:rsidR="00194804">
        <w:t>of</w:t>
      </w:r>
      <w:r w:rsidRPr="00CD2847" w:rsidR="00B04EDB">
        <w:t xml:space="preserve"> 1250 megahertz </w:t>
      </w:r>
      <w:r w:rsidR="00194804">
        <w:t xml:space="preserve">for proposed secondary market transactions, out of the total of 3250 megahertz of mmW spectrum made available </w:t>
      </w:r>
      <w:r w:rsidR="0053162E">
        <w:t>at that time</w:t>
      </w:r>
      <w:r w:rsidRPr="00971D0D" w:rsidR="00B04EDB">
        <w:t>.</w:t>
      </w:r>
      <w:r>
        <w:rPr>
          <w:rStyle w:val="FootnoteReference"/>
        </w:rPr>
        <w:footnoteReference w:id="56"/>
      </w:r>
      <w:r w:rsidRPr="00971D0D" w:rsidR="00B04EDB">
        <w:t xml:space="preserve">  </w:t>
      </w:r>
      <w:r w:rsidR="003C1D37">
        <w:t xml:space="preserve">In its recent </w:t>
      </w:r>
      <w:r w:rsidRPr="00C76FC1" w:rsidR="00C76FC1">
        <w:rPr>
          <w:i/>
        </w:rPr>
        <w:t>Spectrum Frontiers Second Report and Order</w:t>
      </w:r>
      <w:r w:rsidR="00C76FC1">
        <w:t>, the Commission raised this threshold to 1850 megahertz</w:t>
      </w:r>
      <w:r w:rsidR="00C9221D">
        <w:t xml:space="preserve"> </w:t>
      </w:r>
      <w:r w:rsidR="00C76FC1">
        <w:t>because it adopted rules making an additional 1700 megahertz of mmW spectrum available from the 24</w:t>
      </w:r>
      <w:r w:rsidR="00C9221D">
        <w:t xml:space="preserve"> GHz and 47 GHz bands, increasing the total available mmW spectrum to 4950 megahertz.</w:t>
      </w:r>
      <w:r>
        <w:rPr>
          <w:rStyle w:val="FootnoteReference"/>
        </w:rPr>
        <w:footnoteReference w:id="57"/>
      </w:r>
    </w:p>
    <w:p w:rsidR="006061C1" w:rsidRPr="006061C1" w:rsidP="00CA2513">
      <w:pPr>
        <w:pStyle w:val="ParaNum"/>
        <w:widowControl/>
        <w:tabs>
          <w:tab w:val="num" w:pos="1440"/>
        </w:tabs>
        <w:spacing w:line="240" w:lineRule="auto"/>
        <w:ind w:left="0"/>
      </w:pPr>
      <w:r>
        <w:t>W</w:t>
      </w:r>
      <w:r w:rsidRPr="00971D0D" w:rsidR="00B04EDB">
        <w:t xml:space="preserve">e observe that </w:t>
      </w:r>
      <w:r>
        <w:t xml:space="preserve">post-transaction, </w:t>
      </w:r>
      <w:r w:rsidR="00C9221D">
        <w:t xml:space="preserve">AT&amp;T </w:t>
      </w:r>
      <w:r w:rsidRPr="00971D0D" w:rsidR="00B04EDB">
        <w:t>w</w:t>
      </w:r>
      <w:r w:rsidR="00C9221D">
        <w:t>ill</w:t>
      </w:r>
      <w:r w:rsidRPr="00971D0D" w:rsidR="00B04EDB">
        <w:t xml:space="preserve"> </w:t>
      </w:r>
      <w:r w:rsidR="00687004">
        <w:t>not trigger the</w:t>
      </w:r>
      <w:r w:rsidR="00C9221D">
        <w:t xml:space="preserve"> mmW </w:t>
      </w:r>
      <w:r w:rsidR="00972EFD">
        <w:t>spectrum threshold of</w:t>
      </w:r>
      <w:r w:rsidRPr="00971D0D" w:rsidR="00B04EDB">
        <w:t xml:space="preserve"> </w:t>
      </w:r>
      <w:r w:rsidRPr="00971D0D" w:rsidR="008F5C69">
        <w:t>1</w:t>
      </w:r>
      <w:r w:rsidR="00C9221D">
        <w:t>8</w:t>
      </w:r>
      <w:r w:rsidRPr="00971D0D" w:rsidR="008F5C69">
        <w:t xml:space="preserve">50 </w:t>
      </w:r>
      <w:r w:rsidRPr="00971D0D" w:rsidR="00B04EDB">
        <w:t>megahertz</w:t>
      </w:r>
      <w:r w:rsidR="00C9221D">
        <w:t xml:space="preserve"> in </w:t>
      </w:r>
      <w:r w:rsidR="00687004">
        <w:t>any</w:t>
      </w:r>
      <w:r w:rsidR="00C050D1">
        <w:t xml:space="preserve"> county subject to the proposed transaction</w:t>
      </w:r>
      <w:r w:rsidRPr="00971D0D" w:rsidR="00B04EDB">
        <w:t>.</w:t>
      </w:r>
      <w:r>
        <w:rPr>
          <w:rStyle w:val="FootnoteReference"/>
        </w:rPr>
        <w:footnoteReference w:id="58"/>
      </w:r>
      <w:r w:rsidRPr="00971D0D" w:rsidR="00B04EDB">
        <w:t xml:space="preserve">  </w:t>
      </w:r>
      <w:r w:rsidR="00CB6750">
        <w:t xml:space="preserve">Its maximum spectrum holdings in any given county would be </w:t>
      </w:r>
      <w:r w:rsidR="00286C85">
        <w:t xml:space="preserve">796.8 </w:t>
      </w:r>
      <w:r w:rsidR="00CB6750">
        <w:t>megahertz.</w:t>
      </w:r>
      <w:r>
        <w:rPr>
          <w:rStyle w:val="FootnoteReference"/>
        </w:rPr>
        <w:footnoteReference w:id="59"/>
      </w:r>
      <w:r w:rsidR="009E2396">
        <w:t xml:space="preserve">  Considering that th</w:t>
      </w:r>
      <w:r w:rsidR="00CB6750">
        <w:t xml:space="preserve">e proposed </w:t>
      </w:r>
      <w:r w:rsidR="009E2396">
        <w:t>transaction</w:t>
      </w:r>
      <w:r>
        <w:t xml:space="preserve"> does not trigger </w:t>
      </w:r>
      <w:r w:rsidR="00F92452">
        <w:t xml:space="preserve">the </w:t>
      </w:r>
      <w:r>
        <w:t xml:space="preserve">mmW spectrum </w:t>
      </w:r>
      <w:r w:rsidR="004E63FC">
        <w:t>threshold</w:t>
      </w:r>
      <w:r w:rsidR="00286C85">
        <w:t xml:space="preserve"> of 1850 megahertz</w:t>
      </w:r>
      <w:r w:rsidR="004E63FC">
        <w:t>, and b</w:t>
      </w:r>
      <w:r w:rsidR="00E010E2">
        <w:t xml:space="preserve">ased on our </w:t>
      </w:r>
      <w:r w:rsidR="00C55B72">
        <w:t xml:space="preserve">careful </w:t>
      </w:r>
      <w:r w:rsidR="00E010E2">
        <w:t>review of the record</w:t>
      </w:r>
      <w:r w:rsidR="00CB6750">
        <w:t xml:space="preserve"> as well as our </w:t>
      </w:r>
      <w:r w:rsidR="004E63FC">
        <w:t>examin</w:t>
      </w:r>
      <w:r w:rsidR="00CB6750">
        <w:t xml:space="preserve">ation of </w:t>
      </w:r>
      <w:r w:rsidR="004E63FC">
        <w:t>the various factors present in this case</w:t>
      </w:r>
      <w:r w:rsidR="009A53D1">
        <w:t xml:space="preserve"> </w:t>
      </w:r>
      <w:r w:rsidR="00687004">
        <w:t xml:space="preserve">as </w:t>
      </w:r>
      <w:r w:rsidR="009A53D1">
        <w:t>described below</w:t>
      </w:r>
      <w:r w:rsidR="00E010E2">
        <w:t xml:space="preserve">, </w:t>
      </w:r>
      <w:r w:rsidR="004E63FC">
        <w:t>we find that</w:t>
      </w:r>
      <w:r w:rsidR="009A53D1">
        <w:t xml:space="preserve"> AT&amp;T</w:t>
      </w:r>
      <w:r w:rsidR="00CD2847">
        <w:t xml:space="preserve">’s </w:t>
      </w:r>
      <w:r w:rsidRPr="00E3572D" w:rsidR="00CD2847">
        <w:rPr>
          <w:kern w:val="0"/>
        </w:rPr>
        <w:t xml:space="preserve">post-transaction spectrum holdings across the 39 GHz bands do not raise concerns in light of the current state of the marketplace. </w:t>
      </w:r>
      <w:r w:rsidR="00CD2847">
        <w:rPr>
          <w:kern w:val="0"/>
        </w:rPr>
        <w:t xml:space="preserve"> </w:t>
      </w:r>
    </w:p>
    <w:p w:rsidR="005C0CEF" w:rsidP="00D21AE7">
      <w:pPr>
        <w:pStyle w:val="ParaNum"/>
        <w:tabs>
          <w:tab w:val="num" w:pos="1440"/>
        </w:tabs>
        <w:spacing w:line="240" w:lineRule="auto"/>
        <w:ind w:left="0"/>
      </w:pPr>
      <w:r w:rsidRPr="00D21AE7">
        <w:rPr>
          <w:kern w:val="0"/>
        </w:rPr>
        <w:t xml:space="preserve">We </w:t>
      </w:r>
      <w:r w:rsidRPr="00D21AE7" w:rsidR="00D051D7">
        <w:rPr>
          <w:kern w:val="0"/>
        </w:rPr>
        <w:t>deny the M&amp;M Petition</w:t>
      </w:r>
      <w:r w:rsidRPr="00D21AE7" w:rsidR="004D2D8A">
        <w:rPr>
          <w:kern w:val="0"/>
        </w:rPr>
        <w:t xml:space="preserve"> and the relief requested by </w:t>
      </w:r>
      <w:bookmarkStart w:id="66" w:name="_Hlk504463184"/>
      <w:r w:rsidRPr="00D21AE7" w:rsidR="004D2D8A">
        <w:rPr>
          <w:kern w:val="0"/>
        </w:rPr>
        <w:t>CCA and T-Mobile</w:t>
      </w:r>
      <w:bookmarkEnd w:id="66"/>
      <w:r w:rsidRPr="00D21AE7" w:rsidR="004D2D8A">
        <w:rPr>
          <w:kern w:val="0"/>
        </w:rPr>
        <w:t xml:space="preserve"> for several separate and independent reasons.</w:t>
      </w:r>
      <w:r>
        <w:rPr>
          <w:rStyle w:val="FootnoteReference"/>
          <w:kern w:val="0"/>
        </w:rPr>
        <w:footnoteReference w:id="60"/>
      </w:r>
      <w:r w:rsidRPr="00D21AE7" w:rsidR="00D051D7">
        <w:rPr>
          <w:kern w:val="0"/>
        </w:rPr>
        <w:t xml:space="preserve">  </w:t>
      </w:r>
      <w:r w:rsidRPr="00D21AE7" w:rsidR="00765CC1">
        <w:rPr>
          <w:kern w:val="0"/>
        </w:rPr>
        <w:t>First, t</w:t>
      </w:r>
      <w:r w:rsidRPr="00D21AE7" w:rsidR="00D051D7">
        <w:rPr>
          <w:kern w:val="0"/>
        </w:rPr>
        <w:t xml:space="preserve">o the extent that M&amp;M argues, as do CCA and T-Mobile, that we should not </w:t>
      </w:r>
      <w:bookmarkStart w:id="67" w:name="_Hlk504115440"/>
      <w:r w:rsidRPr="00D21AE7" w:rsidR="00D051D7">
        <w:rPr>
          <w:kern w:val="0"/>
        </w:rPr>
        <w:t xml:space="preserve">grant </w:t>
      </w:r>
      <w:r w:rsidRPr="00D21AE7" w:rsidR="00744C29">
        <w:rPr>
          <w:kern w:val="0"/>
        </w:rPr>
        <w:t>waivers and extensions of the substantial service requirements</w:t>
      </w:r>
      <w:bookmarkEnd w:id="67"/>
      <w:r w:rsidRPr="00D21AE7" w:rsidR="00744C29">
        <w:rPr>
          <w:kern w:val="0"/>
        </w:rPr>
        <w:t xml:space="preserve">, </w:t>
      </w:r>
      <w:r w:rsidRPr="00D21AE7" w:rsidR="00956400">
        <w:rPr>
          <w:kern w:val="0"/>
        </w:rPr>
        <w:t xml:space="preserve">their arguments are </w:t>
      </w:r>
      <w:r w:rsidRPr="00D21AE7" w:rsidR="00625B61">
        <w:rPr>
          <w:kern w:val="0"/>
        </w:rPr>
        <w:t xml:space="preserve">not transaction specific.  </w:t>
      </w:r>
      <w:r w:rsidRPr="00D21AE7" w:rsidR="00765CC1">
        <w:rPr>
          <w:kern w:val="0"/>
        </w:rPr>
        <w:t xml:space="preserve">They do not </w:t>
      </w:r>
      <w:r w:rsidRPr="00D21AE7" w:rsidR="00C237B9">
        <w:rPr>
          <w:kern w:val="0"/>
        </w:rPr>
        <w:t>arise out of</w:t>
      </w:r>
      <w:r w:rsidRPr="00D21AE7" w:rsidR="00765CC1">
        <w:rPr>
          <w:kern w:val="0"/>
        </w:rPr>
        <w:t xml:space="preserve"> the transaction at issue here, involving </w:t>
      </w:r>
      <w:r w:rsidRPr="00D21AE7" w:rsidR="0052713C">
        <w:rPr>
          <w:kern w:val="0"/>
        </w:rPr>
        <w:t>the transfer of control of FiberTower’s licenses.  Instead, such arguments concern i</w:t>
      </w:r>
      <w:r w:rsidRPr="00D21AE7" w:rsidR="00625B61">
        <w:rPr>
          <w:kern w:val="0"/>
        </w:rPr>
        <w:t xml:space="preserve">ssues relate to </w:t>
      </w:r>
      <w:r w:rsidRPr="00D21AE7" w:rsidR="00C237B9">
        <w:rPr>
          <w:kern w:val="0"/>
        </w:rPr>
        <w:t xml:space="preserve">FiberTower’s </w:t>
      </w:r>
      <w:r w:rsidR="00931ACA">
        <w:rPr>
          <w:kern w:val="0"/>
        </w:rPr>
        <w:t xml:space="preserve">requests for </w:t>
      </w:r>
      <w:r w:rsidRPr="00D21AE7" w:rsidR="00625B61">
        <w:rPr>
          <w:kern w:val="0"/>
        </w:rPr>
        <w:t xml:space="preserve">license waivers and extensions of the substantial service requirements </w:t>
      </w:r>
      <w:r w:rsidRPr="00D21AE7" w:rsidR="0052713C">
        <w:rPr>
          <w:kern w:val="0"/>
        </w:rPr>
        <w:t xml:space="preserve">that </w:t>
      </w:r>
      <w:r w:rsidRPr="00D21AE7" w:rsidR="00625B61">
        <w:rPr>
          <w:kern w:val="0"/>
        </w:rPr>
        <w:t>were subject to a separate lengthy proceeding</w:t>
      </w:r>
      <w:r w:rsidRPr="00D21AE7" w:rsidR="006E0239">
        <w:rPr>
          <w:kern w:val="0"/>
        </w:rPr>
        <w:t>,</w:t>
      </w:r>
      <w:r w:rsidRPr="00D21AE7" w:rsidR="00625B61">
        <w:rPr>
          <w:kern w:val="0"/>
        </w:rPr>
        <w:t xml:space="preserve"> </w:t>
      </w:r>
      <w:r w:rsidRPr="00D21AE7" w:rsidR="00956400">
        <w:rPr>
          <w:kern w:val="0"/>
        </w:rPr>
        <w:t xml:space="preserve">and </w:t>
      </w:r>
      <w:r w:rsidRPr="00D21AE7" w:rsidR="004204A8">
        <w:rPr>
          <w:kern w:val="0"/>
        </w:rPr>
        <w:t xml:space="preserve">presenting them now is </w:t>
      </w:r>
      <w:r w:rsidRPr="00D21AE7" w:rsidR="00956400">
        <w:rPr>
          <w:kern w:val="0"/>
        </w:rPr>
        <w:t>untimely</w:t>
      </w:r>
      <w:r w:rsidRPr="00D21AE7" w:rsidR="004204A8">
        <w:rPr>
          <w:kern w:val="0"/>
        </w:rPr>
        <w:t xml:space="preserve"> and unrelated to any competitive harms that may arise out of </w:t>
      </w:r>
      <w:r w:rsidRPr="00D21AE7" w:rsidR="006E0239">
        <w:rPr>
          <w:kern w:val="0"/>
        </w:rPr>
        <w:t xml:space="preserve">consent to </w:t>
      </w:r>
      <w:r w:rsidRPr="00D21AE7" w:rsidR="004204A8">
        <w:rPr>
          <w:kern w:val="0"/>
        </w:rPr>
        <w:t>this transaction</w:t>
      </w:r>
      <w:r w:rsidRPr="00D21AE7" w:rsidR="00956400">
        <w:rPr>
          <w:kern w:val="0"/>
        </w:rPr>
        <w:t>.  T</w:t>
      </w:r>
      <w:r w:rsidRPr="00D21AE7" w:rsidR="00744C29">
        <w:rPr>
          <w:kern w:val="0"/>
        </w:rPr>
        <w:t xml:space="preserve">hose parties </w:t>
      </w:r>
      <w:r w:rsidRPr="00D21AE7" w:rsidR="004204A8">
        <w:rPr>
          <w:kern w:val="0"/>
        </w:rPr>
        <w:t xml:space="preserve">raising the issues now </w:t>
      </w:r>
      <w:r w:rsidRPr="00D21AE7" w:rsidR="00744C29">
        <w:rPr>
          <w:kern w:val="0"/>
        </w:rPr>
        <w:t xml:space="preserve">could have filed informal objections when FiberTower filed its </w:t>
      </w:r>
      <w:r w:rsidRPr="00D21AE7" w:rsidR="00956400">
        <w:rPr>
          <w:kern w:val="0"/>
        </w:rPr>
        <w:t xml:space="preserve">extension and waiver </w:t>
      </w:r>
      <w:r w:rsidRPr="00D21AE7" w:rsidR="00744C29">
        <w:rPr>
          <w:kern w:val="0"/>
        </w:rPr>
        <w:t>requests originally</w:t>
      </w:r>
      <w:r w:rsidRPr="00D21AE7" w:rsidR="00775740">
        <w:rPr>
          <w:kern w:val="0"/>
        </w:rPr>
        <w:t>,</w:t>
      </w:r>
      <w:r w:rsidRPr="00D21AE7" w:rsidR="00744C29">
        <w:rPr>
          <w:kern w:val="0"/>
        </w:rPr>
        <w:t xml:space="preserve"> but </w:t>
      </w:r>
      <w:r w:rsidRPr="00D21AE7" w:rsidR="00775740">
        <w:rPr>
          <w:kern w:val="0"/>
        </w:rPr>
        <w:t xml:space="preserve">they </w:t>
      </w:r>
      <w:r w:rsidRPr="00D21AE7" w:rsidR="00744C29">
        <w:rPr>
          <w:kern w:val="0"/>
        </w:rPr>
        <w:t xml:space="preserve">did not do so.  After extensive proceedings at the </w:t>
      </w:r>
      <w:r w:rsidRPr="00D21AE7" w:rsidR="00625B61">
        <w:rPr>
          <w:kern w:val="0"/>
        </w:rPr>
        <w:t>Commission</w:t>
      </w:r>
      <w:r w:rsidRPr="00D21AE7" w:rsidR="00765CC1">
        <w:rPr>
          <w:kern w:val="0"/>
        </w:rPr>
        <w:t>,</w:t>
      </w:r>
      <w:r w:rsidRPr="00D21AE7" w:rsidR="00744C29">
        <w:rPr>
          <w:kern w:val="0"/>
        </w:rPr>
        <w:t xml:space="preserve"> a court appeal, </w:t>
      </w:r>
      <w:r w:rsidRPr="00D21AE7" w:rsidR="00765CC1">
        <w:rPr>
          <w:kern w:val="0"/>
        </w:rPr>
        <w:t xml:space="preserve">and subsequent proceedings on remand, </w:t>
      </w:r>
      <w:r w:rsidRPr="00D21AE7" w:rsidR="00744C29">
        <w:rPr>
          <w:kern w:val="0"/>
        </w:rPr>
        <w:t xml:space="preserve">issues relating to those waivers and extension requests have been addressed though the </w:t>
      </w:r>
      <w:r w:rsidRPr="00D21AE7" w:rsidR="002E0EAE">
        <w:rPr>
          <w:i/>
          <w:kern w:val="0"/>
        </w:rPr>
        <w:t>Waiver Order</w:t>
      </w:r>
      <w:r w:rsidRPr="00D21AE7" w:rsidR="002E0EAE">
        <w:rPr>
          <w:kern w:val="0"/>
        </w:rPr>
        <w:t xml:space="preserve">.  </w:t>
      </w:r>
      <w:r w:rsidRPr="00D21AE7" w:rsidR="00765CC1">
        <w:rPr>
          <w:kern w:val="0"/>
        </w:rPr>
        <w:t>Second, a</w:t>
      </w:r>
      <w:r w:rsidRPr="00D21AE7" w:rsidR="002E0EAE">
        <w:rPr>
          <w:kern w:val="0"/>
        </w:rPr>
        <w:t>s part of that process, FiberTower agreed to surrender all of its 24 GHz licenses, including the two that overlap with M&amp;M licenses.  Accordingly</w:t>
      </w:r>
      <w:r w:rsidRPr="00D21AE7" w:rsidR="00DC6F6A">
        <w:rPr>
          <w:kern w:val="0"/>
        </w:rPr>
        <w:t>,</w:t>
      </w:r>
      <w:r w:rsidRPr="00D21AE7" w:rsidR="002E0EAE">
        <w:rPr>
          <w:kern w:val="0"/>
        </w:rPr>
        <w:t xml:space="preserve"> M&amp;M’s request for alternative relief is moot</w:t>
      </w:r>
      <w:r w:rsidRPr="00D21AE7" w:rsidR="0052713C">
        <w:rPr>
          <w:kern w:val="0"/>
        </w:rPr>
        <w:t xml:space="preserve"> in any event</w:t>
      </w:r>
      <w:r w:rsidRPr="00D21AE7" w:rsidR="002E0EAE">
        <w:rPr>
          <w:kern w:val="0"/>
        </w:rPr>
        <w:t xml:space="preserve">.  </w:t>
      </w:r>
      <w:r w:rsidR="00D21AE7">
        <w:t xml:space="preserve">In addition, </w:t>
      </w:r>
      <w:r w:rsidR="00D21AE7">
        <w:rPr>
          <w:kern w:val="0"/>
        </w:rPr>
        <w:t>n</w:t>
      </w:r>
      <w:r w:rsidRPr="00D21AE7" w:rsidR="00C237B9">
        <w:rPr>
          <w:kern w:val="0"/>
        </w:rPr>
        <w:t>o</w:t>
      </w:r>
      <w:r w:rsidRPr="00D21AE7" w:rsidR="00D21AE7">
        <w:rPr>
          <w:kern w:val="0"/>
        </w:rPr>
        <w:t>ne of the arguments</w:t>
      </w:r>
      <w:r w:rsidRPr="00D21AE7" w:rsidR="00C237B9">
        <w:rPr>
          <w:kern w:val="0"/>
        </w:rPr>
        <w:t xml:space="preserve"> in the record points to any competitive harm that might be caused by the proposed transaction.  </w:t>
      </w:r>
      <w:r w:rsidR="00D21AE7">
        <w:rPr>
          <w:kern w:val="0"/>
        </w:rPr>
        <w:t>As discussed below, w</w:t>
      </w:r>
      <w:r w:rsidRPr="00D21AE7" w:rsidR="002E0EAE">
        <w:rPr>
          <w:kern w:val="0"/>
        </w:rPr>
        <w:t>e find that consenting to the transfer of</w:t>
      </w:r>
      <w:r w:rsidRPr="00D21AE7" w:rsidR="00D21AE7">
        <w:rPr>
          <w:kern w:val="0"/>
        </w:rPr>
        <w:t xml:space="preserve"> control of</w:t>
      </w:r>
      <w:r w:rsidRPr="00D21AE7" w:rsidR="002E0EAE">
        <w:rPr>
          <w:kern w:val="0"/>
        </w:rPr>
        <w:t xml:space="preserve"> FiberTower’s 39 GHz licenses to AT&amp;T will most likely </w:t>
      </w:r>
      <w:r w:rsidRPr="00D21AE7" w:rsidR="0052713C">
        <w:rPr>
          <w:kern w:val="0"/>
        </w:rPr>
        <w:t xml:space="preserve">enable </w:t>
      </w:r>
      <w:r w:rsidRPr="00D21AE7" w:rsidR="002E0EAE">
        <w:rPr>
          <w:kern w:val="0"/>
        </w:rPr>
        <w:t xml:space="preserve">that spectrum to be used </w:t>
      </w:r>
      <w:r w:rsidR="0011206D">
        <w:rPr>
          <w:kern w:val="0"/>
        </w:rPr>
        <w:t>rapid</w:t>
      </w:r>
      <w:r w:rsidRPr="00D21AE7" w:rsidR="0011206D">
        <w:rPr>
          <w:kern w:val="0"/>
        </w:rPr>
        <w:t xml:space="preserve">ly </w:t>
      </w:r>
      <w:r w:rsidRPr="00D21AE7" w:rsidR="002E0EAE">
        <w:rPr>
          <w:kern w:val="0"/>
        </w:rPr>
        <w:t>in 5G development and deployment</w:t>
      </w:r>
      <w:r w:rsidRPr="00D21AE7" w:rsidR="0052713C">
        <w:rPr>
          <w:kern w:val="0"/>
        </w:rPr>
        <w:t>, and that this would serve the public interest</w:t>
      </w:r>
      <w:r w:rsidRPr="00D21AE7" w:rsidR="002E0EAE">
        <w:rPr>
          <w:kern w:val="0"/>
        </w:rPr>
        <w:t>.  Accordingly, we are not persuaded by the arguments of M&amp;M, CCA, and T-Mobile that the Applications should be denied.</w:t>
      </w:r>
    </w:p>
    <w:p w:rsidR="00B04EDB" w:rsidP="0025247C">
      <w:pPr>
        <w:pStyle w:val="ParaNum"/>
        <w:tabs>
          <w:tab w:val="num" w:pos="1440"/>
        </w:tabs>
        <w:spacing w:line="240" w:lineRule="auto"/>
        <w:ind w:left="0"/>
      </w:pPr>
      <w:r>
        <w:t>We also deny the</w:t>
      </w:r>
      <w:r w:rsidR="00241C7B">
        <w:t xml:space="preserve"> petitions of the Former Shareholders</w:t>
      </w:r>
      <w:r>
        <w:t xml:space="preserve">.  </w:t>
      </w:r>
      <w:r w:rsidR="009411FC">
        <w:t>Their arguments of alleged undervaluation of FiberTower assets relate to a separate bankruptcy proceeding that, as the Applicants point out, began in 2012.</w:t>
      </w:r>
      <w:r>
        <w:rPr>
          <w:rStyle w:val="FootnoteReference"/>
        </w:rPr>
        <w:footnoteReference w:id="61"/>
      </w:r>
      <w:r w:rsidR="009411FC">
        <w:t xml:space="preserve">  </w:t>
      </w:r>
      <w:r w:rsidR="00421281">
        <w:t xml:space="preserve">Whether </w:t>
      </w:r>
      <w:r w:rsidR="009411FC">
        <w:t>the</w:t>
      </w:r>
      <w:r w:rsidR="00DC6F6A">
        <w:t xml:space="preserve"> Former Shareholders</w:t>
      </w:r>
      <w:r w:rsidR="009411FC">
        <w:t xml:space="preserve"> have </w:t>
      </w:r>
      <w:r w:rsidR="00421281">
        <w:t xml:space="preserve">any </w:t>
      </w:r>
      <w:r w:rsidR="009411FC">
        <w:t xml:space="preserve">remaining rights in those assets </w:t>
      </w:r>
      <w:r w:rsidR="00956400">
        <w:t>-</w:t>
      </w:r>
      <w:r w:rsidR="008E44EE">
        <w:t xml:space="preserve"> which the Applicants argue they do not </w:t>
      </w:r>
      <w:r w:rsidR="00956400">
        <w:t>-</w:t>
      </w:r>
      <w:r w:rsidR="008E44EE">
        <w:t xml:space="preserve"> </w:t>
      </w:r>
      <w:r w:rsidR="001B790F">
        <w:t xml:space="preserve">is </w:t>
      </w:r>
      <w:r w:rsidR="008E44EE">
        <w:t xml:space="preserve">not </w:t>
      </w:r>
      <w:r w:rsidR="001B790F">
        <w:t xml:space="preserve">for </w:t>
      </w:r>
      <w:r w:rsidR="008E44EE">
        <w:t xml:space="preserve">the Commission </w:t>
      </w:r>
      <w:r w:rsidR="001B790F">
        <w:t>to decide</w:t>
      </w:r>
      <w:r w:rsidR="008E44EE">
        <w:t>.  T</w:t>
      </w:r>
      <w:r>
        <w:t xml:space="preserve">he Commission does not adjudicate </w:t>
      </w:r>
      <w:r w:rsidR="00BA508F">
        <w:t xml:space="preserve">private contractual disputes </w:t>
      </w:r>
      <w:r>
        <w:t>in transaction proceedings.</w:t>
      </w:r>
      <w:r>
        <w:rPr>
          <w:rStyle w:val="FootnoteReference"/>
        </w:rPr>
        <w:footnoteReference w:id="62"/>
      </w:r>
    </w:p>
    <w:p w:rsidR="00BF367D" w:rsidRPr="00971D0D" w:rsidP="00BF367D">
      <w:pPr>
        <w:pStyle w:val="ParaNum"/>
        <w:numPr>
          <w:ilvl w:val="0"/>
          <w:numId w:val="0"/>
        </w:numPr>
        <w:tabs>
          <w:tab w:val="num" w:pos="1440"/>
        </w:tabs>
        <w:spacing w:line="240" w:lineRule="auto"/>
        <w:ind w:left="720"/>
      </w:pPr>
    </w:p>
    <w:p w:rsidR="00E307B8" w:rsidRPr="00971D0D" w:rsidP="0025247C">
      <w:pPr>
        <w:pStyle w:val="Heading3"/>
        <w:keepNext w:val="0"/>
        <w:tabs>
          <w:tab w:val="num" w:pos="1440"/>
        </w:tabs>
        <w:spacing w:line="240" w:lineRule="auto"/>
      </w:pPr>
      <w:r w:rsidRPr="00971D0D">
        <w:t xml:space="preserve">Potential </w:t>
      </w:r>
      <w:r w:rsidRPr="00971D0D" w:rsidR="006C7E53">
        <w:t xml:space="preserve">Public Interest </w:t>
      </w:r>
      <w:r w:rsidRPr="00971D0D">
        <w:t>Benefits</w:t>
      </w:r>
    </w:p>
    <w:p w:rsidR="00C3143B" w:rsidP="0025247C">
      <w:pPr>
        <w:pStyle w:val="ParaNum"/>
        <w:tabs>
          <w:tab w:val="num" w:pos="1440"/>
          <w:tab w:val="clear" w:pos="5310"/>
        </w:tabs>
        <w:spacing w:line="240" w:lineRule="auto"/>
        <w:ind w:left="0"/>
        <w:rPr>
          <w:szCs w:val="22"/>
        </w:rPr>
      </w:pPr>
      <w:r>
        <w:t xml:space="preserve">Having </w:t>
      </w:r>
      <w:r w:rsidR="00EB1EC4">
        <w:t>found there are no significant</w:t>
      </w:r>
      <w:r>
        <w:t xml:space="preserve"> potential public interest harms of the transaction, w</w:t>
      </w:r>
      <w:r>
        <w:rPr>
          <w:szCs w:val="22"/>
        </w:rPr>
        <w:t xml:space="preserve">e </w:t>
      </w:r>
      <w:r w:rsidR="005336EC">
        <w:rPr>
          <w:szCs w:val="22"/>
        </w:rPr>
        <w:t>next</w:t>
      </w:r>
      <w:r w:rsidR="00043BA1">
        <w:rPr>
          <w:szCs w:val="22"/>
        </w:rPr>
        <w:t xml:space="preserve"> </w:t>
      </w:r>
      <w:r>
        <w:rPr>
          <w:szCs w:val="22"/>
        </w:rPr>
        <w:t xml:space="preserve">review the public interest benefits of the transaction, beyond fostering the free transferability of licenses and authorizations. </w:t>
      </w:r>
      <w:r w:rsidRPr="000D0BB5">
        <w:rPr>
          <w:szCs w:val="22"/>
        </w:rPr>
        <w:t xml:space="preserve"> </w:t>
      </w:r>
      <w:r>
        <w:t>The Commission has reco</w:t>
      </w:r>
      <w:r>
        <w:rPr>
          <w:szCs w:val="22"/>
        </w:rPr>
        <w:t>gnized that e</w:t>
      </w:r>
      <w:r w:rsidRPr="00D04174">
        <w:rPr>
          <w:szCs w:val="22"/>
        </w:rPr>
        <w:t xml:space="preserve">fficiencies generated through a </w:t>
      </w:r>
      <w:r>
        <w:rPr>
          <w:szCs w:val="22"/>
        </w:rPr>
        <w:t>transaction</w:t>
      </w:r>
      <w:r w:rsidRPr="00D04174">
        <w:rPr>
          <w:szCs w:val="22"/>
        </w:rPr>
        <w:t xml:space="preserve"> can mitigate competitive harms </w:t>
      </w:r>
      <w:r>
        <w:rPr>
          <w:szCs w:val="22"/>
        </w:rPr>
        <w:t>only “</w:t>
      </w:r>
      <w:r w:rsidRPr="00D04174">
        <w:rPr>
          <w:szCs w:val="22"/>
        </w:rPr>
        <w:t>if such effic</w:t>
      </w:r>
      <w:r>
        <w:rPr>
          <w:szCs w:val="22"/>
        </w:rPr>
        <w:t>iencies enhance the merged firm’</w:t>
      </w:r>
      <w:r w:rsidRPr="00D04174">
        <w:rPr>
          <w:szCs w:val="22"/>
        </w:rPr>
        <w:t>s ability and incentive to compete and therefore result in lower prices, improved quality, enhanced service or new products.”</w:t>
      </w:r>
      <w:r>
        <w:rPr>
          <w:rStyle w:val="FootnoteReference"/>
          <w:szCs w:val="22"/>
        </w:rPr>
        <w:footnoteReference w:id="63"/>
      </w:r>
      <w:r>
        <w:rPr>
          <w:szCs w:val="22"/>
        </w:rPr>
        <w:t xml:space="preserve">  Specifically, the Commission finds a claimed benefit to be cognizable only if it is transaction-specific</w:t>
      </w:r>
      <w:r w:rsidR="00043BA1">
        <w:rPr>
          <w:szCs w:val="22"/>
        </w:rPr>
        <w:t>—</w:t>
      </w:r>
      <w:r>
        <w:rPr>
          <w:szCs w:val="22"/>
        </w:rPr>
        <w:t>meaning it naturally arises as a result of the transaction</w:t>
      </w:r>
      <w:r>
        <w:rPr>
          <w:rStyle w:val="FootnoteReference"/>
          <w:szCs w:val="22"/>
        </w:rPr>
        <w:footnoteReference w:id="64"/>
      </w:r>
      <w:r w:rsidR="00043BA1">
        <w:rPr>
          <w:szCs w:val="22"/>
        </w:rPr>
        <w:t>—</w:t>
      </w:r>
      <w:r>
        <w:rPr>
          <w:szCs w:val="22"/>
        </w:rPr>
        <w:t>and verifiable, and is “more likely to find marginal cost reductions to be cognizable than reductions in fixed cost.”</w:t>
      </w:r>
      <w:r>
        <w:rPr>
          <w:rStyle w:val="FootnoteReference"/>
          <w:szCs w:val="22"/>
        </w:rPr>
        <w:footnoteReference w:id="65"/>
      </w:r>
    </w:p>
    <w:p w:rsidR="001D16D8" w:rsidRPr="00971D0D" w:rsidP="00F3156D">
      <w:pPr>
        <w:pStyle w:val="ParaNum"/>
        <w:widowControl/>
        <w:tabs>
          <w:tab w:val="num" w:pos="1440"/>
        </w:tabs>
        <w:spacing w:line="240" w:lineRule="auto"/>
        <w:ind w:left="86"/>
      </w:pPr>
      <w:r w:rsidRPr="00CA5C56">
        <w:rPr>
          <w:i/>
        </w:rPr>
        <w:t xml:space="preserve">Claims of the </w:t>
      </w:r>
      <w:r w:rsidRPr="00CA5C56" w:rsidR="00FA6941">
        <w:rPr>
          <w:i/>
        </w:rPr>
        <w:t>Applicant</w:t>
      </w:r>
      <w:r w:rsidRPr="00CA5C56">
        <w:rPr>
          <w:i/>
        </w:rPr>
        <w:t>s</w:t>
      </w:r>
      <w:r w:rsidRPr="00B76011" w:rsidR="00880FBB">
        <w:t xml:space="preserve">.  </w:t>
      </w:r>
      <w:r w:rsidR="00A177B5">
        <w:t>The Applicants claim that AT&amp;T’s acquisition of FiberTower’s mmW spectrum licenses will accelerate the development and deployment of next-generation 5G wireless services and promote competition.</w:t>
      </w:r>
      <w:r>
        <w:rPr>
          <w:rStyle w:val="FootnoteReference"/>
        </w:rPr>
        <w:footnoteReference w:id="66"/>
      </w:r>
      <w:r w:rsidR="00A177B5">
        <w:t xml:space="preserve">  </w:t>
      </w:r>
      <w:r w:rsidRPr="00971D0D">
        <w:t xml:space="preserve">The </w:t>
      </w:r>
      <w:r w:rsidR="00FA6941">
        <w:t xml:space="preserve">Applicants </w:t>
      </w:r>
      <w:r w:rsidRPr="00971D0D">
        <w:t xml:space="preserve">maintain that </w:t>
      </w:r>
      <w:r w:rsidR="00A177B5">
        <w:t>AT&amp;T</w:t>
      </w:r>
      <w:r w:rsidRPr="00971D0D">
        <w:t xml:space="preserve"> has </w:t>
      </w:r>
      <w:r w:rsidR="00FA3015">
        <w:t xml:space="preserve">been </w:t>
      </w:r>
      <w:r w:rsidR="00A177B5">
        <w:t>at the forefront of 5G development</w:t>
      </w:r>
      <w:r w:rsidR="004902CE">
        <w:t>, conducting fie</w:t>
      </w:r>
      <w:r w:rsidR="009B66DB">
        <w:t>l</w:t>
      </w:r>
      <w:r w:rsidR="004902CE">
        <w:t>d trials working with technology companies to develop 5G standards, and launching the first United States 5G business customer trial in the mmW bands</w:t>
      </w:r>
      <w:r w:rsidR="009B66DB">
        <w:t>.</w:t>
      </w:r>
      <w:r>
        <w:rPr>
          <w:rStyle w:val="FootnoteReference"/>
        </w:rPr>
        <w:footnoteReference w:id="67"/>
      </w:r>
      <w:r w:rsidR="004902CE">
        <w:t xml:space="preserve"> </w:t>
      </w:r>
      <w:r w:rsidR="00FA3015">
        <w:t xml:space="preserve"> </w:t>
      </w:r>
      <w:r w:rsidRPr="00971D0D" w:rsidR="00FC32BD">
        <w:t xml:space="preserve">The </w:t>
      </w:r>
      <w:r w:rsidR="00FA6941">
        <w:t>Applicant</w:t>
      </w:r>
      <w:r w:rsidRPr="00971D0D" w:rsidR="00FC32BD">
        <w:t xml:space="preserve">s </w:t>
      </w:r>
      <w:r w:rsidRPr="00B76011" w:rsidR="00973EB7">
        <w:t>also</w:t>
      </w:r>
      <w:r w:rsidRPr="00B76011" w:rsidR="00FC32BD">
        <w:t xml:space="preserve"> </w:t>
      </w:r>
      <w:r w:rsidR="00961787">
        <w:t>maintain</w:t>
      </w:r>
      <w:r w:rsidRPr="00B76011" w:rsidR="00FC32BD">
        <w:t xml:space="preserve"> that </w:t>
      </w:r>
      <w:r w:rsidR="00611E9C">
        <w:t xml:space="preserve">the transfer of the mmW licenses will further the Commission’s objective </w:t>
      </w:r>
      <w:r w:rsidR="004902CE">
        <w:t xml:space="preserve">of </w:t>
      </w:r>
      <w:r w:rsidR="00611E9C">
        <w:t>foster</w:t>
      </w:r>
      <w:r w:rsidR="004902CE">
        <w:t xml:space="preserve">ing a thriving </w:t>
      </w:r>
      <w:r w:rsidR="00611E9C">
        <w:t xml:space="preserve">5G </w:t>
      </w:r>
      <w:r w:rsidR="004902CE">
        <w:t>ecosystem throughout the United States.</w:t>
      </w:r>
      <w:r>
        <w:rPr>
          <w:rStyle w:val="FootnoteReference"/>
        </w:rPr>
        <w:footnoteReference w:id="68"/>
      </w:r>
      <w:r w:rsidR="00611E9C">
        <w:t xml:space="preserve">  </w:t>
      </w:r>
      <w:r w:rsidR="000809D7">
        <w:t>They assert that AT&amp;T already has been encouraging 39</w:t>
      </w:r>
      <w:r w:rsidR="00DC6F6A">
        <w:t xml:space="preserve"> </w:t>
      </w:r>
      <w:r w:rsidR="000809D7">
        <w:t>GHz equipment developers to bring deployable equipment to market.</w:t>
      </w:r>
      <w:r>
        <w:rPr>
          <w:rStyle w:val="FootnoteReference"/>
        </w:rPr>
        <w:footnoteReference w:id="69"/>
      </w:r>
      <w:r w:rsidR="000809D7">
        <w:t xml:space="preserve">  They further assert that FiberTower’s spectrum currently is either unused or underutilized for limited point-to-point transmission services and that AT&amp;T will be able </w:t>
      </w:r>
      <w:r w:rsidR="00B43519">
        <w:t xml:space="preserve">to </w:t>
      </w:r>
      <w:r w:rsidR="000809D7">
        <w:t>develop and depl</w:t>
      </w:r>
      <w:r w:rsidR="009B66DB">
        <w:t>o</w:t>
      </w:r>
      <w:r w:rsidR="000809D7">
        <w:t>y FiberTower’s assets</w:t>
      </w:r>
      <w:r w:rsidRPr="00FC024A" w:rsidR="00FC024A">
        <w:t xml:space="preserve"> </w:t>
      </w:r>
      <w:r w:rsidR="00FC024A">
        <w:t>rapidly</w:t>
      </w:r>
      <w:r w:rsidR="000809D7">
        <w:t xml:space="preserve"> to allow them to be put to use for 5G se</w:t>
      </w:r>
      <w:r w:rsidR="00DC6F6A">
        <w:t>r</w:t>
      </w:r>
      <w:r w:rsidR="000809D7">
        <w:t>vices.</w:t>
      </w:r>
      <w:r>
        <w:rPr>
          <w:rStyle w:val="FootnoteReference"/>
        </w:rPr>
        <w:footnoteReference w:id="70"/>
      </w:r>
    </w:p>
    <w:p w:rsidR="00F3459B" w:rsidRPr="00B76011" w:rsidP="009D77B3">
      <w:pPr>
        <w:pStyle w:val="ParaNum"/>
        <w:widowControl/>
        <w:tabs>
          <w:tab w:val="num" w:pos="1440"/>
        </w:tabs>
        <w:spacing w:line="240" w:lineRule="auto"/>
        <w:ind w:left="86"/>
      </w:pPr>
      <w:r w:rsidRPr="00B43519">
        <w:rPr>
          <w:i/>
        </w:rPr>
        <w:t>Discussion</w:t>
      </w:r>
      <w:r w:rsidRPr="00B43519" w:rsidR="001D16D8">
        <w:rPr>
          <w:i/>
        </w:rPr>
        <w:t xml:space="preserve">.  </w:t>
      </w:r>
      <w:r w:rsidRPr="00B76011" w:rsidR="001D16D8">
        <w:t xml:space="preserve">We </w:t>
      </w:r>
      <w:r w:rsidRPr="00B76011" w:rsidR="00FC32BD">
        <w:t xml:space="preserve">have reviewed the </w:t>
      </w:r>
      <w:r w:rsidR="00FA6941">
        <w:t>Applicant</w:t>
      </w:r>
      <w:r w:rsidRPr="00B76011" w:rsidR="00FC32BD">
        <w:t xml:space="preserve">s’ </w:t>
      </w:r>
      <w:r w:rsidR="008F0E47">
        <w:t xml:space="preserve">claimed </w:t>
      </w:r>
      <w:r w:rsidRPr="00B76011" w:rsidR="00FC32BD">
        <w:t>public interest benefits</w:t>
      </w:r>
      <w:r w:rsidR="00555288">
        <w:t>.</w:t>
      </w:r>
      <w:r w:rsidRPr="00B76011" w:rsidR="001D16D8">
        <w:t xml:space="preserve">  </w:t>
      </w:r>
      <w:r w:rsidRPr="00B76011" w:rsidR="008B61E4">
        <w:t xml:space="preserve">As </w:t>
      </w:r>
      <w:r w:rsidR="00555288">
        <w:t xml:space="preserve">noted </w:t>
      </w:r>
      <w:r w:rsidRPr="00B76011" w:rsidR="008B61E4">
        <w:t xml:space="preserve">in the </w:t>
      </w:r>
      <w:r w:rsidRPr="00B43519" w:rsidR="008B61E4">
        <w:rPr>
          <w:i/>
        </w:rPr>
        <w:t>Spectrum Frontiers</w:t>
      </w:r>
      <w:r w:rsidRPr="00B43519" w:rsidR="00555288">
        <w:rPr>
          <w:i/>
        </w:rPr>
        <w:t xml:space="preserve"> </w:t>
      </w:r>
      <w:r w:rsidR="00555288">
        <w:t>proceeding</w:t>
      </w:r>
      <w:r w:rsidRPr="00B76011" w:rsidR="008B61E4">
        <w:t xml:space="preserve">, </w:t>
      </w:r>
      <w:r w:rsidRPr="00B76011">
        <w:t xml:space="preserve">the 39 GHz spectrum that is included in the </w:t>
      </w:r>
      <w:r w:rsidR="00E95F72">
        <w:t xml:space="preserve">proposed </w:t>
      </w:r>
      <w:r w:rsidR="00606906">
        <w:t>transaction</w:t>
      </w:r>
      <w:r w:rsidR="00555288">
        <w:t xml:space="preserve">, among other bands, </w:t>
      </w:r>
      <w:r w:rsidRPr="00B76011">
        <w:t xml:space="preserve">is </w:t>
      </w:r>
      <w:r w:rsidR="00F6386C">
        <w:t xml:space="preserve">likely to be </w:t>
      </w:r>
      <w:r w:rsidR="00555288">
        <w:t>used for</w:t>
      </w:r>
      <w:r w:rsidRPr="00B76011">
        <w:t xml:space="preserve"> 5G deployment</w:t>
      </w:r>
      <w:r w:rsidR="00BA508F">
        <w:t>.</w:t>
      </w:r>
      <w:r>
        <w:rPr>
          <w:rStyle w:val="FootnoteReference"/>
        </w:rPr>
        <w:footnoteReference w:id="71"/>
      </w:r>
      <w:r w:rsidRPr="00971D0D">
        <w:t xml:space="preserve"> </w:t>
      </w:r>
      <w:r w:rsidR="00281E2E">
        <w:t xml:space="preserve"> </w:t>
      </w:r>
      <w:r w:rsidR="00BA508F">
        <w:t xml:space="preserve">We note that </w:t>
      </w:r>
      <w:r w:rsidR="00555288">
        <w:t>AT&amp;T has been taking a number of steps toward developing standards and technology for 5G deployment</w:t>
      </w:r>
      <w:r w:rsidR="00931ACA">
        <w:t>.</w:t>
      </w:r>
      <w:r>
        <w:rPr>
          <w:rStyle w:val="FootnoteReference"/>
        </w:rPr>
        <w:footnoteReference w:id="72"/>
      </w:r>
      <w:r w:rsidR="00BA508F">
        <w:t xml:space="preserve"> </w:t>
      </w:r>
      <w:r w:rsidR="00281E2E">
        <w:t xml:space="preserve"> </w:t>
      </w:r>
      <w:r w:rsidR="00931ACA">
        <w:t>I</w:t>
      </w:r>
      <w:r w:rsidR="00FC024A">
        <w:t xml:space="preserve">t </w:t>
      </w:r>
      <w:r w:rsidR="00BA508F">
        <w:t xml:space="preserve">has announced that it aims to launch mobile 5G services to consumers </w:t>
      </w:r>
      <w:r w:rsidR="00931ACA">
        <w:t xml:space="preserve">in twelve markets </w:t>
      </w:r>
      <w:r w:rsidR="00BA508F">
        <w:t>beginning in late 2018.</w:t>
      </w:r>
      <w:r>
        <w:rPr>
          <w:rStyle w:val="FootnoteReference"/>
        </w:rPr>
        <w:footnoteReference w:id="73"/>
      </w:r>
      <w:r w:rsidR="00BA508F">
        <w:t xml:space="preserve">  </w:t>
      </w:r>
      <w:r w:rsidR="00555288">
        <w:t xml:space="preserve">We </w:t>
      </w:r>
      <w:r w:rsidRPr="00971D0D" w:rsidR="00555288">
        <w:t xml:space="preserve">find </w:t>
      </w:r>
      <w:r w:rsidRPr="00B76011" w:rsidR="00555288">
        <w:t>that, as a direct result of the</w:t>
      </w:r>
      <w:r w:rsidR="00555288">
        <w:t xml:space="preserve"> transaction</w:t>
      </w:r>
      <w:r w:rsidRPr="00B76011" w:rsidR="00555288">
        <w:t xml:space="preserve">, </w:t>
      </w:r>
      <w:r w:rsidR="00555288">
        <w:t xml:space="preserve">AT&amp;T </w:t>
      </w:r>
      <w:r w:rsidRPr="00B76011" w:rsidR="00555288">
        <w:t xml:space="preserve">likely would be better able to </w:t>
      </w:r>
      <w:r w:rsidR="00555288">
        <w:t xml:space="preserve">develop and deploy innovative </w:t>
      </w:r>
      <w:r w:rsidRPr="00B76011" w:rsidR="00555288">
        <w:t xml:space="preserve">5G </w:t>
      </w:r>
      <w:r w:rsidR="00555288">
        <w:t xml:space="preserve">services </w:t>
      </w:r>
      <w:r w:rsidRPr="00B76011" w:rsidR="00555288">
        <w:t>to the benefit of American consumers</w:t>
      </w:r>
      <w:r w:rsidR="00BA508F">
        <w:t xml:space="preserve">.  </w:t>
      </w:r>
      <w:r w:rsidR="008D5D62">
        <w:t>Therefore, w</w:t>
      </w:r>
      <w:r w:rsidRPr="00971D0D">
        <w:t xml:space="preserve">e believe that </w:t>
      </w:r>
      <w:r w:rsidRPr="00971D0D">
        <w:t>consenting to</w:t>
      </w:r>
      <w:r w:rsidRPr="00B76011">
        <w:t xml:space="preserve"> the subject </w:t>
      </w:r>
      <w:r w:rsidR="00FA6941">
        <w:t>transaction</w:t>
      </w:r>
      <w:r w:rsidRPr="00B76011">
        <w:t xml:space="preserve"> w</w:t>
      </w:r>
      <w:r w:rsidRPr="00B76011">
        <w:t>ill</w:t>
      </w:r>
      <w:r w:rsidRPr="00B76011">
        <w:t xml:space="preserve"> allow</w:t>
      </w:r>
      <w:r w:rsidR="008D5D62">
        <w:t xml:space="preserve"> AT&amp;T</w:t>
      </w:r>
      <w:r w:rsidRPr="00B76011">
        <w:t xml:space="preserve"> to </w:t>
      </w:r>
      <w:r w:rsidR="00786E9D">
        <w:t xml:space="preserve">continue to </w:t>
      </w:r>
      <w:r w:rsidRPr="00B76011">
        <w:t xml:space="preserve">develop </w:t>
      </w:r>
      <w:r w:rsidRPr="00B76011" w:rsidR="00220916">
        <w:t xml:space="preserve">important </w:t>
      </w:r>
      <w:r w:rsidRPr="00B76011">
        <w:t xml:space="preserve">uses and </w:t>
      </w:r>
      <w:r w:rsidRPr="00B76011" w:rsidR="009533AA">
        <w:t>new t</w:t>
      </w:r>
      <w:r w:rsidRPr="00B76011">
        <w:t>echnology for th</w:t>
      </w:r>
      <w:r w:rsidR="008D5D62">
        <w:t>is</w:t>
      </w:r>
      <w:r w:rsidRPr="00B76011">
        <w:t xml:space="preserve"> mmW spectrum band.  </w:t>
      </w:r>
    </w:p>
    <w:p w:rsidR="003D7301" w:rsidRPr="00971D0D" w:rsidP="0008605B">
      <w:pPr>
        <w:pStyle w:val="Heading1"/>
        <w:widowControl/>
        <w:tabs>
          <w:tab w:val="num" w:pos="1440"/>
        </w:tabs>
        <w:spacing w:line="240" w:lineRule="auto"/>
      </w:pPr>
      <w:bookmarkStart w:id="70" w:name="_Toc413413920"/>
      <w:bookmarkStart w:id="71" w:name="_Toc413661531"/>
      <w:bookmarkStart w:id="72" w:name="_Toc418763701"/>
      <w:bookmarkStart w:id="73" w:name="_Toc418780426"/>
      <w:bookmarkStart w:id="74" w:name="_Toc418781220"/>
      <w:bookmarkStart w:id="75" w:name="_Toc419201474"/>
      <w:bookmarkStart w:id="76" w:name="_Toc419206335"/>
      <w:bookmarkStart w:id="77" w:name="_Toc419206931"/>
      <w:bookmarkStart w:id="78" w:name="_Toc419207009"/>
      <w:bookmarkStart w:id="79" w:name="_Toc419287181"/>
      <w:bookmarkStart w:id="80" w:name="_Toc419447053"/>
      <w:bookmarkStart w:id="81" w:name="_Toc419815672"/>
      <w:bookmarkStart w:id="82" w:name="_Toc420400643"/>
      <w:bookmarkStart w:id="83" w:name="_Toc420499771"/>
      <w:bookmarkStart w:id="84" w:name="_Toc426371655"/>
      <w:bookmarkStart w:id="85" w:name="_Toc431369391"/>
      <w:bookmarkStart w:id="86" w:name="_Toc432079510"/>
      <w:bookmarkStart w:id="87" w:name="_Toc433031351"/>
      <w:bookmarkStart w:id="88" w:name="_Toc433613271"/>
      <w:bookmarkStart w:id="89" w:name="_Toc433631091"/>
      <w:bookmarkStart w:id="90" w:name="_Toc433631154"/>
      <w:bookmarkStart w:id="91" w:name="_Toc433631219"/>
      <w:bookmarkStart w:id="92" w:name="_Toc433631273"/>
      <w:bookmarkStart w:id="93" w:name="_Toc433631617"/>
      <w:bookmarkStart w:id="94" w:name="_Toc434313063"/>
      <w:r>
        <w:t>Conclusion</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3D7301" w:rsidRPr="00971D0D" w:rsidP="0008605B">
      <w:pPr>
        <w:pStyle w:val="ParaNum"/>
        <w:keepNext/>
        <w:widowControl/>
        <w:tabs>
          <w:tab w:val="num" w:pos="1440"/>
        </w:tabs>
        <w:spacing w:line="240" w:lineRule="auto"/>
        <w:ind w:left="86"/>
      </w:pPr>
      <w:r w:rsidRPr="00971D0D">
        <w:t>B</w:t>
      </w:r>
      <w:r w:rsidRPr="00971D0D" w:rsidR="00047060">
        <w:t xml:space="preserve">ased on our careful </w:t>
      </w:r>
      <w:r w:rsidRPr="00971D0D">
        <w:t>evaluation of the likely c</w:t>
      </w:r>
      <w:r w:rsidRPr="00B76011">
        <w:t>ompetitive effects</w:t>
      </w:r>
      <w:r w:rsidRPr="00B76011" w:rsidR="00047060">
        <w:t xml:space="preserve">, we find that the </w:t>
      </w:r>
      <w:r w:rsidR="00606906">
        <w:t xml:space="preserve">transaction </w:t>
      </w:r>
      <w:r w:rsidRPr="00B76011" w:rsidR="00047060">
        <w:t xml:space="preserve">is unlikely to result in any significant public interest harms. </w:t>
      </w:r>
      <w:r w:rsidRPr="00B76011">
        <w:t xml:space="preserve"> </w:t>
      </w:r>
      <w:r w:rsidRPr="00971D0D">
        <w:t xml:space="preserve">In addition, </w:t>
      </w:r>
      <w:r w:rsidRPr="00971D0D">
        <w:rPr>
          <w:snapToGrid/>
          <w:color w:val="000000" w:themeColor="text1"/>
          <w:szCs w:val="22"/>
        </w:rPr>
        <w:t xml:space="preserve">we </w:t>
      </w:r>
      <w:r w:rsidRPr="00971D0D">
        <w:rPr>
          <w:snapToGrid/>
          <w:color w:val="000000" w:themeColor="text1"/>
          <w:kern w:val="0"/>
          <w:szCs w:val="22"/>
        </w:rPr>
        <w:t xml:space="preserve">find that </w:t>
      </w:r>
      <w:r w:rsidRPr="00971D0D">
        <w:t>the record support</w:t>
      </w:r>
      <w:r w:rsidR="00FC024A">
        <w:t>s</w:t>
      </w:r>
      <w:r w:rsidRPr="00971D0D">
        <w:t xml:space="preserve"> the </w:t>
      </w:r>
      <w:r w:rsidR="00606906">
        <w:t>Applican</w:t>
      </w:r>
      <w:r w:rsidRPr="00971D0D">
        <w:t xml:space="preserve">ts’ </w:t>
      </w:r>
      <w:r w:rsidRPr="00971D0D" w:rsidR="007C6005">
        <w:t>assertions</w:t>
      </w:r>
      <w:r w:rsidRPr="00971D0D">
        <w:t xml:space="preserve"> that the </w:t>
      </w:r>
      <w:r w:rsidR="00606906">
        <w:t xml:space="preserve">transaction </w:t>
      </w:r>
      <w:r w:rsidRPr="00971D0D" w:rsidR="008F0E47">
        <w:t xml:space="preserve">likely </w:t>
      </w:r>
      <w:r w:rsidRPr="00971D0D">
        <w:t xml:space="preserve">would result in </w:t>
      </w:r>
      <w:r w:rsidR="00B76011">
        <w:t>certain</w:t>
      </w:r>
      <w:r w:rsidRPr="00B76011" w:rsidR="00B76011">
        <w:t xml:space="preserve"> </w:t>
      </w:r>
      <w:r w:rsidRPr="00B76011">
        <w:t xml:space="preserve">public interest benefits.  As a result, based on </w:t>
      </w:r>
      <w:r w:rsidR="008F0E47">
        <w:t xml:space="preserve">our review of </w:t>
      </w:r>
      <w:r w:rsidRPr="00B76011">
        <w:t xml:space="preserve">the record before us, we find that consent to the proposed </w:t>
      </w:r>
      <w:r w:rsidR="00322260">
        <w:t xml:space="preserve">transfer of control </w:t>
      </w:r>
      <w:r w:rsidRPr="00CD2847">
        <w:t>would serve the public interest, convenience, and necessity.</w:t>
      </w:r>
    </w:p>
    <w:p w:rsidR="00C22202" w:rsidRPr="00971D0D" w:rsidP="0025247C">
      <w:pPr>
        <w:pStyle w:val="Heading1"/>
        <w:keepNext w:val="0"/>
        <w:tabs>
          <w:tab w:val="num" w:pos="1440"/>
        </w:tabs>
        <w:spacing w:line="240" w:lineRule="auto"/>
      </w:pPr>
      <w:r w:rsidRPr="00971D0D">
        <w:t>ordering clauses</w:t>
      </w:r>
    </w:p>
    <w:p w:rsidR="00047060" w:rsidRPr="00971D0D" w:rsidP="0025247C">
      <w:pPr>
        <w:pStyle w:val="ParaNum"/>
        <w:tabs>
          <w:tab w:val="num" w:pos="1440"/>
        </w:tabs>
        <w:spacing w:line="240" w:lineRule="auto"/>
        <w:ind w:left="86"/>
      </w:pPr>
      <w:r w:rsidRPr="00971D0D">
        <w:t>Accordingly, having reviewed the application</w:t>
      </w:r>
      <w:r w:rsidR="00E35F2B">
        <w:t>s</w:t>
      </w:r>
      <w:r w:rsidRPr="00971D0D">
        <w:t xml:space="preserve"> and the record in this matter, </w:t>
      </w:r>
      <w:r w:rsidRPr="00C121CD">
        <w:rPr>
          <w:b/>
        </w:rPr>
        <w:t>I</w:t>
      </w:r>
      <w:r w:rsidRPr="00C121CD" w:rsidR="00712455">
        <w:rPr>
          <w:b/>
        </w:rPr>
        <w:t>T IS ORDERED</w:t>
      </w:r>
      <w:r w:rsidR="00712455">
        <w:t xml:space="preserve"> that, pursuant to S</w:t>
      </w:r>
      <w:r w:rsidRPr="00971D0D">
        <w:t xml:space="preserve">ections 4(i)-(j), </w:t>
      </w:r>
      <w:r w:rsidRPr="00971D0D" w:rsidR="00971315">
        <w:t>303(r)</w:t>
      </w:r>
      <w:r w:rsidRPr="00971D0D">
        <w:t>, 309, and 310(d) of the Communications Act of 1934, as amended, 47 U.S.C. §§ 154(i)-(j</w:t>
      </w:r>
      <w:r w:rsidRPr="00B76011">
        <w:t>),</w:t>
      </w:r>
      <w:r w:rsidRPr="00B76011" w:rsidR="00971315">
        <w:t xml:space="preserve"> 303(r)</w:t>
      </w:r>
      <w:r w:rsidRPr="00B76011">
        <w:t xml:space="preserve">, </w:t>
      </w:r>
      <w:r w:rsidRPr="00B76011" w:rsidR="00971315">
        <w:t xml:space="preserve">309, </w:t>
      </w:r>
      <w:r w:rsidRPr="00B76011">
        <w:t xml:space="preserve">310(d), the </w:t>
      </w:r>
      <w:r w:rsidRPr="00B76011" w:rsidR="00AC677C">
        <w:t>application</w:t>
      </w:r>
      <w:r w:rsidR="00E35F2B">
        <w:t>s</w:t>
      </w:r>
      <w:r w:rsidRPr="00B76011" w:rsidR="00AC677C">
        <w:t xml:space="preserve"> for consent to the </w:t>
      </w:r>
      <w:r w:rsidR="003B3E2E">
        <w:t xml:space="preserve">transfer of control </w:t>
      </w:r>
      <w:r w:rsidRPr="00971D0D" w:rsidR="00971315">
        <w:t xml:space="preserve">filed by </w:t>
      </w:r>
      <w:r w:rsidR="00E35F2B">
        <w:t xml:space="preserve">AT&amp;T Mobility </w:t>
      </w:r>
      <w:r w:rsidRPr="00971D0D" w:rsidR="00971315">
        <w:t xml:space="preserve">and </w:t>
      </w:r>
      <w:r w:rsidR="00E35F2B">
        <w:t xml:space="preserve">FiberTower Corporation </w:t>
      </w:r>
      <w:r w:rsidR="00E35F2B">
        <w:rPr>
          <w:b/>
        </w:rPr>
        <w:t>ARE</w:t>
      </w:r>
      <w:r w:rsidRPr="00C121CD">
        <w:rPr>
          <w:b/>
        </w:rPr>
        <w:t xml:space="preserve"> GRANTED</w:t>
      </w:r>
      <w:r w:rsidR="00D051D7">
        <w:rPr>
          <w:b/>
        </w:rPr>
        <w:t xml:space="preserve">, </w:t>
      </w:r>
      <w:r w:rsidRPr="00D051D7" w:rsidR="00D051D7">
        <w:t>subject</w:t>
      </w:r>
      <w:r w:rsidR="00D051D7">
        <w:rPr>
          <w:b/>
        </w:rPr>
        <w:t xml:space="preserve"> </w:t>
      </w:r>
      <w:r w:rsidRPr="00D051D7" w:rsidR="00D051D7">
        <w:t xml:space="preserve">to the </w:t>
      </w:r>
      <w:r w:rsidR="00D051D7">
        <w:t xml:space="preserve">condition of full compliance by FiberTower </w:t>
      </w:r>
      <w:r w:rsidR="004204A8">
        <w:t xml:space="preserve">and </w:t>
      </w:r>
      <w:r w:rsidR="00C12225">
        <w:t xml:space="preserve">AT&amp;T Mobility </w:t>
      </w:r>
      <w:r w:rsidR="00D051D7">
        <w:t xml:space="preserve">with </w:t>
      </w:r>
      <w:r w:rsidR="00C12225">
        <w:t xml:space="preserve">all of the terms of </w:t>
      </w:r>
      <w:r w:rsidR="00D051D7">
        <w:t>the Settlement Agreement</w:t>
      </w:r>
      <w:r w:rsidRPr="00D051D7">
        <w:t>.</w:t>
      </w:r>
    </w:p>
    <w:p w:rsidR="00C121CD" w:rsidRPr="00C121CD" w:rsidP="0025247C">
      <w:pPr>
        <w:pStyle w:val="ParaNum"/>
        <w:widowControl/>
        <w:tabs>
          <w:tab w:val="num" w:pos="1440"/>
          <w:tab w:val="clear" w:pos="5310"/>
        </w:tabs>
        <w:spacing w:line="240" w:lineRule="auto"/>
        <w:ind w:left="0"/>
      </w:pPr>
      <w:r w:rsidRPr="00C121CD">
        <w:rPr>
          <w:b/>
        </w:rPr>
        <w:t>IT IS FUR</w:t>
      </w:r>
      <w:r w:rsidRPr="00C121CD" w:rsidR="00712455">
        <w:rPr>
          <w:b/>
        </w:rPr>
        <w:t>THER ORDERED</w:t>
      </w:r>
      <w:r w:rsidR="00712455">
        <w:t xml:space="preserve"> that, pursuant to S</w:t>
      </w:r>
      <w:r w:rsidRPr="00971D0D">
        <w:t>ections 63.10, 63.13, and 1.939 of the Commission’s Rules, 47 CFR §§ 63.10, 63.13</w:t>
      </w:r>
      <w:r w:rsidR="006975EA">
        <w:t>, 1.939, the petition</w:t>
      </w:r>
      <w:r w:rsidR="008E44EE">
        <w:t>s</w:t>
      </w:r>
      <w:r w:rsidR="006975EA">
        <w:t xml:space="preserve"> of </w:t>
      </w:r>
      <w:r w:rsidR="008E44EE">
        <w:t xml:space="preserve">M&amp;M and of the Former Shareholders </w:t>
      </w:r>
      <w:r w:rsidRPr="00971D0D">
        <w:t xml:space="preserve">to deny the </w:t>
      </w:r>
      <w:r w:rsidR="006E0239">
        <w:t>A</w:t>
      </w:r>
      <w:r w:rsidRPr="00971D0D">
        <w:t>pplication</w:t>
      </w:r>
      <w:r w:rsidR="006E0239">
        <w:t>s</w:t>
      </w:r>
      <w:r w:rsidRPr="00971D0D">
        <w:t xml:space="preserve"> </w:t>
      </w:r>
      <w:r w:rsidRPr="00C121CD" w:rsidR="006C7E53">
        <w:rPr>
          <w:b/>
        </w:rPr>
        <w:t>ARE</w:t>
      </w:r>
      <w:r w:rsidRPr="00C121CD">
        <w:rPr>
          <w:b/>
        </w:rPr>
        <w:t xml:space="preserve"> DENIED</w:t>
      </w:r>
      <w:r w:rsidRPr="00971D0D">
        <w:t xml:space="preserve"> as discussed above</w:t>
      </w:r>
      <w:r w:rsidR="00B8452B">
        <w:t>.</w:t>
      </w:r>
      <w:r w:rsidRPr="00C121CD">
        <w:rPr>
          <w:b/>
          <w:bCs/>
        </w:rPr>
        <w:t xml:space="preserve"> </w:t>
      </w:r>
    </w:p>
    <w:p w:rsidR="00971315" w:rsidRPr="00971D0D" w:rsidP="0025247C">
      <w:pPr>
        <w:pStyle w:val="ParaNum"/>
        <w:tabs>
          <w:tab w:val="num" w:pos="1440"/>
        </w:tabs>
        <w:spacing w:line="240" w:lineRule="auto"/>
        <w:ind w:left="86"/>
      </w:pPr>
      <w:r w:rsidRPr="00C121CD">
        <w:rPr>
          <w:b/>
        </w:rPr>
        <w:t>IT IS FURTHER ORDERED</w:t>
      </w:r>
      <w:r w:rsidRPr="00971D0D">
        <w:t xml:space="preserve"> that this Memorandum Opinion and Order </w:t>
      </w:r>
      <w:r w:rsidRPr="006061C1">
        <w:rPr>
          <w:b/>
        </w:rPr>
        <w:t>SHALL BE EFFECTIVE</w:t>
      </w:r>
      <w:r w:rsidRPr="00971D0D">
        <w:t xml:space="preserve"> upon release.  Petit</w:t>
      </w:r>
      <w:r w:rsidR="00712455">
        <w:t>ions for Reconsideration under S</w:t>
      </w:r>
      <w:r w:rsidRPr="00971D0D">
        <w:t>ection 1.106 of the Commission’s Rules, 47 CFR § 1.106, may be filed within thirty days of the date of release of this Memorandum Opinion and Order.</w:t>
      </w:r>
    </w:p>
    <w:p w:rsidR="00971315" w:rsidRPr="00971D0D" w:rsidP="0025247C">
      <w:pPr>
        <w:pStyle w:val="ParaNum"/>
        <w:tabs>
          <w:tab w:val="num" w:pos="1440"/>
        </w:tabs>
        <w:spacing w:line="240" w:lineRule="auto"/>
        <w:ind w:left="86"/>
      </w:pPr>
      <w:r w:rsidRPr="00971D0D">
        <w:t>This action is taken under d</w:t>
      </w:r>
      <w:r w:rsidR="00712455">
        <w:t>elegated authority pursuant to S</w:t>
      </w:r>
      <w:r w:rsidRPr="00971D0D">
        <w:t xml:space="preserve">ections 0.131 and 0.331 of the Commission’s Rules, 47 CFR §§ 0.131, 0.331. </w:t>
      </w:r>
    </w:p>
    <w:p w:rsidR="00973EB7" w:rsidRPr="00971D0D" w:rsidP="0025247C">
      <w:pPr>
        <w:widowControl/>
        <w:tabs>
          <w:tab w:val="num" w:pos="1440"/>
        </w:tabs>
        <w:spacing w:line="240" w:lineRule="auto"/>
        <w:ind w:left="3600" w:firstLine="720"/>
      </w:pPr>
      <w:r w:rsidRPr="00971D0D">
        <w:t>FEDERAL COMMUNICATIONS COMMISSION</w:t>
      </w:r>
    </w:p>
    <w:p w:rsidR="00973EB7" w:rsidRPr="00971D0D" w:rsidP="0025247C">
      <w:pPr>
        <w:widowControl/>
        <w:tabs>
          <w:tab w:val="num" w:pos="1440"/>
        </w:tabs>
        <w:spacing w:after="0" w:line="240" w:lineRule="auto"/>
      </w:pPr>
    </w:p>
    <w:p w:rsidR="00B04EDB" w:rsidRPr="00971D0D" w:rsidP="0025247C">
      <w:pPr>
        <w:widowControl/>
        <w:tabs>
          <w:tab w:val="num" w:pos="1440"/>
        </w:tabs>
        <w:spacing w:after="0" w:line="240" w:lineRule="auto"/>
      </w:pPr>
    </w:p>
    <w:p w:rsidR="00973EB7" w:rsidRPr="00971D0D" w:rsidP="0025247C">
      <w:pPr>
        <w:widowControl/>
        <w:tabs>
          <w:tab w:val="num" w:pos="1440"/>
        </w:tabs>
        <w:spacing w:after="0" w:line="240" w:lineRule="auto"/>
      </w:pPr>
    </w:p>
    <w:p w:rsidR="00973EB7" w:rsidRPr="00971D0D" w:rsidP="0025247C">
      <w:pPr>
        <w:widowControl/>
        <w:tabs>
          <w:tab w:val="num" w:pos="1440"/>
        </w:tabs>
        <w:spacing w:after="0" w:line="240" w:lineRule="auto"/>
      </w:pPr>
    </w:p>
    <w:p w:rsidR="00973EB7" w:rsidRPr="00971D0D" w:rsidP="0025247C">
      <w:pPr>
        <w:widowControl/>
        <w:tabs>
          <w:tab w:val="num" w:pos="1440"/>
        </w:tabs>
        <w:spacing w:after="0" w:line="240" w:lineRule="auto"/>
      </w:pPr>
      <w:r w:rsidRPr="00971D0D">
        <w:tab/>
      </w:r>
      <w:r w:rsidRPr="00971D0D">
        <w:tab/>
      </w:r>
      <w:r w:rsidRPr="00971D0D">
        <w:tab/>
      </w:r>
      <w:r w:rsidRPr="00971D0D">
        <w:tab/>
      </w:r>
      <w:r w:rsidRPr="00971D0D">
        <w:tab/>
      </w:r>
      <w:r w:rsidR="004B784D">
        <w:t>Donald Stockdale</w:t>
      </w:r>
    </w:p>
    <w:p w:rsidR="00973EB7" w:rsidRPr="00971D0D" w:rsidP="0025247C">
      <w:pPr>
        <w:widowControl/>
        <w:tabs>
          <w:tab w:val="num" w:pos="1440"/>
        </w:tabs>
        <w:spacing w:after="0" w:line="240" w:lineRule="auto"/>
        <w:ind w:left="3600" w:firstLine="720"/>
      </w:pPr>
      <w:r w:rsidRPr="00971D0D">
        <w:t>Chief</w:t>
      </w:r>
    </w:p>
    <w:p w:rsidR="00AC1B4C" w:rsidRPr="003D7301" w:rsidP="0025247C">
      <w:pPr>
        <w:widowControl/>
        <w:tabs>
          <w:tab w:val="num" w:pos="1440"/>
        </w:tabs>
        <w:spacing w:after="0" w:line="240" w:lineRule="auto"/>
        <w:ind w:left="3600" w:firstLine="720"/>
      </w:pPr>
      <w:r w:rsidRPr="00971D0D">
        <w:t>Wireless Telecommunications Bureau</w:t>
      </w:r>
    </w:p>
    <w:sectPr w:rsidSect="00B506B9">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525"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7DF0" w:rsidP="0055614C">
    <w:pPr>
      <w:pStyle w:val="Footer"/>
      <w:framePr w:wrap="around" w:vAnchor="text" w:hAnchor="margin" w:xAlign="center" w:y="1"/>
    </w:pPr>
    <w:r>
      <w:fldChar w:fldCharType="begin"/>
    </w:r>
    <w:r>
      <w:instrText xml:space="preserve">PAGE  </w:instrText>
    </w:r>
    <w:r>
      <w:fldChar w:fldCharType="separate"/>
    </w:r>
    <w:r>
      <w:fldChar w:fldCharType="end"/>
    </w:r>
  </w:p>
  <w:p w:rsidR="00947D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7DF0" w:rsidP="0055614C">
    <w:pPr>
      <w:pStyle w:val="Footer"/>
      <w:framePr w:wrap="around" w:vAnchor="text" w:hAnchor="margin" w:xAlign="center" w:y="1"/>
    </w:pPr>
    <w:r>
      <w:fldChar w:fldCharType="begin"/>
    </w:r>
    <w:r>
      <w:instrText xml:space="preserve">PAGE  </w:instrText>
    </w:r>
    <w:r>
      <w:fldChar w:fldCharType="separate"/>
    </w:r>
    <w:r w:rsidR="00D116C7">
      <w:rPr>
        <w:noProof/>
      </w:rPr>
      <w:t>2</w:t>
    </w:r>
    <w:r>
      <w:fldChar w:fldCharType="end"/>
    </w:r>
  </w:p>
  <w:p w:rsidR="00947DF0">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7DF0">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D0C4B">
      <w:r>
        <w:separator/>
      </w:r>
    </w:p>
  </w:footnote>
  <w:footnote w:type="continuationSeparator" w:id="1">
    <w:p w:rsidR="004D0C4B" w:rsidP="00C721AC">
      <w:pPr>
        <w:spacing w:before="120"/>
        <w:rPr>
          <w:sz w:val="20"/>
        </w:rPr>
      </w:pPr>
      <w:r>
        <w:rPr>
          <w:sz w:val="20"/>
        </w:rPr>
        <w:t xml:space="preserve">(Continued from previous page)  </w:t>
      </w:r>
      <w:r>
        <w:rPr>
          <w:sz w:val="20"/>
        </w:rPr>
        <w:separator/>
      </w:r>
    </w:p>
  </w:footnote>
  <w:footnote w:type="continuationNotice" w:id="2">
    <w:p w:rsidR="004D0C4B" w:rsidP="00C721AC">
      <w:pPr>
        <w:jc w:val="right"/>
        <w:rPr>
          <w:sz w:val="20"/>
        </w:rPr>
      </w:pPr>
      <w:r>
        <w:rPr>
          <w:sz w:val="20"/>
        </w:rPr>
        <w:t>(continued….)</w:t>
      </w:r>
    </w:p>
  </w:footnote>
  <w:footnote w:id="3">
    <w:p w:rsidR="00CF7F48" w:rsidRPr="00CF7F48">
      <w:pPr>
        <w:pStyle w:val="FootnoteText"/>
        <w:rPr>
          <w:i/>
        </w:rPr>
      </w:pPr>
      <w:r>
        <w:rPr>
          <w:rStyle w:val="FootnoteReference"/>
        </w:rPr>
        <w:footnoteRef/>
      </w:r>
      <w:r>
        <w:t xml:space="preserve"> </w:t>
      </w:r>
      <w:r>
        <w:rPr>
          <w:i/>
        </w:rPr>
        <w:t xml:space="preserve">Application of AT&amp;T Mobility Spectrum LLC and FiberTower Corporation for Transfer of Control of Licenses, </w:t>
      </w:r>
      <w:r w:rsidRPr="00CF7F48">
        <w:t>ULS File No. 0007652635</w:t>
      </w:r>
      <w:r>
        <w:rPr>
          <w:i/>
        </w:rPr>
        <w:t xml:space="preserve"> </w:t>
      </w:r>
      <w:r w:rsidRPr="00CF7F48">
        <w:t>(filed Feb. 13, 2017, amended</w:t>
      </w:r>
      <w:r>
        <w:t xml:space="preserve"> </w:t>
      </w:r>
      <w:r w:rsidR="004C0A8E">
        <w:t>Jan</w:t>
      </w:r>
      <w:r w:rsidR="00005724">
        <w:t>. 31</w:t>
      </w:r>
      <w:r w:rsidR="004C0A8E">
        <w:t>, 2018</w:t>
      </w:r>
      <w:r w:rsidR="004D42DC">
        <w:t xml:space="preserve"> and</w:t>
      </w:r>
      <w:r w:rsidR="00005724">
        <w:t xml:space="preserve"> Feb. 2, 2018</w:t>
      </w:r>
      <w:r>
        <w:t>) (</w:t>
      </w:r>
      <w:r w:rsidR="00CB6750">
        <w:t xml:space="preserve">Lead Application, and </w:t>
      </w:r>
      <w:r>
        <w:t>together with ULS File No. 0007652637, Applications), Ex. 1 – Description of Transaction and Public Interest Statement at 3 (Public Interest Statement).</w:t>
      </w:r>
    </w:p>
  </w:footnote>
  <w:footnote w:id="4">
    <w:p w:rsidR="003C1D37" w:rsidRPr="00C76FC1">
      <w:pPr>
        <w:pStyle w:val="FootnoteText"/>
        <w:rPr>
          <w:i/>
        </w:rPr>
      </w:pPr>
      <w:r>
        <w:rPr>
          <w:rStyle w:val="FootnoteReference"/>
        </w:rPr>
        <w:footnoteRef/>
      </w:r>
      <w:r>
        <w:t xml:space="preserve"> </w:t>
      </w:r>
      <w:r w:rsidR="00C76FC1">
        <w:rPr>
          <w:i/>
        </w:rPr>
        <w:t>Use of Spectrum Bands Above 24GHz for Mobile Radio Services</w:t>
      </w:r>
      <w:r w:rsidR="00C76FC1">
        <w:t>, Second Report and Order, Second Further Notice of Proposed Rulemaking, Order on Reconsideration, and Memorandum Opinion and Order, FCC 17-152, para. 74 (rel. Nov. 22, 2017) (</w:t>
      </w:r>
      <w:r w:rsidR="00C76FC1">
        <w:rPr>
          <w:i/>
        </w:rPr>
        <w:t>Spectrum Frontiers Second Report and Order</w:t>
      </w:r>
      <w:r w:rsidR="00C76FC1">
        <w:t>).</w:t>
      </w:r>
    </w:p>
  </w:footnote>
  <w:footnote w:id="5">
    <w:p w:rsidR="005472AD">
      <w:pPr>
        <w:pStyle w:val="FootnoteText"/>
      </w:pPr>
      <w:r>
        <w:rPr>
          <w:rStyle w:val="FootnoteReference"/>
        </w:rPr>
        <w:footnoteRef/>
      </w:r>
      <w:r>
        <w:t xml:space="preserve"> Public Interest Statement at 2.</w:t>
      </w:r>
    </w:p>
  </w:footnote>
  <w:footnote w:id="6">
    <w:p w:rsidR="00D33B23">
      <w:pPr>
        <w:pStyle w:val="FootnoteText"/>
      </w:pPr>
      <w:r>
        <w:rPr>
          <w:rStyle w:val="FootnoteReference"/>
        </w:rPr>
        <w:footnoteRef/>
      </w:r>
      <w:r>
        <w:t xml:space="preserve"> </w:t>
      </w:r>
      <w:r w:rsidR="005472AD">
        <w:rPr>
          <w:i/>
        </w:rPr>
        <w:t>Id</w:t>
      </w:r>
      <w:r w:rsidR="005472AD">
        <w:t>.</w:t>
      </w:r>
    </w:p>
  </w:footnote>
  <w:footnote w:id="7">
    <w:p w:rsidR="00947DF0" w:rsidP="0025247C">
      <w:pPr>
        <w:pStyle w:val="FootnoteText"/>
        <w:spacing w:line="240" w:lineRule="auto"/>
      </w:pPr>
      <w:r>
        <w:rPr>
          <w:rStyle w:val="FootnoteReference"/>
        </w:rPr>
        <w:footnoteRef/>
      </w:r>
      <w:r>
        <w:t xml:space="preserve"> 47 U.S.C. § 310(d).  </w:t>
      </w:r>
    </w:p>
  </w:footnote>
  <w:footnote w:id="8">
    <w:p w:rsidR="00005724">
      <w:pPr>
        <w:pStyle w:val="FootnoteText"/>
      </w:pPr>
      <w:r>
        <w:rPr>
          <w:rStyle w:val="FootnoteReference"/>
        </w:rPr>
        <w:footnoteRef/>
      </w:r>
      <w:r>
        <w:t xml:space="preserve"> The Applications also include </w:t>
      </w:r>
      <w:r w:rsidR="00AA0F2D">
        <w:t xml:space="preserve">additional </w:t>
      </w:r>
      <w:r>
        <w:t xml:space="preserve">24 GHz </w:t>
      </w:r>
      <w:r w:rsidR="00D47848">
        <w:t xml:space="preserve">and 39 GHz </w:t>
      </w:r>
      <w:r>
        <w:t xml:space="preserve">licenses that will be cancelled.  </w:t>
      </w:r>
      <w:r w:rsidR="00071E91">
        <w:t>Lead Application, Amendment Implementing Order on Remand at 1 &amp; n.7 (Applications Amendment Description).</w:t>
      </w:r>
      <w:r w:rsidR="00E63F65">
        <w:t xml:space="preserve">  The licenses to be cancelled </w:t>
      </w:r>
      <w:r w:rsidR="00387801">
        <w:t>are listed in Attachment 1 to the Applications Amendment Description</w:t>
      </w:r>
      <w:r w:rsidR="001C3A8D">
        <w:t xml:space="preserve"> (Cancelled Licenses)</w:t>
      </w:r>
      <w:r w:rsidR="00387801">
        <w:t xml:space="preserve">.  </w:t>
      </w:r>
      <w:r w:rsidR="00E63F65">
        <w:t>We note that as th</w:t>
      </w:r>
      <w:r w:rsidR="00387801">
        <w:t xml:space="preserve">ose licenses will be cancelled, they are not included in our competitive review for potential public interest harms in Section V.1 </w:t>
      </w:r>
      <w:r w:rsidRPr="0008605B" w:rsidR="00ED134D">
        <w:rPr>
          <w:i/>
        </w:rPr>
        <w:t>infra</w:t>
      </w:r>
      <w:r w:rsidR="00ED134D">
        <w:t>.</w:t>
      </w:r>
      <w:r w:rsidR="00AA0F2D">
        <w:t xml:space="preserve">  </w:t>
      </w:r>
    </w:p>
  </w:footnote>
  <w:footnote w:id="9">
    <w:p w:rsidR="00947DF0" w:rsidRPr="00F21229" w:rsidP="0025247C">
      <w:pPr>
        <w:pStyle w:val="FootnoteText"/>
        <w:spacing w:line="240" w:lineRule="auto"/>
        <w:rPr>
          <w:i/>
        </w:rPr>
      </w:pPr>
      <w:r>
        <w:rPr>
          <w:rStyle w:val="FootnoteReference"/>
        </w:rPr>
        <w:footnoteRef/>
      </w:r>
      <w:r>
        <w:t xml:space="preserve"> Public Interest Statement at </w:t>
      </w:r>
      <w:r w:rsidR="00DC1A1E">
        <w:t>3</w:t>
      </w:r>
      <w:r>
        <w:t xml:space="preserve">.  </w:t>
      </w:r>
    </w:p>
  </w:footnote>
  <w:footnote w:id="10">
    <w:p w:rsidR="00947DF0" w:rsidP="0025247C">
      <w:pPr>
        <w:pStyle w:val="FootnoteText"/>
        <w:spacing w:line="240" w:lineRule="auto"/>
      </w:pPr>
      <w:r>
        <w:rPr>
          <w:rStyle w:val="FootnoteReference"/>
        </w:rPr>
        <w:footnoteRef/>
      </w:r>
      <w:r>
        <w:t xml:space="preserve"> </w:t>
      </w:r>
      <w:r w:rsidR="001544D1">
        <w:rPr>
          <w:i/>
        </w:rPr>
        <w:t>AT&amp;T Mobility Spectrum LLC</w:t>
      </w:r>
      <w:r>
        <w:rPr>
          <w:i/>
        </w:rPr>
        <w:t xml:space="preserve"> and </w:t>
      </w:r>
      <w:r w:rsidR="001544D1">
        <w:rPr>
          <w:i/>
        </w:rPr>
        <w:t>FiberTower Corporation</w:t>
      </w:r>
      <w:r>
        <w:rPr>
          <w:i/>
        </w:rPr>
        <w:t xml:space="preserve"> Seek FCC Consent to the Transfer of Control of </w:t>
      </w:r>
      <w:r w:rsidR="001544D1">
        <w:rPr>
          <w:i/>
        </w:rPr>
        <w:t>24</w:t>
      </w:r>
      <w:r w:rsidR="00DA22BE">
        <w:rPr>
          <w:i/>
        </w:rPr>
        <w:t xml:space="preserve"> </w:t>
      </w:r>
      <w:r w:rsidR="001544D1">
        <w:rPr>
          <w:i/>
        </w:rPr>
        <w:t xml:space="preserve">GHz </w:t>
      </w:r>
      <w:r>
        <w:rPr>
          <w:i/>
        </w:rPr>
        <w:t xml:space="preserve">and 39 GHz Licenses, </w:t>
      </w:r>
      <w:r>
        <w:t>ULS File No</w:t>
      </w:r>
      <w:r w:rsidR="001544D1">
        <w:t>s</w:t>
      </w:r>
      <w:r>
        <w:t>. 000765</w:t>
      </w:r>
      <w:r w:rsidR="001544D1">
        <w:t>2635 and 0007652637</w:t>
      </w:r>
      <w:r>
        <w:t xml:space="preserve">, Public Notice, </w:t>
      </w:r>
      <w:r w:rsidR="000D781D">
        <w:t>32</w:t>
      </w:r>
      <w:r>
        <w:t xml:space="preserve"> FCC Rcd </w:t>
      </w:r>
      <w:r w:rsidR="0012012B">
        <w:t>1932</w:t>
      </w:r>
      <w:r>
        <w:t xml:space="preserve"> (WTB 2017) (Accepted for Filing </w:t>
      </w:r>
      <w:r w:rsidRPr="00C241BE">
        <w:t>Public Notice</w:t>
      </w:r>
      <w:r>
        <w:t>).</w:t>
      </w:r>
      <w:r w:rsidR="00DA22BE">
        <w:t xml:space="preserve">  </w:t>
      </w:r>
    </w:p>
  </w:footnote>
  <w:footnote w:id="11">
    <w:p w:rsidR="00E411DA" w:rsidRPr="00E411DA">
      <w:pPr>
        <w:pStyle w:val="FootnoteText"/>
      </w:pPr>
      <w:r>
        <w:rPr>
          <w:rStyle w:val="FootnoteReference"/>
        </w:rPr>
        <w:footnoteRef/>
      </w:r>
      <w:r>
        <w:t xml:space="preserve"> </w:t>
      </w:r>
      <w:r w:rsidR="0063719B">
        <w:t>M&amp;M Brother</w:t>
      </w:r>
      <w:r w:rsidR="00F72A06">
        <w:t>s</w:t>
      </w:r>
      <w:r w:rsidR="0063719B">
        <w:t xml:space="preserve">, LLC Petition to Deny or to Place Conditions on the Grant of the Transfer Applications (filed March 30, 2017) (M&amp;M Petition); Reply to Joint Opposition to Petition to Deny or to Place Conditions on the Grant of the Transfer Applications (filed Apr. </w:t>
      </w:r>
      <w:r w:rsidR="00990277">
        <w:t>13, 2017) (M&amp;M Reply).</w:t>
      </w:r>
    </w:p>
  </w:footnote>
  <w:footnote w:id="12">
    <w:p w:rsidR="00155C34">
      <w:pPr>
        <w:pStyle w:val="FootnoteText"/>
      </w:pPr>
      <w:r>
        <w:rPr>
          <w:rStyle w:val="FootnoteReference"/>
        </w:rPr>
        <w:footnoteRef/>
      </w:r>
      <w:r>
        <w:t xml:space="preserve"> </w:t>
      </w:r>
      <w:r>
        <w:t>Petition to Deny of Sean Steuart (filed March 27, 2017); (</w:t>
      </w:r>
      <w:r w:rsidR="005F7549">
        <w:t xml:space="preserve">Petition to Deny of Richard Fahy ( filed March 28, 2017) (Fahy Petition); </w:t>
      </w:r>
      <w:r w:rsidR="00525D9E">
        <w:t>Petition to Deny of Michael Wright (filed March 29, 2017)</w:t>
      </w:r>
      <w:r w:rsidR="001F2E83">
        <w:t xml:space="preserve"> (Wright Petition)</w:t>
      </w:r>
      <w:r w:rsidR="00525D9E">
        <w:t xml:space="preserve">; Petition to Deny of Joseph K. Bachta (filed March 29, 2017); </w:t>
      </w:r>
      <w:r w:rsidR="005F7549">
        <w:t xml:space="preserve">Petition to Deny of Jermaine Levy (filed March 29, 2017) (Levy Petition); </w:t>
      </w:r>
      <w:r w:rsidR="00525D9E">
        <w:t>Petition to Deny of Christopher Waldemer (filed March 30, 2017);</w:t>
      </w:r>
      <w:r w:rsidR="005F7549">
        <w:t xml:space="preserve"> Petition to Deny of Barbara Johnson (filed March 30, 2017); Richard Fahy Reply to Joint Opposition of AT&amp;T Mobility Spectrum LLC and FiberTower Corporation (filed Apr. 10, 2017) (Fahy Reply); Jermaine Levy Reply to Joint Opposition of AT&amp;T Mobil</w:t>
      </w:r>
      <w:r w:rsidR="00281E2E">
        <w:t>i</w:t>
      </w:r>
      <w:r w:rsidR="005F7549">
        <w:t>ty Spectrum LLC and FiberTower Corporation (filed Apr. 13, 2017) (Levy Reply)</w:t>
      </w:r>
      <w:r w:rsidR="00071E91">
        <w:t xml:space="preserve">; Supplemental Comments of Richard Fahy (filed Jan.29, 2018; Supplemental Comments of </w:t>
      </w:r>
      <w:r w:rsidR="006D1955">
        <w:t>Jermaine Levy (filed Jan. 30, 2018).</w:t>
      </w:r>
    </w:p>
  </w:footnote>
  <w:footnote w:id="13">
    <w:p w:rsidR="009F5D35" w:rsidRPr="009F5D35">
      <w:pPr>
        <w:pStyle w:val="FootnoteText"/>
      </w:pPr>
      <w:r>
        <w:rPr>
          <w:rStyle w:val="FootnoteReference"/>
        </w:rPr>
        <w:footnoteRef/>
      </w:r>
      <w:r>
        <w:t xml:space="preserve"> </w:t>
      </w:r>
      <w:r w:rsidR="005472AD">
        <w:t>Comments of Competitive Carriers Association (filed March 30, 2017) (CCA Comments); Reply Comments of Competitive Carriers Association (filed Apr. 13, 2017)</w:t>
      </w:r>
      <w:r w:rsidR="00E411DA">
        <w:t xml:space="preserve"> (CCA Reply</w:t>
      </w:r>
      <w:r w:rsidR="00900444">
        <w:t xml:space="preserve"> Comments</w:t>
      </w:r>
      <w:r w:rsidR="00E411DA">
        <w:t>).</w:t>
      </w:r>
    </w:p>
  </w:footnote>
  <w:footnote w:id="14">
    <w:p w:rsidR="005E6286">
      <w:pPr>
        <w:pStyle w:val="FootnoteText"/>
      </w:pPr>
      <w:r>
        <w:rPr>
          <w:rStyle w:val="FootnoteReference"/>
        </w:rPr>
        <w:footnoteRef/>
      </w:r>
      <w:r>
        <w:t xml:space="preserve"> </w:t>
      </w:r>
      <w:r w:rsidR="00E411DA">
        <w:t>Reply Comments of T-Mobile USA, Inc. (filed Apr. 13, 2017) (T-Mobile Reply</w:t>
      </w:r>
      <w:r w:rsidR="00900444">
        <w:t xml:space="preserve"> Comments</w:t>
      </w:r>
      <w:r w:rsidR="00E411DA">
        <w:t>).</w:t>
      </w:r>
    </w:p>
  </w:footnote>
  <w:footnote w:id="15">
    <w:p w:rsidR="005E6286" w:rsidRPr="005E6286" w:rsidP="0025247C">
      <w:pPr>
        <w:pStyle w:val="FootnoteText"/>
        <w:spacing w:line="240" w:lineRule="auto"/>
        <w:rPr>
          <w:u w:val="single"/>
        </w:rPr>
      </w:pPr>
      <w:r>
        <w:rPr>
          <w:rStyle w:val="FootnoteReference"/>
        </w:rPr>
        <w:footnoteRef/>
      </w:r>
      <w:r>
        <w:t xml:space="preserve"> </w:t>
      </w:r>
      <w:r w:rsidR="00F47776">
        <w:t>Joint Opposition of AT&amp;T Mobility Spectrum LLC and FiberTower Corporation</w:t>
      </w:r>
      <w:r>
        <w:t xml:space="preserve"> (filed</w:t>
      </w:r>
      <w:r w:rsidR="00990277">
        <w:t xml:space="preserve"> Apr.</w:t>
      </w:r>
      <w:r w:rsidR="00F47776">
        <w:t xml:space="preserve"> 6</w:t>
      </w:r>
      <w:r>
        <w:t>, 2017) (Joint Opposition).</w:t>
      </w:r>
    </w:p>
  </w:footnote>
  <w:footnote w:id="16">
    <w:p w:rsidR="00112326" w:rsidRPr="00593D5B">
      <w:pPr>
        <w:pStyle w:val="FootnoteText"/>
      </w:pPr>
      <w:r>
        <w:rPr>
          <w:rStyle w:val="FootnoteReference"/>
        </w:rPr>
        <w:footnoteRef/>
      </w:r>
      <w:r>
        <w:t xml:space="preserve"> </w:t>
      </w:r>
      <w:r w:rsidR="00FC0BC3">
        <w:rPr>
          <w:i/>
        </w:rPr>
        <w:t>FiberTower Spectrum Holdings LLC</w:t>
      </w:r>
      <w:r w:rsidR="00593D5B">
        <w:rPr>
          <w:i/>
        </w:rPr>
        <w:t xml:space="preserve"> Requests for Waiver, Extension of Time, or, in the Alternative, Limited Waiver of Substantial Service Requirements</w:t>
      </w:r>
      <w:r w:rsidR="00593D5B">
        <w:t xml:space="preserve">, Order on Remand and Memorandum Opinion and Order, DA 18- </w:t>
      </w:r>
      <w:r w:rsidR="006D1955">
        <w:t>78</w:t>
      </w:r>
      <w:r w:rsidR="00593D5B">
        <w:t xml:space="preserve"> (WTB Broadband Div. rel. Jan. </w:t>
      </w:r>
      <w:r w:rsidR="006D1955">
        <w:t>26</w:t>
      </w:r>
      <w:r w:rsidR="00593D5B">
        <w:t>, 2018) (</w:t>
      </w:r>
      <w:r w:rsidR="00593D5B">
        <w:rPr>
          <w:i/>
        </w:rPr>
        <w:t>Waiver Order</w:t>
      </w:r>
      <w:r w:rsidR="00593D5B">
        <w:t xml:space="preserve">).  The </w:t>
      </w:r>
      <w:r w:rsidR="00593D5B">
        <w:rPr>
          <w:i/>
        </w:rPr>
        <w:t>Waiver Order</w:t>
      </w:r>
      <w:r w:rsidR="00593D5B">
        <w:t xml:space="preserve"> also addressed substantial service waiver requests and </w:t>
      </w:r>
      <w:r w:rsidR="0063719B">
        <w:t>other matters pertaining to proceedings</w:t>
      </w:r>
      <w:r w:rsidR="003E34A0">
        <w:t>, including bankruptcy proceedings and a remand from the United States</w:t>
      </w:r>
      <w:r w:rsidR="0063719B">
        <w:t xml:space="preserve"> </w:t>
      </w:r>
      <w:r w:rsidR="003E34A0">
        <w:t xml:space="preserve">Court of Appeals for the District of Columbia Circuit (D.C. Circuit), </w:t>
      </w:r>
      <w:r w:rsidR="0063719B">
        <w:t>in which FiberTower was involved.</w:t>
      </w:r>
    </w:p>
  </w:footnote>
  <w:footnote w:id="17">
    <w:p w:rsidR="00C42B81" w:rsidRPr="00310E74">
      <w:pPr>
        <w:pStyle w:val="FootnoteText"/>
      </w:pPr>
      <w:r>
        <w:rPr>
          <w:rStyle w:val="FootnoteReference"/>
        </w:rPr>
        <w:footnoteRef/>
      </w:r>
      <w:r>
        <w:t xml:space="preserve"> Settlement Agreement, dated January </w:t>
      </w:r>
      <w:r w:rsidR="006D1955">
        <w:t>24</w:t>
      </w:r>
      <w:r>
        <w:t>, 2018, between the Federal Communications Commission and FiberTower Spectrum LLC (Settlement Agreement).</w:t>
      </w:r>
      <w:r w:rsidR="00310E74">
        <w:t xml:space="preserve">  </w:t>
      </w:r>
      <w:r w:rsidR="00310E74">
        <w:rPr>
          <w:i/>
        </w:rPr>
        <w:t>See Waiver Order</w:t>
      </w:r>
      <w:r w:rsidR="00310E74">
        <w:t>, Appendix 3.</w:t>
      </w:r>
    </w:p>
  </w:footnote>
  <w:footnote w:id="18">
    <w:p w:rsidR="002625E7" w:rsidRPr="003E34A0">
      <w:pPr>
        <w:pStyle w:val="FootnoteText"/>
      </w:pPr>
      <w:r>
        <w:rPr>
          <w:rStyle w:val="FootnoteReference"/>
        </w:rPr>
        <w:footnoteRef/>
      </w:r>
      <w:r>
        <w:t xml:space="preserve"> </w:t>
      </w:r>
      <w:r w:rsidR="003E34A0">
        <w:rPr>
          <w:i/>
        </w:rPr>
        <w:t>Waiver Order</w:t>
      </w:r>
      <w:r w:rsidR="003E34A0">
        <w:t>, DA 18-</w:t>
      </w:r>
      <w:r w:rsidR="006D1955">
        <w:t>78</w:t>
      </w:r>
      <w:r w:rsidR="003E34A0">
        <w:t xml:space="preserve">, </w:t>
      </w:r>
      <w:r w:rsidR="00956400">
        <w:t xml:space="preserve">at </w:t>
      </w:r>
      <w:r w:rsidR="003E34A0">
        <w:t>para. 10.</w:t>
      </w:r>
    </w:p>
  </w:footnote>
  <w:footnote w:id="19">
    <w:p w:rsidR="003E34A0" w:rsidRPr="003E34A0">
      <w:pPr>
        <w:pStyle w:val="FootnoteText"/>
      </w:pPr>
      <w:r>
        <w:rPr>
          <w:rStyle w:val="FootnoteReference"/>
        </w:rPr>
        <w:footnoteRef/>
      </w:r>
      <w:r>
        <w:t xml:space="preserve"> </w:t>
      </w:r>
      <w:r w:rsidRPr="009E4361" w:rsidR="009E4361">
        <w:rPr>
          <w:i/>
        </w:rPr>
        <w:t>Id.</w:t>
      </w:r>
      <w:r>
        <w:t xml:space="preserve"> </w:t>
      </w:r>
      <w:r w:rsidR="00956400">
        <w:t xml:space="preserve">at </w:t>
      </w:r>
      <w:r>
        <w:t>para. 13.</w:t>
      </w:r>
    </w:p>
  </w:footnote>
  <w:footnote w:id="20">
    <w:p w:rsidR="004D2D8A" w:rsidRPr="004D2D8A">
      <w:pPr>
        <w:pStyle w:val="FootnoteText"/>
      </w:pPr>
      <w:r>
        <w:rPr>
          <w:rStyle w:val="FootnoteReference"/>
        </w:rPr>
        <w:footnoteRef/>
      </w:r>
      <w:r>
        <w:t xml:space="preserve"> </w:t>
      </w:r>
      <w:r>
        <w:rPr>
          <w:i/>
        </w:rPr>
        <w:t>Id.</w:t>
      </w:r>
      <w:r>
        <w:t xml:space="preserve"> at para. 14.</w:t>
      </w:r>
    </w:p>
  </w:footnote>
  <w:footnote w:id="21">
    <w:p w:rsidR="00AC4C5A" w:rsidRPr="003E34A0" w:rsidP="00AC4C5A">
      <w:pPr>
        <w:pStyle w:val="FootnoteText"/>
      </w:pPr>
      <w:r>
        <w:rPr>
          <w:rStyle w:val="FootnoteReference"/>
        </w:rPr>
        <w:footnoteRef/>
      </w:r>
      <w:r>
        <w:t xml:space="preserve"> </w:t>
      </w:r>
      <w:r>
        <w:rPr>
          <w:i/>
        </w:rPr>
        <w:t>See</w:t>
      </w:r>
      <w:r>
        <w:t xml:space="preserve"> </w:t>
      </w:r>
      <w:r w:rsidR="006D1955">
        <w:t>Applications Amendment Description</w:t>
      </w:r>
      <w:r w:rsidR="00E63F65">
        <w:t xml:space="preserve">; </w:t>
      </w:r>
      <w:r>
        <w:t>Applications, as amended.</w:t>
      </w:r>
      <w:r w:rsidR="006D1955">
        <w:t xml:space="preserve"> </w:t>
      </w:r>
    </w:p>
  </w:footnote>
  <w:footnote w:id="22">
    <w:p w:rsidR="00947DF0" w:rsidRPr="00DC3470" w:rsidP="0025247C">
      <w:pPr>
        <w:pStyle w:val="FootnoteText"/>
        <w:spacing w:line="240" w:lineRule="auto"/>
      </w:pPr>
      <w:r w:rsidRPr="00DC3470">
        <w:rPr>
          <w:rStyle w:val="FootnoteReference"/>
        </w:rPr>
        <w:footnoteRef/>
      </w:r>
      <w:r w:rsidRPr="00DC3470">
        <w:t xml:space="preserve"> 47 U.S.C. § 310(d).  Section 310(d) of the Act requires that we consider applications for transfer of Title III licenses under the same standard as if the proposed transferee were applying for licenses directly under </w:t>
      </w:r>
      <w:r w:rsidR="00C7767B">
        <w:t>S</w:t>
      </w:r>
      <w:r w:rsidRPr="00DC3470">
        <w:t xml:space="preserve">ection 308 of the Act, 47 U.S.C. § 308.  </w:t>
      </w:r>
      <w:r w:rsidRPr="00DC3470">
        <w:rPr>
          <w:i/>
          <w:iCs/>
        </w:rPr>
        <w:t>See, e.g.</w:t>
      </w:r>
      <w:r w:rsidRPr="00DC3470">
        <w:t xml:space="preserve">, </w:t>
      </w:r>
      <w:r w:rsidRPr="00DC3470">
        <w:rPr>
          <w:i/>
          <w:iCs/>
        </w:rPr>
        <w:t>AT&amp;T Inc. and BellSouth Corporation Application for Transfer of</w:t>
      </w:r>
      <w:r w:rsidRPr="00DC3470">
        <w:t xml:space="preserve"> </w:t>
      </w:r>
      <w:r w:rsidRPr="00DC3470">
        <w:rPr>
          <w:i/>
          <w:iCs/>
        </w:rPr>
        <w:t>Control</w:t>
      </w:r>
      <w:r w:rsidRPr="00DC3470">
        <w:t>, Memorandum Opinion and Order, 22 FCC Rcd 5662, 5672, para. 19 (2007) (</w:t>
      </w:r>
      <w:r w:rsidRPr="00DC3470">
        <w:rPr>
          <w:i/>
          <w:iCs/>
        </w:rPr>
        <w:t>AT&amp;T-BellSouth Order</w:t>
      </w:r>
      <w:r w:rsidRPr="00DC3470">
        <w:t>).</w:t>
      </w:r>
    </w:p>
  </w:footnote>
  <w:footnote w:id="23">
    <w:p w:rsidR="00947DF0" w:rsidRPr="00DC3470" w:rsidP="0025247C">
      <w:pPr>
        <w:pStyle w:val="FootnoteText"/>
        <w:spacing w:line="240" w:lineRule="auto"/>
      </w:pPr>
      <w:r w:rsidRPr="00DC3470">
        <w:rPr>
          <w:rStyle w:val="FootnoteReference"/>
        </w:rPr>
        <w:footnoteRef/>
      </w:r>
      <w:r w:rsidRPr="00DC3470">
        <w:t xml:space="preserve"> 47 U.S.C. § 310(d); </w:t>
      </w:r>
      <w:r>
        <w:rPr>
          <w:i/>
        </w:rPr>
        <w:t xml:space="preserve">Applications of Level 3 Communications, Inc. and CenturyLink, Inc. for Consent to Transfer Control of Licenses and </w:t>
      </w:r>
      <w:r w:rsidRPr="008B6027">
        <w:rPr>
          <w:i/>
        </w:rPr>
        <w:t>Au</w:t>
      </w:r>
      <w:r w:rsidRPr="00A60DBA">
        <w:rPr>
          <w:i/>
        </w:rPr>
        <w:t>th</w:t>
      </w:r>
      <w:r w:rsidRPr="008B6027">
        <w:rPr>
          <w:i/>
        </w:rPr>
        <w:t>orizations</w:t>
      </w:r>
      <w:r>
        <w:t xml:space="preserve">, Memorandum Opinion and Order, </w:t>
      </w:r>
      <w:r w:rsidR="00BD3CEC">
        <w:t>32 FCC Rcd 9581, 9585</w:t>
      </w:r>
      <w:r w:rsidR="00FC35FA">
        <w:t>,</w:t>
      </w:r>
      <w:r>
        <w:t xml:space="preserve"> para. 8 (2017) (</w:t>
      </w:r>
      <w:bookmarkStart w:id="32" w:name="_Hlk496693448"/>
      <w:r>
        <w:rPr>
          <w:i/>
        </w:rPr>
        <w:t>CenturyLink-Level 3 Order</w:t>
      </w:r>
      <w:bookmarkEnd w:id="32"/>
      <w:r w:rsidRPr="00942D23">
        <w:t>)</w:t>
      </w:r>
      <w:r w:rsidRPr="00942D23">
        <w:rPr>
          <w:i/>
          <w:iCs/>
        </w:rPr>
        <w:t xml:space="preserve"> </w:t>
      </w:r>
      <w:r w:rsidRPr="00942D23">
        <w:rPr>
          <w:iCs/>
        </w:rPr>
        <w:t>(citing</w:t>
      </w:r>
      <w:r>
        <w:rPr>
          <w:iCs/>
        </w:rPr>
        <w:t xml:space="preserve"> </w:t>
      </w:r>
      <w:r w:rsidRPr="00DC3470">
        <w:rPr>
          <w:i/>
          <w:iCs/>
        </w:rPr>
        <w:t xml:space="preserve">Applications of AT&amp;T, Inc. and DIRECTV for Consent to Assign or Transfer Control of Licenses and Authorizations, </w:t>
      </w:r>
      <w:r w:rsidRPr="00DC3470">
        <w:t>Memorandum Opinion and Order, 30 FCC Rcd 9131, 9139-40, para. 18 (2015</w:t>
      </w:r>
      <w:r w:rsidRPr="005749B6">
        <w:t xml:space="preserve">) </w:t>
      </w:r>
      <w:r w:rsidRPr="005749B6">
        <w:rPr>
          <w:iCs/>
        </w:rPr>
        <w:t>(</w:t>
      </w:r>
      <w:r w:rsidRPr="00DC3470">
        <w:rPr>
          <w:i/>
          <w:iCs/>
        </w:rPr>
        <w:t>AT&amp;T-DIRECTV Order</w:t>
      </w:r>
      <w:r w:rsidRPr="005749B6">
        <w:rPr>
          <w:iCs/>
        </w:rPr>
        <w:t>)</w:t>
      </w:r>
      <w:r w:rsidR="00C7767B">
        <w:rPr>
          <w:iCs/>
        </w:rPr>
        <w:t>)</w:t>
      </w:r>
      <w:r w:rsidRPr="005749B6">
        <w:t>;</w:t>
      </w:r>
      <w:r w:rsidRPr="00DC3470">
        <w:t xml:space="preserve"> </w:t>
      </w:r>
      <w:r w:rsidRPr="00DC3470">
        <w:rPr>
          <w:i/>
          <w:iCs/>
        </w:rPr>
        <w:t>Applications of Comcast Corp., General Electric Co., and NBC Universal, Inc. for Consent to Assign Licenses and Transfer Control of Licensees</w:t>
      </w:r>
      <w:r w:rsidRPr="00DC3470">
        <w:t>, Memorandum Opinion and Order, 26 FCC Rcd 4238, 4247, para. 22 (2011) (</w:t>
      </w:r>
      <w:r w:rsidRPr="00DC3470">
        <w:rPr>
          <w:i/>
          <w:iCs/>
        </w:rPr>
        <w:t>Comcast-NBCU Order</w:t>
      </w:r>
      <w:r w:rsidRPr="00DC3470">
        <w:t xml:space="preserve">); </w:t>
      </w:r>
      <w:r w:rsidRPr="00DC3470">
        <w:rPr>
          <w:i/>
        </w:rPr>
        <w:t xml:space="preserve">Application of EchoStar Communications Corp., General Motors Corp., and Hughes Electronics Corp., Transferors, and EchoStar Communications Corp., Transferee, </w:t>
      </w:r>
      <w:r w:rsidRPr="00DC3470">
        <w:t>Hearing Designation Order, 17 FCC Rcd 20559</w:t>
      </w:r>
      <w:r w:rsidR="000C6A3E">
        <w:t>,</w:t>
      </w:r>
      <w:r w:rsidRPr="00DC3470">
        <w:t xml:space="preserve"> 20574, para. 25 (2002) (</w:t>
      </w:r>
      <w:r w:rsidRPr="00DC3470">
        <w:rPr>
          <w:i/>
        </w:rPr>
        <w:t>EchoStar-DIRECTV HDO</w:t>
      </w:r>
      <w:r>
        <w:t>).</w:t>
      </w:r>
    </w:p>
  </w:footnote>
  <w:footnote w:id="24">
    <w:p w:rsidR="00947DF0" w:rsidRPr="00DC3470" w:rsidP="0025247C">
      <w:pPr>
        <w:widowControl/>
        <w:autoSpaceDE w:val="0"/>
        <w:autoSpaceDN w:val="0"/>
        <w:adjustRightInd w:val="0"/>
        <w:spacing w:after="120" w:line="240" w:lineRule="auto"/>
        <w:rPr>
          <w:sz w:val="20"/>
        </w:rPr>
      </w:pPr>
      <w:r w:rsidRPr="00EF43B8">
        <w:rPr>
          <w:rStyle w:val="FootnoteReference"/>
        </w:rPr>
        <w:footnoteRef/>
      </w:r>
      <w:r w:rsidRPr="00EF43B8">
        <w:rPr>
          <w:sz w:val="20"/>
        </w:rPr>
        <w:t xml:space="preserve"> </w:t>
      </w:r>
      <w:r w:rsidRPr="00A60DBA">
        <w:rPr>
          <w:i/>
          <w:sz w:val="20"/>
        </w:rPr>
        <w:t>CenturyLink-Level 3 Order</w:t>
      </w:r>
      <w:r w:rsidR="00BD3CEC">
        <w:rPr>
          <w:sz w:val="20"/>
        </w:rPr>
        <w:t>,</w:t>
      </w:r>
      <w:r w:rsidRPr="00A60DBA">
        <w:rPr>
          <w:sz w:val="20"/>
        </w:rPr>
        <w:t xml:space="preserve"> </w:t>
      </w:r>
      <w:r w:rsidR="00BD3CEC">
        <w:rPr>
          <w:sz w:val="20"/>
        </w:rPr>
        <w:t>32 FCC Rcd at 9585</w:t>
      </w:r>
      <w:r w:rsidR="00FC35FA">
        <w:rPr>
          <w:sz w:val="20"/>
        </w:rPr>
        <w:t xml:space="preserve">, </w:t>
      </w:r>
      <w:r w:rsidRPr="00A60DBA">
        <w:rPr>
          <w:sz w:val="20"/>
        </w:rPr>
        <w:t>para. 9</w:t>
      </w:r>
      <w:r>
        <w:rPr>
          <w:i/>
          <w:sz w:val="20"/>
        </w:rPr>
        <w:t xml:space="preserve"> </w:t>
      </w:r>
      <w:r w:rsidRPr="00EF43B8">
        <w:rPr>
          <w:sz w:val="20"/>
        </w:rPr>
        <w:t>(citing</w:t>
      </w:r>
      <w:r w:rsidRPr="00EF43B8">
        <w:rPr>
          <w:i/>
          <w:sz w:val="20"/>
        </w:rPr>
        <w:t xml:space="preserve"> </w:t>
      </w:r>
      <w:r w:rsidRPr="00EF43B8">
        <w:rPr>
          <w:i/>
          <w:iCs/>
          <w:sz w:val="20"/>
        </w:rPr>
        <w:t>AT</w:t>
      </w:r>
      <w:r w:rsidRPr="00DC3470">
        <w:rPr>
          <w:i/>
          <w:iCs/>
          <w:sz w:val="20"/>
        </w:rPr>
        <w:t>&amp;T-DIRECTV Order</w:t>
      </w:r>
      <w:r w:rsidRPr="00DC3470">
        <w:rPr>
          <w:sz w:val="20"/>
        </w:rPr>
        <w:t xml:space="preserve">, 30 FCC Rcd at 9140, para. 18; </w:t>
      </w:r>
      <w:bookmarkStart w:id="33" w:name="_Hlk495271203"/>
      <w:r w:rsidRPr="00DC3470">
        <w:rPr>
          <w:i/>
          <w:iCs/>
          <w:sz w:val="20"/>
        </w:rPr>
        <w:t>Comcast-NBCU Order</w:t>
      </w:r>
      <w:r w:rsidRPr="00DC3470">
        <w:rPr>
          <w:sz w:val="20"/>
        </w:rPr>
        <w:t>, 26 FCC Rcd at 4247</w:t>
      </w:r>
      <w:bookmarkEnd w:id="33"/>
      <w:r w:rsidRPr="00DC3470">
        <w:rPr>
          <w:sz w:val="20"/>
        </w:rPr>
        <w:t xml:space="preserve">, para. 22; </w:t>
      </w:r>
      <w:r w:rsidRPr="00DC3470">
        <w:rPr>
          <w:i/>
          <w:iCs/>
          <w:sz w:val="20"/>
        </w:rPr>
        <w:t>EchoStar-DIRECTV HDO</w:t>
      </w:r>
      <w:r w:rsidRPr="00DC3470">
        <w:rPr>
          <w:sz w:val="20"/>
        </w:rPr>
        <w:t>, 17 FCC Rcd at 20574, para. 25</w:t>
      </w:r>
      <w:r w:rsidR="00252CC4">
        <w:rPr>
          <w:sz w:val="20"/>
        </w:rPr>
        <w:t>)</w:t>
      </w:r>
      <w:r w:rsidRPr="00DC3470">
        <w:rPr>
          <w:sz w:val="20"/>
        </w:rPr>
        <w:t>.</w:t>
      </w:r>
    </w:p>
  </w:footnote>
  <w:footnote w:id="25">
    <w:p w:rsidR="00947DF0" w:rsidP="0025247C">
      <w:pPr>
        <w:pStyle w:val="FootnoteText"/>
        <w:spacing w:line="240" w:lineRule="auto"/>
      </w:pPr>
      <w:r>
        <w:rPr>
          <w:rStyle w:val="FootnoteReference"/>
        </w:rPr>
        <w:footnoteRef/>
      </w:r>
      <w:r>
        <w:t xml:space="preserve"> </w:t>
      </w:r>
      <w:r>
        <w:rPr>
          <w:i/>
        </w:rPr>
        <w:t xml:space="preserve">CenturyLink-Level 3 </w:t>
      </w:r>
      <w:r w:rsidRPr="00B70DCF">
        <w:rPr>
          <w:i/>
        </w:rPr>
        <w:t>Order</w:t>
      </w:r>
      <w:r w:rsidR="00BD3CEC">
        <w:t>, 32 FCC Rcd at 9585,</w:t>
      </w:r>
      <w:r w:rsidR="00FC35FA">
        <w:t xml:space="preserve"> </w:t>
      </w:r>
      <w:r w:rsidRPr="00A60DBA">
        <w:t>para. 9</w:t>
      </w:r>
      <w:r>
        <w:t xml:space="preserve"> (citing</w:t>
      </w:r>
      <w:r w:rsidRPr="00B83976">
        <w:rPr>
          <w:i/>
        </w:rPr>
        <w:t xml:space="preserve"> Satellite Bus. Sys.</w:t>
      </w:r>
      <w:r w:rsidRPr="00B83976">
        <w:t xml:space="preserve">, 62 FCC 2d 997, 1068-73, 1088 (1977), </w:t>
      </w:r>
      <w:r w:rsidRPr="00B83976">
        <w:rPr>
          <w:i/>
        </w:rPr>
        <w:t>aff’d sub nom United States v. FCC</w:t>
      </w:r>
      <w:r w:rsidRPr="00B83976">
        <w:t>, 652 F.2d 72 (D.C. Cir. 1980) (</w:t>
      </w:r>
      <w:r w:rsidRPr="00B83976">
        <w:rPr>
          <w:i/>
        </w:rPr>
        <w:t>en banc</w:t>
      </w:r>
      <w:r w:rsidRPr="00B83976">
        <w:t>)</w:t>
      </w:r>
      <w:r w:rsidR="005E4CF9">
        <w:t>)</w:t>
      </w:r>
      <w:r w:rsidRPr="00B83976">
        <w:t xml:space="preserve">; </w:t>
      </w:r>
      <w:r w:rsidRPr="00B83976">
        <w:rPr>
          <w:i/>
        </w:rPr>
        <w:t>see also Northeast Utils. Serv. Co. v. FERC</w:t>
      </w:r>
      <w:r w:rsidRPr="00B83976">
        <w:t>, 993 F.2d 937, 947 (1st Cir. 1993) (public interest standard does not require agencies “to analyze proposed mergers under the same standards that the Departmen</w:t>
      </w:r>
      <w:r>
        <w:t>t of Justice . . . must apply”)</w:t>
      </w:r>
      <w:r w:rsidRPr="00B83976">
        <w:rPr>
          <w:iCs/>
        </w:rPr>
        <w:t>.</w:t>
      </w:r>
    </w:p>
  </w:footnote>
  <w:footnote w:id="26">
    <w:p w:rsidR="00947DF0" w:rsidRPr="00DC3470" w:rsidP="0025247C">
      <w:pPr>
        <w:pStyle w:val="FootnoteText"/>
        <w:spacing w:line="240" w:lineRule="auto"/>
      </w:pPr>
      <w:r w:rsidRPr="00DC3470">
        <w:rPr>
          <w:rStyle w:val="FootnoteReference"/>
        </w:rPr>
        <w:footnoteRef/>
      </w:r>
      <w:r w:rsidRPr="00DC3470">
        <w:t xml:space="preserve"> </w:t>
      </w:r>
      <w:bookmarkStart w:id="34" w:name="_Hlk496679008"/>
      <w:r>
        <w:rPr>
          <w:i/>
        </w:rPr>
        <w:t xml:space="preserve">CenturyLink-Level 3 </w:t>
      </w:r>
      <w:r w:rsidRPr="00B70DCF">
        <w:rPr>
          <w:i/>
        </w:rPr>
        <w:t>Order</w:t>
      </w:r>
      <w:r w:rsidR="00BD3CEC">
        <w:t>, 32 FCC Rcd at 9585-86</w:t>
      </w:r>
      <w:r w:rsidR="00FC35FA">
        <w:t xml:space="preserve">, </w:t>
      </w:r>
      <w:r w:rsidRPr="00A60DBA">
        <w:t>para. 9</w:t>
      </w:r>
      <w:bookmarkEnd w:id="34"/>
      <w:r>
        <w:t xml:space="preserve"> (citing</w:t>
      </w:r>
      <w:r w:rsidRPr="00DC3470">
        <w:rPr>
          <w:i/>
          <w:iCs/>
        </w:rPr>
        <w:t xml:space="preserve"> AT&amp;T-DIRECTV Order</w:t>
      </w:r>
      <w:r w:rsidRPr="0076057C">
        <w:t xml:space="preserve">, </w:t>
      </w:r>
      <w:r w:rsidRPr="00DC3470">
        <w:t xml:space="preserve">30 FCC Rcd at 9141, para. 22; </w:t>
      </w:r>
      <w:r w:rsidRPr="00DC3470">
        <w:rPr>
          <w:i/>
        </w:rPr>
        <w:t xml:space="preserve">Applications filed by </w:t>
      </w:r>
      <w:r w:rsidRPr="00DC3470">
        <w:rPr>
          <w:i/>
          <w:iCs/>
        </w:rPr>
        <w:t>Qwest Communications International Inc. and CenturyTel, Inc. d/b/a CenturyLink for Consent to Transfer Control</w:t>
      </w:r>
      <w:r w:rsidRPr="00DC3470">
        <w:t>, Memorandum Opinion a</w:t>
      </w:r>
      <w:r>
        <w:t xml:space="preserve">nd </w:t>
      </w:r>
      <w:r w:rsidRPr="0076057C">
        <w:t xml:space="preserve">Order, </w:t>
      </w:r>
      <w:r>
        <w:t>26 FCC Rcd 4194, 4199,</w:t>
      </w:r>
      <w:r w:rsidRPr="00DC3470">
        <w:t xml:space="preserve"> para. </w:t>
      </w:r>
      <w:r>
        <w:t>10</w:t>
      </w:r>
      <w:r w:rsidRPr="00DC3470">
        <w:t xml:space="preserve"> (2011) (</w:t>
      </w:r>
      <w:r w:rsidRPr="00DC3470">
        <w:rPr>
          <w:i/>
          <w:iCs/>
        </w:rPr>
        <w:t>Qwest-CenturyLink Order</w:t>
      </w:r>
      <w:r w:rsidRPr="00DC3470">
        <w:t>)</w:t>
      </w:r>
      <w:r>
        <w:t>)</w:t>
      </w:r>
      <w:r w:rsidRPr="00DC3470">
        <w:t xml:space="preserve">. </w:t>
      </w:r>
    </w:p>
  </w:footnote>
  <w:footnote w:id="27">
    <w:p w:rsidR="00947DF0" w:rsidRPr="00531B7F" w:rsidP="0025247C">
      <w:pPr>
        <w:pStyle w:val="FootnoteText"/>
        <w:spacing w:line="240" w:lineRule="auto"/>
      </w:pPr>
      <w:r>
        <w:rPr>
          <w:rStyle w:val="FootnoteReference"/>
        </w:rPr>
        <w:footnoteRef/>
      </w:r>
      <w:r>
        <w:t xml:space="preserve"> </w:t>
      </w:r>
      <w:r>
        <w:rPr>
          <w:i/>
        </w:rPr>
        <w:t xml:space="preserve">CenturyLink-Level 3 </w:t>
      </w:r>
      <w:r w:rsidRPr="00B70DCF">
        <w:rPr>
          <w:i/>
        </w:rPr>
        <w:t>Order</w:t>
      </w:r>
      <w:r w:rsidR="00BD3CEC">
        <w:t>, 32 FCC Rcd</w:t>
      </w:r>
      <w:r w:rsidRPr="00A60DBA">
        <w:t xml:space="preserve"> at </w:t>
      </w:r>
      <w:r w:rsidR="00BD3CEC">
        <w:t>9586</w:t>
      </w:r>
      <w:r w:rsidR="00FC35FA">
        <w:t xml:space="preserve">, </w:t>
      </w:r>
      <w:r w:rsidRPr="00A60DBA">
        <w:t>para. 9</w:t>
      </w:r>
      <w:r>
        <w:t xml:space="preserve"> (citing </w:t>
      </w:r>
      <w:r w:rsidRPr="00DC3470">
        <w:rPr>
          <w:i/>
        </w:rPr>
        <w:t>SBC</w:t>
      </w:r>
      <w:r w:rsidR="00FC35FA">
        <w:rPr>
          <w:i/>
        </w:rPr>
        <w:t xml:space="preserve"> Communications Inc. and AT&amp;T</w:t>
      </w:r>
      <w:r w:rsidR="00DF6BD5">
        <w:rPr>
          <w:i/>
        </w:rPr>
        <w:t xml:space="preserve"> </w:t>
      </w:r>
      <w:r w:rsidR="00FC35FA">
        <w:rPr>
          <w:i/>
        </w:rPr>
        <w:t>Applications for Approval of Transfer of Control</w:t>
      </w:r>
      <w:r w:rsidRPr="00DC3470">
        <w:t xml:space="preserve">, </w:t>
      </w:r>
      <w:r w:rsidR="00406F4E">
        <w:t xml:space="preserve">Memorandum Opinion and Order, </w:t>
      </w:r>
      <w:r w:rsidRPr="00DC3470">
        <w:t xml:space="preserve">20 FCC Rcd </w:t>
      </w:r>
      <w:r w:rsidR="00DF6BD5">
        <w:t>18290,</w:t>
      </w:r>
      <w:r w:rsidRPr="00DC3470">
        <w:t xml:space="preserve"> </w:t>
      </w:r>
      <w:r>
        <w:t>18303</w:t>
      </w:r>
      <w:r w:rsidRPr="00DC3470">
        <w:t xml:space="preserve">, para. </w:t>
      </w:r>
      <w:r>
        <w:t>19</w:t>
      </w:r>
      <w:r w:rsidR="00DF6BD5">
        <w:t xml:space="preserve"> </w:t>
      </w:r>
      <w:r w:rsidR="00B65390">
        <w:t>(</w:t>
      </w:r>
      <w:r w:rsidR="00DF6BD5">
        <w:t>2005)</w:t>
      </w:r>
      <w:r>
        <w:t xml:space="preserve">; </w:t>
      </w:r>
      <w:r>
        <w:rPr>
          <w:i/>
        </w:rPr>
        <w:t>Applications of AT&amp;T Wireless Services, Inc. and Cingular Wireless Corporation for Consent to Transfer Control of Licenses and Authorizations</w:t>
      </w:r>
      <w:r>
        <w:t xml:space="preserve"> </w:t>
      </w:r>
      <w:r>
        <w:rPr>
          <w:i/>
        </w:rPr>
        <w:t>et al.</w:t>
      </w:r>
      <w:r>
        <w:t>, Memorandum Opinion and Order, 19 FCC Rcd 21522, 21545-46, para. 43 (2004)</w:t>
      </w:r>
      <w:r w:rsidR="004316E8">
        <w:t>)</w:t>
      </w:r>
      <w:r>
        <w:t xml:space="preserve">; </w:t>
      </w:r>
      <w:r w:rsidRPr="00CF3818">
        <w:rPr>
          <w:i/>
        </w:rPr>
        <w:t>see also</w:t>
      </w:r>
      <w:r>
        <w:t xml:space="preserve"> </w:t>
      </w:r>
      <w:r>
        <w:rPr>
          <w:i/>
        </w:rPr>
        <w:t>Applications of Nextel Partners, Inc. Transferor, and Nextel WIP Corp. and Sprint Nextel Corporation, Transferees, for Consent to Transfer Control of Licenses and Authorizations</w:t>
      </w:r>
      <w:r>
        <w:t>, Memorandum Opinion and Order, 21 FCC Rcd 7358, 7361</w:t>
      </w:r>
      <w:r w:rsidRPr="00B83976">
        <w:t xml:space="preserve">, para. </w:t>
      </w:r>
      <w:r>
        <w:t xml:space="preserve">9 (2006); </w:t>
      </w:r>
      <w:r>
        <w:rPr>
          <w:i/>
        </w:rPr>
        <w:t>Applications of AT&amp;T Inc. and CellCo Partnership d/b/a Verizon Wireless for Consent to Assign or Transfer Control of Licenses and Authorizations and Modify a Spectrum Leasing Arrangement</w:t>
      </w:r>
      <w:r>
        <w:t>, Memorandum Opinion and Order, 25 FCC Rcd 8704, 8747, para. 101 (2010).</w:t>
      </w:r>
    </w:p>
  </w:footnote>
  <w:footnote w:id="28">
    <w:p w:rsidR="00947DF0" w:rsidP="0025247C">
      <w:pPr>
        <w:pStyle w:val="FootnoteText"/>
        <w:spacing w:line="240" w:lineRule="auto"/>
      </w:pPr>
      <w:r w:rsidRPr="0068677D">
        <w:rPr>
          <w:rStyle w:val="FootnoteReference"/>
        </w:rPr>
        <w:footnoteRef/>
      </w:r>
      <w:r w:rsidRPr="0068677D">
        <w:t xml:space="preserve"> </w:t>
      </w:r>
      <w:r w:rsidRPr="0068677D">
        <w:rPr>
          <w:i/>
        </w:rPr>
        <w:t>CenturyLink-Level 3 Order</w:t>
      </w:r>
      <w:r w:rsidR="00BD3CEC">
        <w:t>, 32 FCC Rcd</w:t>
      </w:r>
      <w:r w:rsidRPr="0068677D">
        <w:t xml:space="preserve"> at </w:t>
      </w:r>
      <w:r w:rsidR="00BD3CEC">
        <w:t>9586</w:t>
      </w:r>
      <w:r w:rsidRPr="0068677D" w:rsidR="00DF6BD5">
        <w:t xml:space="preserve">, </w:t>
      </w:r>
      <w:r w:rsidRPr="0068677D">
        <w:t>para. 10 (citing</w:t>
      </w:r>
      <w:r w:rsidRPr="0068677D">
        <w:rPr>
          <w:i/>
          <w:szCs w:val="22"/>
        </w:rPr>
        <w:t xml:space="preserve"> Amendment of Section 73.3596 of the Commission’s Rules (Applications for Voluntary Assignments or Transfers of Control)</w:t>
      </w:r>
      <w:r w:rsidRPr="0068677D">
        <w:rPr>
          <w:szCs w:val="22"/>
        </w:rPr>
        <w:t>, Memorandum Opinion and Order, 4 FCC Rcd 1710 (1988), affirming 59 RR 2d 1081 (1982) (affirming elimination of requirement</w:t>
      </w:r>
      <w:r>
        <w:rPr>
          <w:szCs w:val="22"/>
        </w:rPr>
        <w:t xml:space="preserve"> that broadcast licenses be held three years before they can be assigned or transferred, stating “the public interest is usually best served by allowing station sales transactions to be regulated primarily by marketplace forces,” and holding that the listening public benefits from freely allowing sales to new owners); </w:t>
      </w:r>
      <w:r>
        <w:rPr>
          <w:i/>
          <w:szCs w:val="22"/>
        </w:rPr>
        <w:t>id.</w:t>
      </w:r>
      <w:r w:rsidR="00776340">
        <w:rPr>
          <w:i/>
          <w:szCs w:val="22"/>
        </w:rPr>
        <w:t>,</w:t>
      </w:r>
      <w:r>
        <w:rPr>
          <w:szCs w:val="22"/>
        </w:rPr>
        <w:t xml:space="preserve"> 55 RR 2d at 1087-88 (holding buyer who is willing to pay market price more likely to deliver service audiences desire and recognizing public benefit of ready market for broadcast licenses); </w:t>
      </w:r>
      <w:r>
        <w:rPr>
          <w:i/>
          <w:szCs w:val="22"/>
        </w:rPr>
        <w:t>Amendment of the Commission’s Space Station Licensing Rules and Policies</w:t>
      </w:r>
      <w:r>
        <w:rPr>
          <w:szCs w:val="22"/>
        </w:rPr>
        <w:t>, First Report and Order and Further Notice of Proposed Rulemaking, 18 FCC Rcd 10760, 10841-44 (2003) (eliminating anti-trafficking policy for satellite licenses expedites service to the public by facilitating the transfer of licenses to those parties that have the greatest incentive and ability to construct a satellite system; enables satellite spectrum to move more efficiently to its highest and best use; and helps licensees mitigate risk thereby encouraging investment)</w:t>
      </w:r>
      <w:r w:rsidR="00252CC4">
        <w:rPr>
          <w:szCs w:val="22"/>
        </w:rPr>
        <w:t>)</w:t>
      </w:r>
      <w:r>
        <w:rPr>
          <w:szCs w:val="22"/>
        </w:rPr>
        <w:t>.</w:t>
      </w:r>
    </w:p>
  </w:footnote>
  <w:footnote w:id="29">
    <w:p w:rsidR="00947DF0" w:rsidRPr="00CA56B2" w:rsidP="0025247C">
      <w:pPr>
        <w:pStyle w:val="FootnoteText"/>
        <w:spacing w:line="240" w:lineRule="auto"/>
      </w:pPr>
      <w:r>
        <w:rPr>
          <w:rStyle w:val="FootnoteReference"/>
        </w:rPr>
        <w:footnoteRef/>
      </w:r>
      <w:r>
        <w:t xml:space="preserve"> </w:t>
      </w:r>
      <w:r>
        <w:rPr>
          <w:i/>
        </w:rPr>
        <w:t xml:space="preserve">CenturyLink-Level 3 </w:t>
      </w:r>
      <w:r w:rsidRPr="00B70DCF">
        <w:rPr>
          <w:i/>
        </w:rPr>
        <w:t>Order</w:t>
      </w:r>
      <w:r w:rsidR="00BD3CEC">
        <w:t>, 32 FCC Rcd</w:t>
      </w:r>
      <w:r w:rsidRPr="00A60DBA">
        <w:t xml:space="preserve"> at </w:t>
      </w:r>
      <w:r w:rsidR="00BD3CEC">
        <w:t>958</w:t>
      </w:r>
      <w:r w:rsidR="00DF6BD5">
        <w:t xml:space="preserve">6, </w:t>
      </w:r>
      <w:r w:rsidRPr="00A60DBA">
        <w:t>para. 10</w:t>
      </w:r>
      <w:r>
        <w:t xml:space="preserve"> (citing </w:t>
      </w:r>
      <w:r>
        <w:rPr>
          <w:i/>
        </w:rPr>
        <w:t>Implementation of Further Streamlining Measures for Domestic Section 214 Authorizations</w:t>
      </w:r>
      <w:r>
        <w:t>, Report and Order, 17 FCC Rcd 5517, 5533-35, paras. 29-34 (2002)).</w:t>
      </w:r>
    </w:p>
  </w:footnote>
  <w:footnote w:id="30">
    <w:p w:rsidR="00947DF0" w:rsidP="0025247C">
      <w:pPr>
        <w:pStyle w:val="FootnoteText"/>
        <w:spacing w:line="240" w:lineRule="auto"/>
      </w:pPr>
      <w:r>
        <w:rPr>
          <w:rStyle w:val="FootnoteReference"/>
        </w:rPr>
        <w:footnoteRef/>
      </w:r>
      <w:r>
        <w:t xml:space="preserve"> </w:t>
      </w:r>
      <w:r w:rsidRPr="00B83976">
        <w:t xml:space="preserve">47 U.S.C. § 309(e); </w:t>
      </w:r>
      <w:r w:rsidRPr="00B83976">
        <w:rPr>
          <w:i/>
          <w:iCs/>
        </w:rPr>
        <w:t xml:space="preserve">see </w:t>
      </w:r>
      <w:r>
        <w:rPr>
          <w:i/>
        </w:rPr>
        <w:t>CenturyLink-Level 3 Order</w:t>
      </w:r>
      <w:r w:rsidR="00BD3CEC">
        <w:t>, 32 FCC Rcd</w:t>
      </w:r>
      <w:r>
        <w:t xml:space="preserve"> at </w:t>
      </w:r>
      <w:r w:rsidR="00C82079">
        <w:t>958</w:t>
      </w:r>
      <w:r w:rsidR="00DF6BD5">
        <w:t xml:space="preserve">6, </w:t>
      </w:r>
      <w:r>
        <w:t>para. 10</w:t>
      </w:r>
      <w:r w:rsidRPr="00B83976">
        <w:rPr>
          <w:i/>
          <w:iCs/>
        </w:rPr>
        <w:t xml:space="preserve"> </w:t>
      </w:r>
      <w:r>
        <w:rPr>
          <w:iCs/>
        </w:rPr>
        <w:t xml:space="preserve">(citing </w:t>
      </w:r>
      <w:r w:rsidRPr="00B83976">
        <w:rPr>
          <w:i/>
          <w:iCs/>
        </w:rPr>
        <w:t>AT&amp;T-DIRECTV Order</w:t>
      </w:r>
      <w:r w:rsidRPr="00B83976">
        <w:rPr>
          <w:iCs/>
        </w:rPr>
        <w:t xml:space="preserve">, </w:t>
      </w:r>
      <w:r w:rsidRPr="00B83976">
        <w:t xml:space="preserve">30 </w:t>
      </w:r>
      <w:r w:rsidRPr="00B83976">
        <w:rPr>
          <w:iCs/>
        </w:rPr>
        <w:t>FCC Rcd at 9140, para. 18;</w:t>
      </w:r>
      <w:r w:rsidRPr="003F41A3">
        <w:rPr>
          <w:i/>
          <w:iCs/>
        </w:rPr>
        <w:t xml:space="preserve"> </w:t>
      </w:r>
      <w:r w:rsidRPr="003F41A3" w:rsidR="00DF6BD5">
        <w:rPr>
          <w:i/>
          <w:iCs/>
        </w:rPr>
        <w:t>Applications for Consent to the Assignment and/or</w:t>
      </w:r>
      <w:r w:rsidR="00DF6BD5">
        <w:rPr>
          <w:i/>
          <w:iCs/>
        </w:rPr>
        <w:t xml:space="preserve"> Transfer of Control of Licenses, </w:t>
      </w:r>
      <w:r w:rsidRPr="00DF6BD5">
        <w:rPr>
          <w:i/>
        </w:rPr>
        <w:t>A</w:t>
      </w:r>
      <w:r w:rsidRPr="00B83976">
        <w:rPr>
          <w:i/>
        </w:rPr>
        <w:t>delphia</w:t>
      </w:r>
      <w:r w:rsidR="00DF6BD5">
        <w:rPr>
          <w:i/>
        </w:rPr>
        <w:t xml:space="preserve"> Communications Corporation, Assignors, to Time </w:t>
      </w:r>
      <w:r w:rsidR="005D0A47">
        <w:rPr>
          <w:i/>
        </w:rPr>
        <w:t>W</w:t>
      </w:r>
      <w:r w:rsidR="00DF6BD5">
        <w:rPr>
          <w:i/>
        </w:rPr>
        <w:t>arner Cable</w:t>
      </w:r>
      <w:r w:rsidR="005D0A47">
        <w:rPr>
          <w:i/>
        </w:rPr>
        <w:t xml:space="preserve"> </w:t>
      </w:r>
      <w:r w:rsidR="00DF6BD5">
        <w:rPr>
          <w:i/>
        </w:rPr>
        <w:t>Inc., Assignees</w:t>
      </w:r>
      <w:r w:rsidRPr="00B83976">
        <w:t xml:space="preserve">, 21 FCC Rcd </w:t>
      </w:r>
      <w:r w:rsidR="00DF6BD5">
        <w:t>8203,</w:t>
      </w:r>
      <w:r w:rsidRPr="00B83976">
        <w:t xml:space="preserve"> 8217, para. 23</w:t>
      </w:r>
      <w:r w:rsidR="00DF6BD5">
        <w:t xml:space="preserve"> (2006)</w:t>
      </w:r>
      <w:r w:rsidRPr="00B83976">
        <w:t xml:space="preserve">; </w:t>
      </w:r>
      <w:r w:rsidRPr="00B83976">
        <w:rPr>
          <w:i/>
        </w:rPr>
        <w:t>EchoStar-DIRECTV HDO</w:t>
      </w:r>
      <w:r w:rsidRPr="00B83976">
        <w:t>, 17 FCC Rcd at 20574, para. 25</w:t>
      </w:r>
      <w:r w:rsidR="00CD53FF">
        <w:t>)</w:t>
      </w:r>
      <w:r>
        <w:t>)</w:t>
      </w:r>
      <w:r w:rsidRPr="00B83976">
        <w:t>.</w:t>
      </w:r>
    </w:p>
  </w:footnote>
  <w:footnote w:id="31">
    <w:p w:rsidR="00947DF0" w:rsidRPr="003126DA" w:rsidP="0025247C">
      <w:pPr>
        <w:pStyle w:val="FootnoteText"/>
        <w:spacing w:line="240" w:lineRule="auto"/>
      </w:pPr>
      <w:r>
        <w:rPr>
          <w:rStyle w:val="FootnoteReference"/>
        </w:rPr>
        <w:footnoteRef/>
      </w:r>
      <w:r>
        <w:t xml:space="preserve"> </w:t>
      </w:r>
      <w:r>
        <w:rPr>
          <w:i/>
        </w:rPr>
        <w:t>CenturyLink-Level 3 Order</w:t>
      </w:r>
      <w:r w:rsidR="00C82079">
        <w:t>, 32 FCC Rcd at 9586</w:t>
      </w:r>
      <w:r w:rsidR="00DF6BD5">
        <w:t xml:space="preserve">, </w:t>
      </w:r>
      <w:r>
        <w:t xml:space="preserve">para. 11 </w:t>
      </w:r>
      <w:r w:rsidRPr="00B70DCF">
        <w:t>(</w:t>
      </w:r>
      <w:r>
        <w:t>stating that “</w:t>
      </w:r>
      <w:r w:rsidR="005F2913">
        <w:t>[a]</w:t>
      </w:r>
      <w:r>
        <w:t xml:space="preserve">lthough the Commission has suggested in the past that it may employ a ‘balancing test,’” </w:t>
      </w:r>
      <w:r>
        <w:rPr>
          <w:i/>
        </w:rPr>
        <w:t>see, e.g.</w:t>
      </w:r>
      <w:r>
        <w:t xml:space="preserve">, </w:t>
      </w:r>
      <w:r w:rsidRPr="00DC3470">
        <w:rPr>
          <w:i/>
        </w:rPr>
        <w:t>AT&amp;T-DIRECTV Order</w:t>
      </w:r>
      <w:r w:rsidRPr="00DC3470">
        <w:t>, 30 FCC Rcd at 9140, para. 18</w:t>
      </w:r>
      <w:r>
        <w:t xml:space="preserve">, or a ‘sliding scale approach,’” </w:t>
      </w:r>
      <w:r>
        <w:rPr>
          <w:i/>
        </w:rPr>
        <w:t>see, e.g.</w:t>
      </w:r>
      <w:r>
        <w:t xml:space="preserve">, </w:t>
      </w:r>
      <w:r>
        <w:rPr>
          <w:i/>
        </w:rPr>
        <w:t>AT&amp;T-BellSouth Order</w:t>
      </w:r>
      <w:r>
        <w:t>, 22 FCC Rcd at 5761, para. 203, “in practice the Commission has not allowed potential competitive harms to go unremedied nor allowed them to be offset by benefits that are not transaction-specific, i.e., benefits that do not naturally arise from the transaction at issue.”).</w:t>
      </w:r>
    </w:p>
  </w:footnote>
  <w:footnote w:id="32">
    <w:p w:rsidR="00947DF0" w:rsidRPr="00DC3470" w:rsidP="0025247C">
      <w:pPr>
        <w:pStyle w:val="FootnoteText"/>
        <w:spacing w:line="240" w:lineRule="auto"/>
      </w:pPr>
      <w:r w:rsidRPr="00DC3470">
        <w:rPr>
          <w:rStyle w:val="FootnoteReference"/>
        </w:rPr>
        <w:footnoteRef/>
      </w:r>
      <w:r w:rsidRPr="00DC3470">
        <w:t xml:space="preserve"> 47 U.S.C. § 309(e)</w:t>
      </w:r>
      <w:r w:rsidRPr="00B83976">
        <w:rPr>
          <w:iCs/>
        </w:rPr>
        <w:t xml:space="preserve">; </w:t>
      </w:r>
      <w:r>
        <w:rPr>
          <w:i/>
        </w:rPr>
        <w:t xml:space="preserve">CenturyLink-Level 3 </w:t>
      </w:r>
      <w:r w:rsidRPr="00B70DCF">
        <w:rPr>
          <w:i/>
        </w:rPr>
        <w:t>Order</w:t>
      </w:r>
      <w:r w:rsidR="00C82079">
        <w:t>, 32 FCC Rcd at 9586-87</w:t>
      </w:r>
      <w:r w:rsidR="005D0A47">
        <w:t xml:space="preserve">, </w:t>
      </w:r>
      <w:r w:rsidRPr="00A60DBA">
        <w:t>para. 11</w:t>
      </w:r>
      <w:r>
        <w:t xml:space="preserve"> </w:t>
      </w:r>
      <w:r w:rsidRPr="00B70DCF">
        <w:t>(citing</w:t>
      </w:r>
      <w:r>
        <w:t xml:space="preserve"> </w:t>
      </w:r>
      <w:r w:rsidRPr="00B83976">
        <w:rPr>
          <w:i/>
        </w:rPr>
        <w:t>EchoStar-DIRECTV HDO</w:t>
      </w:r>
      <w:r w:rsidRPr="00B83976">
        <w:t>, 17 FCC Rcd at 20562-63, para. 3</w:t>
      </w:r>
      <w:r>
        <w:t>)</w:t>
      </w:r>
      <w:r w:rsidR="00406F4E">
        <w:t>.</w:t>
      </w:r>
    </w:p>
  </w:footnote>
  <w:footnote w:id="33">
    <w:p w:rsidR="00947DF0" w:rsidRPr="00DC3470" w:rsidP="0025247C">
      <w:pPr>
        <w:pStyle w:val="FootnoteText"/>
        <w:spacing w:line="240" w:lineRule="auto"/>
      </w:pPr>
      <w:r w:rsidRPr="00DC3470">
        <w:rPr>
          <w:rStyle w:val="FootnoteReference"/>
        </w:rPr>
        <w:footnoteRef/>
      </w:r>
      <w:r w:rsidRPr="00DC3470">
        <w:t xml:space="preserve"> 47 U.S.C. § 310(d).</w:t>
      </w:r>
    </w:p>
  </w:footnote>
  <w:footnote w:id="34">
    <w:p w:rsidR="00947DF0" w:rsidRPr="00DC3470" w:rsidP="0025247C">
      <w:pPr>
        <w:pStyle w:val="FootnoteText"/>
        <w:spacing w:line="240" w:lineRule="auto"/>
      </w:pPr>
      <w:r w:rsidRPr="00DC3470">
        <w:rPr>
          <w:rStyle w:val="FootnoteReference"/>
        </w:rPr>
        <w:footnoteRef/>
      </w:r>
      <w:r w:rsidRPr="00DC3470">
        <w:t xml:space="preserve"> 47 U.S.C. §§ 308, 310(d); </w:t>
      </w:r>
      <w:r w:rsidRPr="00DC3470">
        <w:rPr>
          <w:i/>
        </w:rPr>
        <w:t>see also</w:t>
      </w:r>
      <w:r w:rsidRPr="00DC3470">
        <w:t xml:space="preserve"> </w:t>
      </w:r>
      <w:r w:rsidRPr="00DC3470">
        <w:rPr>
          <w:i/>
        </w:rPr>
        <w:t>AT&amp;T-DIRECTV Order</w:t>
      </w:r>
      <w:r w:rsidRPr="00DC3470">
        <w:t xml:space="preserve">, 30 FCC Rcd at 9142, para. 24; </w:t>
      </w:r>
      <w:r w:rsidRPr="00DC3470">
        <w:rPr>
          <w:i/>
        </w:rPr>
        <w:t>Qwest-CenturyLink</w:t>
      </w:r>
      <w:r w:rsidRPr="00DC3470">
        <w:rPr>
          <w:i/>
        </w:rPr>
        <w:t xml:space="preserve"> </w:t>
      </w:r>
      <w:r w:rsidRPr="00DC3470">
        <w:rPr>
          <w:i/>
        </w:rPr>
        <w:t xml:space="preserve">Order, </w:t>
      </w:r>
      <w:r w:rsidRPr="00DC3470">
        <w:t>26 FCC Rcd at 4199, para.</w:t>
      </w:r>
      <w:r w:rsidR="00004F04">
        <w:t xml:space="preserve"> </w:t>
      </w:r>
      <w:r w:rsidRPr="00DC3470">
        <w:t xml:space="preserve">11; </w:t>
      </w:r>
      <w:r w:rsidRPr="00DC3470">
        <w:rPr>
          <w:i/>
        </w:rPr>
        <w:t xml:space="preserve">AT&amp;T-BellSouth Order, </w:t>
      </w:r>
      <w:r w:rsidRPr="00DC3470">
        <w:t xml:space="preserve">22 FCC Rcd at 5756, para. 191; </w:t>
      </w:r>
      <w:r w:rsidRPr="00DC3470">
        <w:rPr>
          <w:i/>
        </w:rPr>
        <w:t>SBC-AT&amp;T Order</w:t>
      </w:r>
      <w:r w:rsidRPr="00DC3470">
        <w:t xml:space="preserve">, 20 FCC Rcd at 18379, para. 171. </w:t>
      </w:r>
    </w:p>
  </w:footnote>
  <w:footnote w:id="35">
    <w:p w:rsidR="00947DF0" w:rsidRPr="00DC3470" w:rsidP="0025247C">
      <w:pPr>
        <w:pStyle w:val="FootnoteText"/>
        <w:spacing w:line="240" w:lineRule="auto"/>
      </w:pPr>
      <w:r w:rsidRPr="00DC3470">
        <w:rPr>
          <w:rStyle w:val="FootnoteReference"/>
        </w:rPr>
        <w:footnoteRef/>
      </w:r>
      <w:r w:rsidRPr="00DC3470">
        <w:t xml:space="preserve"> </w:t>
      </w:r>
      <w:r w:rsidRPr="00DC3470">
        <w:rPr>
          <w:i/>
        </w:rPr>
        <w:t>AT&amp;T-DIRECTV Order</w:t>
      </w:r>
      <w:r w:rsidRPr="00DC3470">
        <w:t xml:space="preserve">, 30 FCC Rcd at 9142, para. 24; </w:t>
      </w:r>
      <w:r w:rsidRPr="00DC3470">
        <w:rPr>
          <w:i/>
        </w:rPr>
        <w:t>Qwest-CenturyLink</w:t>
      </w:r>
      <w:r w:rsidRPr="00DC3470">
        <w:rPr>
          <w:i/>
        </w:rPr>
        <w:t xml:space="preserve"> </w:t>
      </w:r>
      <w:r w:rsidRPr="00DC3470">
        <w:rPr>
          <w:i/>
        </w:rPr>
        <w:t xml:space="preserve">Order, </w:t>
      </w:r>
      <w:r w:rsidRPr="00DC3470">
        <w:t xml:space="preserve">26 FCC Rcd at 4199, para.11; </w:t>
      </w:r>
      <w:r w:rsidRPr="00DC3470">
        <w:rPr>
          <w:i/>
        </w:rPr>
        <w:t xml:space="preserve">AT&amp;T-BellSouth Order, </w:t>
      </w:r>
      <w:r w:rsidRPr="00DC3470">
        <w:t>22 FCC Rcd at 5756, para. 191</w:t>
      </w:r>
      <w:r w:rsidRPr="00DC3470">
        <w:rPr>
          <w:i/>
        </w:rPr>
        <w:t>.</w:t>
      </w:r>
    </w:p>
  </w:footnote>
  <w:footnote w:id="36">
    <w:p w:rsidR="00947DF0" w:rsidP="0025247C">
      <w:pPr>
        <w:pStyle w:val="FootnoteText"/>
        <w:spacing w:line="240" w:lineRule="auto"/>
      </w:pPr>
      <w:r>
        <w:rPr>
          <w:rStyle w:val="FootnoteReference"/>
        </w:rPr>
        <w:footnoteRef/>
      </w:r>
      <w:r>
        <w:t xml:space="preserve"> </w:t>
      </w:r>
      <w:r>
        <w:rPr>
          <w:i/>
        </w:rPr>
        <w:t>See, e.g.</w:t>
      </w:r>
      <w:r>
        <w:t xml:space="preserve">, </w:t>
      </w:r>
      <w:r>
        <w:rPr>
          <w:i/>
        </w:rPr>
        <w:t xml:space="preserve">Applications of </w:t>
      </w:r>
      <w:r w:rsidR="00140A7E">
        <w:rPr>
          <w:i/>
        </w:rPr>
        <w:t>AT&amp;T Inc., Leap Wireless International, Inc., Cricket License Co., LLC and Leap Licenseco, Inc.</w:t>
      </w:r>
      <w:r>
        <w:rPr>
          <w:i/>
        </w:rPr>
        <w:t xml:space="preserve"> for Consent to Transfer Control </w:t>
      </w:r>
      <w:r w:rsidR="006549FA">
        <w:rPr>
          <w:i/>
        </w:rPr>
        <w:t>and Assign</w:t>
      </w:r>
      <w:r>
        <w:rPr>
          <w:i/>
        </w:rPr>
        <w:t xml:space="preserve"> Licenses and Authorizations</w:t>
      </w:r>
      <w:r>
        <w:t>, Memorandum Opinion and Order, 2</w:t>
      </w:r>
      <w:r w:rsidR="006549FA">
        <w:t>9</w:t>
      </w:r>
      <w:r>
        <w:t xml:space="preserve"> FCC Rcd </w:t>
      </w:r>
      <w:r w:rsidR="006549FA">
        <w:t>2735</w:t>
      </w:r>
      <w:r>
        <w:t xml:space="preserve">, </w:t>
      </w:r>
      <w:r w:rsidR="006549FA">
        <w:t>2745, para. 19</w:t>
      </w:r>
      <w:r>
        <w:t xml:space="preserve"> (</w:t>
      </w:r>
      <w:r w:rsidR="006549FA">
        <w:t xml:space="preserve">WTB, IB </w:t>
      </w:r>
      <w:r>
        <w:t>20</w:t>
      </w:r>
      <w:r w:rsidR="006549FA">
        <w:t>14</w:t>
      </w:r>
      <w:r>
        <w:t>)</w:t>
      </w:r>
      <w:r w:rsidR="00AE23CB">
        <w:t xml:space="preserve"> (</w:t>
      </w:r>
      <w:r w:rsidR="00AE23CB">
        <w:rPr>
          <w:i/>
        </w:rPr>
        <w:t>AT&amp;T-Leap Order</w:t>
      </w:r>
      <w:r w:rsidR="00AE23CB">
        <w:t>)</w:t>
      </w:r>
      <w:r w:rsidR="001262F4">
        <w:t>;</w:t>
      </w:r>
      <w:r w:rsidRPr="001262F4" w:rsidR="001262F4">
        <w:t xml:space="preserve"> </w:t>
      </w:r>
      <w:r w:rsidRPr="000307AE" w:rsidR="001262F4">
        <w:rPr>
          <w:i/>
        </w:rPr>
        <w:t xml:space="preserve">Applications of AT&amp;T Mobility Spectrum LLC, New Cingular Wireless PCS, LLC, Comcast Corporation, Horizon Wi-Com, LLC, NextWave Wireless, Inc., and San Diego Gas &amp; Electric Company for Consent </w:t>
      </w:r>
      <w:r w:rsidRPr="00A749FF" w:rsidR="00A749FF">
        <w:rPr>
          <w:i/>
        </w:rPr>
        <w:t>t</w:t>
      </w:r>
      <w:r w:rsidRPr="000307AE" w:rsidR="001262F4">
        <w:rPr>
          <w:i/>
        </w:rPr>
        <w:t>o Assign and Transfer Licenses</w:t>
      </w:r>
      <w:r w:rsidRPr="001262F4" w:rsidR="001262F4">
        <w:t>, Memorandum Opinion and Order,</w:t>
      </w:r>
      <w:r w:rsidRPr="00A6369B" w:rsidR="001262F4">
        <w:t xml:space="preserve"> 27 FCC Rcd </w:t>
      </w:r>
      <w:r w:rsidR="001262F4">
        <w:t xml:space="preserve">16459, 16466-67, para. </w:t>
      </w:r>
      <w:r w:rsidRPr="00A5312F" w:rsidR="001262F4">
        <w:t>19</w:t>
      </w:r>
      <w:r w:rsidRPr="00A6369B" w:rsidR="001262F4">
        <w:t xml:space="preserve"> (2012)</w:t>
      </w:r>
      <w:r w:rsidRPr="00A5312F" w:rsidR="001262F4">
        <w:t>.</w:t>
      </w:r>
    </w:p>
  </w:footnote>
  <w:footnote w:id="37">
    <w:p w:rsidR="00947DF0" w:rsidP="0025247C">
      <w:pPr>
        <w:pStyle w:val="FootnoteText"/>
        <w:spacing w:line="240" w:lineRule="auto"/>
      </w:pPr>
      <w:r>
        <w:rPr>
          <w:rStyle w:val="FootnoteReference"/>
        </w:rPr>
        <w:footnoteRef/>
      </w:r>
      <w:r>
        <w:t xml:space="preserve"> 47 U.S.C. § 310(d); 47 C.F.R. § 1.948.  </w:t>
      </w:r>
      <w:r w:rsidRPr="00793143">
        <w:rPr>
          <w:szCs w:val="22"/>
        </w:rPr>
        <w:t>The Commission generally does not reevaluate the qualifications of transferors unless issues related to basic qualifications have been sufficiently raised in petitions to warrant designation for hearing.</w:t>
      </w:r>
      <w:r>
        <w:rPr>
          <w:szCs w:val="22"/>
        </w:rPr>
        <w:t xml:space="preserve">  </w:t>
      </w:r>
      <w:r w:rsidRPr="00DC3470">
        <w:rPr>
          <w:i/>
        </w:rPr>
        <w:t>AT&amp;T-DIRECTV Order</w:t>
      </w:r>
      <w:r w:rsidRPr="00DC3470">
        <w:t>, 30 FCC Rcd at 9142, para. 25</w:t>
      </w:r>
      <w:r>
        <w:t xml:space="preserve">; </w:t>
      </w:r>
      <w:r w:rsidRPr="008F0EB3">
        <w:rPr>
          <w:i/>
        </w:rPr>
        <w:t>Applications of Sprint Nextel Corp. and SoftBank Corp. and Starburst II, Inc. for Consent to Transfer Control of Licenses and Authorizations</w:t>
      </w:r>
      <w:r w:rsidRPr="008F0EB3">
        <w:t>, Memorandum Opinion and Order, Declaratory Ruling, and Order on Reconsideration, 28 FCC Rcd 9642, 96</w:t>
      </w:r>
      <w:r>
        <w:t>53</w:t>
      </w:r>
      <w:r w:rsidRPr="008F0EB3">
        <w:t xml:space="preserve">, para. </w:t>
      </w:r>
      <w:r>
        <w:t>27</w:t>
      </w:r>
      <w:r w:rsidRPr="008F0EB3">
        <w:t xml:space="preserve"> (2013</w:t>
      </w:r>
      <w:r>
        <w:t>)</w:t>
      </w:r>
      <w:r w:rsidRPr="00B950B1">
        <w:t>.</w:t>
      </w:r>
    </w:p>
  </w:footnote>
  <w:footnote w:id="38">
    <w:p w:rsidR="00947DF0" w:rsidRPr="00DC3470" w:rsidP="0025247C">
      <w:pPr>
        <w:pStyle w:val="FootnoteText"/>
        <w:spacing w:line="240" w:lineRule="auto"/>
      </w:pPr>
      <w:r w:rsidRPr="00DC3470">
        <w:rPr>
          <w:rStyle w:val="FootnoteReference"/>
        </w:rPr>
        <w:footnoteRef/>
      </w:r>
      <w:r w:rsidRPr="00DC3470">
        <w:t xml:space="preserve"> </w:t>
      </w:r>
      <w:r w:rsidRPr="00DC3470">
        <w:rPr>
          <w:i/>
        </w:rPr>
        <w:t>AT&amp;T-DIRECTV Order</w:t>
      </w:r>
      <w:r w:rsidRPr="00DC3470">
        <w:t>, 30 FCC Rcd at 9154, para. 52.</w:t>
      </w:r>
    </w:p>
  </w:footnote>
  <w:footnote w:id="39">
    <w:p w:rsidR="00607C19">
      <w:pPr>
        <w:pStyle w:val="FootnoteText"/>
      </w:pPr>
      <w:r>
        <w:rPr>
          <w:rStyle w:val="FootnoteReference"/>
        </w:rPr>
        <w:footnoteRef/>
      </w:r>
      <w:r>
        <w:t xml:space="preserve"> Public Interest Statement at 1.</w:t>
      </w:r>
    </w:p>
  </w:footnote>
  <w:footnote w:id="40">
    <w:p w:rsidR="0036412D" w:rsidRPr="005E6286">
      <w:pPr>
        <w:pStyle w:val="FootnoteText"/>
      </w:pPr>
      <w:r>
        <w:rPr>
          <w:rStyle w:val="FootnoteReference"/>
        </w:rPr>
        <w:footnoteRef/>
      </w:r>
      <w:r>
        <w:t xml:space="preserve"> </w:t>
      </w:r>
      <w:r w:rsidR="005E6286">
        <w:rPr>
          <w:i/>
        </w:rPr>
        <w:t>Id.</w:t>
      </w:r>
      <w:r w:rsidR="005E6286">
        <w:t xml:space="preserve"> at 8.</w:t>
      </w:r>
    </w:p>
  </w:footnote>
  <w:footnote w:id="41">
    <w:p w:rsidR="00947DF0" w:rsidRPr="0059297C" w:rsidP="0025247C">
      <w:pPr>
        <w:pStyle w:val="FootnoteText"/>
        <w:spacing w:line="240" w:lineRule="auto"/>
      </w:pPr>
      <w:r>
        <w:rPr>
          <w:rStyle w:val="FootnoteReference"/>
        </w:rPr>
        <w:footnoteRef/>
      </w:r>
      <w:r>
        <w:t xml:space="preserve"> </w:t>
      </w:r>
      <w:r w:rsidR="005E6286">
        <w:rPr>
          <w:i/>
        </w:rPr>
        <w:t>Id</w:t>
      </w:r>
      <w:r>
        <w:t>.</w:t>
      </w:r>
      <w:r w:rsidR="0059297C">
        <w:t xml:space="preserve">  The </w:t>
      </w:r>
      <w:r w:rsidR="005E6286">
        <w:t xml:space="preserve">Applicants </w:t>
      </w:r>
      <w:r w:rsidR="0059297C">
        <w:t xml:space="preserve">assert that all of the national wireless </w:t>
      </w:r>
      <w:r w:rsidR="0036412D">
        <w:t xml:space="preserve">service providers </w:t>
      </w:r>
      <w:r w:rsidR="0059297C">
        <w:t xml:space="preserve">have plans to deploy 5G services.  </w:t>
      </w:r>
      <w:r w:rsidR="0059297C">
        <w:rPr>
          <w:i/>
        </w:rPr>
        <w:t>Id.</w:t>
      </w:r>
      <w:r w:rsidR="0059297C">
        <w:t xml:space="preserve"> at 8 &amp; n.39.</w:t>
      </w:r>
    </w:p>
  </w:footnote>
  <w:footnote w:id="42">
    <w:p w:rsidR="00947DF0" w:rsidRPr="00A749FF" w:rsidP="0025247C">
      <w:pPr>
        <w:pStyle w:val="FootnoteText"/>
        <w:spacing w:line="240" w:lineRule="auto"/>
      </w:pPr>
      <w:r>
        <w:rPr>
          <w:rStyle w:val="FootnoteReference"/>
        </w:rPr>
        <w:footnoteRef/>
      </w:r>
      <w:r>
        <w:t xml:space="preserve"> </w:t>
      </w:r>
      <w:r w:rsidR="00232B3B">
        <w:rPr>
          <w:i/>
        </w:rPr>
        <w:t>Use of Spectrum Bands Above 24GHz for Mobile Radio Services</w:t>
      </w:r>
      <w:r w:rsidR="00232B3B">
        <w:t xml:space="preserve">, Report and Order and Further Notice of Proposed Rulemaking, 31 FCC Rcd 8014, 8081 n.486 </w:t>
      </w:r>
      <w:r w:rsidR="00B8452B">
        <w:t xml:space="preserve">(2016) </w:t>
      </w:r>
      <w:r w:rsidR="00232B3B">
        <w:t>(</w:t>
      </w:r>
      <w:r w:rsidR="00232B3B">
        <w:rPr>
          <w:i/>
        </w:rPr>
        <w:t>Spectrum Frontiers Order</w:t>
      </w:r>
      <w:r w:rsidR="00232B3B">
        <w:t>).</w:t>
      </w:r>
      <w:r w:rsidR="00A749FF">
        <w:t xml:space="preserve">  We note that in its recent </w:t>
      </w:r>
      <w:r w:rsidR="00A749FF">
        <w:rPr>
          <w:i/>
        </w:rPr>
        <w:t xml:space="preserve">Spectrum Frontiers Second Report and </w:t>
      </w:r>
      <w:r w:rsidRPr="002E2FC1" w:rsidR="00A749FF">
        <w:rPr>
          <w:i/>
        </w:rPr>
        <w:t>Order</w:t>
      </w:r>
      <w:r w:rsidR="00A749FF">
        <w:t>, the Commission</w:t>
      </w:r>
      <w:r w:rsidR="00A749FF">
        <w:rPr>
          <w:i/>
        </w:rPr>
        <w:t xml:space="preserve"> </w:t>
      </w:r>
      <w:r w:rsidR="00A749FF">
        <w:t xml:space="preserve">raised this threshold to 1850 megahertz.  </w:t>
      </w:r>
      <w:r w:rsidR="00A749FF">
        <w:rPr>
          <w:i/>
        </w:rPr>
        <w:t>Spectrum Frontiers Second Report and Order</w:t>
      </w:r>
      <w:r w:rsidR="00A749FF">
        <w:t xml:space="preserve">, FCC 17-152, para. 74.  </w:t>
      </w:r>
      <w:r w:rsidR="00A749FF">
        <w:rPr>
          <w:i/>
        </w:rPr>
        <w:t xml:space="preserve">See infra </w:t>
      </w:r>
      <w:r w:rsidR="00A749FF">
        <w:t>para. 20.</w:t>
      </w:r>
    </w:p>
  </w:footnote>
  <w:footnote w:id="43">
    <w:p w:rsidR="0025247C" w:rsidP="0025247C">
      <w:pPr>
        <w:pStyle w:val="FootnoteText"/>
        <w:spacing w:line="240" w:lineRule="auto"/>
      </w:pPr>
      <w:r>
        <w:rPr>
          <w:rStyle w:val="FootnoteReference"/>
        </w:rPr>
        <w:footnoteRef/>
      </w:r>
      <w:r>
        <w:t xml:space="preserve"> Public Interest Statement at</w:t>
      </w:r>
      <w:r w:rsidR="00232B3B">
        <w:t xml:space="preserve"> </w:t>
      </w:r>
      <w:r w:rsidR="0059297C">
        <w:t>8</w:t>
      </w:r>
      <w:r>
        <w:t>.</w:t>
      </w:r>
    </w:p>
  </w:footnote>
  <w:footnote w:id="44">
    <w:p w:rsidR="0027052C">
      <w:pPr>
        <w:pStyle w:val="FootnoteText"/>
      </w:pPr>
      <w:r>
        <w:rPr>
          <w:rStyle w:val="FootnoteReference"/>
        </w:rPr>
        <w:footnoteRef/>
      </w:r>
      <w:r>
        <w:t xml:space="preserve"> </w:t>
      </w:r>
      <w:r w:rsidR="006E0239">
        <w:t xml:space="preserve">M&amp;M Petition </w:t>
      </w:r>
      <w:r w:rsidR="00900444">
        <w:t xml:space="preserve">at 4-10; CCA Comments at 4-14; </w:t>
      </w:r>
      <w:r w:rsidR="00F72A06">
        <w:t xml:space="preserve">M&amp;M Reply at 4-5; </w:t>
      </w:r>
      <w:r w:rsidR="00900444">
        <w:t xml:space="preserve">CCA Reply Comments at 2-7; T-Mobile Reply Comments at </w:t>
      </w:r>
      <w:r w:rsidR="00F72A06">
        <w:t>1-2.</w:t>
      </w:r>
    </w:p>
  </w:footnote>
  <w:footnote w:id="45">
    <w:p w:rsidR="0027052C">
      <w:pPr>
        <w:pStyle w:val="FootnoteText"/>
      </w:pPr>
      <w:r>
        <w:rPr>
          <w:rStyle w:val="FootnoteReference"/>
        </w:rPr>
        <w:footnoteRef/>
      </w:r>
      <w:r>
        <w:t xml:space="preserve"> M&amp;M Petition at 3, 12-14.</w:t>
      </w:r>
    </w:p>
  </w:footnote>
  <w:footnote w:id="46">
    <w:p w:rsidR="00155C34" w:rsidRPr="00155C34">
      <w:pPr>
        <w:pStyle w:val="FootnoteText"/>
      </w:pPr>
      <w:r>
        <w:rPr>
          <w:rStyle w:val="FootnoteReference"/>
        </w:rPr>
        <w:footnoteRef/>
      </w:r>
      <w:r>
        <w:t xml:space="preserve"> </w:t>
      </w:r>
      <w:r>
        <w:rPr>
          <w:i/>
        </w:rPr>
        <w:t>See, e.g.</w:t>
      </w:r>
      <w:r>
        <w:t>, Fahy Petition at 6; Levy Petition at 7</w:t>
      </w:r>
      <w:r w:rsidR="003030FC">
        <w:t>; Fahy Reply at 9-11.</w:t>
      </w:r>
    </w:p>
  </w:footnote>
  <w:footnote w:id="47">
    <w:p w:rsidR="007A69D1" w:rsidRPr="00155C34">
      <w:pPr>
        <w:pStyle w:val="FootnoteText"/>
      </w:pPr>
      <w:r>
        <w:rPr>
          <w:rStyle w:val="FootnoteReference"/>
        </w:rPr>
        <w:footnoteRef/>
      </w:r>
      <w:r>
        <w:t xml:space="preserve"> </w:t>
      </w:r>
      <w:r w:rsidR="00155C34">
        <w:rPr>
          <w:i/>
        </w:rPr>
        <w:t>See, e.g.</w:t>
      </w:r>
      <w:r w:rsidR="00155C34">
        <w:t xml:space="preserve">, </w:t>
      </w:r>
      <w:r w:rsidR="003030FC">
        <w:t>Wright Petition at 2; Levy Petition at 14; Levy Reply at 6</w:t>
      </w:r>
    </w:p>
  </w:footnote>
  <w:footnote w:id="48">
    <w:p w:rsidR="003832EB">
      <w:pPr>
        <w:pStyle w:val="FootnoteText"/>
      </w:pPr>
      <w:r>
        <w:rPr>
          <w:rStyle w:val="FootnoteReference"/>
        </w:rPr>
        <w:footnoteRef/>
      </w:r>
      <w:r>
        <w:t xml:space="preserve"> Joint Opposition at 2.</w:t>
      </w:r>
    </w:p>
  </w:footnote>
  <w:footnote w:id="49">
    <w:p w:rsidR="003A4511">
      <w:pPr>
        <w:pStyle w:val="FootnoteText"/>
      </w:pPr>
      <w:r>
        <w:rPr>
          <w:rStyle w:val="FootnoteReference"/>
        </w:rPr>
        <w:footnoteRef/>
      </w:r>
      <w:r>
        <w:t xml:space="preserve"> </w:t>
      </w:r>
      <w:r w:rsidR="003832EB">
        <w:rPr>
          <w:i/>
        </w:rPr>
        <w:t>Id.</w:t>
      </w:r>
      <w:r w:rsidR="003832EB">
        <w:t xml:space="preserve"> </w:t>
      </w:r>
      <w:r>
        <w:t>at 2, 7.</w:t>
      </w:r>
    </w:p>
  </w:footnote>
  <w:footnote w:id="50">
    <w:p w:rsidR="00241C7B" w:rsidRPr="00241C7B">
      <w:pPr>
        <w:pStyle w:val="FootnoteText"/>
      </w:pPr>
      <w:r>
        <w:rPr>
          <w:rStyle w:val="FootnoteReference"/>
        </w:rPr>
        <w:footnoteRef/>
      </w:r>
      <w:r>
        <w:t xml:space="preserve"> </w:t>
      </w:r>
      <w:r>
        <w:rPr>
          <w:i/>
        </w:rPr>
        <w:t>Id</w:t>
      </w:r>
      <w:r>
        <w:t>. at 3, 19-20.</w:t>
      </w:r>
    </w:p>
  </w:footnote>
  <w:footnote w:id="51">
    <w:p w:rsidR="00947DF0" w:rsidRPr="003D4725" w:rsidP="0025247C">
      <w:pPr>
        <w:pStyle w:val="FootnoteText"/>
        <w:spacing w:line="240" w:lineRule="auto"/>
      </w:pPr>
      <w:r w:rsidRPr="003D4725">
        <w:rPr>
          <w:rStyle w:val="FootnoteReference"/>
        </w:rPr>
        <w:footnoteRef/>
      </w:r>
      <w:r w:rsidRPr="003D4725">
        <w:t xml:space="preserve"> </w:t>
      </w:r>
      <w:r w:rsidRPr="003D4725">
        <w:rPr>
          <w:i/>
        </w:rPr>
        <w:t>See, e.g.</w:t>
      </w:r>
      <w:r w:rsidRPr="003D4725">
        <w:t>,</w:t>
      </w:r>
      <w:r w:rsidRPr="003D4725">
        <w:rPr>
          <w:i/>
        </w:rPr>
        <w:t xml:space="preserve"> </w:t>
      </w:r>
      <w:r w:rsidRPr="0065748A" w:rsidR="004B20A8">
        <w:rPr>
          <w:i/>
        </w:rPr>
        <w:t>Applications of S</w:t>
      </w:r>
      <w:r w:rsidRPr="00B1346E" w:rsidR="004B20A8">
        <w:rPr>
          <w:i/>
          <w:spacing w:val="-2"/>
        </w:rPr>
        <w:t>printCom, Inc., Shenandoah Personal Communications, LLC, and NTELOS Holdings Corp. for Consent To Assign Licenses and Spectrum Lease Authorizations and To Transfer Control of Spectrum Lease Authorizations and an International Section 214 Authorization</w:t>
      </w:r>
      <w:r w:rsidR="004B20A8">
        <w:rPr>
          <w:spacing w:val="-2"/>
        </w:rPr>
        <w:t xml:space="preserve">, </w:t>
      </w:r>
      <w:r w:rsidR="004B20A8">
        <w:t>Memorandum Opinion and Order, 31 FCC Rcd 3631, 363</w:t>
      </w:r>
      <w:r w:rsidR="008B3780">
        <w:t>5-36</w:t>
      </w:r>
      <w:r w:rsidR="004B20A8">
        <w:t xml:space="preserve">, para. </w:t>
      </w:r>
      <w:r w:rsidR="008B3780">
        <w:t>9</w:t>
      </w:r>
      <w:r w:rsidR="004B20A8">
        <w:t xml:space="preserve"> (WTB/IB 2016) (</w:t>
      </w:r>
      <w:r w:rsidRPr="00B1346E" w:rsidR="004B20A8">
        <w:rPr>
          <w:i/>
        </w:rPr>
        <w:t>Sprint-Shentel-NTELOS Order</w:t>
      </w:r>
      <w:r w:rsidR="004B20A8">
        <w:t xml:space="preserve">); </w:t>
      </w:r>
      <w:r w:rsidR="00AE23CB">
        <w:rPr>
          <w:i/>
        </w:rPr>
        <w:t>AT&amp;T-</w:t>
      </w:r>
      <w:r w:rsidRPr="003D4725" w:rsidR="00032993">
        <w:rPr>
          <w:i/>
        </w:rPr>
        <w:t xml:space="preserve">Leap </w:t>
      </w:r>
      <w:r w:rsidR="00AE23CB">
        <w:rPr>
          <w:i/>
        </w:rPr>
        <w:t>Order</w:t>
      </w:r>
      <w:r w:rsidRPr="003D4725" w:rsidR="00032993">
        <w:t>,</w:t>
      </w:r>
      <w:r w:rsidRPr="003D4725" w:rsidR="00032993">
        <w:rPr>
          <w:i/>
          <w:iCs/>
        </w:rPr>
        <w:t xml:space="preserve"> </w:t>
      </w:r>
      <w:r w:rsidRPr="003D4725" w:rsidR="00032993">
        <w:t xml:space="preserve">29 FCC Rcd </w:t>
      </w:r>
      <w:r w:rsidR="00AE23CB">
        <w:t>at</w:t>
      </w:r>
      <w:r w:rsidRPr="003D4725" w:rsidR="00032993">
        <w:t xml:space="preserve"> </w:t>
      </w:r>
      <w:r w:rsidR="00032993">
        <w:t>2745</w:t>
      </w:r>
      <w:r w:rsidRPr="003D4725" w:rsidR="00032993">
        <w:t xml:space="preserve">, para. </w:t>
      </w:r>
      <w:r w:rsidR="00032993">
        <w:t>20</w:t>
      </w:r>
      <w:r w:rsidRPr="003D4725">
        <w:t>.</w:t>
      </w:r>
    </w:p>
  </w:footnote>
  <w:footnote w:id="52">
    <w:p w:rsidR="00947DF0" w:rsidRPr="00711CA4" w:rsidP="0025247C">
      <w:pPr>
        <w:pStyle w:val="FootnoteText"/>
        <w:spacing w:line="240" w:lineRule="auto"/>
        <w:rPr>
          <w:i/>
          <w:color w:val="010101"/>
        </w:rPr>
      </w:pPr>
      <w:r w:rsidRPr="00AA365B">
        <w:rPr>
          <w:rStyle w:val="FootnoteReference"/>
        </w:rPr>
        <w:footnoteRef/>
      </w:r>
      <w:r w:rsidRPr="00AA365B">
        <w:t xml:space="preserve"> </w:t>
      </w:r>
      <w:r w:rsidRPr="00AA365B">
        <w:rPr>
          <w:i/>
          <w:color w:val="010101"/>
        </w:rPr>
        <w:t>See, e.g.</w:t>
      </w:r>
      <w:r w:rsidRPr="00AA365B">
        <w:rPr>
          <w:color w:val="010101"/>
        </w:rPr>
        <w:t>,</w:t>
      </w:r>
      <w:r w:rsidRPr="00AA365B">
        <w:rPr>
          <w:i/>
          <w:color w:val="010101"/>
        </w:rPr>
        <w:t xml:space="preserve"> </w:t>
      </w:r>
      <w:r w:rsidRPr="009F3286" w:rsidR="008B3780">
        <w:rPr>
          <w:i/>
          <w:color w:val="010101"/>
        </w:rPr>
        <w:t>Policies Regarding Mobile Spectrum Holdings; Expanding the Economic and Innovation Opportunities of Spectrum Through Incentive Auctions</w:t>
      </w:r>
      <w:r w:rsidRPr="00D97728" w:rsidR="008B3780">
        <w:rPr>
          <w:color w:val="010101"/>
        </w:rPr>
        <w:t xml:space="preserve">, </w:t>
      </w:r>
      <w:r w:rsidRPr="00F867CE" w:rsidR="008B3780">
        <w:rPr>
          <w:iCs/>
          <w:color w:val="010101"/>
        </w:rPr>
        <w:t>Report and Order</w:t>
      </w:r>
      <w:r w:rsidRPr="00F867CE" w:rsidR="008B3780">
        <w:rPr>
          <w:color w:val="010101"/>
        </w:rPr>
        <w:t>,</w:t>
      </w:r>
      <w:r w:rsidRPr="00D97728" w:rsidR="008B3780">
        <w:rPr>
          <w:color w:val="010101"/>
        </w:rPr>
        <w:t xml:space="preserve"> 29 FCC </w:t>
      </w:r>
      <w:r w:rsidR="008B3780">
        <w:rPr>
          <w:color w:val="010101"/>
        </w:rPr>
        <w:t xml:space="preserve">Rcd </w:t>
      </w:r>
      <w:r w:rsidRPr="00D97728" w:rsidR="008B3780">
        <w:rPr>
          <w:color w:val="010101"/>
        </w:rPr>
        <w:t>613</w:t>
      </w:r>
      <w:r w:rsidR="008B3780">
        <w:rPr>
          <w:color w:val="010101"/>
        </w:rPr>
        <w:t>3, 6238-40, paras. 282-88 (</w:t>
      </w:r>
      <w:r w:rsidRPr="00D97728" w:rsidR="008B3780">
        <w:rPr>
          <w:color w:val="010101"/>
        </w:rPr>
        <w:t>2014) (</w:t>
      </w:r>
      <w:r w:rsidRPr="00D97728" w:rsidR="008B3780">
        <w:rPr>
          <w:i/>
          <w:iCs/>
          <w:color w:val="010101"/>
        </w:rPr>
        <w:t>Mobile Spectrum Holdings Report and Order</w:t>
      </w:r>
      <w:r w:rsidRPr="00D97728" w:rsidR="008B3780">
        <w:rPr>
          <w:color w:val="010101"/>
        </w:rPr>
        <w:t>)</w:t>
      </w:r>
      <w:r w:rsidR="008B3780">
        <w:rPr>
          <w:color w:val="010101"/>
        </w:rPr>
        <w:t xml:space="preserve">, </w:t>
      </w:r>
      <w:r w:rsidRPr="0044008A" w:rsidR="008B3780">
        <w:rPr>
          <w:i/>
          <w:color w:val="010101"/>
        </w:rPr>
        <w:t>recon</w:t>
      </w:r>
      <w:r w:rsidRPr="00D97728" w:rsidR="008B3780">
        <w:rPr>
          <w:color w:val="010101"/>
        </w:rPr>
        <w:t>.</w:t>
      </w:r>
      <w:r w:rsidR="008B3780">
        <w:rPr>
          <w:color w:val="010101"/>
        </w:rPr>
        <w:t xml:space="preserve"> </w:t>
      </w:r>
      <w:r w:rsidR="008B3780">
        <w:rPr>
          <w:i/>
          <w:color w:val="010101"/>
        </w:rPr>
        <w:t>denied</w:t>
      </w:r>
      <w:r w:rsidR="008B3780">
        <w:rPr>
          <w:color w:val="010101"/>
        </w:rPr>
        <w:t xml:space="preserve">, </w:t>
      </w:r>
      <w:r w:rsidRPr="00F867CE" w:rsidR="008B3780">
        <w:rPr>
          <w:color w:val="010101"/>
        </w:rPr>
        <w:t>Order on Reconsideration</w:t>
      </w:r>
      <w:r w:rsidR="008B3780">
        <w:rPr>
          <w:color w:val="010101"/>
        </w:rPr>
        <w:t>, 30 FCC Rcd 8635 (2015)</w:t>
      </w:r>
      <w:r>
        <w:rPr>
          <w:color w:val="010101"/>
        </w:rPr>
        <w:t xml:space="preserve">; </w:t>
      </w:r>
      <w:r w:rsidRPr="00AA365B">
        <w:rPr>
          <w:i/>
        </w:rPr>
        <w:t>AT&amp;T-Leap Order</w:t>
      </w:r>
      <w:r w:rsidRPr="00AA365B">
        <w:t>, 29 FCC Rcd at 2745-46, para. 21.</w:t>
      </w:r>
    </w:p>
  </w:footnote>
  <w:footnote w:id="53">
    <w:p w:rsidR="00194804" w:rsidP="00194804">
      <w:pPr>
        <w:pStyle w:val="FootnoteText"/>
        <w:spacing w:line="240" w:lineRule="auto"/>
      </w:pPr>
      <w:r>
        <w:rPr>
          <w:rStyle w:val="FootnoteReference"/>
        </w:rPr>
        <w:footnoteRef/>
      </w:r>
      <w:r>
        <w:t xml:space="preserve"> </w:t>
      </w:r>
      <w:r w:rsidRPr="003D4725">
        <w:rPr>
          <w:i/>
        </w:rPr>
        <w:t>See, e.g</w:t>
      </w:r>
      <w:r w:rsidRPr="005F5D89">
        <w:rPr>
          <w:i/>
        </w:rPr>
        <w:t>.</w:t>
      </w:r>
      <w:r w:rsidRPr="005F5D89">
        <w:t>,</w:t>
      </w:r>
      <w:r w:rsidRPr="005F5D89">
        <w:rPr>
          <w:i/>
        </w:rPr>
        <w:t xml:space="preserve"> Sprint-Shentel-NTELOS </w:t>
      </w:r>
      <w:r w:rsidRPr="00EF347E">
        <w:rPr>
          <w:i/>
        </w:rPr>
        <w:t>Order</w:t>
      </w:r>
      <w:r w:rsidRPr="005F5D89">
        <w:t>, 31</w:t>
      </w:r>
      <w:r>
        <w:t xml:space="preserve"> FCC Rcd at 3637, para. 13; </w:t>
      </w:r>
      <w:r w:rsidRPr="00D97728">
        <w:rPr>
          <w:i/>
          <w:iCs/>
          <w:color w:val="010101"/>
        </w:rPr>
        <w:t xml:space="preserve">Mobile Spectrum Holdings Report and </w:t>
      </w:r>
      <w:r w:rsidRPr="003F41A3">
        <w:rPr>
          <w:i/>
          <w:iCs/>
          <w:color w:val="010101"/>
        </w:rPr>
        <w:t>Order</w:t>
      </w:r>
      <w:r>
        <w:rPr>
          <w:iCs/>
          <w:color w:val="010101"/>
        </w:rPr>
        <w:t>, 29 FCC Rcd at 6169, para. 70</w:t>
      </w:r>
      <w:r w:rsidRPr="003D4725">
        <w:t>.</w:t>
      </w:r>
    </w:p>
  </w:footnote>
  <w:footnote w:id="54">
    <w:p w:rsidR="00947DF0" w:rsidRPr="007768EA" w:rsidP="0025247C">
      <w:pPr>
        <w:pStyle w:val="FootnoteText"/>
        <w:spacing w:line="240" w:lineRule="auto"/>
      </w:pPr>
      <w:r>
        <w:rPr>
          <w:rStyle w:val="FootnoteReference"/>
        </w:rPr>
        <w:footnoteRef/>
      </w:r>
      <w:r>
        <w:t xml:space="preserve"> </w:t>
      </w:r>
      <w:r>
        <w:rPr>
          <w:i/>
        </w:rPr>
        <w:t>Spectrum Frontiers Order</w:t>
      </w:r>
      <w:r w:rsidRPr="00013A2A">
        <w:t>,</w:t>
      </w:r>
      <w:r>
        <w:rPr>
          <w:i/>
        </w:rPr>
        <w:t xml:space="preserve"> </w:t>
      </w:r>
      <w:r w:rsidR="00504E7F">
        <w:t>31 FCC Rcd at 8081</w:t>
      </w:r>
      <w:r>
        <w:t xml:space="preserve">, para. 184.  </w:t>
      </w:r>
    </w:p>
  </w:footnote>
  <w:footnote w:id="55">
    <w:p w:rsidR="00947DF0" w:rsidRPr="003B2E0D" w:rsidP="0025247C">
      <w:pPr>
        <w:pStyle w:val="FootnoteText"/>
        <w:spacing w:line="240" w:lineRule="auto"/>
      </w:pPr>
      <w:r>
        <w:rPr>
          <w:rStyle w:val="FootnoteReference"/>
        </w:rPr>
        <w:footnoteRef/>
      </w:r>
      <w:r>
        <w:t xml:space="preserve"> </w:t>
      </w:r>
      <w:r w:rsidR="00B77554">
        <w:rPr>
          <w:i/>
        </w:rPr>
        <w:t>Id.</w:t>
      </w:r>
      <w:r w:rsidR="004719A8">
        <w:t xml:space="preserve"> at 8082</w:t>
      </w:r>
      <w:r w:rsidR="00AE23CB">
        <w:t>-84</w:t>
      </w:r>
      <w:r>
        <w:t>, para</w:t>
      </w:r>
      <w:r w:rsidR="00AE23CB">
        <w:t xml:space="preserve">s </w:t>
      </w:r>
      <w:r>
        <w:t>185</w:t>
      </w:r>
      <w:r w:rsidR="00AE23CB">
        <w:t xml:space="preserve"> &amp; 190</w:t>
      </w:r>
      <w:r w:rsidRPr="00696F19">
        <w:t>.</w:t>
      </w:r>
      <w:r>
        <w:t xml:space="preserve">  </w:t>
      </w:r>
    </w:p>
  </w:footnote>
  <w:footnote w:id="56">
    <w:p w:rsidR="00947DF0" w:rsidRPr="003D4725" w:rsidP="0025247C">
      <w:pPr>
        <w:pStyle w:val="FootnoteText"/>
        <w:spacing w:line="240" w:lineRule="auto"/>
      </w:pPr>
      <w:r w:rsidRPr="00696F19">
        <w:rPr>
          <w:rStyle w:val="FootnoteReference"/>
        </w:rPr>
        <w:footnoteRef/>
      </w:r>
      <w:r w:rsidRPr="00696F19">
        <w:t xml:space="preserve"> </w:t>
      </w:r>
      <w:r w:rsidR="00B77554">
        <w:rPr>
          <w:i/>
        </w:rPr>
        <w:t>Id.</w:t>
      </w:r>
      <w:r w:rsidR="004719A8">
        <w:t xml:space="preserve"> a</w:t>
      </w:r>
      <w:r>
        <w:t xml:space="preserve">t </w:t>
      </w:r>
      <w:r w:rsidR="004719A8">
        <w:t>8081-84</w:t>
      </w:r>
      <w:r>
        <w:t>, paras. 184, 189</w:t>
      </w:r>
      <w:r w:rsidR="003C1D37">
        <w:t xml:space="preserve"> &amp; n.493</w:t>
      </w:r>
      <w:r w:rsidRPr="00696F19">
        <w:t>.</w:t>
      </w:r>
    </w:p>
  </w:footnote>
  <w:footnote w:id="57">
    <w:p w:rsidR="00C9221D" w:rsidRPr="00C9221D">
      <w:pPr>
        <w:pStyle w:val="FootnoteText"/>
      </w:pPr>
      <w:r>
        <w:rPr>
          <w:rStyle w:val="FootnoteReference"/>
        </w:rPr>
        <w:footnoteRef/>
      </w:r>
      <w:r>
        <w:t xml:space="preserve"> </w:t>
      </w:r>
      <w:r>
        <w:rPr>
          <w:i/>
        </w:rPr>
        <w:t>Spectrum Frontiers Second Report and Order</w:t>
      </w:r>
      <w:r>
        <w:t xml:space="preserve">, FCC 17-153, at para.74.  This change in the threshold became effective on January 2, 2018.  </w:t>
      </w:r>
      <w:r>
        <w:rPr>
          <w:i/>
        </w:rPr>
        <w:t>See Use of Spectrum Bands Above 24GHz for Mobile Radio Services</w:t>
      </w:r>
      <w:r>
        <w:t>, 83 Fed. Reg. 37 (Jan. 2, 2018).</w:t>
      </w:r>
    </w:p>
  </w:footnote>
  <w:footnote w:id="58">
    <w:p w:rsidR="00947DF0" w:rsidP="0025247C">
      <w:pPr>
        <w:pStyle w:val="FootnoteText"/>
        <w:spacing w:line="240" w:lineRule="auto"/>
      </w:pPr>
      <w:r w:rsidRPr="003D4725">
        <w:rPr>
          <w:rStyle w:val="FootnoteReference"/>
        </w:rPr>
        <w:footnoteRef/>
      </w:r>
      <w:r>
        <w:t xml:space="preserve"> </w:t>
      </w:r>
      <w:r w:rsidR="00CB6750">
        <w:t xml:space="preserve">Lead Application, Exhibit 3, </w:t>
      </w:r>
      <w:r w:rsidR="00B33A6A">
        <w:t>Updated Competitor and Aggregation Chart</w:t>
      </w:r>
      <w:r w:rsidR="00B43519">
        <w:t xml:space="preserve"> (</w:t>
      </w:r>
      <w:r w:rsidR="00B33A6A">
        <w:t xml:space="preserve">Updated </w:t>
      </w:r>
      <w:r w:rsidR="00B43519">
        <w:t>Spectrum Aggregation Exhibit)</w:t>
      </w:r>
      <w:r w:rsidR="00CB6750">
        <w:t xml:space="preserve">.  </w:t>
      </w:r>
      <w:r w:rsidR="00956400">
        <w:t>AT&amp;T</w:t>
      </w:r>
      <w:r w:rsidR="00B33A6A">
        <w:t xml:space="preserve">, through its subsidiary Teleport Communications America, LLC, holds incumbent rectangular service area 39 GHz licenses.  </w:t>
      </w:r>
      <w:r w:rsidR="00453594">
        <w:t>Public Interest Statement</w:t>
      </w:r>
      <w:r w:rsidR="00E63F65">
        <w:t xml:space="preserve"> at 2</w:t>
      </w:r>
      <w:r w:rsidR="00453594">
        <w:t xml:space="preserve"> n.4.  It </w:t>
      </w:r>
      <w:r>
        <w:t xml:space="preserve">would acquire from </w:t>
      </w:r>
      <w:r w:rsidR="00956400">
        <w:t xml:space="preserve">FiberTower </w:t>
      </w:r>
      <w:r w:rsidR="00235759">
        <w:t>514</w:t>
      </w:r>
      <w:r w:rsidR="00286C85">
        <w:t xml:space="preserve"> </w:t>
      </w:r>
      <w:r>
        <w:t xml:space="preserve">39 GHz licenses covering </w:t>
      </w:r>
      <w:r w:rsidR="00286C85">
        <w:t xml:space="preserve">2,713 </w:t>
      </w:r>
      <w:r>
        <w:t xml:space="preserve">counties, or approximately </w:t>
      </w:r>
      <w:r w:rsidR="00286C85">
        <w:t xml:space="preserve">96 </w:t>
      </w:r>
      <w:r>
        <w:t xml:space="preserve">percent of the U.S. population in all or parts of </w:t>
      </w:r>
      <w:r w:rsidR="00286C85">
        <w:t xml:space="preserve">667 </w:t>
      </w:r>
      <w:r>
        <w:t>C</w:t>
      </w:r>
      <w:r w:rsidR="00F749CC">
        <w:t>ellular Marketing Areas</w:t>
      </w:r>
      <w:r>
        <w:t xml:space="preserve">.  </w:t>
      </w:r>
      <w:r w:rsidR="005F78AE">
        <w:rPr>
          <w:i/>
        </w:rPr>
        <w:t>See</w:t>
      </w:r>
      <w:r w:rsidR="005F78AE">
        <w:t xml:space="preserve"> </w:t>
      </w:r>
      <w:r w:rsidR="00B33A6A">
        <w:t>Updated</w:t>
      </w:r>
      <w:r w:rsidR="00B43519">
        <w:t xml:space="preserve"> Spectrum Aggregation Exhibit.</w:t>
      </w:r>
      <w:r>
        <w:t xml:space="preserve">  Post-transaction, </w:t>
      </w:r>
      <w:r w:rsidR="00956400">
        <w:t xml:space="preserve">AT&amp;T </w:t>
      </w:r>
      <w:r>
        <w:t>would hold</w:t>
      </w:r>
      <w:r w:rsidR="00BC3C19">
        <w:t>, in any single county,</w:t>
      </w:r>
      <w:r>
        <w:t xml:space="preserve"> a maximum of </w:t>
      </w:r>
      <w:r w:rsidR="00286C85">
        <w:t xml:space="preserve">796.8 </w:t>
      </w:r>
      <w:r>
        <w:t xml:space="preserve">megahertz of mmW spectrum, or </w:t>
      </w:r>
      <w:r w:rsidR="003B5121">
        <w:t>approximately 16 percent</w:t>
      </w:r>
      <w:r>
        <w:t xml:space="preserve"> of the </w:t>
      </w:r>
      <w:r w:rsidR="003B5121">
        <w:t xml:space="preserve">4950 megahertz of mmW </w:t>
      </w:r>
      <w:r>
        <w:t xml:space="preserve">spectrum that the Commission made available in the </w:t>
      </w:r>
      <w:r w:rsidRPr="001F49F5">
        <w:rPr>
          <w:i/>
        </w:rPr>
        <w:t>Spectrum Frontiers Order</w:t>
      </w:r>
      <w:r>
        <w:t xml:space="preserve"> and the </w:t>
      </w:r>
      <w:r>
        <w:rPr>
          <w:i/>
        </w:rPr>
        <w:t>Second Spect</w:t>
      </w:r>
      <w:r w:rsidR="008F5C69">
        <w:rPr>
          <w:i/>
        </w:rPr>
        <w:t>r</w:t>
      </w:r>
      <w:r>
        <w:rPr>
          <w:i/>
        </w:rPr>
        <w:t>um Frontiers Order</w:t>
      </w:r>
      <w:r>
        <w:t xml:space="preserve"> for flexible use, including mobile services.  </w:t>
      </w:r>
      <w:r w:rsidRPr="00066144">
        <w:rPr>
          <w:i/>
        </w:rPr>
        <w:t>Spectrum Frontiers Order</w:t>
      </w:r>
      <w:r w:rsidR="005052BF">
        <w:t>, 31 FCC Rcd</w:t>
      </w:r>
      <w:r>
        <w:t xml:space="preserve"> at </w:t>
      </w:r>
      <w:r w:rsidR="005052BF">
        <w:t>8018</w:t>
      </w:r>
      <w:r>
        <w:t xml:space="preserve">, para. 4; </w:t>
      </w:r>
      <w:r>
        <w:rPr>
          <w:i/>
        </w:rPr>
        <w:t xml:space="preserve">Second Spectrum Frontiers Order </w:t>
      </w:r>
      <w:r>
        <w:t xml:space="preserve">at </w:t>
      </w:r>
      <w:r w:rsidR="005D0A47">
        <w:t xml:space="preserve">23-24, </w:t>
      </w:r>
      <w:r>
        <w:t>paras. 73</w:t>
      </w:r>
      <w:r w:rsidR="00F92452">
        <w:t>-74</w:t>
      </w:r>
      <w:r>
        <w:t>.</w:t>
      </w:r>
    </w:p>
    <w:p w:rsidR="00AA0F2D" w:rsidRPr="00AA0F2D" w:rsidP="0025247C">
      <w:pPr>
        <w:pStyle w:val="FootnoteText"/>
        <w:spacing w:line="240" w:lineRule="auto"/>
      </w:pPr>
      <w:r>
        <w:t xml:space="preserve">As noted above, </w:t>
      </w:r>
      <w:r>
        <w:rPr>
          <w:i/>
        </w:rPr>
        <w:t>supra</w:t>
      </w:r>
      <w:r>
        <w:t xml:space="preserve"> note 6, our competitive analysis does not include </w:t>
      </w:r>
      <w:r w:rsidR="001C3A8D">
        <w:t>the Cancelled L</w:t>
      </w:r>
      <w:r>
        <w:t>icenses</w:t>
      </w:r>
      <w:r w:rsidR="001C3A8D">
        <w:t>.</w:t>
      </w:r>
    </w:p>
  </w:footnote>
  <w:footnote w:id="59">
    <w:p w:rsidR="00453594">
      <w:pPr>
        <w:pStyle w:val="FootnoteText"/>
      </w:pPr>
      <w:r>
        <w:rPr>
          <w:rStyle w:val="FootnoteReference"/>
        </w:rPr>
        <w:footnoteRef/>
      </w:r>
      <w:r>
        <w:t xml:space="preserve"> Updated Spectrum Aggregation Exhibit.</w:t>
      </w:r>
    </w:p>
  </w:footnote>
  <w:footnote w:id="60">
    <w:p w:rsidR="004D2D8A">
      <w:pPr>
        <w:pStyle w:val="FootnoteText"/>
      </w:pPr>
      <w:r>
        <w:rPr>
          <w:rStyle w:val="FootnoteReference"/>
        </w:rPr>
        <w:footnoteRef/>
      </w:r>
      <w:r>
        <w:t xml:space="preserve"> We further note that no party other than M&amp;M has satisfied the requirements of Section 309(d)(1) of the Act that it demonstrate that it is a party in interest, supported by specific allegations of fact supported by an affidavit on personal knowledge.  </w:t>
      </w:r>
      <w:r>
        <w:rPr>
          <w:i/>
        </w:rPr>
        <w:t xml:space="preserve">See </w:t>
      </w:r>
      <w:r>
        <w:t xml:space="preserve">47 U.S.C. § 310(d)(1).  Moreover, while CCA alleges that its members “have a particular interest in the acquisition of spectrum that will be used to provide advanced services,” CCA Comments at 2, it fails to demonstrate how any of its members has suffered an injury in fact with respect to these particular licenses, that there is a causal link to that injury from this transaction, or that not granting the application would remedy that injury.  </w:t>
      </w:r>
      <w:r>
        <w:rPr>
          <w:i/>
        </w:rPr>
        <w:t xml:space="preserve">See, e.g., Applications of Cellco Partnership d/b/a Verizon Wireless and SpectrumCo LLC and Cox TMI, LLC for Consent to Assign AWS-1 Licenses, </w:t>
      </w:r>
      <w:r>
        <w:t>27 FCC Rcd 10698</w:t>
      </w:r>
      <w:r w:rsidR="00ED134D">
        <w:t>, 10713,</w:t>
      </w:r>
      <w:r w:rsidR="00D47848">
        <w:t xml:space="preserve"> </w:t>
      </w:r>
      <w:r>
        <w:t xml:space="preserve">para. 36 (2012).  Indeed, even in the case where a reauction would be reasonably foreseeable as the result of the denial of an auction winner’s application, disappointed bidders must demonstrate that they are able and ready to bid for the specific licenses at issue.  </w:t>
      </w:r>
      <w:r>
        <w:rPr>
          <w:i/>
        </w:rPr>
        <w:t xml:space="preserve">High Plains Wireless, L.P. v. FCC, </w:t>
      </w:r>
      <w:r>
        <w:t xml:space="preserve">276 F.3d 599 (D.C. Cir. 2002).  Finally, as noted below, M&amp;M’s demonstration of its party in interest status is limited to the 24 GHz licenses at issue here, as to which its claim is moot.  </w:t>
      </w:r>
    </w:p>
  </w:footnote>
  <w:footnote w:id="61">
    <w:p w:rsidR="009411FC">
      <w:pPr>
        <w:pStyle w:val="FootnoteText"/>
      </w:pPr>
      <w:r>
        <w:rPr>
          <w:rStyle w:val="FootnoteReference"/>
        </w:rPr>
        <w:footnoteRef/>
      </w:r>
      <w:r>
        <w:t xml:space="preserve"> Joint Opposition at 18.</w:t>
      </w:r>
    </w:p>
  </w:footnote>
  <w:footnote w:id="62">
    <w:p w:rsidR="005336EC">
      <w:pPr>
        <w:pStyle w:val="FootnoteText"/>
      </w:pPr>
      <w:r>
        <w:rPr>
          <w:rStyle w:val="FootnoteReference"/>
        </w:rPr>
        <w:footnoteRef/>
      </w:r>
      <w:r>
        <w:t xml:space="preserve"> </w:t>
      </w:r>
      <w:r w:rsidRPr="009B07B6" w:rsidR="006121C2">
        <w:rPr>
          <w:i/>
        </w:rPr>
        <w:t>S.A. Dawson</w:t>
      </w:r>
      <w:r w:rsidRPr="009B07B6" w:rsidR="006121C2">
        <w:t>, Memorandum Opinion and Order, 17 FCC Rcd 472, 474 n.15 (WTB 2002) (</w:t>
      </w:r>
      <w:r w:rsidRPr="009B07B6" w:rsidR="006121C2">
        <w:rPr>
          <w:i/>
        </w:rPr>
        <w:t>citing AirTouch Paging, Inc.</w:t>
      </w:r>
      <w:r w:rsidRPr="009B07B6" w:rsidR="006121C2">
        <w:t xml:space="preserve">, Order, 14 FCC Rcd 9658 (WTB CWB P&amp;RB 1999)); </w:t>
      </w:r>
      <w:r w:rsidRPr="009B07B6" w:rsidR="006121C2">
        <w:rPr>
          <w:i/>
        </w:rPr>
        <w:t>Listeners' Guild, Inc. v. FCC</w:t>
      </w:r>
      <w:r w:rsidRPr="009B07B6" w:rsidR="006121C2">
        <w:t xml:space="preserve">, 813 F.2d 465, 469 (D.C. Cir. 1987). </w:t>
      </w:r>
      <w:r w:rsidRPr="009B07B6" w:rsidR="006121C2">
        <w:rPr>
          <w:i/>
        </w:rPr>
        <w:t>See also Rudolph J. Geist, Esq.</w:t>
      </w:r>
      <w:r w:rsidRPr="009B07B6" w:rsidR="006121C2">
        <w:t>, Letter, 29 FCC Rcd 15282 (WTB BD 2014);</w:t>
      </w:r>
      <w:r w:rsidRPr="009B07B6" w:rsidR="006121C2">
        <w:rPr>
          <w:i/>
        </w:rPr>
        <w:t xml:space="preserve"> Antilles Wireless, L.L.C. d/b/a USA Digital</w:t>
      </w:r>
      <w:r w:rsidRPr="009B07B6" w:rsidR="006121C2">
        <w:t>, Order on Reconsideration, 24 FCC Rcd 4696, 4699, para. 8 (WTB 2009).</w:t>
      </w:r>
    </w:p>
  </w:footnote>
  <w:footnote w:id="63">
    <w:p w:rsidR="00947DF0" w:rsidRPr="00D04174" w:rsidP="0025247C">
      <w:pPr>
        <w:pStyle w:val="FootnoteText"/>
        <w:spacing w:line="240" w:lineRule="auto"/>
      </w:pPr>
      <w:r>
        <w:rPr>
          <w:rStyle w:val="FootnoteReference"/>
        </w:rPr>
        <w:footnoteRef/>
      </w:r>
      <w:r>
        <w:t xml:space="preserve"> </w:t>
      </w:r>
      <w:bookmarkStart w:id="68" w:name="_Hlk496682657"/>
      <w:r>
        <w:rPr>
          <w:i/>
        </w:rPr>
        <w:t>CenturyLink-Level 3 Order</w:t>
      </w:r>
      <w:r w:rsidR="00C82079">
        <w:t>, 32 FCC Rcd</w:t>
      </w:r>
      <w:r>
        <w:rPr>
          <w:i/>
        </w:rPr>
        <w:t xml:space="preserve"> </w:t>
      </w:r>
      <w:r>
        <w:t xml:space="preserve">at </w:t>
      </w:r>
      <w:r w:rsidR="00C82079">
        <w:t>960</w:t>
      </w:r>
      <w:r w:rsidR="00B8452B">
        <w:t xml:space="preserve">4, </w:t>
      </w:r>
      <w:r>
        <w:t xml:space="preserve">para. </w:t>
      </w:r>
      <w:r w:rsidRPr="00B70DCF">
        <w:t>50</w:t>
      </w:r>
      <w:r w:rsidRPr="00B70DCF">
        <w:rPr>
          <w:i/>
        </w:rPr>
        <w:t xml:space="preserve"> </w:t>
      </w:r>
      <w:r w:rsidRPr="00B70DCF">
        <w:t>(citing</w:t>
      </w:r>
      <w:r>
        <w:t xml:space="preserve"> </w:t>
      </w:r>
      <w:r>
        <w:rPr>
          <w:i/>
        </w:rPr>
        <w:t>AT&amp;T-BellSouth Order</w:t>
      </w:r>
      <w:r>
        <w:t>, 22 FCC Rcd at 5760, para. 201).</w:t>
      </w:r>
      <w:bookmarkEnd w:id="68"/>
    </w:p>
  </w:footnote>
  <w:footnote w:id="64">
    <w:p w:rsidR="00947DF0" w:rsidRPr="00AE354A" w:rsidP="0025247C">
      <w:pPr>
        <w:pStyle w:val="FootnoteText"/>
        <w:spacing w:line="240" w:lineRule="auto"/>
      </w:pPr>
      <w:r>
        <w:rPr>
          <w:rStyle w:val="FootnoteReference"/>
        </w:rPr>
        <w:footnoteRef/>
      </w:r>
      <w:r>
        <w:t xml:space="preserve"> </w:t>
      </w:r>
      <w:bookmarkStart w:id="69" w:name="_Hlk496682810"/>
      <w:r w:rsidR="007D7A45">
        <w:rPr>
          <w:i/>
        </w:rPr>
        <w:t>CenturyLink-Level 3 Order</w:t>
      </w:r>
      <w:r w:rsidR="00C82079">
        <w:t xml:space="preserve">, 32 FCC Rcd </w:t>
      </w:r>
      <w:r>
        <w:t xml:space="preserve">at </w:t>
      </w:r>
      <w:r w:rsidR="00C82079">
        <w:t>960</w:t>
      </w:r>
      <w:r w:rsidR="00B8452B">
        <w:t xml:space="preserve">4, </w:t>
      </w:r>
      <w:r w:rsidRPr="00B70DCF">
        <w:t>para. 50</w:t>
      </w:r>
      <w:r w:rsidRPr="00B70DCF">
        <w:rPr>
          <w:i/>
        </w:rPr>
        <w:t xml:space="preserve"> </w:t>
      </w:r>
      <w:r w:rsidRPr="00B70DCF" w:rsidR="007D7A45">
        <w:t>(citing</w:t>
      </w:r>
      <w:r w:rsidR="007D7A45">
        <w:t xml:space="preserve"> </w:t>
      </w:r>
      <w:r w:rsidR="007D7A45">
        <w:rPr>
          <w:i/>
        </w:rPr>
        <w:t>AT&amp;T-BellSouth Order</w:t>
      </w:r>
      <w:r w:rsidR="007D7A45">
        <w:t>, 22 FCC Rcd at 576</w:t>
      </w:r>
      <w:r w:rsidR="00B118E6">
        <w:t>1</w:t>
      </w:r>
      <w:r w:rsidR="007D7A45">
        <w:t>, para. 20</w:t>
      </w:r>
      <w:r w:rsidR="00B118E6">
        <w:t>2</w:t>
      </w:r>
      <w:r w:rsidRPr="00B70DCF" w:rsidR="007D7A45">
        <w:t xml:space="preserve"> </w:t>
      </w:r>
      <w:r w:rsidRPr="00B70DCF">
        <w:t>(stating</w:t>
      </w:r>
      <w:r>
        <w:t xml:space="preserve"> “</w:t>
      </w:r>
      <w:r w:rsidR="00602EE2">
        <w:t>[o]</w:t>
      </w:r>
      <w:r>
        <w:t>r as the Commission has previously put it, ‘more likely to be accomplished as a result of the merger but unlikely to be realized by other means that entail fewer anticompetitive effects’”</w:t>
      </w:r>
      <w:r w:rsidR="00B118E6">
        <w:t>)</w:t>
      </w:r>
      <w:r w:rsidR="00B8082E">
        <w:t>).</w:t>
      </w:r>
      <w:r>
        <w:t xml:space="preserve">  </w:t>
      </w:r>
      <w:bookmarkEnd w:id="69"/>
    </w:p>
  </w:footnote>
  <w:footnote w:id="65">
    <w:p w:rsidR="00947DF0" w:rsidRPr="00AE354A" w:rsidP="0025247C">
      <w:pPr>
        <w:pStyle w:val="FootnoteText"/>
        <w:spacing w:line="240" w:lineRule="auto"/>
        <w:rPr>
          <w:i/>
        </w:rPr>
      </w:pPr>
      <w:r>
        <w:rPr>
          <w:rStyle w:val="FootnoteReference"/>
        </w:rPr>
        <w:footnoteRef/>
      </w:r>
      <w:r>
        <w:t xml:space="preserve"> </w:t>
      </w:r>
      <w:r>
        <w:rPr>
          <w:i/>
        </w:rPr>
        <w:t>CenturyLink-Level 3 Order</w:t>
      </w:r>
      <w:r w:rsidR="00C82079">
        <w:t>, 32 FCC Rcd</w:t>
      </w:r>
      <w:r>
        <w:rPr>
          <w:i/>
        </w:rPr>
        <w:t xml:space="preserve"> </w:t>
      </w:r>
      <w:r>
        <w:t xml:space="preserve">at </w:t>
      </w:r>
      <w:r w:rsidR="00C82079">
        <w:t>960</w:t>
      </w:r>
      <w:r w:rsidR="00B8452B">
        <w:t xml:space="preserve">4, </w:t>
      </w:r>
      <w:r>
        <w:t xml:space="preserve">para. 50 (citing </w:t>
      </w:r>
      <w:r>
        <w:rPr>
          <w:i/>
        </w:rPr>
        <w:t>AT&amp;T-BellSouth Order</w:t>
      </w:r>
      <w:r>
        <w:t>, 22 FCC Rcd at 5761, para. 202)</w:t>
      </w:r>
      <w:r>
        <w:rPr>
          <w:i/>
        </w:rPr>
        <w:t>.</w:t>
      </w:r>
    </w:p>
  </w:footnote>
  <w:footnote w:id="66">
    <w:p w:rsidR="00A177B5">
      <w:pPr>
        <w:pStyle w:val="FootnoteText"/>
      </w:pPr>
      <w:r>
        <w:rPr>
          <w:rStyle w:val="FootnoteReference"/>
        </w:rPr>
        <w:footnoteRef/>
      </w:r>
      <w:r>
        <w:t xml:space="preserve"> Public Interest Statement at 4.</w:t>
      </w:r>
    </w:p>
  </w:footnote>
  <w:footnote w:id="67">
    <w:p w:rsidR="004902CE" w:rsidRPr="004902CE">
      <w:pPr>
        <w:pStyle w:val="FootnoteText"/>
      </w:pPr>
      <w:r>
        <w:rPr>
          <w:rStyle w:val="FootnoteReference"/>
        </w:rPr>
        <w:footnoteRef/>
      </w:r>
      <w:r>
        <w:t xml:space="preserve"> </w:t>
      </w:r>
      <w:r>
        <w:rPr>
          <w:i/>
        </w:rPr>
        <w:t>Id.</w:t>
      </w:r>
      <w:r>
        <w:t xml:space="preserve"> at 5.</w:t>
      </w:r>
    </w:p>
  </w:footnote>
  <w:footnote w:id="68">
    <w:p w:rsidR="004902CE" w:rsidRPr="004902CE">
      <w:pPr>
        <w:pStyle w:val="FootnoteText"/>
      </w:pPr>
      <w:r>
        <w:rPr>
          <w:rStyle w:val="FootnoteReference"/>
        </w:rPr>
        <w:footnoteRef/>
      </w:r>
      <w:r>
        <w:t xml:space="preserve"> </w:t>
      </w:r>
      <w:r>
        <w:rPr>
          <w:i/>
        </w:rPr>
        <w:t>Id.</w:t>
      </w:r>
      <w:r>
        <w:t xml:space="preserve"> at 4</w:t>
      </w:r>
      <w:r w:rsidR="003A4511">
        <w:t>; Joint Opposition at 7</w:t>
      </w:r>
      <w:r>
        <w:t>.</w:t>
      </w:r>
    </w:p>
  </w:footnote>
  <w:footnote w:id="69">
    <w:p w:rsidR="000809D7" w:rsidRPr="000809D7">
      <w:pPr>
        <w:pStyle w:val="FootnoteText"/>
      </w:pPr>
      <w:r>
        <w:rPr>
          <w:rStyle w:val="FootnoteReference"/>
        </w:rPr>
        <w:footnoteRef/>
      </w:r>
      <w:r>
        <w:t xml:space="preserve"> </w:t>
      </w:r>
      <w:r w:rsidR="003A4511">
        <w:t xml:space="preserve">Public Interest Statement </w:t>
      </w:r>
      <w:r>
        <w:t>at 6.</w:t>
      </w:r>
    </w:p>
  </w:footnote>
  <w:footnote w:id="70">
    <w:p w:rsidR="000809D7" w:rsidRPr="000809D7">
      <w:pPr>
        <w:pStyle w:val="FootnoteText"/>
      </w:pPr>
      <w:r>
        <w:rPr>
          <w:rStyle w:val="FootnoteReference"/>
        </w:rPr>
        <w:footnoteRef/>
      </w:r>
      <w:r>
        <w:t xml:space="preserve"> </w:t>
      </w:r>
      <w:r>
        <w:rPr>
          <w:i/>
        </w:rPr>
        <w:t>Id.</w:t>
      </w:r>
      <w:r>
        <w:t xml:space="preserve"> </w:t>
      </w:r>
    </w:p>
  </w:footnote>
  <w:footnote w:id="71">
    <w:p w:rsidR="00947DF0" w:rsidP="0025247C">
      <w:pPr>
        <w:pStyle w:val="FootnoteText"/>
        <w:spacing w:line="240" w:lineRule="auto"/>
      </w:pPr>
      <w:r>
        <w:rPr>
          <w:rStyle w:val="FootnoteReference"/>
        </w:rPr>
        <w:footnoteRef/>
      </w:r>
      <w:r>
        <w:t xml:space="preserve"> </w:t>
      </w:r>
      <w:r w:rsidRPr="0065764A">
        <w:rPr>
          <w:i/>
        </w:rPr>
        <w:t>Spectrum Frontiers Order</w:t>
      </w:r>
      <w:r>
        <w:t xml:space="preserve">, </w:t>
      </w:r>
      <w:r w:rsidR="00B8452B">
        <w:t xml:space="preserve">31 FCC Rcd </w:t>
      </w:r>
      <w:r>
        <w:t>at</w:t>
      </w:r>
      <w:r w:rsidR="00555288">
        <w:t xml:space="preserve"> 8044-45</w:t>
      </w:r>
      <w:r>
        <w:t xml:space="preserve">, para. </w:t>
      </w:r>
      <w:r w:rsidR="00555288">
        <w:t>76</w:t>
      </w:r>
      <w:r>
        <w:t>.</w:t>
      </w:r>
    </w:p>
  </w:footnote>
  <w:footnote w:id="72">
    <w:p w:rsidR="00555288">
      <w:pPr>
        <w:pStyle w:val="FootnoteText"/>
      </w:pPr>
      <w:r>
        <w:rPr>
          <w:rStyle w:val="FootnoteReference"/>
        </w:rPr>
        <w:footnoteRef/>
      </w:r>
      <w:r>
        <w:t xml:space="preserve"> Public Interest Statement at </w:t>
      </w:r>
      <w:r w:rsidR="008D5D62">
        <w:t>5-6</w:t>
      </w:r>
      <w:r w:rsidR="003A4511">
        <w:t>; Joint Opposition at 7-8</w:t>
      </w:r>
      <w:r w:rsidRPr="000E191A" w:rsidR="000E191A">
        <w:t>;</w:t>
      </w:r>
      <w:r w:rsidRPr="009E4361" w:rsidR="000E191A">
        <w:rPr>
          <w:color w:val="000000"/>
        </w:rPr>
        <w:t xml:space="preserve"> “AT&amp;T Expanding Fixed Wireless 5G trials to Additional Markets,” </w:t>
      </w:r>
      <w:r>
        <w:fldChar w:fldCharType="begin"/>
      </w:r>
      <w:r>
        <w:instrText xml:space="preserve"> HYPERLINK "http://about.att.com/story/att_expanding_fixed_wireless_5g_trials_to_additional_markets.html" </w:instrText>
      </w:r>
      <w:r>
        <w:fldChar w:fldCharType="separate"/>
      </w:r>
      <w:r w:rsidRPr="009E4361" w:rsidR="000E191A">
        <w:rPr>
          <w:rStyle w:val="Hyperlink"/>
        </w:rPr>
        <w:t>http://about.att.com/story/att_expanding_fixed_wireless_5g_trials_to_additional_markets.html</w:t>
      </w:r>
      <w:r>
        <w:fldChar w:fldCharType="end"/>
      </w:r>
      <w:r w:rsidRPr="009E4361" w:rsidR="000E191A">
        <w:rPr>
          <w:color w:val="000000"/>
        </w:rPr>
        <w:t xml:space="preserve"> (Aug. 30, 2017)</w:t>
      </w:r>
      <w:r w:rsidRPr="000E191A" w:rsidR="008D5D62">
        <w:t>.</w:t>
      </w:r>
      <w:r w:rsidRPr="000E191A" w:rsidR="00E76C77">
        <w:t xml:space="preserve">  </w:t>
      </w:r>
      <w:r w:rsidRPr="000E191A" w:rsidR="00E76C77">
        <w:rPr>
          <w:i/>
        </w:rPr>
        <w:t xml:space="preserve">See </w:t>
      </w:r>
      <w:r w:rsidRPr="000E191A" w:rsidR="000E191A">
        <w:rPr>
          <w:i/>
        </w:rPr>
        <w:t xml:space="preserve">also </w:t>
      </w:r>
      <w:r w:rsidRPr="000E191A" w:rsidR="00E76C77">
        <w:rPr>
          <w:i/>
        </w:rPr>
        <w:t xml:space="preserve">supra </w:t>
      </w:r>
      <w:r w:rsidRPr="000E191A" w:rsidR="00E76C77">
        <w:t>para.</w:t>
      </w:r>
      <w:r w:rsidRPr="000E191A" w:rsidR="000E191A">
        <w:t xml:space="preserve"> </w:t>
      </w:r>
      <w:r w:rsidRPr="000E191A" w:rsidR="00E76C77">
        <w:t>25.</w:t>
      </w:r>
    </w:p>
    <w:p w:rsidR="000E191A" w:rsidRPr="00BF367D">
      <w:pPr>
        <w:pStyle w:val="FootnoteText"/>
      </w:pPr>
      <w:r w:rsidRPr="00BF367D">
        <w:t xml:space="preserve">We note that AT&amp;T recently announced that the international wireless standards body has completed and agreed to certain elements of 5G new radio standards, allowing standards-based 5G testing.  “Accelerating 5G: Industry Reaches Key 5G Standards Milestone, </w:t>
      </w:r>
      <w:r>
        <w:fldChar w:fldCharType="begin"/>
      </w:r>
      <w:r>
        <w:instrText xml:space="preserve"> HYPERLINK "http://about.att.com/innovationblog/5g_standards" </w:instrText>
      </w:r>
      <w:r>
        <w:fldChar w:fldCharType="separate"/>
      </w:r>
      <w:r w:rsidRPr="00BF367D">
        <w:rPr>
          <w:rStyle w:val="Hyperlink"/>
        </w:rPr>
        <w:t>http://about.att.com/innovationblog/5g_standards</w:t>
      </w:r>
      <w:r>
        <w:fldChar w:fldCharType="end"/>
      </w:r>
      <w:r w:rsidRPr="00BF367D">
        <w:rPr>
          <w:color w:val="000000"/>
        </w:rPr>
        <w:t xml:space="preserve"> (Dec. 21, 2017).</w:t>
      </w:r>
    </w:p>
  </w:footnote>
  <w:footnote w:id="73">
    <w:p w:rsidR="00BA508F" w:rsidP="00BA508F">
      <w:pPr>
        <w:pStyle w:val="FootnoteText"/>
      </w:pPr>
      <w:r>
        <w:rPr>
          <w:rStyle w:val="FootnoteReference"/>
        </w:rPr>
        <w:footnoteRef/>
      </w:r>
      <w:r>
        <w:t xml:space="preserve"> Joint Opposition at 8</w:t>
      </w:r>
      <w:r w:rsidR="00931ACA">
        <w:t xml:space="preserve">; “AT&amp;T Preparing to Mobilize 5G,” </w:t>
      </w:r>
      <w:r>
        <w:fldChar w:fldCharType="begin"/>
      </w:r>
      <w:r>
        <w:instrText xml:space="preserve"> HYPERLINK "http://www.broadcastingcable.com/news/platforms/att-preparing-mobilize-5g/170913" </w:instrText>
      </w:r>
      <w:r>
        <w:fldChar w:fldCharType="separate"/>
      </w:r>
      <w:r w:rsidRPr="00281E2E" w:rsidR="00931ACA">
        <w:rPr>
          <w:rStyle w:val="Hyperlink"/>
        </w:rPr>
        <w:t>http://www.broadcastingcable.com/news/platforms/att-preparing-mobilize-5g/170913</w:t>
      </w:r>
      <w:r>
        <w:fldChar w:fldCharType="end"/>
      </w:r>
      <w:r w:rsidRPr="00281E2E" w:rsidR="00820A50">
        <w:rPr>
          <w:color w:val="000000"/>
        </w:rPr>
        <w:t xml:space="preserve"> (Jan. 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1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6BF" w:rsidRPr="0065256E" w:rsidP="000266BF">
    <w:pPr>
      <w:spacing w:after="0"/>
      <w:ind w:left="2250" w:hanging="2250"/>
      <w:jc w:val="center"/>
      <w:rPr>
        <w:b/>
      </w:rPr>
    </w:pPr>
    <w:r>
      <w:rPr>
        <w:b/>
      </w:rPr>
      <w:t xml:space="preserve">                                                  </w:t>
    </w:r>
    <w:r w:rsidR="002C4EA7">
      <w:rPr>
        <w:b/>
      </w:rPr>
      <w:t xml:space="preserve"> </w:t>
    </w:r>
    <w:r>
      <w:rPr>
        <w:b/>
      </w:rPr>
      <w:t>Federal</w:t>
    </w:r>
    <w:r w:rsidRPr="0065256E">
      <w:rPr>
        <w:b/>
      </w:rPr>
      <w:t xml:space="preserve"> Communication</w:t>
    </w:r>
    <w:r>
      <w:rPr>
        <w:b/>
      </w:rPr>
      <w:t xml:space="preserve">s Commission                          </w:t>
    </w:r>
    <w:r w:rsidR="002C4EA7">
      <w:rPr>
        <w:b/>
      </w:rPr>
      <w:t xml:space="preserve">     </w:t>
    </w:r>
    <w:r>
      <w:rPr>
        <w:b/>
      </w:rPr>
      <w:t xml:space="preserve"> DA</w:t>
    </w:r>
    <w:r w:rsidRPr="0065256E">
      <w:rPr>
        <w:b/>
      </w:rPr>
      <w:t xml:space="preserve"> </w:t>
    </w:r>
    <w:r w:rsidR="00A40CDE">
      <w:rPr>
        <w:b/>
      </w:rPr>
      <w:t>1</w:t>
    </w:r>
    <w:r w:rsidR="009C19C7">
      <w:rPr>
        <w:b/>
      </w:rPr>
      <w:t>8</w:t>
    </w:r>
    <w:r w:rsidR="00A40CDE">
      <w:rPr>
        <w:b/>
      </w:rPr>
      <w:t>-</w:t>
    </w:r>
    <w:r w:rsidR="00C01C91">
      <w:rPr>
        <w:b/>
      </w:rPr>
      <w:t>125</w:t>
    </w:r>
  </w:p>
  <w:p w:rsidR="00947DF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47DF0">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6DC1" w:rsidP="00CE6306">
    <w:pPr>
      <w:pStyle w:val="Header"/>
      <w:jc w:val="left"/>
    </w:pPr>
    <w:r w:rsidRPr="00CA4BCE">
      <w:rPr>
        <w:noProof/>
        <w:highlight w:val="yellow"/>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CE6306">
      <w:t xml:space="preserve">                                                    </w:t>
    </w:r>
    <w:r w:rsidR="0008643C">
      <w:t>Federal Communications Commission</w:t>
    </w:r>
    <w:r w:rsidR="00CE6306">
      <w:t xml:space="preserve">         </w:t>
    </w:r>
    <w:r w:rsidR="00A40CDE">
      <w:t xml:space="preserve">                       </w:t>
    </w:r>
    <w:r w:rsidR="00EF2304">
      <w:t xml:space="preserve"> </w:t>
    </w:r>
    <w:r w:rsidR="00A40CDE">
      <w:t>DA 1</w:t>
    </w:r>
    <w:r w:rsidR="009C19C7">
      <w:t>8</w:t>
    </w:r>
    <w:r w:rsidR="00A40CDE">
      <w:t>-</w:t>
    </w:r>
    <w:r w:rsidR="00C01C91">
      <w:t>125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76F1E2"/>
    <w:lvl w:ilvl="0">
      <w:start w:val="1"/>
      <w:numFmt w:val="upperRoman"/>
      <w:pStyle w:val="Heading1"/>
      <w:lvlText w:val="%1."/>
      <w:lvlJc w:val="left"/>
      <w:pPr>
        <w:tabs>
          <w:tab w:val="num" w:pos="5850"/>
        </w:tabs>
        <w:ind w:left="585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260"/>
        </w:tabs>
        <w:ind w:left="18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981"/>
    <w:rsid w:val="000009E6"/>
    <w:rsid w:val="00002450"/>
    <w:rsid w:val="00004F04"/>
    <w:rsid w:val="00005724"/>
    <w:rsid w:val="00012B1B"/>
    <w:rsid w:val="00013A2A"/>
    <w:rsid w:val="00023A71"/>
    <w:rsid w:val="000266BF"/>
    <w:rsid w:val="00027AC6"/>
    <w:rsid w:val="000307AE"/>
    <w:rsid w:val="00030E1D"/>
    <w:rsid w:val="00031213"/>
    <w:rsid w:val="00031AC5"/>
    <w:rsid w:val="00032993"/>
    <w:rsid w:val="00036039"/>
    <w:rsid w:val="00037F90"/>
    <w:rsid w:val="00043BA1"/>
    <w:rsid w:val="0004530E"/>
    <w:rsid w:val="00047060"/>
    <w:rsid w:val="000651AE"/>
    <w:rsid w:val="00066144"/>
    <w:rsid w:val="000662D8"/>
    <w:rsid w:val="00071E91"/>
    <w:rsid w:val="00072EC7"/>
    <w:rsid w:val="00072FFB"/>
    <w:rsid w:val="0007457F"/>
    <w:rsid w:val="000751E5"/>
    <w:rsid w:val="0007582A"/>
    <w:rsid w:val="0007748A"/>
    <w:rsid w:val="00080128"/>
    <w:rsid w:val="000809D7"/>
    <w:rsid w:val="0008213A"/>
    <w:rsid w:val="000837A4"/>
    <w:rsid w:val="00084B2E"/>
    <w:rsid w:val="0008605B"/>
    <w:rsid w:val="000862BE"/>
    <w:rsid w:val="0008643C"/>
    <w:rsid w:val="000875BF"/>
    <w:rsid w:val="0009080C"/>
    <w:rsid w:val="000935EE"/>
    <w:rsid w:val="00096496"/>
    <w:rsid w:val="00096D8C"/>
    <w:rsid w:val="000A1CD5"/>
    <w:rsid w:val="000B5355"/>
    <w:rsid w:val="000B7BF5"/>
    <w:rsid w:val="000C0B65"/>
    <w:rsid w:val="000C3C0B"/>
    <w:rsid w:val="000C6A3E"/>
    <w:rsid w:val="000C7879"/>
    <w:rsid w:val="000D0BB5"/>
    <w:rsid w:val="000D1B15"/>
    <w:rsid w:val="000D781D"/>
    <w:rsid w:val="000D7852"/>
    <w:rsid w:val="000E05FE"/>
    <w:rsid w:val="000E191A"/>
    <w:rsid w:val="000E3D42"/>
    <w:rsid w:val="000E4742"/>
    <w:rsid w:val="000E5A39"/>
    <w:rsid w:val="000E666D"/>
    <w:rsid w:val="000E77F7"/>
    <w:rsid w:val="000E7B25"/>
    <w:rsid w:val="000F0AC3"/>
    <w:rsid w:val="000F1D9A"/>
    <w:rsid w:val="000F2360"/>
    <w:rsid w:val="000F4611"/>
    <w:rsid w:val="000F48BB"/>
    <w:rsid w:val="0010185A"/>
    <w:rsid w:val="00101FD9"/>
    <w:rsid w:val="001032B7"/>
    <w:rsid w:val="00103777"/>
    <w:rsid w:val="001042F0"/>
    <w:rsid w:val="0011206D"/>
    <w:rsid w:val="00112326"/>
    <w:rsid w:val="00112EAE"/>
    <w:rsid w:val="0011325F"/>
    <w:rsid w:val="0011365D"/>
    <w:rsid w:val="001163B5"/>
    <w:rsid w:val="00117D5F"/>
    <w:rsid w:val="0012012B"/>
    <w:rsid w:val="001210B6"/>
    <w:rsid w:val="00122BD5"/>
    <w:rsid w:val="00123C63"/>
    <w:rsid w:val="001244CD"/>
    <w:rsid w:val="001262F4"/>
    <w:rsid w:val="00133F79"/>
    <w:rsid w:val="00134B23"/>
    <w:rsid w:val="00136705"/>
    <w:rsid w:val="0013673D"/>
    <w:rsid w:val="001400AC"/>
    <w:rsid w:val="00140A7E"/>
    <w:rsid w:val="00145B8A"/>
    <w:rsid w:val="00146C72"/>
    <w:rsid w:val="001471E0"/>
    <w:rsid w:val="00152CC0"/>
    <w:rsid w:val="001544D1"/>
    <w:rsid w:val="001555B0"/>
    <w:rsid w:val="00155A57"/>
    <w:rsid w:val="00155C34"/>
    <w:rsid w:val="00160DA6"/>
    <w:rsid w:val="00162972"/>
    <w:rsid w:val="00164B48"/>
    <w:rsid w:val="00166E8A"/>
    <w:rsid w:val="001772D9"/>
    <w:rsid w:val="00185151"/>
    <w:rsid w:val="00187600"/>
    <w:rsid w:val="001929EC"/>
    <w:rsid w:val="0019423F"/>
    <w:rsid w:val="00194804"/>
    <w:rsid w:val="00194A66"/>
    <w:rsid w:val="00194D32"/>
    <w:rsid w:val="00195B07"/>
    <w:rsid w:val="00195D39"/>
    <w:rsid w:val="001A017D"/>
    <w:rsid w:val="001A0519"/>
    <w:rsid w:val="001A1FCF"/>
    <w:rsid w:val="001A24EA"/>
    <w:rsid w:val="001A2ADF"/>
    <w:rsid w:val="001A539C"/>
    <w:rsid w:val="001A6254"/>
    <w:rsid w:val="001A73DC"/>
    <w:rsid w:val="001B0B4B"/>
    <w:rsid w:val="001B10D0"/>
    <w:rsid w:val="001B3722"/>
    <w:rsid w:val="001B7572"/>
    <w:rsid w:val="001B790F"/>
    <w:rsid w:val="001C12CC"/>
    <w:rsid w:val="001C3A8D"/>
    <w:rsid w:val="001C48B6"/>
    <w:rsid w:val="001C7195"/>
    <w:rsid w:val="001D05C9"/>
    <w:rsid w:val="001D05FE"/>
    <w:rsid w:val="001D16D8"/>
    <w:rsid w:val="001D24FF"/>
    <w:rsid w:val="001D3750"/>
    <w:rsid w:val="001D5810"/>
    <w:rsid w:val="001D6A1B"/>
    <w:rsid w:val="001D6BCF"/>
    <w:rsid w:val="001D76F2"/>
    <w:rsid w:val="001D7ED6"/>
    <w:rsid w:val="001E01CA"/>
    <w:rsid w:val="001E125F"/>
    <w:rsid w:val="001E29C7"/>
    <w:rsid w:val="001E4287"/>
    <w:rsid w:val="001E4ACD"/>
    <w:rsid w:val="001F0EE9"/>
    <w:rsid w:val="001F24F2"/>
    <w:rsid w:val="001F2E23"/>
    <w:rsid w:val="001F2E83"/>
    <w:rsid w:val="001F36CB"/>
    <w:rsid w:val="001F49E3"/>
    <w:rsid w:val="001F49F5"/>
    <w:rsid w:val="002107A2"/>
    <w:rsid w:val="002135DD"/>
    <w:rsid w:val="00213F52"/>
    <w:rsid w:val="00214578"/>
    <w:rsid w:val="002146D2"/>
    <w:rsid w:val="00214CF0"/>
    <w:rsid w:val="00215B65"/>
    <w:rsid w:val="00216A03"/>
    <w:rsid w:val="00220916"/>
    <w:rsid w:val="00220B29"/>
    <w:rsid w:val="00221F12"/>
    <w:rsid w:val="002249F3"/>
    <w:rsid w:val="002272EE"/>
    <w:rsid w:val="00227968"/>
    <w:rsid w:val="00232B3B"/>
    <w:rsid w:val="0023409D"/>
    <w:rsid w:val="00234CD6"/>
    <w:rsid w:val="0023535D"/>
    <w:rsid w:val="00235759"/>
    <w:rsid w:val="00236F87"/>
    <w:rsid w:val="002375F3"/>
    <w:rsid w:val="00240A3A"/>
    <w:rsid w:val="00241C7B"/>
    <w:rsid w:val="002422EA"/>
    <w:rsid w:val="0024368B"/>
    <w:rsid w:val="00243822"/>
    <w:rsid w:val="002449E5"/>
    <w:rsid w:val="00244D54"/>
    <w:rsid w:val="00244D9A"/>
    <w:rsid w:val="0025247C"/>
    <w:rsid w:val="00252CC4"/>
    <w:rsid w:val="002549BD"/>
    <w:rsid w:val="00256A1B"/>
    <w:rsid w:val="0025787C"/>
    <w:rsid w:val="00257D38"/>
    <w:rsid w:val="002625E7"/>
    <w:rsid w:val="0027052C"/>
    <w:rsid w:val="00273CE5"/>
    <w:rsid w:val="00274667"/>
    <w:rsid w:val="00275CF5"/>
    <w:rsid w:val="002815FE"/>
    <w:rsid w:val="00281E2E"/>
    <w:rsid w:val="0028301F"/>
    <w:rsid w:val="00285017"/>
    <w:rsid w:val="00286C85"/>
    <w:rsid w:val="002913BA"/>
    <w:rsid w:val="002955D4"/>
    <w:rsid w:val="0029563E"/>
    <w:rsid w:val="00295BFC"/>
    <w:rsid w:val="00295F89"/>
    <w:rsid w:val="00296F37"/>
    <w:rsid w:val="002A2D2E"/>
    <w:rsid w:val="002A63F9"/>
    <w:rsid w:val="002A7652"/>
    <w:rsid w:val="002B1BC1"/>
    <w:rsid w:val="002B6C49"/>
    <w:rsid w:val="002C00E8"/>
    <w:rsid w:val="002C07A0"/>
    <w:rsid w:val="002C0860"/>
    <w:rsid w:val="002C0920"/>
    <w:rsid w:val="002C290E"/>
    <w:rsid w:val="002C4EA7"/>
    <w:rsid w:val="002D7C15"/>
    <w:rsid w:val="002D7CE4"/>
    <w:rsid w:val="002E0209"/>
    <w:rsid w:val="002E0A1D"/>
    <w:rsid w:val="002E0EAE"/>
    <w:rsid w:val="002E17DF"/>
    <w:rsid w:val="002E1D48"/>
    <w:rsid w:val="002E2FC1"/>
    <w:rsid w:val="002E640B"/>
    <w:rsid w:val="002E658F"/>
    <w:rsid w:val="002E695B"/>
    <w:rsid w:val="002F0139"/>
    <w:rsid w:val="002F05E0"/>
    <w:rsid w:val="002F0A0C"/>
    <w:rsid w:val="002F0CFD"/>
    <w:rsid w:val="002F157C"/>
    <w:rsid w:val="002F2246"/>
    <w:rsid w:val="003017B5"/>
    <w:rsid w:val="00302B36"/>
    <w:rsid w:val="003030FC"/>
    <w:rsid w:val="003032D9"/>
    <w:rsid w:val="003056D7"/>
    <w:rsid w:val="00305FDE"/>
    <w:rsid w:val="0030796D"/>
    <w:rsid w:val="003100C4"/>
    <w:rsid w:val="00310E74"/>
    <w:rsid w:val="003126DA"/>
    <w:rsid w:val="00313F51"/>
    <w:rsid w:val="0031602F"/>
    <w:rsid w:val="003160A7"/>
    <w:rsid w:val="00322260"/>
    <w:rsid w:val="00324C37"/>
    <w:rsid w:val="00327379"/>
    <w:rsid w:val="0033409E"/>
    <w:rsid w:val="00336463"/>
    <w:rsid w:val="003364E5"/>
    <w:rsid w:val="00336825"/>
    <w:rsid w:val="003370F0"/>
    <w:rsid w:val="00343749"/>
    <w:rsid w:val="003509FE"/>
    <w:rsid w:val="00353499"/>
    <w:rsid w:val="00355A86"/>
    <w:rsid w:val="00357B20"/>
    <w:rsid w:val="0036412D"/>
    <w:rsid w:val="003660ED"/>
    <w:rsid w:val="0038019E"/>
    <w:rsid w:val="003832EB"/>
    <w:rsid w:val="003858F6"/>
    <w:rsid w:val="00387801"/>
    <w:rsid w:val="00394736"/>
    <w:rsid w:val="0039590C"/>
    <w:rsid w:val="003979CE"/>
    <w:rsid w:val="00397AFE"/>
    <w:rsid w:val="003A2D95"/>
    <w:rsid w:val="003A4511"/>
    <w:rsid w:val="003A7714"/>
    <w:rsid w:val="003A7ABB"/>
    <w:rsid w:val="003B0550"/>
    <w:rsid w:val="003B2E0D"/>
    <w:rsid w:val="003B3E2E"/>
    <w:rsid w:val="003B4A1B"/>
    <w:rsid w:val="003B5121"/>
    <w:rsid w:val="003B5920"/>
    <w:rsid w:val="003B60C5"/>
    <w:rsid w:val="003B614D"/>
    <w:rsid w:val="003B694F"/>
    <w:rsid w:val="003C06BF"/>
    <w:rsid w:val="003C0F21"/>
    <w:rsid w:val="003C1D37"/>
    <w:rsid w:val="003C2ACE"/>
    <w:rsid w:val="003C301C"/>
    <w:rsid w:val="003D2BE7"/>
    <w:rsid w:val="003D4725"/>
    <w:rsid w:val="003D4E12"/>
    <w:rsid w:val="003D60A3"/>
    <w:rsid w:val="003D669C"/>
    <w:rsid w:val="003D66C5"/>
    <w:rsid w:val="003D7301"/>
    <w:rsid w:val="003D7D9A"/>
    <w:rsid w:val="003E05CD"/>
    <w:rsid w:val="003E3209"/>
    <w:rsid w:val="003E34A0"/>
    <w:rsid w:val="003E5A25"/>
    <w:rsid w:val="003F171C"/>
    <w:rsid w:val="003F31EA"/>
    <w:rsid w:val="003F41A3"/>
    <w:rsid w:val="003F54AB"/>
    <w:rsid w:val="003F6F30"/>
    <w:rsid w:val="00405672"/>
    <w:rsid w:val="004069F6"/>
    <w:rsid w:val="00406F4E"/>
    <w:rsid w:val="00407528"/>
    <w:rsid w:val="004123DF"/>
    <w:rsid w:val="00412FC5"/>
    <w:rsid w:val="004131DF"/>
    <w:rsid w:val="00417774"/>
    <w:rsid w:val="004204A8"/>
    <w:rsid w:val="0042057B"/>
    <w:rsid w:val="00421281"/>
    <w:rsid w:val="00422276"/>
    <w:rsid w:val="004242F1"/>
    <w:rsid w:val="00424CF9"/>
    <w:rsid w:val="004269C0"/>
    <w:rsid w:val="004276ED"/>
    <w:rsid w:val="00427733"/>
    <w:rsid w:val="004314B2"/>
    <w:rsid w:val="004316E8"/>
    <w:rsid w:val="0043170E"/>
    <w:rsid w:val="0044008A"/>
    <w:rsid w:val="0044113D"/>
    <w:rsid w:val="0044213C"/>
    <w:rsid w:val="00442E90"/>
    <w:rsid w:val="00445A00"/>
    <w:rsid w:val="00447ACF"/>
    <w:rsid w:val="00450401"/>
    <w:rsid w:val="00451217"/>
    <w:rsid w:val="00451B0F"/>
    <w:rsid w:val="00453594"/>
    <w:rsid w:val="0045399C"/>
    <w:rsid w:val="00456EE3"/>
    <w:rsid w:val="004615AC"/>
    <w:rsid w:val="004674FD"/>
    <w:rsid w:val="004719A8"/>
    <w:rsid w:val="00473887"/>
    <w:rsid w:val="004748FE"/>
    <w:rsid w:val="00475C92"/>
    <w:rsid w:val="00476FA8"/>
    <w:rsid w:val="004809FA"/>
    <w:rsid w:val="004824CF"/>
    <w:rsid w:val="0048603B"/>
    <w:rsid w:val="004902CE"/>
    <w:rsid w:val="004961DA"/>
    <w:rsid w:val="00497DD9"/>
    <w:rsid w:val="004A42DB"/>
    <w:rsid w:val="004A5F11"/>
    <w:rsid w:val="004A75E9"/>
    <w:rsid w:val="004B20A8"/>
    <w:rsid w:val="004B255F"/>
    <w:rsid w:val="004B3737"/>
    <w:rsid w:val="004B784D"/>
    <w:rsid w:val="004C0A8E"/>
    <w:rsid w:val="004C19D1"/>
    <w:rsid w:val="004C2EE3"/>
    <w:rsid w:val="004C3F9D"/>
    <w:rsid w:val="004C4DB5"/>
    <w:rsid w:val="004D03A8"/>
    <w:rsid w:val="004D0C4B"/>
    <w:rsid w:val="004D1423"/>
    <w:rsid w:val="004D14C6"/>
    <w:rsid w:val="004D2D8A"/>
    <w:rsid w:val="004D42DC"/>
    <w:rsid w:val="004D7AB2"/>
    <w:rsid w:val="004E0318"/>
    <w:rsid w:val="004E4A22"/>
    <w:rsid w:val="004E4A6A"/>
    <w:rsid w:val="004E63FC"/>
    <w:rsid w:val="004E7EF0"/>
    <w:rsid w:val="004F3179"/>
    <w:rsid w:val="004F4F4D"/>
    <w:rsid w:val="004F70FB"/>
    <w:rsid w:val="00503669"/>
    <w:rsid w:val="00504E7F"/>
    <w:rsid w:val="005052BF"/>
    <w:rsid w:val="005057D5"/>
    <w:rsid w:val="00506037"/>
    <w:rsid w:val="005102F4"/>
    <w:rsid w:val="00511968"/>
    <w:rsid w:val="00513344"/>
    <w:rsid w:val="005163B3"/>
    <w:rsid w:val="00517CED"/>
    <w:rsid w:val="005233FA"/>
    <w:rsid w:val="00523C54"/>
    <w:rsid w:val="00525D9E"/>
    <w:rsid w:val="00525DEB"/>
    <w:rsid w:val="0052713C"/>
    <w:rsid w:val="00530264"/>
    <w:rsid w:val="0053162E"/>
    <w:rsid w:val="00531B7F"/>
    <w:rsid w:val="00532073"/>
    <w:rsid w:val="0053362C"/>
    <w:rsid w:val="005336EC"/>
    <w:rsid w:val="00534275"/>
    <w:rsid w:val="0053482C"/>
    <w:rsid w:val="00541AF3"/>
    <w:rsid w:val="00541BFD"/>
    <w:rsid w:val="005430F5"/>
    <w:rsid w:val="005441C0"/>
    <w:rsid w:val="00545DE4"/>
    <w:rsid w:val="005472AD"/>
    <w:rsid w:val="00552BB8"/>
    <w:rsid w:val="00555288"/>
    <w:rsid w:val="0055614C"/>
    <w:rsid w:val="00557699"/>
    <w:rsid w:val="00566071"/>
    <w:rsid w:val="00566D69"/>
    <w:rsid w:val="005749B6"/>
    <w:rsid w:val="005759EC"/>
    <w:rsid w:val="00582092"/>
    <w:rsid w:val="00584151"/>
    <w:rsid w:val="00585E05"/>
    <w:rsid w:val="00586CFB"/>
    <w:rsid w:val="00587773"/>
    <w:rsid w:val="0059297C"/>
    <w:rsid w:val="00593D5B"/>
    <w:rsid w:val="00595DB1"/>
    <w:rsid w:val="005A05B0"/>
    <w:rsid w:val="005A0987"/>
    <w:rsid w:val="005A0A98"/>
    <w:rsid w:val="005A369F"/>
    <w:rsid w:val="005A4F91"/>
    <w:rsid w:val="005A592F"/>
    <w:rsid w:val="005A78F0"/>
    <w:rsid w:val="005B0AF3"/>
    <w:rsid w:val="005B126F"/>
    <w:rsid w:val="005B263C"/>
    <w:rsid w:val="005B425F"/>
    <w:rsid w:val="005B55F4"/>
    <w:rsid w:val="005C0CEF"/>
    <w:rsid w:val="005C1600"/>
    <w:rsid w:val="005D093F"/>
    <w:rsid w:val="005D0A47"/>
    <w:rsid w:val="005D0BB8"/>
    <w:rsid w:val="005D1488"/>
    <w:rsid w:val="005D2E4B"/>
    <w:rsid w:val="005D53D1"/>
    <w:rsid w:val="005D5627"/>
    <w:rsid w:val="005D5981"/>
    <w:rsid w:val="005E14C2"/>
    <w:rsid w:val="005E2CAF"/>
    <w:rsid w:val="005E4CF9"/>
    <w:rsid w:val="005E58F5"/>
    <w:rsid w:val="005E6286"/>
    <w:rsid w:val="005F2913"/>
    <w:rsid w:val="005F2E16"/>
    <w:rsid w:val="005F5D89"/>
    <w:rsid w:val="005F5FB5"/>
    <w:rsid w:val="005F7549"/>
    <w:rsid w:val="005F78AE"/>
    <w:rsid w:val="005F7DCD"/>
    <w:rsid w:val="006022AD"/>
    <w:rsid w:val="00602AD2"/>
    <w:rsid w:val="00602EE2"/>
    <w:rsid w:val="006061C1"/>
    <w:rsid w:val="00606906"/>
    <w:rsid w:val="00606C15"/>
    <w:rsid w:val="00606EC9"/>
    <w:rsid w:val="00606F1F"/>
    <w:rsid w:val="0060728A"/>
    <w:rsid w:val="00607BA5"/>
    <w:rsid w:val="00607C19"/>
    <w:rsid w:val="00607ED7"/>
    <w:rsid w:val="0061180A"/>
    <w:rsid w:val="00611E9C"/>
    <w:rsid w:val="006121C2"/>
    <w:rsid w:val="00612C28"/>
    <w:rsid w:val="00612D7C"/>
    <w:rsid w:val="006152A3"/>
    <w:rsid w:val="00615863"/>
    <w:rsid w:val="00617A2F"/>
    <w:rsid w:val="006206E1"/>
    <w:rsid w:val="00625B61"/>
    <w:rsid w:val="00626387"/>
    <w:rsid w:val="00626EB6"/>
    <w:rsid w:val="006270D9"/>
    <w:rsid w:val="00627A4A"/>
    <w:rsid w:val="00627E44"/>
    <w:rsid w:val="006309DA"/>
    <w:rsid w:val="00631A50"/>
    <w:rsid w:val="00631E02"/>
    <w:rsid w:val="006328A6"/>
    <w:rsid w:val="00633216"/>
    <w:rsid w:val="006334C8"/>
    <w:rsid w:val="0063537D"/>
    <w:rsid w:val="00635556"/>
    <w:rsid w:val="0063719B"/>
    <w:rsid w:val="00637659"/>
    <w:rsid w:val="00637A6F"/>
    <w:rsid w:val="00640028"/>
    <w:rsid w:val="00641A3D"/>
    <w:rsid w:val="0064228B"/>
    <w:rsid w:val="00643358"/>
    <w:rsid w:val="006460F4"/>
    <w:rsid w:val="0064624E"/>
    <w:rsid w:val="006478D9"/>
    <w:rsid w:val="006500E4"/>
    <w:rsid w:val="006508F0"/>
    <w:rsid w:val="0065168D"/>
    <w:rsid w:val="006521B3"/>
    <w:rsid w:val="0065256E"/>
    <w:rsid w:val="006549FA"/>
    <w:rsid w:val="00655D03"/>
    <w:rsid w:val="00656046"/>
    <w:rsid w:val="00656C72"/>
    <w:rsid w:val="0065748A"/>
    <w:rsid w:val="0065764A"/>
    <w:rsid w:val="00661CA0"/>
    <w:rsid w:val="00662B95"/>
    <w:rsid w:val="00663DD8"/>
    <w:rsid w:val="0066488B"/>
    <w:rsid w:val="006670E3"/>
    <w:rsid w:val="0067445D"/>
    <w:rsid w:val="00683388"/>
    <w:rsid w:val="00683F84"/>
    <w:rsid w:val="0068677D"/>
    <w:rsid w:val="00687004"/>
    <w:rsid w:val="00691AE5"/>
    <w:rsid w:val="00694471"/>
    <w:rsid w:val="00696F19"/>
    <w:rsid w:val="006975EA"/>
    <w:rsid w:val="006A2FF1"/>
    <w:rsid w:val="006A3C98"/>
    <w:rsid w:val="006A5111"/>
    <w:rsid w:val="006A5B6F"/>
    <w:rsid w:val="006A5EF1"/>
    <w:rsid w:val="006A6A81"/>
    <w:rsid w:val="006A7651"/>
    <w:rsid w:val="006A7D5A"/>
    <w:rsid w:val="006B0A7C"/>
    <w:rsid w:val="006B18CA"/>
    <w:rsid w:val="006B6870"/>
    <w:rsid w:val="006C0658"/>
    <w:rsid w:val="006C33C7"/>
    <w:rsid w:val="006C3858"/>
    <w:rsid w:val="006C46B2"/>
    <w:rsid w:val="006C54C8"/>
    <w:rsid w:val="006C7E53"/>
    <w:rsid w:val="006D1162"/>
    <w:rsid w:val="006D1955"/>
    <w:rsid w:val="006E0239"/>
    <w:rsid w:val="006E32B9"/>
    <w:rsid w:val="006E480B"/>
    <w:rsid w:val="006E5470"/>
    <w:rsid w:val="006E7481"/>
    <w:rsid w:val="006F2557"/>
    <w:rsid w:val="006F35EA"/>
    <w:rsid w:val="006F435F"/>
    <w:rsid w:val="006F6F38"/>
    <w:rsid w:val="006F7226"/>
    <w:rsid w:val="006F7393"/>
    <w:rsid w:val="00701332"/>
    <w:rsid w:val="0070224F"/>
    <w:rsid w:val="00704546"/>
    <w:rsid w:val="00704C87"/>
    <w:rsid w:val="00707E1B"/>
    <w:rsid w:val="007115F7"/>
    <w:rsid w:val="00711CA4"/>
    <w:rsid w:val="00712455"/>
    <w:rsid w:val="007143C3"/>
    <w:rsid w:val="007176C4"/>
    <w:rsid w:val="00717CF6"/>
    <w:rsid w:val="00717F92"/>
    <w:rsid w:val="00720325"/>
    <w:rsid w:val="00730CCC"/>
    <w:rsid w:val="00732EDA"/>
    <w:rsid w:val="00733666"/>
    <w:rsid w:val="007348C7"/>
    <w:rsid w:val="00734B49"/>
    <w:rsid w:val="00735D18"/>
    <w:rsid w:val="0073776E"/>
    <w:rsid w:val="00741385"/>
    <w:rsid w:val="007424FA"/>
    <w:rsid w:val="00744C29"/>
    <w:rsid w:val="00750B7D"/>
    <w:rsid w:val="00756EE8"/>
    <w:rsid w:val="00757302"/>
    <w:rsid w:val="00757D0D"/>
    <w:rsid w:val="0076057C"/>
    <w:rsid w:val="00763D52"/>
    <w:rsid w:val="00765CC1"/>
    <w:rsid w:val="0077253A"/>
    <w:rsid w:val="00773821"/>
    <w:rsid w:val="007752C3"/>
    <w:rsid w:val="00775740"/>
    <w:rsid w:val="00776340"/>
    <w:rsid w:val="007768EA"/>
    <w:rsid w:val="007800B6"/>
    <w:rsid w:val="00780143"/>
    <w:rsid w:val="00785689"/>
    <w:rsid w:val="00786E9D"/>
    <w:rsid w:val="00787052"/>
    <w:rsid w:val="00791B85"/>
    <w:rsid w:val="00793143"/>
    <w:rsid w:val="00794987"/>
    <w:rsid w:val="00794CD5"/>
    <w:rsid w:val="007958C5"/>
    <w:rsid w:val="0079754B"/>
    <w:rsid w:val="007A0335"/>
    <w:rsid w:val="007A1E6D"/>
    <w:rsid w:val="007A69D1"/>
    <w:rsid w:val="007B0476"/>
    <w:rsid w:val="007B0B74"/>
    <w:rsid w:val="007B0EB2"/>
    <w:rsid w:val="007B4692"/>
    <w:rsid w:val="007B46BD"/>
    <w:rsid w:val="007C2876"/>
    <w:rsid w:val="007C6005"/>
    <w:rsid w:val="007C6A98"/>
    <w:rsid w:val="007D1A44"/>
    <w:rsid w:val="007D1E13"/>
    <w:rsid w:val="007D551D"/>
    <w:rsid w:val="007D5E4F"/>
    <w:rsid w:val="007D7213"/>
    <w:rsid w:val="007D7A45"/>
    <w:rsid w:val="007E6CEC"/>
    <w:rsid w:val="007F2F89"/>
    <w:rsid w:val="007F6B96"/>
    <w:rsid w:val="00800E41"/>
    <w:rsid w:val="00803431"/>
    <w:rsid w:val="00803A6D"/>
    <w:rsid w:val="008062F7"/>
    <w:rsid w:val="00810B6F"/>
    <w:rsid w:val="00816C8E"/>
    <w:rsid w:val="00817E7A"/>
    <w:rsid w:val="00820A50"/>
    <w:rsid w:val="00822CE0"/>
    <w:rsid w:val="00834615"/>
    <w:rsid w:val="00834AC3"/>
    <w:rsid w:val="00834E1E"/>
    <w:rsid w:val="008414B4"/>
    <w:rsid w:val="00841AB1"/>
    <w:rsid w:val="0084202B"/>
    <w:rsid w:val="00842143"/>
    <w:rsid w:val="00842391"/>
    <w:rsid w:val="00847C7F"/>
    <w:rsid w:val="00850350"/>
    <w:rsid w:val="00852035"/>
    <w:rsid w:val="00852E7C"/>
    <w:rsid w:val="00853AC3"/>
    <w:rsid w:val="00855F12"/>
    <w:rsid w:val="00860523"/>
    <w:rsid w:val="00867C56"/>
    <w:rsid w:val="00872544"/>
    <w:rsid w:val="008725C8"/>
    <w:rsid w:val="00874DFA"/>
    <w:rsid w:val="00876273"/>
    <w:rsid w:val="00876D42"/>
    <w:rsid w:val="00876D52"/>
    <w:rsid w:val="00880FBB"/>
    <w:rsid w:val="00883237"/>
    <w:rsid w:val="008846C8"/>
    <w:rsid w:val="00884756"/>
    <w:rsid w:val="008848AB"/>
    <w:rsid w:val="00885D1B"/>
    <w:rsid w:val="00886331"/>
    <w:rsid w:val="00886DD7"/>
    <w:rsid w:val="008870A9"/>
    <w:rsid w:val="008879B4"/>
    <w:rsid w:val="0089396C"/>
    <w:rsid w:val="008968A7"/>
    <w:rsid w:val="008968CB"/>
    <w:rsid w:val="008A530C"/>
    <w:rsid w:val="008A7114"/>
    <w:rsid w:val="008B0666"/>
    <w:rsid w:val="008B15B1"/>
    <w:rsid w:val="008B3744"/>
    <w:rsid w:val="008B3780"/>
    <w:rsid w:val="008B40B9"/>
    <w:rsid w:val="008B6027"/>
    <w:rsid w:val="008B61E4"/>
    <w:rsid w:val="008B7F10"/>
    <w:rsid w:val="008C569C"/>
    <w:rsid w:val="008C5FF8"/>
    <w:rsid w:val="008C60BF"/>
    <w:rsid w:val="008C68F1"/>
    <w:rsid w:val="008C6DC1"/>
    <w:rsid w:val="008D0EFD"/>
    <w:rsid w:val="008D4584"/>
    <w:rsid w:val="008D5D62"/>
    <w:rsid w:val="008D72E7"/>
    <w:rsid w:val="008E0E71"/>
    <w:rsid w:val="008E44EE"/>
    <w:rsid w:val="008F0E47"/>
    <w:rsid w:val="008F0EB3"/>
    <w:rsid w:val="008F1503"/>
    <w:rsid w:val="008F154A"/>
    <w:rsid w:val="008F538F"/>
    <w:rsid w:val="008F5C69"/>
    <w:rsid w:val="008F66FA"/>
    <w:rsid w:val="008F6D6F"/>
    <w:rsid w:val="00900444"/>
    <w:rsid w:val="00903339"/>
    <w:rsid w:val="0090345F"/>
    <w:rsid w:val="00915484"/>
    <w:rsid w:val="00921803"/>
    <w:rsid w:val="00924FDC"/>
    <w:rsid w:val="00925704"/>
    <w:rsid w:val="00926503"/>
    <w:rsid w:val="009265DF"/>
    <w:rsid w:val="00926949"/>
    <w:rsid w:val="00926B53"/>
    <w:rsid w:val="00931ACA"/>
    <w:rsid w:val="009328D2"/>
    <w:rsid w:val="0093787C"/>
    <w:rsid w:val="009411FC"/>
    <w:rsid w:val="00942D23"/>
    <w:rsid w:val="00942D43"/>
    <w:rsid w:val="00945327"/>
    <w:rsid w:val="009455B3"/>
    <w:rsid w:val="00947DF0"/>
    <w:rsid w:val="00950628"/>
    <w:rsid w:val="00950A7C"/>
    <w:rsid w:val="009515D2"/>
    <w:rsid w:val="009519EB"/>
    <w:rsid w:val="0095205F"/>
    <w:rsid w:val="00952B7B"/>
    <w:rsid w:val="009532F1"/>
    <w:rsid w:val="009533AA"/>
    <w:rsid w:val="00954678"/>
    <w:rsid w:val="00956400"/>
    <w:rsid w:val="00961614"/>
    <w:rsid w:val="00961787"/>
    <w:rsid w:val="00962B66"/>
    <w:rsid w:val="00963692"/>
    <w:rsid w:val="00963C7F"/>
    <w:rsid w:val="00967AB3"/>
    <w:rsid w:val="00970DE0"/>
    <w:rsid w:val="00971315"/>
    <w:rsid w:val="00971D0D"/>
    <w:rsid w:val="009726D8"/>
    <w:rsid w:val="00972EFD"/>
    <w:rsid w:val="0097336A"/>
    <w:rsid w:val="00973EB7"/>
    <w:rsid w:val="009762B5"/>
    <w:rsid w:val="0097632E"/>
    <w:rsid w:val="00977D6F"/>
    <w:rsid w:val="009800AF"/>
    <w:rsid w:val="00981846"/>
    <w:rsid w:val="0098200F"/>
    <w:rsid w:val="009827CA"/>
    <w:rsid w:val="00990277"/>
    <w:rsid w:val="00991380"/>
    <w:rsid w:val="009933B2"/>
    <w:rsid w:val="009971D2"/>
    <w:rsid w:val="009A4F4B"/>
    <w:rsid w:val="009A53D1"/>
    <w:rsid w:val="009B07B6"/>
    <w:rsid w:val="009B0F18"/>
    <w:rsid w:val="009B1F1E"/>
    <w:rsid w:val="009B288D"/>
    <w:rsid w:val="009B5DD9"/>
    <w:rsid w:val="009B66DB"/>
    <w:rsid w:val="009B7E41"/>
    <w:rsid w:val="009C19C7"/>
    <w:rsid w:val="009C2609"/>
    <w:rsid w:val="009C2F26"/>
    <w:rsid w:val="009C31D7"/>
    <w:rsid w:val="009C42EC"/>
    <w:rsid w:val="009C5249"/>
    <w:rsid w:val="009C581E"/>
    <w:rsid w:val="009D77B3"/>
    <w:rsid w:val="009D79EF"/>
    <w:rsid w:val="009E2396"/>
    <w:rsid w:val="009E4361"/>
    <w:rsid w:val="009E62E7"/>
    <w:rsid w:val="009F3286"/>
    <w:rsid w:val="009F3B1C"/>
    <w:rsid w:val="009F40F8"/>
    <w:rsid w:val="009F476C"/>
    <w:rsid w:val="009F5D35"/>
    <w:rsid w:val="009F5FB0"/>
    <w:rsid w:val="009F63CB"/>
    <w:rsid w:val="009F66E7"/>
    <w:rsid w:val="009F76DB"/>
    <w:rsid w:val="009F7A45"/>
    <w:rsid w:val="00A02E45"/>
    <w:rsid w:val="00A03C01"/>
    <w:rsid w:val="00A05213"/>
    <w:rsid w:val="00A0547E"/>
    <w:rsid w:val="00A066C3"/>
    <w:rsid w:val="00A140B2"/>
    <w:rsid w:val="00A154E0"/>
    <w:rsid w:val="00A16659"/>
    <w:rsid w:val="00A177B5"/>
    <w:rsid w:val="00A22C7A"/>
    <w:rsid w:val="00A23997"/>
    <w:rsid w:val="00A23A2B"/>
    <w:rsid w:val="00A32B4B"/>
    <w:rsid w:val="00A32C3B"/>
    <w:rsid w:val="00A40CDE"/>
    <w:rsid w:val="00A45F4F"/>
    <w:rsid w:val="00A461EA"/>
    <w:rsid w:val="00A46896"/>
    <w:rsid w:val="00A46B91"/>
    <w:rsid w:val="00A5312F"/>
    <w:rsid w:val="00A534C8"/>
    <w:rsid w:val="00A56AE7"/>
    <w:rsid w:val="00A57FFD"/>
    <w:rsid w:val="00A600A9"/>
    <w:rsid w:val="00A60DBA"/>
    <w:rsid w:val="00A61147"/>
    <w:rsid w:val="00A6369B"/>
    <w:rsid w:val="00A6524E"/>
    <w:rsid w:val="00A7146B"/>
    <w:rsid w:val="00A749FF"/>
    <w:rsid w:val="00A76707"/>
    <w:rsid w:val="00A77A0B"/>
    <w:rsid w:val="00A800BB"/>
    <w:rsid w:val="00A8121A"/>
    <w:rsid w:val="00A85F9E"/>
    <w:rsid w:val="00A876FA"/>
    <w:rsid w:val="00A93528"/>
    <w:rsid w:val="00A943FC"/>
    <w:rsid w:val="00A972DC"/>
    <w:rsid w:val="00A9790A"/>
    <w:rsid w:val="00AA0F2D"/>
    <w:rsid w:val="00AA365B"/>
    <w:rsid w:val="00AA55B7"/>
    <w:rsid w:val="00AA5B9E"/>
    <w:rsid w:val="00AA5F07"/>
    <w:rsid w:val="00AA6003"/>
    <w:rsid w:val="00AA7878"/>
    <w:rsid w:val="00AB1DD3"/>
    <w:rsid w:val="00AB2407"/>
    <w:rsid w:val="00AB53DF"/>
    <w:rsid w:val="00AC00CE"/>
    <w:rsid w:val="00AC1B4C"/>
    <w:rsid w:val="00AC4B7C"/>
    <w:rsid w:val="00AC4C5A"/>
    <w:rsid w:val="00AC6096"/>
    <w:rsid w:val="00AC677C"/>
    <w:rsid w:val="00AC6F18"/>
    <w:rsid w:val="00AD192F"/>
    <w:rsid w:val="00AD26AA"/>
    <w:rsid w:val="00AD3B78"/>
    <w:rsid w:val="00AD4876"/>
    <w:rsid w:val="00AE1C86"/>
    <w:rsid w:val="00AE23CB"/>
    <w:rsid w:val="00AE354A"/>
    <w:rsid w:val="00AF03DD"/>
    <w:rsid w:val="00AF1114"/>
    <w:rsid w:val="00AF2499"/>
    <w:rsid w:val="00B04EDB"/>
    <w:rsid w:val="00B07E5C"/>
    <w:rsid w:val="00B118E6"/>
    <w:rsid w:val="00B1346E"/>
    <w:rsid w:val="00B1631E"/>
    <w:rsid w:val="00B172F7"/>
    <w:rsid w:val="00B2128F"/>
    <w:rsid w:val="00B26897"/>
    <w:rsid w:val="00B32FCC"/>
    <w:rsid w:val="00B3362F"/>
    <w:rsid w:val="00B33A6A"/>
    <w:rsid w:val="00B40F89"/>
    <w:rsid w:val="00B42CC9"/>
    <w:rsid w:val="00B4314C"/>
    <w:rsid w:val="00B43519"/>
    <w:rsid w:val="00B4494E"/>
    <w:rsid w:val="00B475F2"/>
    <w:rsid w:val="00B501B1"/>
    <w:rsid w:val="00B506B9"/>
    <w:rsid w:val="00B52A39"/>
    <w:rsid w:val="00B5624D"/>
    <w:rsid w:val="00B62386"/>
    <w:rsid w:val="00B64A31"/>
    <w:rsid w:val="00B65390"/>
    <w:rsid w:val="00B70DCF"/>
    <w:rsid w:val="00B76011"/>
    <w:rsid w:val="00B763E9"/>
    <w:rsid w:val="00B77554"/>
    <w:rsid w:val="00B77BC6"/>
    <w:rsid w:val="00B8082E"/>
    <w:rsid w:val="00B811F7"/>
    <w:rsid w:val="00B82834"/>
    <w:rsid w:val="00B83976"/>
    <w:rsid w:val="00B8452B"/>
    <w:rsid w:val="00B84DDD"/>
    <w:rsid w:val="00B856A6"/>
    <w:rsid w:val="00B904A5"/>
    <w:rsid w:val="00B913FF"/>
    <w:rsid w:val="00B950B1"/>
    <w:rsid w:val="00B96256"/>
    <w:rsid w:val="00BA508F"/>
    <w:rsid w:val="00BA5DC6"/>
    <w:rsid w:val="00BA6196"/>
    <w:rsid w:val="00BB3A2B"/>
    <w:rsid w:val="00BB6413"/>
    <w:rsid w:val="00BB6CA4"/>
    <w:rsid w:val="00BB7CCB"/>
    <w:rsid w:val="00BC1FF8"/>
    <w:rsid w:val="00BC3C19"/>
    <w:rsid w:val="00BC42A6"/>
    <w:rsid w:val="00BC6D8C"/>
    <w:rsid w:val="00BD0679"/>
    <w:rsid w:val="00BD33AE"/>
    <w:rsid w:val="00BD3CEC"/>
    <w:rsid w:val="00BD63FB"/>
    <w:rsid w:val="00BD7091"/>
    <w:rsid w:val="00BE037C"/>
    <w:rsid w:val="00BE0D9C"/>
    <w:rsid w:val="00BE10EA"/>
    <w:rsid w:val="00BE3B15"/>
    <w:rsid w:val="00BF367D"/>
    <w:rsid w:val="00BF3CCB"/>
    <w:rsid w:val="00BF3E34"/>
    <w:rsid w:val="00BF4661"/>
    <w:rsid w:val="00BF4A70"/>
    <w:rsid w:val="00BF540D"/>
    <w:rsid w:val="00C018C3"/>
    <w:rsid w:val="00C01C91"/>
    <w:rsid w:val="00C050D1"/>
    <w:rsid w:val="00C05BA9"/>
    <w:rsid w:val="00C07CB8"/>
    <w:rsid w:val="00C12018"/>
    <w:rsid w:val="00C1204B"/>
    <w:rsid w:val="00C121CD"/>
    <w:rsid w:val="00C12225"/>
    <w:rsid w:val="00C15647"/>
    <w:rsid w:val="00C172A0"/>
    <w:rsid w:val="00C17F0E"/>
    <w:rsid w:val="00C21AC5"/>
    <w:rsid w:val="00C22202"/>
    <w:rsid w:val="00C237B9"/>
    <w:rsid w:val="00C241BE"/>
    <w:rsid w:val="00C26940"/>
    <w:rsid w:val="00C26D48"/>
    <w:rsid w:val="00C27D35"/>
    <w:rsid w:val="00C27E62"/>
    <w:rsid w:val="00C30330"/>
    <w:rsid w:val="00C3143B"/>
    <w:rsid w:val="00C318A8"/>
    <w:rsid w:val="00C330FF"/>
    <w:rsid w:val="00C34006"/>
    <w:rsid w:val="00C410C1"/>
    <w:rsid w:val="00C426B1"/>
    <w:rsid w:val="00C42B81"/>
    <w:rsid w:val="00C4562C"/>
    <w:rsid w:val="00C4666C"/>
    <w:rsid w:val="00C50B65"/>
    <w:rsid w:val="00C5166B"/>
    <w:rsid w:val="00C52985"/>
    <w:rsid w:val="00C55B72"/>
    <w:rsid w:val="00C56B95"/>
    <w:rsid w:val="00C56C01"/>
    <w:rsid w:val="00C5721C"/>
    <w:rsid w:val="00C60D81"/>
    <w:rsid w:val="00C6304A"/>
    <w:rsid w:val="00C6429D"/>
    <w:rsid w:val="00C66160"/>
    <w:rsid w:val="00C66C1C"/>
    <w:rsid w:val="00C70456"/>
    <w:rsid w:val="00C721AC"/>
    <w:rsid w:val="00C72775"/>
    <w:rsid w:val="00C74B74"/>
    <w:rsid w:val="00C74FAA"/>
    <w:rsid w:val="00C76FC1"/>
    <w:rsid w:val="00C772F2"/>
    <w:rsid w:val="00C7767B"/>
    <w:rsid w:val="00C77C7D"/>
    <w:rsid w:val="00C82079"/>
    <w:rsid w:val="00C82556"/>
    <w:rsid w:val="00C831E5"/>
    <w:rsid w:val="00C85110"/>
    <w:rsid w:val="00C90D6A"/>
    <w:rsid w:val="00C9196B"/>
    <w:rsid w:val="00C9221D"/>
    <w:rsid w:val="00C95226"/>
    <w:rsid w:val="00CA247E"/>
    <w:rsid w:val="00CA2513"/>
    <w:rsid w:val="00CA4BCE"/>
    <w:rsid w:val="00CA56B2"/>
    <w:rsid w:val="00CA5C56"/>
    <w:rsid w:val="00CA5CD3"/>
    <w:rsid w:val="00CA70B7"/>
    <w:rsid w:val="00CB1DA6"/>
    <w:rsid w:val="00CB2DED"/>
    <w:rsid w:val="00CB6750"/>
    <w:rsid w:val="00CC1785"/>
    <w:rsid w:val="00CC20B8"/>
    <w:rsid w:val="00CC4A5C"/>
    <w:rsid w:val="00CC72B6"/>
    <w:rsid w:val="00CD0946"/>
    <w:rsid w:val="00CD2847"/>
    <w:rsid w:val="00CD3062"/>
    <w:rsid w:val="00CD4E7A"/>
    <w:rsid w:val="00CD53FF"/>
    <w:rsid w:val="00CD5EF5"/>
    <w:rsid w:val="00CE086D"/>
    <w:rsid w:val="00CE11E6"/>
    <w:rsid w:val="00CE207D"/>
    <w:rsid w:val="00CE5701"/>
    <w:rsid w:val="00CE58A6"/>
    <w:rsid w:val="00CE6306"/>
    <w:rsid w:val="00CE79F8"/>
    <w:rsid w:val="00CF0682"/>
    <w:rsid w:val="00CF3818"/>
    <w:rsid w:val="00CF6370"/>
    <w:rsid w:val="00CF7F48"/>
    <w:rsid w:val="00D0218D"/>
    <w:rsid w:val="00D04174"/>
    <w:rsid w:val="00D0467E"/>
    <w:rsid w:val="00D04A19"/>
    <w:rsid w:val="00D04FDB"/>
    <w:rsid w:val="00D051D7"/>
    <w:rsid w:val="00D072D6"/>
    <w:rsid w:val="00D116C7"/>
    <w:rsid w:val="00D134BE"/>
    <w:rsid w:val="00D15179"/>
    <w:rsid w:val="00D153AB"/>
    <w:rsid w:val="00D17A0A"/>
    <w:rsid w:val="00D212C3"/>
    <w:rsid w:val="00D21AE7"/>
    <w:rsid w:val="00D23351"/>
    <w:rsid w:val="00D2482C"/>
    <w:rsid w:val="00D2591E"/>
    <w:rsid w:val="00D25FB5"/>
    <w:rsid w:val="00D32CB8"/>
    <w:rsid w:val="00D33B23"/>
    <w:rsid w:val="00D341FD"/>
    <w:rsid w:val="00D35160"/>
    <w:rsid w:val="00D3760D"/>
    <w:rsid w:val="00D4167E"/>
    <w:rsid w:val="00D41CC8"/>
    <w:rsid w:val="00D4340B"/>
    <w:rsid w:val="00D44223"/>
    <w:rsid w:val="00D44F36"/>
    <w:rsid w:val="00D45043"/>
    <w:rsid w:val="00D46AEC"/>
    <w:rsid w:val="00D47848"/>
    <w:rsid w:val="00D47BE4"/>
    <w:rsid w:val="00D52C25"/>
    <w:rsid w:val="00D52D32"/>
    <w:rsid w:val="00D57324"/>
    <w:rsid w:val="00D60F65"/>
    <w:rsid w:val="00D62D4C"/>
    <w:rsid w:val="00D667A1"/>
    <w:rsid w:val="00D70361"/>
    <w:rsid w:val="00D71170"/>
    <w:rsid w:val="00D71EE7"/>
    <w:rsid w:val="00D763A8"/>
    <w:rsid w:val="00D77253"/>
    <w:rsid w:val="00D83928"/>
    <w:rsid w:val="00D84CE0"/>
    <w:rsid w:val="00D86D53"/>
    <w:rsid w:val="00D87EAF"/>
    <w:rsid w:val="00D923FC"/>
    <w:rsid w:val="00D92773"/>
    <w:rsid w:val="00D93943"/>
    <w:rsid w:val="00D9424D"/>
    <w:rsid w:val="00D9551F"/>
    <w:rsid w:val="00D9688A"/>
    <w:rsid w:val="00D9744E"/>
    <w:rsid w:val="00D97728"/>
    <w:rsid w:val="00DA22BE"/>
    <w:rsid w:val="00DA2529"/>
    <w:rsid w:val="00DA59F0"/>
    <w:rsid w:val="00DA7FB5"/>
    <w:rsid w:val="00DB130A"/>
    <w:rsid w:val="00DB2EBB"/>
    <w:rsid w:val="00DB3948"/>
    <w:rsid w:val="00DC10A1"/>
    <w:rsid w:val="00DC154C"/>
    <w:rsid w:val="00DC1A1E"/>
    <w:rsid w:val="00DC3470"/>
    <w:rsid w:val="00DC485D"/>
    <w:rsid w:val="00DC5719"/>
    <w:rsid w:val="00DC655F"/>
    <w:rsid w:val="00DC6F6A"/>
    <w:rsid w:val="00DD0B59"/>
    <w:rsid w:val="00DD2C57"/>
    <w:rsid w:val="00DD3078"/>
    <w:rsid w:val="00DD38DB"/>
    <w:rsid w:val="00DD488D"/>
    <w:rsid w:val="00DD4A54"/>
    <w:rsid w:val="00DD5D5D"/>
    <w:rsid w:val="00DD7EBD"/>
    <w:rsid w:val="00DE026C"/>
    <w:rsid w:val="00DE3744"/>
    <w:rsid w:val="00DE5424"/>
    <w:rsid w:val="00DE6090"/>
    <w:rsid w:val="00DF5944"/>
    <w:rsid w:val="00DF62B6"/>
    <w:rsid w:val="00DF6BD5"/>
    <w:rsid w:val="00DF7043"/>
    <w:rsid w:val="00DF7A4D"/>
    <w:rsid w:val="00E006A8"/>
    <w:rsid w:val="00E010E2"/>
    <w:rsid w:val="00E018CF"/>
    <w:rsid w:val="00E03105"/>
    <w:rsid w:val="00E03AD8"/>
    <w:rsid w:val="00E03D42"/>
    <w:rsid w:val="00E07225"/>
    <w:rsid w:val="00E20480"/>
    <w:rsid w:val="00E205AB"/>
    <w:rsid w:val="00E20645"/>
    <w:rsid w:val="00E20F14"/>
    <w:rsid w:val="00E2297D"/>
    <w:rsid w:val="00E23034"/>
    <w:rsid w:val="00E24724"/>
    <w:rsid w:val="00E3041F"/>
    <w:rsid w:val="00E307B8"/>
    <w:rsid w:val="00E31C50"/>
    <w:rsid w:val="00E3250C"/>
    <w:rsid w:val="00E33471"/>
    <w:rsid w:val="00E34E91"/>
    <w:rsid w:val="00E3572D"/>
    <w:rsid w:val="00E35F2B"/>
    <w:rsid w:val="00E37140"/>
    <w:rsid w:val="00E411DA"/>
    <w:rsid w:val="00E4217F"/>
    <w:rsid w:val="00E45CE0"/>
    <w:rsid w:val="00E4641A"/>
    <w:rsid w:val="00E469B9"/>
    <w:rsid w:val="00E47985"/>
    <w:rsid w:val="00E5400D"/>
    <w:rsid w:val="00E5409F"/>
    <w:rsid w:val="00E54933"/>
    <w:rsid w:val="00E56D00"/>
    <w:rsid w:val="00E610D1"/>
    <w:rsid w:val="00E628C3"/>
    <w:rsid w:val="00E63F65"/>
    <w:rsid w:val="00E6504B"/>
    <w:rsid w:val="00E65216"/>
    <w:rsid w:val="00E702CC"/>
    <w:rsid w:val="00E731CA"/>
    <w:rsid w:val="00E76C77"/>
    <w:rsid w:val="00E7775D"/>
    <w:rsid w:val="00E83529"/>
    <w:rsid w:val="00E844EC"/>
    <w:rsid w:val="00E847B4"/>
    <w:rsid w:val="00E87D65"/>
    <w:rsid w:val="00E90E02"/>
    <w:rsid w:val="00E928FF"/>
    <w:rsid w:val="00E939D4"/>
    <w:rsid w:val="00E9506D"/>
    <w:rsid w:val="00E95F72"/>
    <w:rsid w:val="00E973FB"/>
    <w:rsid w:val="00EA2D88"/>
    <w:rsid w:val="00EA55C4"/>
    <w:rsid w:val="00EA702E"/>
    <w:rsid w:val="00EB0210"/>
    <w:rsid w:val="00EB0CC1"/>
    <w:rsid w:val="00EB1EC4"/>
    <w:rsid w:val="00EB7A95"/>
    <w:rsid w:val="00EC3259"/>
    <w:rsid w:val="00ED134D"/>
    <w:rsid w:val="00ED1B25"/>
    <w:rsid w:val="00ED3D57"/>
    <w:rsid w:val="00EE5C69"/>
    <w:rsid w:val="00EE6488"/>
    <w:rsid w:val="00EE6938"/>
    <w:rsid w:val="00EE7997"/>
    <w:rsid w:val="00EF1685"/>
    <w:rsid w:val="00EF1767"/>
    <w:rsid w:val="00EF2304"/>
    <w:rsid w:val="00EF347E"/>
    <w:rsid w:val="00EF43B8"/>
    <w:rsid w:val="00F021FA"/>
    <w:rsid w:val="00F025A2"/>
    <w:rsid w:val="00F03A85"/>
    <w:rsid w:val="00F04372"/>
    <w:rsid w:val="00F05AC7"/>
    <w:rsid w:val="00F076B4"/>
    <w:rsid w:val="00F11421"/>
    <w:rsid w:val="00F1335C"/>
    <w:rsid w:val="00F13836"/>
    <w:rsid w:val="00F14B32"/>
    <w:rsid w:val="00F152F7"/>
    <w:rsid w:val="00F16080"/>
    <w:rsid w:val="00F20E97"/>
    <w:rsid w:val="00F21229"/>
    <w:rsid w:val="00F21608"/>
    <w:rsid w:val="00F2555A"/>
    <w:rsid w:val="00F2570F"/>
    <w:rsid w:val="00F31041"/>
    <w:rsid w:val="00F3156D"/>
    <w:rsid w:val="00F3459B"/>
    <w:rsid w:val="00F4233A"/>
    <w:rsid w:val="00F42AB2"/>
    <w:rsid w:val="00F44583"/>
    <w:rsid w:val="00F461E7"/>
    <w:rsid w:val="00F4711C"/>
    <w:rsid w:val="00F47776"/>
    <w:rsid w:val="00F51B2E"/>
    <w:rsid w:val="00F5388A"/>
    <w:rsid w:val="00F55096"/>
    <w:rsid w:val="00F554E1"/>
    <w:rsid w:val="00F56B60"/>
    <w:rsid w:val="00F57414"/>
    <w:rsid w:val="00F60E8E"/>
    <w:rsid w:val="00F6109B"/>
    <w:rsid w:val="00F612FA"/>
    <w:rsid w:val="00F62E97"/>
    <w:rsid w:val="00F63364"/>
    <w:rsid w:val="00F6346C"/>
    <w:rsid w:val="00F6386C"/>
    <w:rsid w:val="00F63C27"/>
    <w:rsid w:val="00F64209"/>
    <w:rsid w:val="00F72A06"/>
    <w:rsid w:val="00F749CC"/>
    <w:rsid w:val="00F77F81"/>
    <w:rsid w:val="00F80AA2"/>
    <w:rsid w:val="00F8432C"/>
    <w:rsid w:val="00F86161"/>
    <w:rsid w:val="00F867CE"/>
    <w:rsid w:val="00F869F5"/>
    <w:rsid w:val="00F87A96"/>
    <w:rsid w:val="00F92452"/>
    <w:rsid w:val="00F9282C"/>
    <w:rsid w:val="00F93BF5"/>
    <w:rsid w:val="00F94FC4"/>
    <w:rsid w:val="00FA0BE3"/>
    <w:rsid w:val="00FA3015"/>
    <w:rsid w:val="00FA3B55"/>
    <w:rsid w:val="00FA4764"/>
    <w:rsid w:val="00FA5BF9"/>
    <w:rsid w:val="00FA5CB6"/>
    <w:rsid w:val="00FA5E39"/>
    <w:rsid w:val="00FA6941"/>
    <w:rsid w:val="00FB3764"/>
    <w:rsid w:val="00FB78E0"/>
    <w:rsid w:val="00FC005D"/>
    <w:rsid w:val="00FC024A"/>
    <w:rsid w:val="00FC0BC3"/>
    <w:rsid w:val="00FC1B09"/>
    <w:rsid w:val="00FC32BD"/>
    <w:rsid w:val="00FC35FA"/>
    <w:rsid w:val="00FC365A"/>
    <w:rsid w:val="00FC43BC"/>
    <w:rsid w:val="00FC48FF"/>
    <w:rsid w:val="00FD0E18"/>
    <w:rsid w:val="00FD0FDE"/>
    <w:rsid w:val="00FD1033"/>
    <w:rsid w:val="00FD4783"/>
    <w:rsid w:val="00FD654A"/>
    <w:rsid w:val="00FE2443"/>
    <w:rsid w:val="00FE2DA6"/>
    <w:rsid w:val="00FE4F68"/>
    <w:rsid w:val="00FE6B5F"/>
    <w:rsid w:val="00FF47A4"/>
    <w:rsid w:val="00FF4876"/>
    <w:rsid w:val="00FF6A7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2,Heading 1 Char2 Char Char1 Char"/>
    <w:basedOn w:val="Normal"/>
    <w:next w:val="ParaNum"/>
    <w:link w:val="Heading1Char"/>
    <w:qFormat/>
    <w:rsid w:val="00626EB6"/>
    <w:pPr>
      <w:keepNext/>
      <w:numPr>
        <w:numId w:val="3"/>
      </w:numPr>
      <w:tabs>
        <w:tab w:val="left" w:pos="720"/>
      </w:tabs>
      <w:suppressAutoHyphens/>
      <w:spacing w:after="120"/>
      <w:ind w:left="7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Heading 2 Char4,UNDERRUBRIK 1-2 Char,h2 Char"/>
    <w:basedOn w:val="Normal"/>
    <w:next w:val="ParaNum"/>
    <w:autoRedefine/>
    <w:qFormat/>
    <w:rsid w:val="005F7DCD"/>
    <w:pPr>
      <w:keepNext/>
      <w:numPr>
        <w:ilvl w:val="1"/>
        <w:numId w:val="3"/>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ar1,Heading 4 Char1,Heading 4 Char1 Char,Heading 4 Char1 Char Char Char Char1,Heading 4 Char2,Heading 4 Char2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num" w:pos="5310"/>
      </w:tabs>
      <w:spacing w:after="120"/>
      <w:ind w:left="423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rsid w:val="000E3D42"/>
    <w:pPr>
      <w:spacing w:after="120"/>
    </w:pPr>
  </w:style>
  <w:style w:type="character" w:styleId="FootnoteReference">
    <w:name w:val="footnote reference"/>
    <w:aliases w:val="(NECG) Footnote Reference,Appel note de bas de p,FR,Footnote Reference/,Footnote Reference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08643C"/>
    <w:pPr>
      <w:tabs>
        <w:tab w:val="left" w:pos="3990"/>
      </w:tabs>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 Char1 Char Char Char Char,Footnote Text Char1 Char1 Char Char Char Char,Footnote Text Char2 Char Char,Footnote Text Char2 Char Char Char Char,Footnote Text Char3 Char Char Char,f Char,fn Char"/>
    <w:link w:val="FootnoteText"/>
    <w:rsid w:val="005D5981"/>
  </w:style>
  <w:style w:type="paragraph" w:customStyle="1" w:styleId="Default">
    <w:name w:val="Default"/>
    <w:rsid w:val="002F0A0C"/>
    <w:pPr>
      <w:autoSpaceDE w:val="0"/>
      <w:autoSpaceDN w:val="0"/>
      <w:adjustRightInd w:val="0"/>
    </w:pPr>
    <w:rPr>
      <w:rFonts w:eastAsiaTheme="minorHAnsi"/>
      <w:color w:val="000000"/>
      <w:sz w:val="24"/>
      <w:szCs w:val="24"/>
    </w:rPr>
  </w:style>
  <w:style w:type="paragraph" w:styleId="BalloonText">
    <w:name w:val="Balloon Text"/>
    <w:basedOn w:val="Normal"/>
    <w:link w:val="BalloonTextChar"/>
    <w:rsid w:val="00CA4BCE"/>
    <w:rPr>
      <w:rFonts w:ascii="Segoe UI" w:hAnsi="Segoe UI" w:cs="Segoe UI"/>
      <w:sz w:val="18"/>
      <w:szCs w:val="18"/>
    </w:rPr>
  </w:style>
  <w:style w:type="character" w:customStyle="1" w:styleId="BalloonTextChar">
    <w:name w:val="Balloon Text Char"/>
    <w:basedOn w:val="DefaultParagraphFont"/>
    <w:link w:val="BalloonText"/>
    <w:rsid w:val="00CA4BCE"/>
    <w:rPr>
      <w:rFonts w:ascii="Segoe UI" w:hAnsi="Segoe UI" w:cs="Segoe UI"/>
      <w:snapToGrid w:val="0"/>
      <w:kern w:val="28"/>
      <w:sz w:val="18"/>
      <w:szCs w:val="18"/>
    </w:rPr>
  </w:style>
  <w:style w:type="character" w:customStyle="1" w:styleId="FootnoteTextChar4Char1Char">
    <w:name w:val="Footnote Text Char4 Char1 Char"/>
    <w:aliases w:val="Footnote Text Char Char4 Char1 Char,Footnote Text Char Char4 Char1 Char Char Char Char,Footnote Text Char4 Char1 Char Char1 Char Char,Footnote Text Char5 Char1 Char Char Char,Footnote Text Char6 Char"/>
    <w:basedOn w:val="DefaultParagraphFont"/>
    <w:rsid w:val="00F60E8E"/>
  </w:style>
  <w:style w:type="character" w:styleId="CommentReference">
    <w:name w:val="annotation reference"/>
    <w:basedOn w:val="DefaultParagraphFont"/>
    <w:rsid w:val="00473887"/>
    <w:rPr>
      <w:sz w:val="16"/>
      <w:szCs w:val="16"/>
    </w:rPr>
  </w:style>
  <w:style w:type="paragraph" w:styleId="CommentText">
    <w:name w:val="annotation text"/>
    <w:basedOn w:val="Normal"/>
    <w:link w:val="CommentTextChar"/>
    <w:rsid w:val="00473887"/>
    <w:rPr>
      <w:sz w:val="20"/>
    </w:rPr>
  </w:style>
  <w:style w:type="character" w:customStyle="1" w:styleId="CommentTextChar">
    <w:name w:val="Comment Text Char"/>
    <w:basedOn w:val="DefaultParagraphFont"/>
    <w:link w:val="CommentText"/>
    <w:rsid w:val="00473887"/>
    <w:rPr>
      <w:snapToGrid w:val="0"/>
      <w:kern w:val="28"/>
    </w:rPr>
  </w:style>
  <w:style w:type="paragraph" w:styleId="CommentSubject">
    <w:name w:val="annotation subject"/>
    <w:basedOn w:val="CommentText"/>
    <w:next w:val="CommentText"/>
    <w:link w:val="CommentSubjectChar"/>
    <w:rsid w:val="00473887"/>
    <w:rPr>
      <w:b/>
      <w:bCs/>
    </w:rPr>
  </w:style>
  <w:style w:type="character" w:customStyle="1" w:styleId="CommentSubjectChar">
    <w:name w:val="Comment Subject Char"/>
    <w:basedOn w:val="CommentTextChar"/>
    <w:link w:val="CommentSubject"/>
    <w:rsid w:val="00473887"/>
    <w:rPr>
      <w:b/>
      <w:bCs/>
      <w:snapToGrid w:val="0"/>
      <w:kern w:val="28"/>
    </w:rPr>
  </w:style>
  <w:style w:type="character" w:customStyle="1" w:styleId="ParaNumChar">
    <w:name w:val="ParaNum Char"/>
    <w:link w:val="ParaNum"/>
    <w:locked/>
    <w:rsid w:val="00AF1114"/>
    <w:rPr>
      <w:snapToGrid w:val="0"/>
      <w:kern w:val="28"/>
      <w:sz w:val="22"/>
    </w:rPr>
  </w:style>
  <w:style w:type="character" w:customStyle="1" w:styleId="FootnoteTextChar6">
    <w:name w:val="Footnote Text Char6"/>
    <w:aliases w:val="Footnote Text Char Char1 Char Char Char Char Char2,Footnote Text Char Char1 Char Char Char2,Footnote Text Char1 Char2,Footnote Text Char2 Char Char Char2,Footnote Text Char2 Char Char1 Char Char Char2,Footnote Text Char3 Char Char2"/>
    <w:locked/>
    <w:rsid w:val="004E7EF0"/>
    <w:rPr>
      <w:lang w:val="en-US" w:eastAsia="en-US"/>
    </w:rPr>
  </w:style>
  <w:style w:type="character" w:customStyle="1" w:styleId="FootnoteCharacters">
    <w:name w:val="Footnote Characters"/>
    <w:rsid w:val="00E4217F"/>
    <w:rPr>
      <w:vertAlign w:val="superscript"/>
    </w:rPr>
  </w:style>
  <w:style w:type="paragraph" w:customStyle="1" w:styleId="StyleParaNumTimesNewRoman11pt">
    <w:name w:val="Style ParaNum + Times New Roman 11 pt"/>
    <w:basedOn w:val="ParaNum"/>
    <w:link w:val="StyleParaNumTimesNewRoman11ptChar"/>
    <w:autoRedefine/>
    <w:rsid w:val="00E4217F"/>
    <w:pPr>
      <w:widowControl/>
      <w:numPr>
        <w:numId w:val="0"/>
      </w:numPr>
      <w:tabs>
        <w:tab w:val="num" w:pos="360"/>
        <w:tab w:val="left" w:pos="1440"/>
      </w:tabs>
      <w:ind w:left="360" w:hanging="360"/>
    </w:pPr>
  </w:style>
  <w:style w:type="character" w:customStyle="1" w:styleId="StyleParaNumTimesNewRoman11ptChar">
    <w:name w:val="Style ParaNum + Times New Roman 11 pt Char"/>
    <w:link w:val="StyleParaNumTimesNewRoman11pt"/>
    <w:rsid w:val="00E4217F"/>
    <w:rPr>
      <w:snapToGrid w:val="0"/>
      <w:kern w:val="28"/>
      <w:sz w:val="22"/>
    </w:rPr>
  </w:style>
  <w:style w:type="character" w:customStyle="1" w:styleId="Heading1Char">
    <w:name w:val="Heading 1 Char"/>
    <w:aliases w:val="Heading 1 Char Char Char Char,Heading 1 Char Char1 Char Char,Heading 1 Char Char1 Char1,Heading 1 Char1 Char Char,Heading 1 Char1 Char Char Char2 Char Char,Heading 1 Char2 Char,Heading 1 Char2 Char Char1 Char Char"/>
    <w:basedOn w:val="DefaultParagraphFont"/>
    <w:link w:val="Heading1"/>
    <w:rsid w:val="00F56B60"/>
    <w:rPr>
      <w:rFonts w:ascii="Times New Roman Bold" w:hAnsi="Times New Roman Bold"/>
      <w:b/>
      <w:caps/>
      <w:snapToGrid w:val="0"/>
      <w:kern w:val="28"/>
      <w:sz w:val="22"/>
    </w:rPr>
  </w:style>
  <w:style w:type="character" w:styleId="FollowedHyperlink">
    <w:name w:val="FollowedHyperlink"/>
    <w:basedOn w:val="DefaultParagraphFont"/>
    <w:rsid w:val="004E4A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E55DE-B4D2-4E7A-B2E6-2BCCD150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3137</Words>
  <Characters>17886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2018-02-08T16:28:13Z</dcterms:created>
  <dcterms:modified xsi:type="dcterms:W3CDTF">2018-02-08T16:28:13Z</dcterms:modified>
</cp:coreProperties>
</file>