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FD37DC" w:rsidRPr="00FE7C8C" w:rsidP="00FE7C8C">
      <w:pPr>
        <w:widowControl/>
        <w:ind w:left="6480" w:firstLine="720"/>
        <w:jc w:val="right"/>
        <w:rPr>
          <w:b/>
          <w:szCs w:val="22"/>
        </w:rPr>
      </w:pPr>
      <w:bookmarkStart w:id="0" w:name="_GoBack"/>
      <w:bookmarkEnd w:id="0"/>
    </w:p>
    <w:p w:rsidR="00702FD4" w:rsidRPr="00FE7C8C" w:rsidP="00FE7C8C">
      <w:pPr>
        <w:widowControl/>
        <w:ind w:left="6480" w:firstLine="720"/>
        <w:jc w:val="right"/>
        <w:rPr>
          <w:b/>
          <w:snapToGrid/>
          <w:color w:val="000000"/>
          <w:kern w:val="0"/>
          <w:szCs w:val="22"/>
        </w:rPr>
      </w:pPr>
      <w:r w:rsidRPr="00FE7C8C">
        <w:rPr>
          <w:b/>
          <w:snapToGrid/>
          <w:color w:val="000000"/>
          <w:kern w:val="0"/>
          <w:szCs w:val="22"/>
        </w:rPr>
        <w:t>DA 18-</w:t>
      </w:r>
      <w:r w:rsidRPr="00FE7C8C" w:rsidR="009224A6">
        <w:rPr>
          <w:b/>
          <w:snapToGrid/>
          <w:color w:val="000000"/>
          <w:kern w:val="0"/>
          <w:szCs w:val="22"/>
        </w:rPr>
        <w:t>1261</w:t>
      </w:r>
    </w:p>
    <w:p w:rsidR="00702FD4" w:rsidRPr="00FE7C8C" w:rsidP="00FE7C8C">
      <w:pPr>
        <w:widowControl/>
        <w:jc w:val="right"/>
        <w:rPr>
          <w:b/>
          <w:snapToGrid/>
          <w:color w:val="000000"/>
          <w:kern w:val="0"/>
          <w:szCs w:val="22"/>
        </w:rPr>
      </w:pPr>
      <w:r w:rsidRPr="00FE7C8C">
        <w:rPr>
          <w:b/>
          <w:snapToGrid/>
          <w:color w:val="000000"/>
          <w:kern w:val="0"/>
          <w:szCs w:val="22"/>
        </w:rPr>
        <w:t xml:space="preserve">Released: </w:t>
      </w:r>
      <w:r w:rsidRPr="00FE7C8C" w:rsidR="001C6D09">
        <w:rPr>
          <w:b/>
          <w:snapToGrid/>
          <w:color w:val="000000"/>
          <w:kern w:val="0"/>
          <w:szCs w:val="22"/>
        </w:rPr>
        <w:t>December 17, 2018</w:t>
      </w:r>
    </w:p>
    <w:p w:rsidR="00702FD4" w:rsidRPr="00FE7C8C" w:rsidP="00FE7C8C">
      <w:pPr>
        <w:widowControl/>
        <w:spacing w:before="60"/>
        <w:jc w:val="center"/>
        <w:rPr>
          <w:b/>
          <w:snapToGrid/>
          <w:color w:val="000000"/>
          <w:kern w:val="0"/>
          <w:szCs w:val="22"/>
        </w:rPr>
      </w:pPr>
    </w:p>
    <w:p w:rsidR="00702FD4" w:rsidRPr="00FE7C8C">
      <w:pPr>
        <w:widowControl/>
        <w:jc w:val="center"/>
        <w:rPr>
          <w:b/>
          <w:snapToGrid/>
          <w:color w:val="000000"/>
          <w:kern w:val="0"/>
          <w:szCs w:val="22"/>
        </w:rPr>
      </w:pPr>
      <w:r w:rsidRPr="00FE7C8C">
        <w:rPr>
          <w:b/>
          <w:snapToGrid/>
          <w:color w:val="000000"/>
          <w:kern w:val="0"/>
          <w:szCs w:val="22"/>
        </w:rPr>
        <w:t>NOTICE OF DOMESTIC SECTION 214 AUTHORIZATION</w:t>
      </w:r>
      <w:r w:rsidRPr="00FE7C8C" w:rsidR="00857782">
        <w:rPr>
          <w:b/>
          <w:snapToGrid/>
          <w:color w:val="000000"/>
          <w:kern w:val="0"/>
          <w:szCs w:val="22"/>
        </w:rPr>
        <w:t>S</w:t>
      </w:r>
      <w:r w:rsidRPr="00FE7C8C">
        <w:rPr>
          <w:b/>
          <w:snapToGrid/>
          <w:color w:val="000000"/>
          <w:kern w:val="0"/>
          <w:szCs w:val="22"/>
        </w:rPr>
        <w:t xml:space="preserve"> GRANTED </w:t>
      </w:r>
    </w:p>
    <w:p w:rsidR="00702FD4" w:rsidRPr="00FE7C8C" w:rsidP="00FE7C8C">
      <w:pPr>
        <w:widowControl/>
        <w:jc w:val="center"/>
        <w:rPr>
          <w:b/>
          <w:snapToGrid/>
          <w:color w:val="000000"/>
          <w:kern w:val="0"/>
          <w:szCs w:val="22"/>
        </w:rPr>
      </w:pPr>
    </w:p>
    <w:p w:rsidR="00702FD4" w:rsidRPr="00FE7C8C" w:rsidP="00702FD4">
      <w:pPr>
        <w:jc w:val="center"/>
        <w:rPr>
          <w:b/>
          <w:snapToGrid/>
          <w:kern w:val="0"/>
          <w:szCs w:val="22"/>
        </w:rPr>
      </w:pPr>
      <w:r w:rsidRPr="00FE7C8C">
        <w:rPr>
          <w:b/>
          <w:snapToGrid/>
          <w:color w:val="000000"/>
          <w:kern w:val="0"/>
          <w:szCs w:val="22"/>
        </w:rPr>
        <w:t>WC Docket No</w:t>
      </w:r>
      <w:r w:rsidRPr="00FE7C8C" w:rsidR="00AC5B54">
        <w:rPr>
          <w:b/>
          <w:snapToGrid/>
          <w:color w:val="000000"/>
          <w:kern w:val="0"/>
          <w:szCs w:val="22"/>
        </w:rPr>
        <w:t>s</w:t>
      </w:r>
      <w:r w:rsidRPr="00FE7C8C">
        <w:rPr>
          <w:b/>
          <w:snapToGrid/>
          <w:color w:val="000000"/>
          <w:kern w:val="0"/>
          <w:szCs w:val="22"/>
        </w:rPr>
        <w:t xml:space="preserve">. </w:t>
      </w:r>
      <w:r w:rsidRPr="00FE7C8C">
        <w:rPr>
          <w:b/>
          <w:snapToGrid/>
          <w:kern w:val="0"/>
          <w:szCs w:val="22"/>
        </w:rPr>
        <w:t>18-</w:t>
      </w:r>
      <w:r w:rsidRPr="00FE7C8C" w:rsidR="00857782">
        <w:rPr>
          <w:b/>
          <w:snapToGrid/>
          <w:kern w:val="0"/>
          <w:szCs w:val="22"/>
        </w:rPr>
        <w:t>321</w:t>
      </w:r>
      <w:r w:rsidRPr="00FE7C8C" w:rsidR="00780442">
        <w:rPr>
          <w:b/>
          <w:snapToGrid/>
          <w:kern w:val="0"/>
          <w:szCs w:val="22"/>
        </w:rPr>
        <w:t xml:space="preserve">, </w:t>
      </w:r>
      <w:r w:rsidRPr="00FE7C8C" w:rsidR="00857782">
        <w:rPr>
          <w:b/>
          <w:snapToGrid/>
          <w:kern w:val="0"/>
          <w:szCs w:val="22"/>
        </w:rPr>
        <w:t>18-322</w:t>
      </w:r>
      <w:r w:rsidRPr="00FE7C8C" w:rsidR="00FF7E12">
        <w:rPr>
          <w:b/>
          <w:snapToGrid/>
          <w:kern w:val="0"/>
          <w:szCs w:val="22"/>
        </w:rPr>
        <w:t>,</w:t>
      </w:r>
      <w:r w:rsidRPr="00FE7C8C" w:rsidR="00780442">
        <w:rPr>
          <w:b/>
          <w:snapToGrid/>
          <w:kern w:val="0"/>
          <w:szCs w:val="22"/>
        </w:rPr>
        <w:t xml:space="preserve"> and 18-340</w:t>
      </w:r>
    </w:p>
    <w:p w:rsidR="00702FD4" w:rsidRPr="00FE7C8C" w:rsidP="00FE7C8C">
      <w:pPr>
        <w:widowControl/>
        <w:suppressAutoHyphens/>
        <w:spacing w:after="120"/>
        <w:jc w:val="center"/>
        <w:rPr>
          <w:b/>
          <w:snapToGrid/>
          <w:color w:val="000000"/>
          <w:kern w:val="0"/>
          <w:szCs w:val="22"/>
        </w:rPr>
      </w:pPr>
    </w:p>
    <w:p w:rsidR="00702FD4" w:rsidRPr="00FE7C8C" w:rsidP="00FE7C8C">
      <w:pPr>
        <w:pStyle w:val="ParaNum"/>
        <w:numPr>
          <w:ilvl w:val="0"/>
          <w:numId w:val="0"/>
        </w:numPr>
        <w:ind w:firstLine="720"/>
        <w:rPr>
          <w:rFonts w:eastAsia="MS Mincho"/>
          <w:snapToGrid/>
          <w:szCs w:val="22"/>
        </w:rPr>
      </w:pPr>
      <w:r w:rsidRPr="00FE7C8C">
        <w:rPr>
          <w:snapToGrid/>
          <w:szCs w:val="22"/>
        </w:rPr>
        <w:t>The Wireline Competition Bureau (Bureau) grants the application</w:t>
      </w:r>
      <w:r w:rsidRPr="00FE7C8C" w:rsidR="007803C9">
        <w:rPr>
          <w:snapToGrid/>
          <w:szCs w:val="22"/>
        </w:rPr>
        <w:t>s</w:t>
      </w:r>
      <w:r w:rsidRPr="00FE7C8C">
        <w:rPr>
          <w:snapToGrid/>
          <w:szCs w:val="22"/>
        </w:rPr>
        <w:t xml:space="preserve"> listed in this notice pursuant to the Commission’s streamlined procedures for domestic section 214 transfer of control applications, 47 CFR § 63.03.  The Burea</w:t>
      </w:r>
      <w:r w:rsidRPr="00FE7C8C" w:rsidR="00857782">
        <w:rPr>
          <w:snapToGrid/>
          <w:szCs w:val="22"/>
        </w:rPr>
        <w:t>u determines that a grant of the</w:t>
      </w:r>
      <w:r w:rsidRPr="00FE7C8C">
        <w:rPr>
          <w:snapToGrid/>
          <w:szCs w:val="22"/>
        </w:rPr>
        <w:t>s</w:t>
      </w:r>
      <w:r w:rsidRPr="00FE7C8C" w:rsidR="00857782">
        <w:rPr>
          <w:snapToGrid/>
          <w:szCs w:val="22"/>
        </w:rPr>
        <w:t>e</w:t>
      </w:r>
      <w:r w:rsidRPr="00FE7C8C">
        <w:rPr>
          <w:snapToGrid/>
          <w:szCs w:val="22"/>
        </w:rPr>
        <w:t xml:space="preserve"> application</w:t>
      </w:r>
      <w:r w:rsidRPr="00FE7C8C" w:rsidR="00857782">
        <w:rPr>
          <w:snapToGrid/>
          <w:szCs w:val="22"/>
        </w:rPr>
        <w:t>s</w:t>
      </w:r>
      <w:r w:rsidRPr="00FE7C8C">
        <w:rPr>
          <w:snapToGrid/>
          <w:szCs w:val="22"/>
        </w:rPr>
        <w:t xml:space="preserve"> serves the public interest.</w:t>
      </w:r>
      <w:r>
        <w:rPr>
          <w:snapToGrid/>
          <w:szCs w:val="22"/>
          <w:vertAlign w:val="superscript"/>
        </w:rPr>
        <w:footnoteReference w:id="3"/>
      </w:r>
      <w:r w:rsidRPr="00FE7C8C">
        <w:rPr>
          <w:snapToGrid/>
          <w:szCs w:val="22"/>
        </w:rPr>
        <w:t xml:space="preserve">  For purposes of computation of time when filing a petition for reconsideration or application for review, or for judicial review of the Commission’s decision, the date of “public notice” shall be the release date of this notice.</w:t>
      </w:r>
      <w:r>
        <w:rPr>
          <w:snapToGrid/>
          <w:szCs w:val="22"/>
          <w:vertAlign w:val="superscript"/>
        </w:rPr>
        <w:footnoteReference w:id="4"/>
      </w:r>
      <w:r w:rsidRPr="00FE7C8C">
        <w:rPr>
          <w:rFonts w:eastAsia="MS Mincho"/>
          <w:snapToGrid/>
          <w:color w:val="4F81BD"/>
          <w:szCs w:val="22"/>
        </w:rPr>
        <w:t xml:space="preserve">  </w:t>
      </w:r>
      <w:r w:rsidRPr="00FE7C8C">
        <w:rPr>
          <w:rFonts w:eastAsia="MS Mincho"/>
          <w:snapToGrid/>
          <w:szCs w:val="22"/>
        </w:rPr>
        <w:t>Should no petitions for reconsideration, applications for review, or petitions for judicial review be timely filed, the proceeding</w:t>
      </w:r>
      <w:r w:rsidRPr="00FE7C8C" w:rsidR="005F07C0">
        <w:rPr>
          <w:rFonts w:eastAsia="MS Mincho"/>
          <w:snapToGrid/>
          <w:szCs w:val="22"/>
        </w:rPr>
        <w:t>s</w:t>
      </w:r>
      <w:r w:rsidRPr="00FE7C8C">
        <w:rPr>
          <w:rFonts w:eastAsia="MS Mincho"/>
          <w:snapToGrid/>
          <w:szCs w:val="22"/>
        </w:rPr>
        <w:t xml:space="preserve"> listed in this Public Notice shall be terminated, and the docket</w:t>
      </w:r>
      <w:r w:rsidRPr="00FE7C8C" w:rsidR="005F07C0">
        <w:rPr>
          <w:rFonts w:eastAsia="MS Mincho"/>
          <w:snapToGrid/>
          <w:szCs w:val="22"/>
        </w:rPr>
        <w:t>s</w:t>
      </w:r>
      <w:r w:rsidRPr="00FE7C8C">
        <w:rPr>
          <w:rFonts w:eastAsia="MS Mincho"/>
          <w:snapToGrid/>
          <w:szCs w:val="22"/>
        </w:rPr>
        <w:t xml:space="preserve"> will be closed.</w:t>
      </w:r>
    </w:p>
    <w:p w:rsidR="00702FD4" w:rsidRPr="00FE7C8C" w:rsidP="00FE7C8C">
      <w:pPr>
        <w:pStyle w:val="ParaNum"/>
        <w:numPr>
          <w:ilvl w:val="0"/>
          <w:numId w:val="0"/>
        </w:numPr>
        <w:spacing w:after="0"/>
        <w:ind w:left="1080"/>
        <w:rPr>
          <w:bCs/>
          <w:snapToGrid/>
          <w:szCs w:val="22"/>
        </w:rPr>
      </w:pPr>
      <w:bookmarkStart w:id="1" w:name="_Hlk532275539"/>
      <w:r w:rsidRPr="00FE7C8C">
        <w:rPr>
          <w:snapToGrid/>
          <w:szCs w:val="22"/>
        </w:rPr>
        <w:t>Domestic Section 214 Application</w:t>
      </w:r>
      <w:r w:rsidRPr="00FE7C8C" w:rsidR="00857782">
        <w:rPr>
          <w:snapToGrid/>
          <w:szCs w:val="22"/>
        </w:rPr>
        <w:t>s</w:t>
      </w:r>
      <w:r w:rsidRPr="00FE7C8C">
        <w:rPr>
          <w:snapToGrid/>
          <w:szCs w:val="22"/>
        </w:rPr>
        <w:t xml:space="preserve"> Filed for the Transfer of Control </w:t>
      </w:r>
      <w:r w:rsidRPr="00FE7C8C">
        <w:rPr>
          <w:bCs/>
          <w:snapToGrid/>
          <w:szCs w:val="22"/>
        </w:rPr>
        <w:t xml:space="preserve">of </w:t>
      </w:r>
    </w:p>
    <w:p w:rsidR="00ED70D1" w:rsidRPr="00FE7C8C" w:rsidP="00FE7C8C">
      <w:pPr>
        <w:widowControl/>
        <w:autoSpaceDE w:val="0"/>
        <w:autoSpaceDN w:val="0"/>
        <w:adjustRightInd w:val="0"/>
        <w:ind w:left="1080" w:right="420"/>
        <w:rPr>
          <w:snapToGrid/>
          <w:kern w:val="0"/>
          <w:szCs w:val="22"/>
        </w:rPr>
      </w:pPr>
      <w:r w:rsidRPr="00FE7C8C">
        <w:rPr>
          <w:bCs/>
          <w:snapToGrid/>
          <w:kern w:val="0"/>
          <w:szCs w:val="22"/>
        </w:rPr>
        <w:t xml:space="preserve">Endstream Communications, LLC to Hammer </w:t>
      </w:r>
      <w:r w:rsidRPr="00FE7C8C" w:rsidR="00965EB5">
        <w:rPr>
          <w:bCs/>
          <w:snapToGrid/>
          <w:kern w:val="0"/>
          <w:szCs w:val="22"/>
        </w:rPr>
        <w:t xml:space="preserve">Fiber </w:t>
      </w:r>
      <w:r w:rsidRPr="00FE7C8C">
        <w:rPr>
          <w:bCs/>
          <w:snapToGrid/>
          <w:kern w:val="0"/>
          <w:szCs w:val="22"/>
        </w:rPr>
        <w:t>Optics Holdings Corp.,</w:t>
      </w:r>
      <w:r w:rsidRPr="00FE7C8C" w:rsidR="007817B6">
        <w:rPr>
          <w:snapToGrid/>
          <w:kern w:val="0"/>
          <w:szCs w:val="22"/>
        </w:rPr>
        <w:t xml:space="preserve"> </w:t>
      </w:r>
    </w:p>
    <w:p w:rsidR="00857782" w:rsidRPr="00FE7C8C" w:rsidP="00FE7C8C">
      <w:pPr>
        <w:widowControl/>
        <w:autoSpaceDE w:val="0"/>
        <w:autoSpaceDN w:val="0"/>
        <w:adjustRightInd w:val="0"/>
        <w:ind w:left="1080" w:right="420"/>
        <w:rPr>
          <w:snapToGrid/>
          <w:kern w:val="0"/>
          <w:szCs w:val="22"/>
        </w:rPr>
      </w:pPr>
      <w:r w:rsidRPr="00FE7C8C">
        <w:rPr>
          <w:snapToGrid/>
          <w:kern w:val="0"/>
          <w:szCs w:val="22"/>
        </w:rPr>
        <w:t xml:space="preserve">WC Docket Nos. 18-321 and 18-322, </w:t>
      </w:r>
      <w:r w:rsidRPr="00FE7C8C" w:rsidR="007817B6">
        <w:rPr>
          <w:snapToGrid/>
          <w:kern w:val="0"/>
          <w:szCs w:val="22"/>
        </w:rPr>
        <w:t>Public Noti</w:t>
      </w:r>
      <w:r w:rsidRPr="00FE7C8C" w:rsidR="00702FD4">
        <w:rPr>
          <w:bCs/>
          <w:snapToGrid/>
          <w:kern w:val="0"/>
          <w:szCs w:val="22"/>
        </w:rPr>
        <w:t xml:space="preserve">ce, </w:t>
      </w:r>
      <w:r w:rsidRPr="00FE7C8C">
        <w:rPr>
          <w:bCs/>
          <w:snapToGrid/>
          <w:kern w:val="0"/>
          <w:szCs w:val="22"/>
        </w:rPr>
        <w:t>DA 18-1174</w:t>
      </w:r>
    </w:p>
    <w:p w:rsidR="00702FD4" w:rsidRPr="00FE7C8C" w:rsidP="00FE7C8C">
      <w:pPr>
        <w:widowControl/>
        <w:autoSpaceDE w:val="0"/>
        <w:autoSpaceDN w:val="0"/>
        <w:adjustRightInd w:val="0"/>
        <w:spacing w:after="120"/>
        <w:ind w:left="1080" w:right="418"/>
        <w:rPr>
          <w:snapToGrid/>
          <w:kern w:val="0"/>
          <w:szCs w:val="22"/>
        </w:rPr>
      </w:pPr>
      <w:r w:rsidRPr="00FE7C8C">
        <w:rPr>
          <w:snapToGrid/>
          <w:kern w:val="0"/>
          <w:szCs w:val="22"/>
        </w:rPr>
        <w:t>(WCB 2018).</w:t>
      </w:r>
    </w:p>
    <w:p w:rsidR="00702FD4" w:rsidRPr="00FE7C8C" w:rsidP="00FE7C8C">
      <w:pPr>
        <w:pStyle w:val="ParaNum"/>
        <w:numPr>
          <w:ilvl w:val="0"/>
          <w:numId w:val="0"/>
        </w:numPr>
        <w:rPr>
          <w:b/>
          <w:snapToGrid/>
          <w:szCs w:val="22"/>
          <w:lang w:eastAsia="ja-JP"/>
        </w:rPr>
      </w:pPr>
      <w:bookmarkStart w:id="2" w:name="_Hlk532275559"/>
      <w:bookmarkEnd w:id="1"/>
      <w:r w:rsidRPr="00FE7C8C">
        <w:rPr>
          <w:b/>
          <w:snapToGrid/>
          <w:szCs w:val="22"/>
          <w:lang w:eastAsia="ja-JP"/>
        </w:rPr>
        <w:t xml:space="preserve">Effective Grant Date: </w:t>
      </w:r>
      <w:r w:rsidRPr="00FE7C8C" w:rsidR="00857782">
        <w:rPr>
          <w:b/>
          <w:snapToGrid/>
          <w:szCs w:val="22"/>
          <w:lang w:eastAsia="ja-JP"/>
        </w:rPr>
        <w:t>December</w:t>
      </w:r>
      <w:r w:rsidRPr="00FE7C8C">
        <w:rPr>
          <w:b/>
          <w:snapToGrid/>
          <w:szCs w:val="22"/>
          <w:lang w:eastAsia="ja-JP"/>
        </w:rPr>
        <w:t xml:space="preserve"> </w:t>
      </w:r>
      <w:r w:rsidRPr="00FE7C8C" w:rsidR="00857782">
        <w:rPr>
          <w:b/>
          <w:snapToGrid/>
          <w:szCs w:val="22"/>
          <w:lang w:eastAsia="ja-JP"/>
        </w:rPr>
        <w:t>17</w:t>
      </w:r>
      <w:r w:rsidRPr="00FE7C8C">
        <w:rPr>
          <w:b/>
          <w:snapToGrid/>
          <w:szCs w:val="22"/>
          <w:lang w:eastAsia="ja-JP"/>
        </w:rPr>
        <w:t>, 2018</w:t>
      </w:r>
    </w:p>
    <w:bookmarkEnd w:id="2"/>
    <w:p w:rsidR="00780442" w:rsidRPr="00FE7C8C" w:rsidP="00FE7C8C">
      <w:pPr>
        <w:pStyle w:val="ParaNum"/>
        <w:numPr>
          <w:ilvl w:val="0"/>
          <w:numId w:val="0"/>
        </w:numPr>
        <w:spacing w:after="0"/>
        <w:ind w:left="1080"/>
        <w:rPr>
          <w:bCs/>
          <w:snapToGrid/>
          <w:szCs w:val="22"/>
        </w:rPr>
      </w:pPr>
      <w:r w:rsidRPr="00FE7C8C">
        <w:rPr>
          <w:snapToGrid/>
          <w:szCs w:val="22"/>
        </w:rPr>
        <w:t xml:space="preserve">Domestic Section 214 Application Filed for the Transfer of Control </w:t>
      </w:r>
      <w:r w:rsidRPr="00FE7C8C">
        <w:rPr>
          <w:bCs/>
          <w:snapToGrid/>
          <w:szCs w:val="22"/>
        </w:rPr>
        <w:t xml:space="preserve">of </w:t>
      </w:r>
    </w:p>
    <w:p w:rsidR="00780442" w:rsidRPr="00FE7C8C" w:rsidP="00FE7C8C">
      <w:pPr>
        <w:widowControl/>
        <w:autoSpaceDE w:val="0"/>
        <w:autoSpaceDN w:val="0"/>
        <w:adjustRightInd w:val="0"/>
        <w:spacing w:after="120"/>
        <w:ind w:left="1080" w:right="418"/>
        <w:rPr>
          <w:snapToGrid/>
          <w:kern w:val="0"/>
          <w:szCs w:val="22"/>
        </w:rPr>
      </w:pPr>
      <w:r w:rsidRPr="00FE7C8C">
        <w:rPr>
          <w:bCs/>
          <w:snapToGrid/>
          <w:kern w:val="0"/>
          <w:szCs w:val="22"/>
        </w:rPr>
        <w:t>Delta Communications L.L.C.</w:t>
      </w:r>
      <w:r w:rsidRPr="00FE7C8C">
        <w:rPr>
          <w:bCs/>
          <w:szCs w:val="22"/>
        </w:rPr>
        <w:t xml:space="preserve"> d/b/a Clearwave Communications </w:t>
      </w:r>
      <w:r w:rsidRPr="00FE7C8C" w:rsidR="00CD3B84">
        <w:rPr>
          <w:bCs/>
          <w:szCs w:val="22"/>
        </w:rPr>
        <w:t xml:space="preserve">(Clearwave) </w:t>
      </w:r>
      <w:r w:rsidRPr="00FE7C8C">
        <w:rPr>
          <w:bCs/>
          <w:szCs w:val="22"/>
        </w:rPr>
        <w:t>to Cable One, Inc</w:t>
      </w:r>
      <w:r w:rsidRPr="00FE7C8C">
        <w:rPr>
          <w:bCs/>
          <w:snapToGrid/>
          <w:kern w:val="0"/>
          <w:szCs w:val="22"/>
        </w:rPr>
        <w:t>.,</w:t>
      </w:r>
      <w:r w:rsidRPr="00FE7C8C">
        <w:rPr>
          <w:snapToGrid/>
          <w:kern w:val="0"/>
          <w:szCs w:val="22"/>
        </w:rPr>
        <w:t xml:space="preserve"> WC Docket No. 18-340, Public Noti</w:t>
      </w:r>
      <w:r w:rsidRPr="00FE7C8C">
        <w:rPr>
          <w:bCs/>
          <w:snapToGrid/>
          <w:kern w:val="0"/>
          <w:szCs w:val="22"/>
        </w:rPr>
        <w:t>ce, DA 18-1179</w:t>
      </w:r>
      <w:r w:rsidRPr="00FE7C8C" w:rsidR="00AC5B54">
        <w:rPr>
          <w:snapToGrid/>
          <w:kern w:val="0"/>
          <w:szCs w:val="22"/>
        </w:rPr>
        <w:t xml:space="preserve"> </w:t>
      </w:r>
      <w:r w:rsidRPr="00FE7C8C">
        <w:rPr>
          <w:snapToGrid/>
          <w:kern w:val="0"/>
          <w:szCs w:val="22"/>
        </w:rPr>
        <w:t>(WCB 2018).</w:t>
      </w:r>
      <w:r>
        <w:rPr>
          <w:rStyle w:val="FootnoteReference"/>
          <w:snapToGrid/>
          <w:kern w:val="0"/>
          <w:szCs w:val="22"/>
        </w:rPr>
        <w:footnoteReference w:id="5"/>
      </w:r>
    </w:p>
    <w:p w:rsidR="00780442" w:rsidRPr="00FE7C8C" w:rsidP="00FE7C8C">
      <w:pPr>
        <w:pStyle w:val="ParaNum"/>
        <w:numPr>
          <w:ilvl w:val="0"/>
          <w:numId w:val="0"/>
        </w:numPr>
        <w:rPr>
          <w:b/>
          <w:snapToGrid/>
          <w:szCs w:val="22"/>
          <w:lang w:eastAsia="ja-JP"/>
        </w:rPr>
      </w:pPr>
      <w:r w:rsidRPr="00FE7C8C">
        <w:rPr>
          <w:b/>
          <w:snapToGrid/>
          <w:szCs w:val="22"/>
          <w:lang w:eastAsia="ja-JP"/>
        </w:rPr>
        <w:t>Effective Grant Date: December 17, 2018</w:t>
      </w:r>
    </w:p>
    <w:p w:rsidR="00702FD4" w:rsidRPr="00FE7C8C" w:rsidP="00FE7C8C">
      <w:pPr>
        <w:pStyle w:val="ParaNum"/>
        <w:numPr>
          <w:ilvl w:val="0"/>
          <w:numId w:val="0"/>
        </w:numPr>
        <w:ind w:firstLine="720"/>
        <w:rPr>
          <w:snapToGrid/>
          <w:szCs w:val="22"/>
        </w:rPr>
      </w:pPr>
      <w:r w:rsidRPr="00FE7C8C">
        <w:rPr>
          <w:snapToGrid/>
          <w:szCs w:val="22"/>
        </w:rPr>
        <w:t xml:space="preserve">For further information, please contact </w:t>
      </w:r>
      <w:r w:rsidRPr="00FE7C8C" w:rsidR="0078196F">
        <w:rPr>
          <w:snapToGrid/>
          <w:szCs w:val="22"/>
        </w:rPr>
        <w:t>Tracey Wilson</w:t>
      </w:r>
      <w:r w:rsidRPr="00FE7C8C">
        <w:rPr>
          <w:snapToGrid/>
          <w:szCs w:val="22"/>
        </w:rPr>
        <w:t xml:space="preserve"> at (202) 418-1</w:t>
      </w:r>
      <w:r w:rsidRPr="00FE7C8C" w:rsidR="0078196F">
        <w:rPr>
          <w:snapToGrid/>
          <w:szCs w:val="22"/>
        </w:rPr>
        <w:t>394</w:t>
      </w:r>
      <w:r w:rsidRPr="00FE7C8C">
        <w:rPr>
          <w:snapToGrid/>
          <w:szCs w:val="22"/>
        </w:rPr>
        <w:t xml:space="preserve"> or</w:t>
      </w:r>
      <w:r w:rsidRPr="00FE7C8C" w:rsidR="007817B6">
        <w:rPr>
          <w:snapToGrid/>
          <w:szCs w:val="22"/>
        </w:rPr>
        <w:t xml:space="preserve"> Greg Kwan at (202) 418-1191</w:t>
      </w:r>
      <w:r w:rsidRPr="00FE7C8C">
        <w:rPr>
          <w:snapToGrid/>
          <w:szCs w:val="22"/>
        </w:rPr>
        <w:t>, Competition Policy Division, Wireline Competition Bureau.</w:t>
      </w:r>
    </w:p>
    <w:p w:rsidR="00702FD4" w:rsidRPr="00FE7C8C" w:rsidP="00FE7C8C">
      <w:pPr>
        <w:widowControl/>
        <w:suppressAutoHyphens/>
        <w:rPr>
          <w:snapToGrid/>
          <w:color w:val="000000"/>
          <w:kern w:val="0"/>
          <w:szCs w:val="22"/>
        </w:rPr>
      </w:pPr>
    </w:p>
    <w:p w:rsidR="00702FD4" w:rsidRPr="00FE7C8C" w:rsidP="00FE7C8C">
      <w:pPr>
        <w:widowControl/>
        <w:jc w:val="center"/>
        <w:rPr>
          <w:b/>
          <w:snapToGrid/>
          <w:color w:val="000000"/>
          <w:kern w:val="0"/>
          <w:szCs w:val="22"/>
        </w:rPr>
      </w:pPr>
      <w:r w:rsidRPr="00FE7C8C">
        <w:rPr>
          <w:b/>
          <w:snapToGrid/>
          <w:color w:val="000000"/>
          <w:kern w:val="0"/>
          <w:szCs w:val="22"/>
        </w:rPr>
        <w:t>-FCC-</w:t>
      </w:r>
    </w:p>
    <w:sectPr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2FD4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702FD4">
    <w:pPr>
      <w:pStyle w:val="Footer"/>
    </w:pPr>
  </w:p>
  <w:p w:rsidR="00702F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2FD4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702FD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2F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B2D7B">
      <w:r>
        <w:separator/>
      </w:r>
    </w:p>
  </w:footnote>
  <w:footnote w:type="continuationSeparator" w:id="1">
    <w:p w:rsidR="001B2D7B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1B2D7B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702FD4">
      <w:pPr>
        <w:pStyle w:val="FootnoteText"/>
        <w:rPr>
          <w:color w:val="000000"/>
        </w:rPr>
      </w:pPr>
      <w:r>
        <w:rPr>
          <w:rStyle w:val="FootnoteReference"/>
          <w:color w:val="000000"/>
        </w:rPr>
        <w:footnoteRef/>
      </w:r>
      <w:r>
        <w:rPr>
          <w:color w:val="000000"/>
        </w:rPr>
        <w:t xml:space="preserve"> </w:t>
      </w:r>
      <w:r>
        <w:rPr>
          <w:i/>
          <w:color w:val="000000"/>
        </w:rPr>
        <w:t>Implementation of Further Streamlining Measures for Domestic Section 214 Authorizations</w:t>
      </w:r>
      <w:r>
        <w:rPr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Cs/>
          <w:color w:val="000000"/>
        </w:rPr>
        <w:t xml:space="preserve">Report and Order, </w:t>
      </w:r>
      <w:r>
        <w:rPr>
          <w:color w:val="000000"/>
        </w:rPr>
        <w:t>17 FCC Rcd 5517, 5529, para. 22 (2002).</w:t>
      </w:r>
    </w:p>
  </w:footnote>
  <w:footnote w:id="4">
    <w:p w:rsidR="00702FD4">
      <w:pPr>
        <w:pStyle w:val="FootnoteText"/>
      </w:pPr>
      <w:r>
        <w:rPr>
          <w:rStyle w:val="FootnoteReference"/>
          <w:color w:val="000000"/>
        </w:rPr>
        <w:footnoteRef/>
      </w:r>
      <w:r>
        <w:rPr>
          <w:color w:val="000000"/>
        </w:rPr>
        <w:t xml:space="preserve"> </w:t>
      </w:r>
      <w:r>
        <w:rPr>
          <w:i/>
          <w:color w:val="000000"/>
        </w:rPr>
        <w:t>Id.</w:t>
      </w:r>
      <w:r>
        <w:rPr>
          <w:color w:val="000000"/>
        </w:rPr>
        <w:t>;</w:t>
      </w:r>
      <w:r>
        <w:rPr>
          <w:i/>
          <w:color w:val="000000"/>
        </w:rPr>
        <w:t xml:space="preserve"> see</w:t>
      </w:r>
      <w:r>
        <w:rPr>
          <w:color w:val="000000"/>
        </w:rPr>
        <w:t xml:space="preserve"> 47 CFR § 1.4 (Computation of time).</w:t>
      </w:r>
    </w:p>
  </w:footnote>
  <w:footnote w:id="5">
    <w:p w:rsidR="007B03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131BD">
        <w:t xml:space="preserve">On November </w:t>
      </w:r>
      <w:r>
        <w:t>15</w:t>
      </w:r>
      <w:r w:rsidRPr="00F131BD">
        <w:t>, 2018, the Bureau granted Applicants</w:t>
      </w:r>
      <w:r>
        <w:t>’</w:t>
      </w:r>
      <w:r w:rsidRPr="00F131BD">
        <w:t xml:space="preserve"> request for special temporary a</w:t>
      </w:r>
      <w:r>
        <w:t xml:space="preserve">uthority </w:t>
      </w:r>
      <w:r w:rsidR="00CD3B84">
        <w:t xml:space="preserve">to address </w:t>
      </w:r>
      <w:r w:rsidRPr="00F131BD" w:rsidR="00CD3B84">
        <w:t>an unauthorized transfer of contro</w:t>
      </w:r>
      <w:r w:rsidR="00CD3B84">
        <w:t>l that occurred in 2011</w:t>
      </w:r>
      <w:r w:rsidRPr="00F131BD" w:rsidR="00CD3B84">
        <w:t xml:space="preserve"> </w:t>
      </w:r>
      <w:r w:rsidR="00CD3B84">
        <w:t xml:space="preserve">when SCP Clearwave LLC acquired a 70.9 percent interest </w:t>
      </w:r>
      <w:r w:rsidRPr="00A57AAA" w:rsidR="00CD3B84">
        <w:t>in Clearwave</w:t>
      </w:r>
      <w:r w:rsidR="00CD3B84">
        <w:t xml:space="preserve"> without prior Commission approval.  </w:t>
      </w:r>
      <w:r w:rsidR="00CD3B84">
        <w:rPr>
          <w:i/>
        </w:rPr>
        <w:t xml:space="preserve">See </w:t>
      </w:r>
      <w:r w:rsidR="00CD3B84">
        <w:t xml:space="preserve">Request for Special Temporary Authority, </w:t>
      </w:r>
      <w:r w:rsidRPr="00F131BD" w:rsidR="00CD3B84">
        <w:t>WC Docket No. 18-3</w:t>
      </w:r>
      <w:r w:rsidR="00CD3B84">
        <w:t>40</w:t>
      </w:r>
      <w:r w:rsidRPr="00F131BD" w:rsidR="00CD3B84">
        <w:t xml:space="preserve"> (filed Nov</w:t>
      </w:r>
      <w:r w:rsidR="00CD3B84">
        <w:t>. 12</w:t>
      </w:r>
      <w:r w:rsidRPr="00F131BD" w:rsidR="00CD3B84">
        <w:t xml:space="preserve">, 2018).  </w:t>
      </w:r>
      <w:r w:rsidR="00CD3B84">
        <w:t xml:space="preserve">A grant of this domestic section 214 </w:t>
      </w:r>
      <w:r w:rsidRPr="00F131BD">
        <w:t xml:space="preserve">application </w:t>
      </w:r>
      <w:r w:rsidR="00CD3B84">
        <w:t>is</w:t>
      </w:r>
      <w:r w:rsidRPr="00F131BD">
        <w:t xml:space="preserve"> without prejudice to any enforcement action by the Commission for non-compliance with the </w:t>
      </w:r>
      <w:r w:rsidR="00CD3B84">
        <w:t xml:space="preserve">Communications </w:t>
      </w:r>
      <w:r w:rsidRPr="00F131BD">
        <w:t xml:space="preserve">Act </w:t>
      </w:r>
      <w:r w:rsidR="00CD3B84">
        <w:t xml:space="preserve">of 1934, as amended, </w:t>
      </w:r>
      <w:r w:rsidRPr="00F131BD">
        <w:t>or the Commission's rules.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2FD4" w:rsidP="00FE7C8C">
    <w:pPr>
      <w:pStyle w:val="Header"/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alt="fcc_logo" style="width:41.75pt;height:41.75pt;margin-top:10.75pt;margin-left:-51.25pt;position:absolute;visibility:visible;z-index:251661312" o:allowincell="f">
          <v:imagedata r:id="rId1" o:title="fcc_logo"/>
          <w10:wrap type="topAndBottom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702FD4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702FD4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702FD4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 w:rsidR="001C6D09">
      <w:t>PUBLIC NOTICE</w:t>
    </w:r>
  </w:p>
  <w:p w:rsidR="00702FD4" w:rsidP="00FE7C8C">
    <w:pPr>
      <w:pStyle w:val="Header"/>
      <w:ind w:firstLine="0"/>
    </w:pPr>
    <w:r>
      <w:rPr>
        <w:noProof/>
      </w:rPr>
      <w:pict>
        <v:line id="Line 4" o:spid="_x0000_s2051" style="mso-position-horizontal:right;mso-position-horizontal-relative:margin;position:absolute;visibility:visible;z-index:251659264" from="416.8pt,52.2pt" to="884.8pt,52.2pt" o:allowincell="f">
          <w10:wrap anchorx="margin"/>
        </v:line>
      </w:pict>
    </w:r>
    <w:r>
      <w:rPr>
        <w:noProof/>
      </w:rPr>
      <w:pict>
        <v:shape id="Text Box 5" o:spid="_x0000_s2052" type="#_x0000_t202" style="width:207.95pt;height:35.25pt;margin-top:14.05pt;margin-left:263.25pt;position:absolute;visibility:visible;z-index:251660288" o:allowincell="f" stroked="f">
          <v:textbox inset=",0,,0">
            <w:txbxContent>
              <w:p w:rsidR="00702FD4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702FD4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3" w:name="_Hlt233824"/>
                <w:hyperlink r:id="rId2" w:history="1">
                  <w:r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3"/>
                  <w:r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702FD4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2F"/>
    <w:rsid w:val="00026D8D"/>
    <w:rsid w:val="00030B65"/>
    <w:rsid w:val="00035786"/>
    <w:rsid w:val="00060A2F"/>
    <w:rsid w:val="00083B6F"/>
    <w:rsid w:val="000950CC"/>
    <w:rsid w:val="000D0A79"/>
    <w:rsid w:val="001B2D7B"/>
    <w:rsid w:val="001C6D09"/>
    <w:rsid w:val="001E11D2"/>
    <w:rsid w:val="002C4D25"/>
    <w:rsid w:val="003324B1"/>
    <w:rsid w:val="003A454F"/>
    <w:rsid w:val="003B7E3C"/>
    <w:rsid w:val="00472254"/>
    <w:rsid w:val="004B2871"/>
    <w:rsid w:val="00532F9E"/>
    <w:rsid w:val="005F07C0"/>
    <w:rsid w:val="00655983"/>
    <w:rsid w:val="00702FD4"/>
    <w:rsid w:val="007245F0"/>
    <w:rsid w:val="007429D4"/>
    <w:rsid w:val="0077718C"/>
    <w:rsid w:val="007803C9"/>
    <w:rsid w:val="00780442"/>
    <w:rsid w:val="007817B6"/>
    <w:rsid w:val="0078196F"/>
    <w:rsid w:val="007B0331"/>
    <w:rsid w:val="008116A7"/>
    <w:rsid w:val="00845D04"/>
    <w:rsid w:val="00857782"/>
    <w:rsid w:val="00893A04"/>
    <w:rsid w:val="009224A6"/>
    <w:rsid w:val="00926F79"/>
    <w:rsid w:val="00965EB5"/>
    <w:rsid w:val="00A57AAA"/>
    <w:rsid w:val="00AA2071"/>
    <w:rsid w:val="00AC5B54"/>
    <w:rsid w:val="00AD0F2F"/>
    <w:rsid w:val="00AF1918"/>
    <w:rsid w:val="00B23AF1"/>
    <w:rsid w:val="00BB2738"/>
    <w:rsid w:val="00BB7579"/>
    <w:rsid w:val="00CD313B"/>
    <w:rsid w:val="00CD3B84"/>
    <w:rsid w:val="00D32528"/>
    <w:rsid w:val="00D45135"/>
    <w:rsid w:val="00D70D90"/>
    <w:rsid w:val="00D72918"/>
    <w:rsid w:val="00DD1532"/>
    <w:rsid w:val="00E558E9"/>
    <w:rsid w:val="00ED70D1"/>
    <w:rsid w:val="00F131BD"/>
    <w:rsid w:val="00F65363"/>
    <w:rsid w:val="00FB1DC8"/>
    <w:rsid w:val="00FD37DC"/>
    <w:rsid w:val="00FE7C8C"/>
    <w:rsid w:val="00FF36B5"/>
    <w:rsid w:val="00FF7E1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3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DD1532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DD1532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DD1532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DD1532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DD1532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DD1532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DD1532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DD1532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DD1532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DD15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D1532"/>
  </w:style>
  <w:style w:type="paragraph" w:customStyle="1" w:styleId="ParaNum">
    <w:name w:val="ParaNum"/>
    <w:basedOn w:val="Normal"/>
    <w:rsid w:val="00DD1532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DD1532"/>
    <w:rPr>
      <w:sz w:val="20"/>
    </w:rPr>
  </w:style>
  <w:style w:type="character" w:styleId="EndnoteReference">
    <w:name w:val="endnote reference"/>
    <w:semiHidden/>
    <w:rsid w:val="00DD1532"/>
    <w:rPr>
      <w:vertAlign w:val="superscript"/>
    </w:rPr>
  </w:style>
  <w:style w:type="paragraph" w:styleId="FootnoteText">
    <w:name w:val="footnote text"/>
    <w:rsid w:val="00DD1532"/>
    <w:pPr>
      <w:spacing w:after="120"/>
    </w:pPr>
  </w:style>
  <w:style w:type="character" w:styleId="FootnoteReference">
    <w:name w:val="footnote reference"/>
    <w:rsid w:val="00DD1532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DD1532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DD1532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DD1532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DD1532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DD1532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DD1532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DD1532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DD1532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DD1532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DD1532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DD1532"/>
  </w:style>
  <w:style w:type="paragraph" w:styleId="Header">
    <w:name w:val="header"/>
    <w:basedOn w:val="Normal"/>
    <w:autoRedefine/>
    <w:rsid w:val="00DD153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DD15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532"/>
  </w:style>
  <w:style w:type="paragraph" w:styleId="BlockText">
    <w:name w:val="Block Text"/>
    <w:basedOn w:val="Normal"/>
    <w:rsid w:val="00DD1532"/>
    <w:pPr>
      <w:spacing w:after="240"/>
      <w:ind w:left="1440" w:right="1440"/>
    </w:pPr>
  </w:style>
  <w:style w:type="paragraph" w:customStyle="1" w:styleId="Paratitle">
    <w:name w:val="Para title"/>
    <w:basedOn w:val="Normal"/>
    <w:rsid w:val="00DD1532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DD1532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DD1532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DD1532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DD1532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DD1532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DD153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/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