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BD40AD" w14:paraId="6581CBC3" w14:textId="2B884F80">
      <w:pPr>
        <w:jc w:val="right"/>
        <w:rPr>
          <w:szCs w:val="22"/>
        </w:rPr>
      </w:pPr>
      <w:bookmarkStart w:id="0" w:name="_GoBack"/>
      <w:bookmarkEnd w:id="0"/>
      <w:r>
        <w:rPr>
          <w:szCs w:val="22"/>
        </w:rPr>
        <w:t>DA 18-127</w:t>
      </w:r>
    </w:p>
    <w:p w:rsidR="00602577" w:rsidRPr="00BD40AD" w14:paraId="3F72E828" w14:textId="158C2CDD">
      <w:pPr>
        <w:spacing w:before="60"/>
        <w:jc w:val="right"/>
        <w:rPr>
          <w:szCs w:val="22"/>
        </w:rPr>
      </w:pPr>
      <w:r w:rsidRPr="00BD40AD">
        <w:rPr>
          <w:szCs w:val="22"/>
        </w:rPr>
        <w:t>February 8, 2018</w:t>
      </w:r>
    </w:p>
    <w:p w:rsidR="00C84B2E" w:rsidRPr="00BD40AD" w14:paraId="7773F151" w14:textId="77777777">
      <w:pPr>
        <w:spacing w:before="60"/>
        <w:jc w:val="right"/>
        <w:rPr>
          <w:szCs w:val="22"/>
        </w:rPr>
      </w:pPr>
    </w:p>
    <w:p w:rsidR="001352DB" w:rsidRPr="00BD40AD" w:rsidP="005B2D54" w14:paraId="36412B16" w14:textId="32BC2085">
      <w:pPr>
        <w:jc w:val="center"/>
        <w:rPr>
          <w:rFonts w:eastAsiaTheme="minorHAnsi"/>
          <w:b/>
          <w:szCs w:val="22"/>
        </w:rPr>
      </w:pPr>
      <w:r w:rsidRPr="00BD40AD">
        <w:rPr>
          <w:rFonts w:eastAsiaTheme="minorHAnsi"/>
          <w:b/>
          <w:szCs w:val="22"/>
        </w:rPr>
        <w:t xml:space="preserve">FCC </w:t>
      </w:r>
      <w:r w:rsidRPr="00BD40AD" w:rsidR="00C84B2E">
        <w:rPr>
          <w:rFonts w:eastAsiaTheme="minorHAnsi"/>
          <w:b/>
          <w:szCs w:val="22"/>
        </w:rPr>
        <w:t>SEEKS NOMINATIONS FOR TRIBAL GOVERNMENT REPRESEN</w:t>
      </w:r>
      <w:r w:rsidRPr="00BD40AD" w:rsidR="004F42D8">
        <w:rPr>
          <w:rFonts w:eastAsiaTheme="minorHAnsi"/>
          <w:b/>
          <w:szCs w:val="22"/>
        </w:rPr>
        <w:t>TATIVES TO SERVE ON RE</w:t>
      </w:r>
      <w:r w:rsidRPr="00BD40AD" w:rsidR="006370F2">
        <w:rPr>
          <w:rFonts w:eastAsiaTheme="minorHAnsi"/>
          <w:b/>
          <w:szCs w:val="22"/>
        </w:rPr>
        <w:t>NE</w:t>
      </w:r>
      <w:r w:rsidRPr="00BD40AD" w:rsidR="001B6CEB">
        <w:rPr>
          <w:rFonts w:eastAsiaTheme="minorHAnsi"/>
          <w:b/>
          <w:szCs w:val="22"/>
        </w:rPr>
        <w:t>WE</w:t>
      </w:r>
      <w:r w:rsidRPr="00BD40AD" w:rsidR="006370F2">
        <w:rPr>
          <w:rFonts w:eastAsiaTheme="minorHAnsi"/>
          <w:b/>
          <w:szCs w:val="22"/>
        </w:rPr>
        <w:t>D</w:t>
      </w:r>
      <w:r w:rsidRPr="00BD40AD" w:rsidR="004F42D8">
        <w:rPr>
          <w:rFonts w:eastAsiaTheme="minorHAnsi"/>
          <w:b/>
          <w:szCs w:val="22"/>
        </w:rPr>
        <w:t xml:space="preserve"> FCC </w:t>
      </w:r>
      <w:r w:rsidRPr="00BD40AD">
        <w:rPr>
          <w:rFonts w:eastAsiaTheme="minorHAnsi"/>
          <w:b/>
          <w:szCs w:val="22"/>
        </w:rPr>
        <w:t>NATIVE NATIONS</w:t>
      </w:r>
      <w:r w:rsidRPr="00BD40AD" w:rsidR="00C84B2E">
        <w:rPr>
          <w:rFonts w:eastAsiaTheme="minorHAnsi"/>
          <w:b/>
          <w:szCs w:val="22"/>
        </w:rPr>
        <w:t xml:space="preserve"> </w:t>
      </w:r>
      <w:r w:rsidRPr="00BD40AD" w:rsidR="009C6FE0">
        <w:rPr>
          <w:rFonts w:eastAsiaTheme="minorHAnsi"/>
          <w:b/>
          <w:szCs w:val="22"/>
        </w:rPr>
        <w:t xml:space="preserve">COMMUNICATIONS </w:t>
      </w:r>
      <w:r w:rsidRPr="00BD40AD">
        <w:rPr>
          <w:rFonts w:eastAsiaTheme="minorHAnsi"/>
          <w:b/>
          <w:szCs w:val="22"/>
        </w:rPr>
        <w:t xml:space="preserve">TASK FORCE </w:t>
      </w:r>
    </w:p>
    <w:p w:rsidR="001352DB" w:rsidRPr="00BD40AD" w:rsidP="001352DB" w14:paraId="7D1EBBB0" w14:textId="77777777">
      <w:pPr>
        <w:jc w:val="center"/>
        <w:rPr>
          <w:rFonts w:eastAsiaTheme="minorHAnsi"/>
          <w:szCs w:val="22"/>
        </w:rPr>
      </w:pPr>
    </w:p>
    <w:p w:rsidR="0025161E" w:rsidRPr="00BD40AD" w:rsidP="00831D86" w14:paraId="4C758D69" w14:textId="6136094D">
      <w:pPr>
        <w:pStyle w:val="FootnoteText"/>
        <w:spacing w:after="0"/>
        <w:rPr>
          <w:rFonts w:eastAsiaTheme="minorHAnsi"/>
          <w:szCs w:val="22"/>
        </w:rPr>
      </w:pPr>
      <w:r w:rsidRPr="00BD40AD">
        <w:rPr>
          <w:rFonts w:eastAsiaTheme="minorHAnsi"/>
          <w:szCs w:val="22"/>
        </w:rPr>
        <w:tab/>
      </w:r>
      <w:r w:rsidRPr="00BD40AD" w:rsidR="001352DB">
        <w:rPr>
          <w:rFonts w:eastAsiaTheme="minorHAnsi"/>
          <w:szCs w:val="22"/>
        </w:rPr>
        <w:t>The Federal Communications Commission (</w:t>
      </w:r>
      <w:r w:rsidRPr="00BD40AD">
        <w:rPr>
          <w:rFonts w:eastAsiaTheme="minorHAnsi"/>
          <w:szCs w:val="22"/>
        </w:rPr>
        <w:t>“</w:t>
      </w:r>
      <w:r w:rsidRPr="00BD40AD" w:rsidR="00863716">
        <w:rPr>
          <w:rFonts w:eastAsiaTheme="minorHAnsi"/>
          <w:szCs w:val="22"/>
        </w:rPr>
        <w:t>Commission</w:t>
      </w:r>
      <w:r w:rsidRPr="00BD40AD">
        <w:rPr>
          <w:rFonts w:eastAsiaTheme="minorHAnsi"/>
          <w:szCs w:val="22"/>
        </w:rPr>
        <w:t>”</w:t>
      </w:r>
      <w:r w:rsidRPr="00BD40AD" w:rsidR="00863716">
        <w:rPr>
          <w:rFonts w:eastAsiaTheme="minorHAnsi"/>
          <w:szCs w:val="22"/>
        </w:rPr>
        <w:t xml:space="preserve">) </w:t>
      </w:r>
      <w:r w:rsidRPr="00BD40AD">
        <w:rPr>
          <w:rFonts w:eastAsiaTheme="minorHAnsi"/>
          <w:szCs w:val="22"/>
        </w:rPr>
        <w:t>has long recognized that it shares a unique trust relationship with Tribal Nations.</w:t>
      </w:r>
      <w:r>
        <w:rPr>
          <w:rStyle w:val="FootnoteReference"/>
          <w:rFonts w:eastAsiaTheme="minorHAnsi"/>
          <w:szCs w:val="22"/>
        </w:rPr>
        <w:footnoteReference w:id="2"/>
      </w:r>
      <w:r w:rsidRPr="00BD40AD">
        <w:rPr>
          <w:rFonts w:eastAsiaTheme="minorHAnsi"/>
          <w:szCs w:val="22"/>
        </w:rPr>
        <w:t xml:space="preserve">  </w:t>
      </w:r>
      <w:r w:rsidRPr="00BD40AD">
        <w:rPr>
          <w:rFonts w:eastAsiaTheme="minorHAnsi"/>
          <w:szCs w:val="22"/>
        </w:rPr>
        <w:t>This unique government-to-government relationship guides the Commission in its dealings with Tribal Nations and in the Commission’s efforts to promote Tribal self-sufficiency, economic development and access to communications facilities and services.  As part of these undertakings and to ensure that the concerns of Tribal governments are considered in relevant Commission proceedings, the Commission created the FCC-Native Nations Broadband Task Force (</w:t>
      </w:r>
      <w:r w:rsidRPr="00BD40AD" w:rsidR="00FA5C98">
        <w:rPr>
          <w:rFonts w:eastAsiaTheme="minorHAnsi"/>
          <w:szCs w:val="22"/>
        </w:rPr>
        <w:t>“</w:t>
      </w:r>
      <w:r w:rsidRPr="00BD40AD" w:rsidR="004F42D8">
        <w:rPr>
          <w:rFonts w:eastAsiaTheme="minorHAnsi"/>
          <w:szCs w:val="22"/>
        </w:rPr>
        <w:t>Task Force</w:t>
      </w:r>
      <w:r w:rsidRPr="00BD40AD" w:rsidR="00FA5C98">
        <w:rPr>
          <w:rFonts w:eastAsiaTheme="minorHAnsi"/>
          <w:szCs w:val="22"/>
        </w:rPr>
        <w:t>”</w:t>
      </w:r>
      <w:r w:rsidRPr="00BD40AD">
        <w:rPr>
          <w:rFonts w:eastAsiaTheme="minorHAnsi"/>
          <w:szCs w:val="22"/>
        </w:rPr>
        <w:t>).</w:t>
      </w:r>
      <w:r>
        <w:rPr>
          <w:rStyle w:val="FootnoteReference"/>
          <w:rFonts w:eastAsiaTheme="minorHAnsi"/>
          <w:szCs w:val="22"/>
        </w:rPr>
        <w:footnoteReference w:id="3"/>
      </w:r>
    </w:p>
    <w:p w:rsidR="0025161E" w:rsidRPr="00BD40AD" w:rsidP="00831D86" w14:paraId="0062F039" w14:textId="0BF70C27">
      <w:pPr>
        <w:pStyle w:val="FootnoteText"/>
        <w:spacing w:after="0"/>
        <w:rPr>
          <w:rFonts w:eastAsiaTheme="minorHAnsi"/>
          <w:szCs w:val="22"/>
        </w:rPr>
      </w:pPr>
    </w:p>
    <w:p w:rsidR="005B2D54" w:rsidRPr="00BD40AD" w:rsidP="00FA5C98" w14:paraId="3D59235D" w14:textId="34AC40B3">
      <w:pPr>
        <w:pStyle w:val="FootnoteText"/>
        <w:spacing w:after="0"/>
        <w:rPr>
          <w:szCs w:val="22"/>
        </w:rPr>
      </w:pPr>
      <w:r w:rsidRPr="00BD40AD">
        <w:rPr>
          <w:rFonts w:eastAsiaTheme="minorEastAsia"/>
          <w:color w:val="000000"/>
          <w:szCs w:val="22"/>
        </w:rPr>
        <w:tab/>
      </w:r>
      <w:r w:rsidRPr="00BD40AD">
        <w:rPr>
          <w:rFonts w:eastAsiaTheme="minorEastAsia"/>
          <w:color w:val="000000"/>
          <w:szCs w:val="22"/>
        </w:rPr>
        <w:t xml:space="preserve">Since its </w:t>
      </w:r>
      <w:r w:rsidRPr="00BD40AD" w:rsidR="00337DA4">
        <w:rPr>
          <w:rFonts w:eastAsiaTheme="minorEastAsia"/>
          <w:color w:val="000000"/>
          <w:szCs w:val="22"/>
        </w:rPr>
        <w:t xml:space="preserve">establishment </w:t>
      </w:r>
      <w:r w:rsidRPr="00BD40AD">
        <w:rPr>
          <w:rFonts w:eastAsiaTheme="minorEastAsia"/>
          <w:color w:val="000000"/>
          <w:szCs w:val="22"/>
        </w:rPr>
        <w:t xml:space="preserve">in March 2011, the </w:t>
      </w:r>
      <w:r w:rsidRPr="00BD40AD" w:rsidR="004F42D8">
        <w:rPr>
          <w:rFonts w:eastAsiaTheme="minorEastAsia"/>
          <w:color w:val="000000"/>
          <w:szCs w:val="22"/>
        </w:rPr>
        <w:t>Task Force</w:t>
      </w:r>
      <w:r w:rsidRPr="00BD40AD">
        <w:rPr>
          <w:rFonts w:eastAsiaTheme="minorEastAsia"/>
          <w:color w:val="000000"/>
          <w:szCs w:val="22"/>
        </w:rPr>
        <w:t xml:space="preserve"> </w:t>
      </w:r>
      <w:r w:rsidRPr="00BD40AD">
        <w:rPr>
          <w:rFonts w:eastAsiaTheme="minorEastAsia"/>
          <w:color w:val="000000"/>
          <w:szCs w:val="22"/>
        </w:rPr>
        <w:t>has been composed of senior Commission staff and elected or appointed leaders from federally recognized Tribal governments or governmental entities, or their designated employees</w:t>
      </w:r>
      <w:r w:rsidRPr="00BD40AD">
        <w:rPr>
          <w:rFonts w:eastAsiaTheme="minorEastAsia"/>
          <w:color w:val="000000"/>
          <w:szCs w:val="22"/>
        </w:rPr>
        <w:t>,</w:t>
      </w:r>
      <w:r w:rsidRPr="00BD40AD">
        <w:rPr>
          <w:rFonts w:eastAsiaTheme="minorEastAsia"/>
          <w:color w:val="000000"/>
          <w:szCs w:val="22"/>
        </w:rPr>
        <w:t xml:space="preserve"> and has helped the Commission fulfill its commitment to increasing broadband deployment and adoption on Tribal lands.</w:t>
      </w:r>
      <w:r>
        <w:rPr>
          <w:rStyle w:val="FootnoteReference"/>
          <w:rFonts w:eastAsiaTheme="minorEastAsia"/>
          <w:color w:val="000000"/>
          <w:szCs w:val="22"/>
        </w:rPr>
        <w:footnoteReference w:id="4"/>
      </w:r>
      <w:r w:rsidRPr="00BD40AD">
        <w:rPr>
          <w:rFonts w:eastAsiaTheme="minorEastAsia"/>
          <w:color w:val="000000"/>
          <w:szCs w:val="22"/>
        </w:rPr>
        <w:t xml:space="preserve">  In view of the </w:t>
      </w:r>
      <w:r w:rsidRPr="00BD40AD" w:rsidR="004F42D8">
        <w:rPr>
          <w:rFonts w:eastAsiaTheme="minorEastAsia"/>
          <w:color w:val="000000"/>
          <w:szCs w:val="22"/>
        </w:rPr>
        <w:t>Task Force</w:t>
      </w:r>
      <w:r w:rsidRPr="00BD40AD">
        <w:rPr>
          <w:rFonts w:eastAsiaTheme="minorEastAsia"/>
          <w:color w:val="000000"/>
          <w:szCs w:val="22"/>
        </w:rPr>
        <w:t xml:space="preserve">’s </w:t>
      </w:r>
      <w:r w:rsidRPr="00BD40AD">
        <w:rPr>
          <w:szCs w:val="22"/>
        </w:rPr>
        <w:t>increasing involve</w:t>
      </w:r>
      <w:r w:rsidRPr="00BD40AD">
        <w:rPr>
          <w:szCs w:val="22"/>
        </w:rPr>
        <w:t>ment</w:t>
      </w:r>
      <w:r w:rsidRPr="00BD40AD">
        <w:rPr>
          <w:szCs w:val="22"/>
        </w:rPr>
        <w:t xml:space="preserve"> in a range of </w:t>
      </w:r>
      <w:r w:rsidRPr="00BD40AD">
        <w:rPr>
          <w:szCs w:val="22"/>
        </w:rPr>
        <w:t xml:space="preserve">Commission </w:t>
      </w:r>
      <w:r w:rsidRPr="00BD40AD">
        <w:rPr>
          <w:szCs w:val="22"/>
        </w:rPr>
        <w:t xml:space="preserve">matters </w:t>
      </w:r>
      <w:r w:rsidRPr="00BD40AD">
        <w:rPr>
          <w:szCs w:val="22"/>
        </w:rPr>
        <w:t xml:space="preserve">and undertakings going </w:t>
      </w:r>
      <w:r w:rsidRPr="00BD40AD">
        <w:rPr>
          <w:szCs w:val="22"/>
        </w:rPr>
        <w:t>beyond broadband</w:t>
      </w:r>
      <w:r w:rsidRPr="00BD40AD">
        <w:rPr>
          <w:szCs w:val="22"/>
        </w:rPr>
        <w:t xml:space="preserve"> deployment and adoption</w:t>
      </w:r>
      <w:r w:rsidRPr="00BD40AD">
        <w:rPr>
          <w:szCs w:val="22"/>
        </w:rPr>
        <w:t xml:space="preserve">, </w:t>
      </w:r>
      <w:r w:rsidRPr="00BD40AD" w:rsidR="00EE51E2">
        <w:rPr>
          <w:szCs w:val="22"/>
        </w:rPr>
        <w:t xml:space="preserve">today </w:t>
      </w:r>
      <w:r w:rsidRPr="00BD40AD">
        <w:rPr>
          <w:szCs w:val="22"/>
        </w:rPr>
        <w:t xml:space="preserve">the Commission, through </w:t>
      </w:r>
      <w:r w:rsidRPr="00BD40AD">
        <w:rPr>
          <w:szCs w:val="22"/>
        </w:rPr>
        <w:t xml:space="preserve">its </w:t>
      </w:r>
      <w:r w:rsidRPr="00BD40AD">
        <w:rPr>
          <w:szCs w:val="22"/>
        </w:rPr>
        <w:t>Office of Native Affairs and Policy (“ONAP”), finds it approp</w:t>
      </w:r>
      <w:r w:rsidRPr="00BD40AD">
        <w:rPr>
          <w:szCs w:val="22"/>
        </w:rPr>
        <w:t>riate to re</w:t>
      </w:r>
      <w:r w:rsidRPr="00BD40AD" w:rsidR="006370F2">
        <w:rPr>
          <w:szCs w:val="22"/>
        </w:rPr>
        <w:t>new</w:t>
      </w:r>
      <w:r w:rsidRPr="00BD40AD" w:rsidR="004F42D8">
        <w:rPr>
          <w:szCs w:val="22"/>
        </w:rPr>
        <w:t xml:space="preserve"> the Task Force as the “FCC </w:t>
      </w:r>
      <w:r w:rsidRPr="00BD40AD">
        <w:rPr>
          <w:szCs w:val="22"/>
        </w:rPr>
        <w:t xml:space="preserve">Native Nations </w:t>
      </w:r>
      <w:r w:rsidRPr="00BD40AD" w:rsidR="00F241BF">
        <w:rPr>
          <w:szCs w:val="22"/>
        </w:rPr>
        <w:t>C</w:t>
      </w:r>
      <w:r w:rsidRPr="00BD40AD">
        <w:rPr>
          <w:szCs w:val="22"/>
        </w:rPr>
        <w:t>ommunications Task Fo</w:t>
      </w:r>
      <w:r w:rsidRPr="00BD40AD" w:rsidR="004F42D8">
        <w:rPr>
          <w:szCs w:val="22"/>
        </w:rPr>
        <w:t>rce”</w:t>
      </w:r>
      <w:r w:rsidRPr="00BD40AD" w:rsidR="00EE51E2">
        <w:rPr>
          <w:szCs w:val="22"/>
        </w:rPr>
        <w:t xml:space="preserve"> and seek</w:t>
      </w:r>
      <w:r w:rsidRPr="00BD40AD" w:rsidR="00C362AC">
        <w:rPr>
          <w:szCs w:val="22"/>
        </w:rPr>
        <w:t>s applications for membership on the Task Force.</w:t>
      </w:r>
    </w:p>
    <w:p w:rsidR="004F42D8" w:rsidRPr="00BD40AD" w:rsidP="00FA5C98" w14:paraId="0242922D" w14:textId="77777777">
      <w:pPr>
        <w:pStyle w:val="FootnoteText"/>
        <w:spacing w:after="0"/>
        <w:rPr>
          <w:szCs w:val="22"/>
        </w:rPr>
      </w:pPr>
    </w:p>
    <w:p w:rsidR="00D50EA8" w:rsidRPr="00BD40AD" w:rsidP="000C28EE" w14:paraId="677992A7" w14:textId="4A6C0F9C">
      <w:pPr>
        <w:ind w:firstLine="720"/>
        <w:rPr>
          <w:rFonts w:eastAsiaTheme="minorHAnsi"/>
          <w:szCs w:val="22"/>
        </w:rPr>
      </w:pPr>
      <w:r w:rsidRPr="00BD40AD">
        <w:rPr>
          <w:rFonts w:eastAsiaTheme="minorHAnsi"/>
          <w:szCs w:val="22"/>
        </w:rPr>
        <w:t>The</w:t>
      </w:r>
      <w:r w:rsidRPr="00BD40AD" w:rsidR="006370F2">
        <w:rPr>
          <w:rFonts w:eastAsiaTheme="minorHAnsi"/>
          <w:szCs w:val="22"/>
        </w:rPr>
        <w:t xml:space="preserve"> renewed</w:t>
      </w:r>
      <w:r w:rsidRPr="00BD40AD" w:rsidR="00337DA4">
        <w:rPr>
          <w:rFonts w:eastAsiaTheme="minorHAnsi"/>
          <w:szCs w:val="22"/>
        </w:rPr>
        <w:t xml:space="preserve"> </w:t>
      </w:r>
      <w:r w:rsidRPr="00BD40AD" w:rsidR="00EA13FA">
        <w:rPr>
          <w:rFonts w:eastAsiaTheme="minorHAnsi"/>
          <w:szCs w:val="22"/>
        </w:rPr>
        <w:t>Task Force</w:t>
      </w:r>
      <w:r w:rsidRPr="00BD40AD">
        <w:rPr>
          <w:rFonts w:eastAsiaTheme="minorHAnsi"/>
          <w:szCs w:val="22"/>
        </w:rPr>
        <w:t xml:space="preserve">’s mission will be to make recommendations to the Commission on </w:t>
      </w:r>
      <w:r w:rsidRPr="00BD40AD" w:rsidR="00FA5C98">
        <w:rPr>
          <w:rFonts w:eastAsiaTheme="minorHAnsi"/>
          <w:szCs w:val="22"/>
        </w:rPr>
        <w:t xml:space="preserve">communications-related </w:t>
      </w:r>
      <w:r w:rsidRPr="00BD40AD">
        <w:rPr>
          <w:rFonts w:eastAsiaTheme="minorHAnsi"/>
          <w:szCs w:val="22"/>
        </w:rPr>
        <w:t xml:space="preserve">issues that affect </w:t>
      </w:r>
      <w:r w:rsidRPr="00BD40AD" w:rsidR="00B9462B">
        <w:rPr>
          <w:rFonts w:eastAsiaTheme="minorHAnsi"/>
          <w:szCs w:val="22"/>
        </w:rPr>
        <w:t xml:space="preserve">Tribal </w:t>
      </w:r>
      <w:r w:rsidRPr="00BD40AD" w:rsidR="009B4B8F">
        <w:rPr>
          <w:rFonts w:eastAsiaTheme="minorHAnsi"/>
          <w:szCs w:val="22"/>
        </w:rPr>
        <w:t>interests</w:t>
      </w:r>
      <w:r w:rsidRPr="00BD40AD" w:rsidR="00B9462B">
        <w:rPr>
          <w:rFonts w:eastAsiaTheme="minorHAnsi"/>
          <w:szCs w:val="22"/>
        </w:rPr>
        <w:t xml:space="preserve">. </w:t>
      </w:r>
      <w:r w:rsidRPr="00BD40AD" w:rsidR="009C2429">
        <w:rPr>
          <w:rFonts w:eastAsiaTheme="minorHAnsi"/>
          <w:szCs w:val="22"/>
        </w:rPr>
        <w:t xml:space="preserve"> </w:t>
      </w:r>
      <w:r w:rsidRPr="00BD40AD">
        <w:rPr>
          <w:rFonts w:eastAsiaTheme="minorHAnsi"/>
          <w:szCs w:val="22"/>
        </w:rPr>
        <w:t xml:space="preserve">The </w:t>
      </w:r>
      <w:r w:rsidRPr="00BD40AD" w:rsidR="00EA13FA">
        <w:rPr>
          <w:rFonts w:eastAsiaTheme="minorHAnsi"/>
          <w:szCs w:val="22"/>
        </w:rPr>
        <w:t>Task Force</w:t>
      </w:r>
      <w:r w:rsidRPr="00BD40AD">
        <w:rPr>
          <w:rFonts w:eastAsiaTheme="minorHAnsi"/>
          <w:szCs w:val="22"/>
        </w:rPr>
        <w:t xml:space="preserve"> is intended to provide an effective means for Tribal thought leaders to exchange ideas and develop recommendations to the </w:t>
      </w:r>
      <w:r w:rsidRPr="00BD40AD">
        <w:rPr>
          <w:rFonts w:eastAsiaTheme="minorHAnsi"/>
          <w:szCs w:val="22"/>
        </w:rPr>
        <w:t>Commission on, among other</w:t>
      </w:r>
      <w:r w:rsidRPr="00BD40AD" w:rsidR="00B9462B">
        <w:rPr>
          <w:rFonts w:eastAsiaTheme="minorHAnsi"/>
          <w:szCs w:val="22"/>
        </w:rPr>
        <w:t xml:space="preserve"> things</w:t>
      </w:r>
      <w:r w:rsidRPr="00BD40AD">
        <w:rPr>
          <w:rFonts w:eastAsiaTheme="minorHAnsi"/>
          <w:szCs w:val="22"/>
        </w:rPr>
        <w:t xml:space="preserve">, </w:t>
      </w:r>
      <w:r w:rsidRPr="00BD40AD" w:rsidR="00FF2BAB">
        <w:rPr>
          <w:rFonts w:eastAsiaTheme="minorHAnsi"/>
          <w:szCs w:val="22"/>
        </w:rPr>
        <w:t xml:space="preserve">the availability of </w:t>
      </w:r>
      <w:r w:rsidRPr="00BD40AD" w:rsidR="00FA5C98">
        <w:rPr>
          <w:rFonts w:eastAsiaTheme="minorHAnsi"/>
          <w:szCs w:val="22"/>
        </w:rPr>
        <w:t>communications facilities and services</w:t>
      </w:r>
      <w:r w:rsidRPr="00BD40AD" w:rsidR="000C28EE">
        <w:rPr>
          <w:rFonts w:eastAsiaTheme="minorHAnsi"/>
          <w:szCs w:val="22"/>
        </w:rPr>
        <w:t xml:space="preserve"> – </w:t>
      </w:r>
      <w:r w:rsidRPr="00BD40AD" w:rsidR="00FA5C98">
        <w:rPr>
          <w:rFonts w:eastAsiaTheme="minorHAnsi"/>
          <w:szCs w:val="22"/>
        </w:rPr>
        <w:t>including</w:t>
      </w:r>
      <w:r w:rsidRPr="00BD40AD" w:rsidR="00FF2BAB">
        <w:rPr>
          <w:rFonts w:eastAsiaTheme="minorHAnsi"/>
          <w:szCs w:val="22"/>
        </w:rPr>
        <w:t>,</w:t>
      </w:r>
      <w:r w:rsidRPr="00BD40AD" w:rsidR="00FA5C98">
        <w:rPr>
          <w:rFonts w:eastAsiaTheme="minorHAnsi"/>
          <w:szCs w:val="22"/>
        </w:rPr>
        <w:t xml:space="preserve"> </w:t>
      </w:r>
      <w:r w:rsidRPr="00BD40AD" w:rsidR="00FF2BAB">
        <w:rPr>
          <w:rFonts w:eastAsiaTheme="minorHAnsi"/>
          <w:szCs w:val="22"/>
        </w:rPr>
        <w:t xml:space="preserve">but not limited to </w:t>
      </w:r>
      <w:r w:rsidRPr="00BD40AD" w:rsidR="00BC1405">
        <w:rPr>
          <w:rFonts w:eastAsiaTheme="minorHAnsi"/>
          <w:szCs w:val="22"/>
        </w:rPr>
        <w:t>broadband</w:t>
      </w:r>
      <w:r w:rsidRPr="00BD40AD" w:rsidR="000C28EE">
        <w:rPr>
          <w:rFonts w:eastAsiaTheme="minorHAnsi"/>
          <w:szCs w:val="22"/>
        </w:rPr>
        <w:t xml:space="preserve"> – </w:t>
      </w:r>
      <w:r w:rsidRPr="00BD40AD">
        <w:rPr>
          <w:rFonts w:eastAsiaTheme="minorHAnsi"/>
          <w:szCs w:val="22"/>
        </w:rPr>
        <w:t>on Tribal lands</w:t>
      </w:r>
      <w:r w:rsidRPr="00BD40AD" w:rsidR="00FF2BAB">
        <w:rPr>
          <w:rFonts w:eastAsiaTheme="minorHAnsi"/>
          <w:szCs w:val="22"/>
        </w:rPr>
        <w:t>,</w:t>
      </w:r>
      <w:r w:rsidRPr="00BD40AD">
        <w:rPr>
          <w:rFonts w:eastAsiaTheme="minorHAnsi"/>
          <w:szCs w:val="22"/>
        </w:rPr>
        <w:t xml:space="preserve"> which will in turn enhance the Commission</w:t>
      </w:r>
      <w:r w:rsidRPr="00BD40AD" w:rsidR="00B9462B">
        <w:rPr>
          <w:rFonts w:eastAsiaTheme="minorHAnsi"/>
          <w:szCs w:val="22"/>
        </w:rPr>
        <w:t>’</w:t>
      </w:r>
      <w:r w:rsidRPr="00BD40AD">
        <w:rPr>
          <w:rFonts w:eastAsiaTheme="minorHAnsi"/>
          <w:szCs w:val="22"/>
        </w:rPr>
        <w:t>s ability to carry out its statutory responsibilit</w:t>
      </w:r>
      <w:r w:rsidRPr="00BD40AD" w:rsidR="00FA5C98">
        <w:rPr>
          <w:rFonts w:eastAsiaTheme="minorHAnsi"/>
          <w:szCs w:val="22"/>
        </w:rPr>
        <w:t>ies</w:t>
      </w:r>
      <w:r w:rsidRPr="00BD40AD">
        <w:rPr>
          <w:rFonts w:eastAsiaTheme="minorHAnsi"/>
          <w:szCs w:val="22"/>
        </w:rPr>
        <w:t xml:space="preserve"> to </w:t>
      </w:r>
      <w:r w:rsidRPr="00BD40AD" w:rsidR="00FA5C98">
        <w:rPr>
          <w:rFonts w:eastAsiaTheme="minorHAnsi"/>
          <w:szCs w:val="22"/>
        </w:rPr>
        <w:t xml:space="preserve">ensure the availability of communication by wire and radio and </w:t>
      </w:r>
      <w:r w:rsidRPr="00BD40AD">
        <w:rPr>
          <w:rFonts w:eastAsiaTheme="minorHAnsi"/>
          <w:szCs w:val="22"/>
        </w:rPr>
        <w:t>encourage broadband deployment to all Americans.</w:t>
      </w:r>
      <w:r>
        <w:rPr>
          <w:rStyle w:val="FootnoteReference"/>
          <w:rFonts w:eastAsiaTheme="minorHAnsi"/>
          <w:szCs w:val="22"/>
        </w:rPr>
        <w:footnoteReference w:id="5"/>
      </w:r>
    </w:p>
    <w:p w:rsidR="00D50EA8" w:rsidRPr="00BD40AD" w:rsidP="00B6623C" w14:paraId="3DFBEE41" w14:textId="77777777">
      <w:pPr>
        <w:rPr>
          <w:rFonts w:eastAsiaTheme="minorHAnsi"/>
          <w:szCs w:val="22"/>
        </w:rPr>
      </w:pPr>
    </w:p>
    <w:p w:rsidR="00D50EA8" w:rsidRPr="00BD40AD" w:rsidP="00D50EA8" w14:paraId="04F00870" w14:textId="3F2EA853">
      <w:pPr>
        <w:ind w:firstLine="720"/>
        <w:rPr>
          <w:rFonts w:eastAsiaTheme="minorHAnsi"/>
          <w:szCs w:val="22"/>
        </w:rPr>
      </w:pPr>
      <w:r w:rsidRPr="00BD40AD">
        <w:rPr>
          <w:rFonts w:eastAsiaTheme="minorHAnsi"/>
          <w:szCs w:val="22"/>
        </w:rPr>
        <w:t xml:space="preserve">The issues to be considered by the </w:t>
      </w:r>
      <w:r w:rsidRPr="00BD40AD" w:rsidR="00BC1405">
        <w:rPr>
          <w:rFonts w:eastAsiaTheme="minorHAnsi"/>
          <w:szCs w:val="22"/>
        </w:rPr>
        <w:t>Task Force</w:t>
      </w:r>
      <w:r w:rsidRPr="00BD40AD">
        <w:rPr>
          <w:rFonts w:eastAsiaTheme="minorHAnsi"/>
          <w:szCs w:val="22"/>
        </w:rPr>
        <w:t xml:space="preserve"> may in</w:t>
      </w:r>
      <w:r w:rsidRPr="00BD40AD" w:rsidR="00B9462B">
        <w:rPr>
          <w:rFonts w:eastAsiaTheme="minorHAnsi"/>
          <w:szCs w:val="22"/>
        </w:rPr>
        <w:t xml:space="preserve">clude, but are not limited to: </w:t>
      </w:r>
      <w:r w:rsidRPr="00BD40AD">
        <w:rPr>
          <w:rFonts w:eastAsiaTheme="minorHAnsi"/>
          <w:szCs w:val="22"/>
        </w:rPr>
        <w:t>(</w:t>
      </w:r>
      <w:r w:rsidRPr="00BD40AD" w:rsidR="00FF2BAB">
        <w:rPr>
          <w:rFonts w:eastAsiaTheme="minorHAnsi"/>
          <w:szCs w:val="22"/>
        </w:rPr>
        <w:t>i</w:t>
      </w:r>
      <w:r w:rsidRPr="00BD40AD">
        <w:rPr>
          <w:rFonts w:eastAsiaTheme="minorHAnsi"/>
          <w:szCs w:val="22"/>
        </w:rPr>
        <w:t>) executi</w:t>
      </w:r>
      <w:r w:rsidRPr="00BD40AD" w:rsidR="000A3450">
        <w:rPr>
          <w:rFonts w:eastAsiaTheme="minorHAnsi"/>
          <w:szCs w:val="22"/>
        </w:rPr>
        <w:t>ng</w:t>
      </w:r>
      <w:r w:rsidRPr="00BD40AD">
        <w:rPr>
          <w:rFonts w:eastAsiaTheme="minorHAnsi"/>
          <w:szCs w:val="22"/>
        </w:rPr>
        <w:t xml:space="preserve"> the Commission’s </w:t>
      </w:r>
      <w:r w:rsidRPr="00BD40AD" w:rsidR="009C2429">
        <w:rPr>
          <w:rFonts w:eastAsiaTheme="minorHAnsi"/>
          <w:szCs w:val="22"/>
        </w:rPr>
        <w:t xml:space="preserve">Tribal </w:t>
      </w:r>
      <w:r w:rsidRPr="00BD40AD">
        <w:rPr>
          <w:rFonts w:eastAsiaTheme="minorHAnsi"/>
          <w:szCs w:val="22"/>
        </w:rPr>
        <w:t>Consultation policy; (</w:t>
      </w:r>
      <w:r w:rsidRPr="00BD40AD" w:rsidR="00FF2BAB">
        <w:rPr>
          <w:rFonts w:eastAsiaTheme="minorHAnsi"/>
          <w:szCs w:val="22"/>
        </w:rPr>
        <w:t>ii</w:t>
      </w:r>
      <w:r w:rsidRPr="00BD40AD" w:rsidR="00B9462B">
        <w:rPr>
          <w:rFonts w:eastAsiaTheme="minorHAnsi"/>
          <w:szCs w:val="22"/>
        </w:rPr>
        <w:t>)</w:t>
      </w:r>
      <w:r w:rsidRPr="00BD40AD">
        <w:rPr>
          <w:rFonts w:eastAsiaTheme="minorHAnsi"/>
          <w:szCs w:val="22"/>
        </w:rPr>
        <w:t xml:space="preserve"> identifying barriers to broadband deployment that are unique to </w:t>
      </w:r>
      <w:r w:rsidRPr="00BD40AD" w:rsidR="000A3450">
        <w:rPr>
          <w:rFonts w:eastAsiaTheme="minorHAnsi"/>
          <w:szCs w:val="22"/>
        </w:rPr>
        <w:t>Tribal lands; (</w:t>
      </w:r>
      <w:r w:rsidRPr="00BD40AD" w:rsidR="00FF2BAB">
        <w:rPr>
          <w:rFonts w:eastAsiaTheme="minorHAnsi"/>
          <w:szCs w:val="22"/>
        </w:rPr>
        <w:t>iii</w:t>
      </w:r>
      <w:r w:rsidRPr="00BD40AD">
        <w:rPr>
          <w:rFonts w:eastAsiaTheme="minorHAnsi"/>
          <w:szCs w:val="22"/>
        </w:rPr>
        <w:t>) ensuring Tribal concerns a</w:t>
      </w:r>
      <w:r w:rsidRPr="00BD40AD" w:rsidR="002572B6">
        <w:rPr>
          <w:rFonts w:eastAsiaTheme="minorHAnsi"/>
          <w:szCs w:val="22"/>
        </w:rPr>
        <w:t>re considered in all Commission</w:t>
      </w:r>
      <w:r w:rsidRPr="00BD40AD">
        <w:rPr>
          <w:rFonts w:eastAsiaTheme="minorHAnsi"/>
          <w:szCs w:val="22"/>
        </w:rPr>
        <w:t xml:space="preserve"> proceedings re</w:t>
      </w:r>
      <w:r w:rsidRPr="00BD40AD" w:rsidR="003C338E">
        <w:rPr>
          <w:rFonts w:eastAsiaTheme="minorHAnsi"/>
          <w:szCs w:val="22"/>
        </w:rPr>
        <w:t>lated to broadband and</w:t>
      </w:r>
      <w:r w:rsidRPr="00BD40AD">
        <w:rPr>
          <w:rFonts w:eastAsiaTheme="minorHAnsi"/>
          <w:szCs w:val="22"/>
        </w:rPr>
        <w:t xml:space="preserve"> other Commission undertakings that affect Tribal </w:t>
      </w:r>
      <w:r w:rsidRPr="00BD40AD" w:rsidR="009B4B8F">
        <w:rPr>
          <w:rFonts w:eastAsiaTheme="minorHAnsi"/>
          <w:szCs w:val="22"/>
        </w:rPr>
        <w:t>interests</w:t>
      </w:r>
      <w:r w:rsidRPr="00BD40AD" w:rsidR="00337DA4">
        <w:rPr>
          <w:rFonts w:eastAsiaTheme="minorHAnsi"/>
          <w:szCs w:val="22"/>
        </w:rPr>
        <w:t xml:space="preserve"> regarding communications services and facilities</w:t>
      </w:r>
      <w:r w:rsidRPr="00BD40AD">
        <w:rPr>
          <w:rFonts w:eastAsiaTheme="minorHAnsi"/>
          <w:szCs w:val="22"/>
        </w:rPr>
        <w:t>.</w:t>
      </w:r>
    </w:p>
    <w:p w:rsidR="00A0622E" w:rsidRPr="00BD40AD" w:rsidP="00B6623C" w14:paraId="17F51C14" w14:textId="77777777">
      <w:pPr>
        <w:rPr>
          <w:rFonts w:eastAsiaTheme="minorHAnsi"/>
          <w:szCs w:val="22"/>
        </w:rPr>
      </w:pPr>
    </w:p>
    <w:p w:rsidR="001352DB" w:rsidRPr="00BD40AD" w:rsidP="00697188" w14:paraId="7A306C44" w14:textId="22636AD5">
      <w:pPr>
        <w:ind w:firstLine="720"/>
        <w:rPr>
          <w:rFonts w:eastAsiaTheme="minorEastAsia"/>
          <w:color w:val="000000"/>
          <w:szCs w:val="22"/>
        </w:rPr>
      </w:pPr>
      <w:r w:rsidRPr="00BD40AD">
        <w:rPr>
          <w:rFonts w:eastAsiaTheme="minorEastAsia"/>
          <w:color w:val="000000"/>
          <w:szCs w:val="22"/>
        </w:rPr>
        <w:t>Pursuant to the “intergovernmental communication” exemption in Sec</w:t>
      </w:r>
      <w:r w:rsidRPr="00BD40AD" w:rsidR="002A0E20">
        <w:rPr>
          <w:rFonts w:eastAsiaTheme="minorEastAsia"/>
          <w:color w:val="000000"/>
          <w:szCs w:val="22"/>
        </w:rPr>
        <w:t>tion</w:t>
      </w:r>
      <w:r w:rsidRPr="00BD40AD">
        <w:rPr>
          <w:rFonts w:eastAsiaTheme="minorEastAsia"/>
          <w:color w:val="000000"/>
          <w:szCs w:val="22"/>
        </w:rPr>
        <w:t xml:space="preserve"> 204(b) of the Unfunded Mandates Reform Act of 1995 (“UMRA”), </w:t>
      </w:r>
      <w:r>
        <w:fldChar w:fldCharType="begin"/>
      </w:r>
      <w:r>
        <w:instrText xml:space="preserve"> HYPERLINK "http://www.westlaw.com/Find/Default.wl?rs=dfa1.0&amp;vr=2.0&amp;DB=1000546&amp;DocName=2USCAS1534&amp;FindType=L&amp;ReferencePositionType=T&amp;ReferencePosition=SP_a83b000018c76" </w:instrText>
      </w:r>
      <w:r>
        <w:fldChar w:fldCharType="separate"/>
      </w:r>
      <w:r w:rsidRPr="00BD40AD">
        <w:rPr>
          <w:rFonts w:eastAsiaTheme="minorEastAsia"/>
          <w:szCs w:val="22"/>
        </w:rPr>
        <w:t>2 U.S.C. § 1534(b)</w:t>
      </w:r>
      <w:r>
        <w:fldChar w:fldCharType="end"/>
      </w:r>
      <w:r w:rsidRPr="00BD40AD">
        <w:rPr>
          <w:rFonts w:eastAsiaTheme="minorEastAsia"/>
          <w:color w:val="000000"/>
          <w:szCs w:val="22"/>
        </w:rPr>
        <w:t xml:space="preserve">, the </w:t>
      </w:r>
      <w:r w:rsidRPr="00BD40AD" w:rsidR="009A5B9A">
        <w:rPr>
          <w:rFonts w:eastAsiaTheme="minorEastAsia"/>
          <w:color w:val="000000"/>
          <w:szCs w:val="22"/>
        </w:rPr>
        <w:t>Task Force</w:t>
      </w:r>
      <w:r w:rsidRPr="00BD40AD">
        <w:rPr>
          <w:rFonts w:eastAsiaTheme="minorEastAsia"/>
          <w:color w:val="000000"/>
          <w:szCs w:val="22"/>
        </w:rPr>
        <w:t xml:space="preserve"> will not be subject to the requirements or procedures set forth in the Federal Advisory Committee Act (“FACA”), 5 U.S.C. App. 2 (1988).  Section 204(b) of UMRA provides an exemption from FACA for intergovernmental communications involving meetings between Federal officials and Federal employees and “elected officers of State, local and Tribal governments (or their designated employees with authority to act on their behalf) acting in their official capacities.”  Therefore, applicants for the </w:t>
      </w:r>
      <w:r w:rsidRPr="00BD40AD" w:rsidR="00324687">
        <w:rPr>
          <w:rFonts w:eastAsiaTheme="minorEastAsia"/>
          <w:color w:val="000000"/>
          <w:szCs w:val="22"/>
        </w:rPr>
        <w:t>Task Force</w:t>
      </w:r>
      <w:r w:rsidRPr="00BD40AD">
        <w:rPr>
          <w:rFonts w:eastAsiaTheme="minorEastAsia"/>
          <w:color w:val="000000"/>
          <w:szCs w:val="22"/>
        </w:rPr>
        <w:t xml:space="preserve"> must be individuals who satisfy these requirements.</w:t>
      </w:r>
    </w:p>
    <w:p w:rsidR="00FA5C98" w:rsidRPr="00BD40AD" w:rsidP="00697188" w14:paraId="497025C1" w14:textId="7045C73E">
      <w:pPr>
        <w:ind w:firstLine="720"/>
        <w:rPr>
          <w:rFonts w:eastAsiaTheme="minorEastAsia"/>
          <w:color w:val="000000"/>
          <w:szCs w:val="22"/>
        </w:rPr>
      </w:pPr>
    </w:p>
    <w:p w:rsidR="00FA5C98" w:rsidRPr="00BD40AD" w:rsidP="00FA5C98" w14:paraId="0E624A0A" w14:textId="7C3EBFD7">
      <w:pPr>
        <w:pStyle w:val="FootnoteText"/>
        <w:spacing w:after="0"/>
        <w:rPr>
          <w:szCs w:val="22"/>
        </w:rPr>
      </w:pPr>
      <w:r w:rsidRPr="00BD40AD">
        <w:rPr>
          <w:rFonts w:eastAsiaTheme="minorHAnsi"/>
          <w:szCs w:val="22"/>
        </w:rPr>
        <w:tab/>
        <w:t xml:space="preserve">By this </w:t>
      </w:r>
      <w:r w:rsidRPr="00BD40AD">
        <w:rPr>
          <w:rFonts w:eastAsiaTheme="minorHAnsi"/>
          <w:i/>
          <w:szCs w:val="22"/>
        </w:rPr>
        <w:t>Public Notice</w:t>
      </w:r>
      <w:r w:rsidRPr="00BD40AD">
        <w:rPr>
          <w:rFonts w:eastAsiaTheme="minorHAnsi"/>
          <w:szCs w:val="22"/>
        </w:rPr>
        <w:t xml:space="preserve">, we seek nominations for membership on this Task Force.  The Commission intends to establish the Task </w:t>
      </w:r>
      <w:r w:rsidRPr="00BD40AD" w:rsidR="00337DA4">
        <w:rPr>
          <w:rFonts w:eastAsiaTheme="minorHAnsi"/>
          <w:szCs w:val="22"/>
        </w:rPr>
        <w:t>F</w:t>
      </w:r>
      <w:r w:rsidRPr="00BD40AD">
        <w:rPr>
          <w:rFonts w:eastAsiaTheme="minorHAnsi"/>
          <w:szCs w:val="22"/>
        </w:rPr>
        <w:t xml:space="preserve">orce for a period of three years, with an expected start date in </w:t>
      </w:r>
      <w:r w:rsidRPr="00BD40AD" w:rsidR="00DE6051">
        <w:rPr>
          <w:rFonts w:eastAsiaTheme="minorHAnsi"/>
          <w:szCs w:val="22"/>
        </w:rPr>
        <w:t xml:space="preserve">the </w:t>
      </w:r>
      <w:r w:rsidRPr="00BD40AD" w:rsidR="004960DD">
        <w:rPr>
          <w:rFonts w:eastAsiaTheme="minorHAnsi"/>
          <w:szCs w:val="22"/>
        </w:rPr>
        <w:t>S</w:t>
      </w:r>
      <w:r w:rsidRPr="00BD40AD">
        <w:rPr>
          <w:rFonts w:eastAsiaTheme="minorHAnsi"/>
          <w:szCs w:val="22"/>
        </w:rPr>
        <w:t>pring of 2018.</w:t>
      </w:r>
    </w:p>
    <w:p w:rsidR="00FA5C98" w:rsidRPr="00BD40AD" w:rsidP="00B6623C" w14:paraId="6BBF20F2" w14:textId="77777777">
      <w:pPr>
        <w:rPr>
          <w:rFonts w:eastAsiaTheme="minorHAnsi"/>
          <w:szCs w:val="22"/>
        </w:rPr>
      </w:pPr>
    </w:p>
    <w:p w:rsidR="00FA5C98" w:rsidRPr="00BD40AD" w:rsidP="00FA5C98" w14:paraId="1E5FD06A" w14:textId="6013F0BF">
      <w:pPr>
        <w:rPr>
          <w:rFonts w:eastAsiaTheme="minorHAnsi"/>
          <w:szCs w:val="22"/>
        </w:rPr>
      </w:pPr>
      <w:r w:rsidRPr="00BD40AD">
        <w:rPr>
          <w:rFonts w:eastAsiaTheme="minorHAnsi"/>
          <w:szCs w:val="22"/>
        </w:rPr>
        <w:tab/>
      </w:r>
      <w:r w:rsidRPr="00BD40AD">
        <w:rPr>
          <w:rFonts w:eastAsiaTheme="minorHAnsi"/>
          <w:b/>
          <w:szCs w:val="22"/>
        </w:rPr>
        <w:t xml:space="preserve">Nominations for membership must be submitted to the FCC no later than </w:t>
      </w:r>
      <w:r w:rsidRPr="00BD40AD" w:rsidR="00DE6051">
        <w:rPr>
          <w:rFonts w:eastAsiaTheme="minorHAnsi"/>
          <w:b/>
          <w:szCs w:val="22"/>
        </w:rPr>
        <w:t>March 31,</w:t>
      </w:r>
      <w:r w:rsidRPr="00BD40AD">
        <w:rPr>
          <w:rFonts w:eastAsiaTheme="minorHAnsi"/>
          <w:b/>
          <w:szCs w:val="22"/>
        </w:rPr>
        <w:t xml:space="preserve"> 2018.  </w:t>
      </w:r>
      <w:r w:rsidRPr="00BD40AD">
        <w:rPr>
          <w:rFonts w:eastAsiaTheme="minorHAnsi"/>
          <w:szCs w:val="22"/>
        </w:rPr>
        <w:t>Procedures for submitting nominations are set forth below.</w:t>
      </w:r>
    </w:p>
    <w:p w:rsidR="001352DB" w:rsidRPr="00BD40AD" w:rsidP="001352DB" w14:paraId="2EB66D35" w14:textId="77777777">
      <w:pPr>
        <w:rPr>
          <w:rFonts w:eastAsiaTheme="minorHAnsi"/>
          <w:szCs w:val="22"/>
        </w:rPr>
      </w:pPr>
    </w:p>
    <w:p w:rsidR="001352DB" w:rsidRPr="00BD40AD" w:rsidP="00602897" w14:paraId="27885183" w14:textId="77777777">
      <w:pPr>
        <w:jc w:val="center"/>
        <w:rPr>
          <w:rFonts w:eastAsiaTheme="minorHAnsi"/>
          <w:b/>
          <w:szCs w:val="22"/>
        </w:rPr>
      </w:pPr>
      <w:r w:rsidRPr="00BD40AD">
        <w:rPr>
          <w:rFonts w:eastAsiaTheme="minorHAnsi"/>
          <w:b/>
          <w:szCs w:val="22"/>
        </w:rPr>
        <w:t>WHO MAY APPLY FOR MEMBERSHIP</w:t>
      </w:r>
    </w:p>
    <w:p w:rsidR="001352DB" w:rsidRPr="00BD40AD" w:rsidP="001352DB" w14:paraId="33ABDE77" w14:textId="77777777">
      <w:pPr>
        <w:jc w:val="center"/>
        <w:rPr>
          <w:rFonts w:eastAsiaTheme="minorHAnsi"/>
          <w:szCs w:val="22"/>
        </w:rPr>
      </w:pPr>
    </w:p>
    <w:p w:rsidR="001352DB" w:rsidRPr="00BD40AD" w:rsidP="001352DB" w14:paraId="17E43DC9" w14:textId="296FB3FA">
      <w:pPr>
        <w:rPr>
          <w:rFonts w:eastAsiaTheme="minorEastAsia"/>
          <w:color w:val="000000"/>
          <w:szCs w:val="22"/>
        </w:rPr>
      </w:pPr>
      <w:r w:rsidRPr="00BD40AD">
        <w:rPr>
          <w:rFonts w:eastAsiaTheme="minorHAnsi"/>
          <w:szCs w:val="22"/>
        </w:rPr>
        <w:tab/>
      </w:r>
      <w:r w:rsidRPr="00BD40AD" w:rsidR="003C338E">
        <w:rPr>
          <w:rFonts w:eastAsiaTheme="minorEastAsia"/>
          <w:color w:val="000000"/>
          <w:szCs w:val="22"/>
        </w:rPr>
        <w:t xml:space="preserve">In </w:t>
      </w:r>
      <w:r w:rsidRPr="00BD40AD" w:rsidR="00C362AC">
        <w:rPr>
          <w:rFonts w:eastAsiaTheme="minorEastAsia"/>
          <w:color w:val="000000"/>
          <w:szCs w:val="22"/>
        </w:rPr>
        <w:t>re</w:t>
      </w:r>
      <w:r w:rsidRPr="00BD40AD" w:rsidR="006370F2">
        <w:rPr>
          <w:rFonts w:eastAsiaTheme="minorEastAsia"/>
          <w:color w:val="000000"/>
          <w:szCs w:val="22"/>
        </w:rPr>
        <w:t>newing</w:t>
      </w:r>
      <w:r w:rsidRPr="00BD40AD" w:rsidR="00C362AC">
        <w:rPr>
          <w:rFonts w:eastAsiaTheme="minorEastAsia"/>
          <w:color w:val="000000"/>
          <w:szCs w:val="22"/>
        </w:rPr>
        <w:t xml:space="preserve"> </w:t>
      </w:r>
      <w:r w:rsidRPr="00BD40AD">
        <w:rPr>
          <w:rFonts w:eastAsiaTheme="minorEastAsia"/>
          <w:color w:val="000000"/>
          <w:szCs w:val="22"/>
        </w:rPr>
        <w:t xml:space="preserve">the </w:t>
      </w:r>
      <w:r w:rsidRPr="00BD40AD" w:rsidR="009A5B9A">
        <w:rPr>
          <w:rFonts w:eastAsiaTheme="minorEastAsia"/>
          <w:color w:val="000000"/>
          <w:szCs w:val="22"/>
        </w:rPr>
        <w:t>Task Force</w:t>
      </w:r>
      <w:r w:rsidRPr="00BD40AD">
        <w:rPr>
          <w:rFonts w:eastAsiaTheme="minorEastAsia"/>
          <w:color w:val="000000"/>
          <w:szCs w:val="22"/>
        </w:rPr>
        <w:t xml:space="preserve">, the Commission seeks to </w:t>
      </w:r>
      <w:r w:rsidRPr="00BD40AD" w:rsidR="00C362AC">
        <w:rPr>
          <w:rFonts w:eastAsiaTheme="minorEastAsia"/>
          <w:color w:val="000000"/>
          <w:szCs w:val="22"/>
        </w:rPr>
        <w:t xml:space="preserve">balance </w:t>
      </w:r>
      <w:r w:rsidRPr="00BD40AD">
        <w:rPr>
          <w:rFonts w:eastAsiaTheme="minorEastAsia"/>
          <w:color w:val="000000"/>
          <w:szCs w:val="22"/>
        </w:rPr>
        <w:t>representation of certain regions and the subject</w:t>
      </w:r>
      <w:r w:rsidRPr="00BD40AD" w:rsidR="004C7DC6">
        <w:rPr>
          <w:rFonts w:eastAsiaTheme="minorEastAsia"/>
          <w:color w:val="000000"/>
          <w:szCs w:val="22"/>
        </w:rPr>
        <w:t>-</w:t>
      </w:r>
      <w:r w:rsidRPr="00BD40AD">
        <w:rPr>
          <w:rFonts w:eastAsiaTheme="minorEastAsia"/>
          <w:color w:val="000000"/>
          <w:szCs w:val="22"/>
        </w:rPr>
        <w:t xml:space="preserve">matter expertise of the </w:t>
      </w:r>
      <w:r w:rsidRPr="00BD40AD" w:rsidR="00324687">
        <w:rPr>
          <w:rFonts w:eastAsiaTheme="minorEastAsia"/>
          <w:color w:val="000000"/>
          <w:szCs w:val="22"/>
        </w:rPr>
        <w:t>Task Force</w:t>
      </w:r>
      <w:r w:rsidRPr="00BD40AD">
        <w:rPr>
          <w:rFonts w:eastAsiaTheme="minorEastAsia"/>
          <w:color w:val="000000"/>
          <w:szCs w:val="22"/>
        </w:rPr>
        <w:t xml:space="preserve">.  The Commission is particularly interested in applicants with diverse professional experience and backgrounds in broadband, telecommunications, broadcast, </w:t>
      </w:r>
      <w:r w:rsidRPr="00BD40AD" w:rsidR="00FF2BAB">
        <w:rPr>
          <w:rFonts w:eastAsiaTheme="minorEastAsia"/>
          <w:color w:val="000000"/>
          <w:szCs w:val="22"/>
        </w:rPr>
        <w:t>information technology</w:t>
      </w:r>
      <w:r w:rsidRPr="00BD40AD" w:rsidR="00F241BF">
        <w:rPr>
          <w:rFonts w:eastAsiaTheme="minorEastAsia"/>
          <w:color w:val="000000"/>
          <w:szCs w:val="22"/>
        </w:rPr>
        <w:t>,</w:t>
      </w:r>
      <w:r w:rsidRPr="00BD40AD" w:rsidR="00FF2BAB">
        <w:rPr>
          <w:rFonts w:eastAsiaTheme="minorEastAsia"/>
          <w:color w:val="000000"/>
          <w:szCs w:val="22"/>
        </w:rPr>
        <w:t xml:space="preserve"> </w:t>
      </w:r>
      <w:r w:rsidRPr="00BD40AD">
        <w:rPr>
          <w:rFonts w:eastAsiaTheme="minorEastAsia"/>
          <w:color w:val="000000"/>
          <w:szCs w:val="22"/>
        </w:rPr>
        <w:t xml:space="preserve">and infrastructure deployment and adoption.  </w:t>
      </w:r>
      <w:r w:rsidRPr="00BD40AD" w:rsidR="009F6AB0">
        <w:rPr>
          <w:rFonts w:eastAsiaTheme="minorEastAsia"/>
          <w:color w:val="000000"/>
          <w:szCs w:val="22"/>
        </w:rPr>
        <w:t>Applicants should be elected leaders from federally recognized Tribal governments or governmental entities, or their designated employees</w:t>
      </w:r>
      <w:r w:rsidRPr="00BD40AD" w:rsidR="000F4704">
        <w:rPr>
          <w:rFonts w:eastAsiaTheme="minorEastAsia"/>
          <w:color w:val="000000"/>
          <w:szCs w:val="22"/>
        </w:rPr>
        <w:t>.</w:t>
      </w:r>
    </w:p>
    <w:p w:rsidR="00692B15" w:rsidRPr="00BD40AD" w:rsidP="00B6623C" w14:paraId="5F7F345E" w14:textId="77777777">
      <w:pPr>
        <w:rPr>
          <w:rFonts w:eastAsiaTheme="minorHAnsi"/>
          <w:szCs w:val="22"/>
        </w:rPr>
      </w:pPr>
    </w:p>
    <w:p w:rsidR="001352DB" w:rsidRPr="00BD40AD" w:rsidP="00692B15" w14:paraId="5BD44672" w14:textId="550A2E00">
      <w:pPr>
        <w:ind w:firstLine="720"/>
        <w:rPr>
          <w:rFonts w:eastAsiaTheme="minorHAnsi"/>
          <w:szCs w:val="22"/>
        </w:rPr>
      </w:pPr>
      <w:r w:rsidRPr="00BD40AD">
        <w:rPr>
          <w:rFonts w:eastAsiaTheme="minorHAnsi"/>
          <w:szCs w:val="22"/>
        </w:rPr>
        <w:t>The Commission will select Task Force m</w:t>
      </w:r>
      <w:r w:rsidRPr="00BD40AD">
        <w:rPr>
          <w:rFonts w:eastAsiaTheme="minorHAnsi"/>
          <w:szCs w:val="22"/>
        </w:rPr>
        <w:t xml:space="preserve">embers to balance the expertise and viewpoints necessary to </w:t>
      </w:r>
      <w:r w:rsidRPr="00BD40AD">
        <w:rPr>
          <w:rFonts w:eastAsiaTheme="minorEastAsia"/>
          <w:color w:val="000000"/>
          <w:szCs w:val="22"/>
        </w:rPr>
        <w:t xml:space="preserve">effectively address the issues to be considered by the </w:t>
      </w:r>
      <w:r w:rsidRPr="00BD40AD" w:rsidR="009A5B9A">
        <w:rPr>
          <w:rFonts w:eastAsiaTheme="minorEastAsia"/>
          <w:color w:val="000000"/>
          <w:szCs w:val="22"/>
        </w:rPr>
        <w:t>Task Force</w:t>
      </w:r>
      <w:r w:rsidRPr="00BD40AD" w:rsidR="009C2429">
        <w:rPr>
          <w:rFonts w:eastAsiaTheme="minorEastAsia"/>
          <w:color w:val="000000"/>
          <w:szCs w:val="22"/>
        </w:rPr>
        <w:t>, and to ensure appropriate representation of diverse Tribal views</w:t>
      </w:r>
      <w:r w:rsidRPr="00BD40AD">
        <w:rPr>
          <w:rFonts w:eastAsiaTheme="minorEastAsia"/>
          <w:color w:val="000000"/>
          <w:szCs w:val="22"/>
        </w:rPr>
        <w:t>.  Members also have an initial and continuing obligation to disclose any interests in, or connections to, persons or entities who are or will be regulated by, or who have interests before, the Commission.</w:t>
      </w:r>
    </w:p>
    <w:p w:rsidR="00E63C45" w:rsidRPr="00BD40AD" w:rsidP="008E349F" w14:paraId="44C512D4" w14:textId="77777777">
      <w:pPr>
        <w:rPr>
          <w:rFonts w:eastAsiaTheme="minorHAnsi"/>
          <w:szCs w:val="22"/>
        </w:rPr>
      </w:pPr>
    </w:p>
    <w:p w:rsidR="00BD40AD" w:rsidRPr="00BD40AD" w14:paraId="589F4FB6" w14:textId="77777777">
      <w:pPr>
        <w:rPr>
          <w:rFonts w:eastAsiaTheme="minorHAnsi"/>
          <w:b/>
          <w:szCs w:val="22"/>
        </w:rPr>
      </w:pPr>
      <w:r w:rsidRPr="00BD40AD">
        <w:rPr>
          <w:rFonts w:eastAsiaTheme="minorHAnsi"/>
          <w:b/>
          <w:szCs w:val="22"/>
        </w:rPr>
        <w:br w:type="page"/>
      </w:r>
    </w:p>
    <w:p w:rsidR="001352DB" w:rsidRPr="00BD40AD" w:rsidP="008E349F" w14:paraId="713F5E7D" w14:textId="686DD55D">
      <w:pPr>
        <w:jc w:val="center"/>
        <w:rPr>
          <w:rFonts w:eastAsiaTheme="minorHAnsi"/>
          <w:b/>
          <w:szCs w:val="22"/>
        </w:rPr>
      </w:pPr>
      <w:r w:rsidRPr="00BD40AD">
        <w:rPr>
          <w:rFonts w:eastAsiaTheme="minorHAnsi"/>
          <w:b/>
          <w:szCs w:val="22"/>
        </w:rPr>
        <w:t xml:space="preserve">OBLIGATIONS OF </w:t>
      </w:r>
      <w:r w:rsidRPr="00BD40AD" w:rsidR="00EA13FA">
        <w:rPr>
          <w:rFonts w:eastAsiaTheme="minorHAnsi"/>
          <w:b/>
          <w:szCs w:val="22"/>
        </w:rPr>
        <w:t>TASK FORCE</w:t>
      </w:r>
      <w:r w:rsidRPr="00BD40AD">
        <w:rPr>
          <w:rFonts w:eastAsiaTheme="minorHAnsi"/>
          <w:b/>
          <w:szCs w:val="22"/>
        </w:rPr>
        <w:t xml:space="preserve"> MEMBERS</w:t>
      </w:r>
    </w:p>
    <w:p w:rsidR="00BB3D89" w:rsidRPr="00BD40AD" w:rsidP="001352DB" w14:paraId="2718E74F" w14:textId="77777777">
      <w:pPr>
        <w:ind w:left="360" w:firstLine="360"/>
        <w:jc w:val="center"/>
        <w:rPr>
          <w:rFonts w:eastAsiaTheme="minorHAnsi"/>
          <w:szCs w:val="22"/>
        </w:rPr>
      </w:pPr>
    </w:p>
    <w:p w:rsidR="001352DB" w:rsidRPr="00BD40AD" w:rsidP="00697188" w14:paraId="016E8BF5" w14:textId="2EF44E69">
      <w:pPr>
        <w:ind w:firstLine="720"/>
        <w:rPr>
          <w:rFonts w:eastAsiaTheme="minorEastAsia"/>
          <w:color w:val="000000"/>
          <w:szCs w:val="22"/>
        </w:rPr>
      </w:pPr>
      <w:r w:rsidRPr="00BD40AD">
        <w:rPr>
          <w:rFonts w:eastAsiaTheme="minorEastAsia"/>
          <w:color w:val="000000"/>
          <w:szCs w:val="22"/>
        </w:rPr>
        <w:t xml:space="preserve">Members will serve at the discretion of the Chairman of the Commission.  The </w:t>
      </w:r>
      <w:r w:rsidRPr="00BD40AD" w:rsidR="009A5B9A">
        <w:rPr>
          <w:rFonts w:eastAsiaTheme="minorEastAsia"/>
          <w:color w:val="000000"/>
          <w:szCs w:val="22"/>
        </w:rPr>
        <w:t>Task Force</w:t>
      </w:r>
      <w:r w:rsidRPr="00BD40AD">
        <w:rPr>
          <w:rFonts w:eastAsiaTheme="minorEastAsia"/>
          <w:color w:val="000000"/>
          <w:szCs w:val="22"/>
        </w:rPr>
        <w:t xml:space="preserve"> meets in person twice a year, with one meeting held at the Commission in Washington, DC and the other held in the field. </w:t>
      </w:r>
      <w:r w:rsidRPr="00BD40AD" w:rsidR="004C7DC6">
        <w:rPr>
          <w:rFonts w:eastAsiaTheme="minorEastAsia"/>
          <w:color w:val="000000"/>
          <w:szCs w:val="22"/>
        </w:rPr>
        <w:t xml:space="preserve"> </w:t>
      </w:r>
      <w:r w:rsidRPr="00BD40AD">
        <w:rPr>
          <w:rFonts w:eastAsiaTheme="minorEastAsia"/>
          <w:color w:val="000000"/>
          <w:szCs w:val="22"/>
        </w:rPr>
        <w:t xml:space="preserve">The </w:t>
      </w:r>
      <w:r w:rsidRPr="00BD40AD" w:rsidR="009A5B9A">
        <w:rPr>
          <w:rFonts w:eastAsiaTheme="minorEastAsia"/>
          <w:color w:val="000000"/>
          <w:szCs w:val="22"/>
        </w:rPr>
        <w:t>Task Force</w:t>
      </w:r>
      <w:r w:rsidRPr="00BD40AD">
        <w:rPr>
          <w:rFonts w:eastAsiaTheme="minorEastAsia"/>
          <w:color w:val="000000"/>
          <w:szCs w:val="22"/>
        </w:rPr>
        <w:t xml:space="preserve"> supplements these semiannual meetings with four teleconferences.  While full participation is expected, </w:t>
      </w:r>
      <w:r w:rsidRPr="00BD40AD" w:rsidR="009A5B9A">
        <w:rPr>
          <w:rFonts w:eastAsiaTheme="minorEastAsia"/>
          <w:color w:val="000000"/>
          <w:szCs w:val="22"/>
        </w:rPr>
        <w:t>Task Force</w:t>
      </w:r>
      <w:r w:rsidRPr="00BD40AD">
        <w:rPr>
          <w:rFonts w:eastAsiaTheme="minorEastAsia"/>
          <w:color w:val="000000"/>
          <w:szCs w:val="22"/>
        </w:rPr>
        <w:t xml:space="preserve"> members are required to attend fifty percent (50%) of the annual meetings, to include at least one in-person meeting, and at least two teleconferences.  Attendance in person is at the </w:t>
      </w:r>
      <w:r w:rsidRPr="00BD40AD" w:rsidR="009A5B9A">
        <w:rPr>
          <w:rFonts w:eastAsiaTheme="minorEastAsia"/>
          <w:color w:val="000000"/>
          <w:szCs w:val="22"/>
        </w:rPr>
        <w:t>Task Force</w:t>
      </w:r>
      <w:r w:rsidRPr="00BD40AD">
        <w:rPr>
          <w:rFonts w:eastAsiaTheme="minorEastAsia"/>
          <w:color w:val="000000"/>
          <w:szCs w:val="22"/>
        </w:rPr>
        <w:t xml:space="preserve"> member</w:t>
      </w:r>
      <w:r w:rsidRPr="00BD40AD" w:rsidR="004C7DC6">
        <w:rPr>
          <w:rFonts w:eastAsiaTheme="minorEastAsia"/>
          <w:color w:val="000000"/>
          <w:szCs w:val="22"/>
        </w:rPr>
        <w:t>’</w:t>
      </w:r>
      <w:r w:rsidRPr="00BD40AD" w:rsidR="00B6623C">
        <w:rPr>
          <w:rFonts w:eastAsiaTheme="minorEastAsia"/>
          <w:color w:val="000000"/>
          <w:szCs w:val="22"/>
        </w:rPr>
        <w:t>s own expense.</w:t>
      </w:r>
    </w:p>
    <w:p w:rsidR="003E2C96" w:rsidRPr="00BD40AD" w:rsidP="00B6623C" w14:paraId="04CC7A39" w14:textId="77777777">
      <w:pPr>
        <w:widowControl w:val="0"/>
        <w:autoSpaceDE w:val="0"/>
        <w:autoSpaceDN w:val="0"/>
        <w:adjustRightInd w:val="0"/>
        <w:rPr>
          <w:rFonts w:eastAsiaTheme="minorEastAsia"/>
          <w:color w:val="000000"/>
          <w:szCs w:val="22"/>
        </w:rPr>
      </w:pPr>
    </w:p>
    <w:p w:rsidR="001352DB" w:rsidRPr="00BD40AD" w:rsidP="00602897" w14:paraId="434184F8" w14:textId="7D88D125">
      <w:pPr>
        <w:widowControl w:val="0"/>
        <w:autoSpaceDE w:val="0"/>
        <w:autoSpaceDN w:val="0"/>
        <w:adjustRightInd w:val="0"/>
        <w:ind w:firstLine="360"/>
        <w:jc w:val="center"/>
        <w:rPr>
          <w:rFonts w:eastAsiaTheme="minorEastAsia"/>
          <w:b/>
          <w:color w:val="000000"/>
          <w:szCs w:val="22"/>
        </w:rPr>
      </w:pPr>
      <w:r w:rsidRPr="00BD40AD">
        <w:rPr>
          <w:rFonts w:eastAsiaTheme="minorEastAsia"/>
          <w:b/>
          <w:color w:val="000000"/>
          <w:szCs w:val="22"/>
        </w:rPr>
        <w:t>APPLICATION PROCEDURE, DEADLINE AND MEMBER APPOINTMENTS</w:t>
      </w:r>
    </w:p>
    <w:p w:rsidR="001352DB" w:rsidRPr="00BD40AD" w:rsidP="00B6623C" w14:paraId="4396F69F" w14:textId="77777777">
      <w:pPr>
        <w:widowControl w:val="0"/>
        <w:autoSpaceDE w:val="0"/>
        <w:autoSpaceDN w:val="0"/>
        <w:adjustRightInd w:val="0"/>
        <w:rPr>
          <w:rFonts w:eastAsiaTheme="minorEastAsia"/>
          <w:color w:val="000000"/>
          <w:szCs w:val="22"/>
        </w:rPr>
      </w:pPr>
    </w:p>
    <w:p w:rsidR="001352DB" w:rsidRPr="00BD40AD" w:rsidP="00697188" w14:paraId="11800FBA" w14:textId="720770AA">
      <w:pPr>
        <w:widowControl w:val="0"/>
        <w:autoSpaceDE w:val="0"/>
        <w:autoSpaceDN w:val="0"/>
        <w:adjustRightInd w:val="0"/>
        <w:ind w:firstLine="720"/>
        <w:rPr>
          <w:rFonts w:eastAsiaTheme="minorEastAsia"/>
          <w:b/>
          <w:color w:val="000000"/>
          <w:szCs w:val="22"/>
        </w:rPr>
      </w:pPr>
      <w:r w:rsidRPr="00BD40AD">
        <w:rPr>
          <w:rFonts w:eastAsiaTheme="minorEastAsia"/>
          <w:b/>
          <w:color w:val="000000"/>
          <w:szCs w:val="22"/>
        </w:rPr>
        <w:t>All nominations should be received by the Commission as soon as possibl</w:t>
      </w:r>
      <w:r w:rsidRPr="00BD40AD" w:rsidR="00324687">
        <w:rPr>
          <w:rFonts w:eastAsiaTheme="minorEastAsia"/>
          <w:b/>
          <w:color w:val="000000"/>
          <w:szCs w:val="22"/>
        </w:rPr>
        <w:t xml:space="preserve">e, but no later than </w:t>
      </w:r>
      <w:r w:rsidRPr="00BD40AD" w:rsidR="00DE6051">
        <w:rPr>
          <w:rFonts w:eastAsiaTheme="minorEastAsia"/>
          <w:b/>
          <w:color w:val="000000"/>
          <w:szCs w:val="22"/>
        </w:rPr>
        <w:t>March 31</w:t>
      </w:r>
      <w:r w:rsidRPr="00BD40AD" w:rsidR="00324687">
        <w:rPr>
          <w:rFonts w:eastAsiaTheme="minorEastAsia"/>
          <w:b/>
          <w:color w:val="000000"/>
          <w:szCs w:val="22"/>
        </w:rPr>
        <w:t>, 2018</w:t>
      </w:r>
      <w:r w:rsidRPr="00BD40AD">
        <w:rPr>
          <w:rFonts w:eastAsiaTheme="minorEastAsia"/>
          <w:b/>
          <w:color w:val="000000"/>
          <w:szCs w:val="22"/>
        </w:rPr>
        <w:t>.</w:t>
      </w:r>
    </w:p>
    <w:p w:rsidR="00324687" w:rsidRPr="00BD40AD" w:rsidP="00B6623C" w14:paraId="2675B0C7" w14:textId="77777777">
      <w:pPr>
        <w:rPr>
          <w:rFonts w:eastAsiaTheme="minorEastAsia"/>
          <w:color w:val="000000"/>
          <w:szCs w:val="22"/>
        </w:rPr>
      </w:pPr>
    </w:p>
    <w:p w:rsidR="001352DB" w:rsidRPr="00BD40AD" w:rsidP="005E7FA1" w14:paraId="6A7C3686" w14:textId="1F1E98F9">
      <w:pPr>
        <w:rPr>
          <w:rFonts w:eastAsiaTheme="minorHAnsi"/>
          <w:b/>
          <w:szCs w:val="22"/>
          <w:u w:val="single"/>
        </w:rPr>
      </w:pPr>
      <w:r w:rsidRPr="00BD40AD">
        <w:rPr>
          <w:rFonts w:eastAsiaTheme="minorHAnsi"/>
          <w:b/>
          <w:szCs w:val="22"/>
          <w:u w:val="single"/>
        </w:rPr>
        <w:t>A</w:t>
      </w:r>
      <w:r w:rsidRPr="00BD40AD" w:rsidR="00602897">
        <w:rPr>
          <w:rFonts w:eastAsiaTheme="minorHAnsi"/>
          <w:b/>
          <w:szCs w:val="22"/>
          <w:u w:val="single"/>
        </w:rPr>
        <w:t>pplicants</w:t>
      </w:r>
    </w:p>
    <w:p w:rsidR="00BB3D89" w:rsidRPr="00BD40AD" w:rsidP="00B6623C" w14:paraId="3A449FED" w14:textId="77777777">
      <w:pPr>
        <w:rPr>
          <w:rFonts w:eastAsiaTheme="minorHAnsi"/>
          <w:szCs w:val="22"/>
        </w:rPr>
      </w:pPr>
    </w:p>
    <w:p w:rsidR="001352DB" w:rsidRPr="00BD40AD" w:rsidP="00C87B27" w14:paraId="75B81A7D" w14:textId="77777777">
      <w:pPr>
        <w:ind w:firstLine="720"/>
        <w:rPr>
          <w:rFonts w:eastAsiaTheme="minorHAnsi"/>
          <w:szCs w:val="22"/>
        </w:rPr>
      </w:pPr>
      <w:r w:rsidRPr="00BD40AD">
        <w:rPr>
          <w:rFonts w:eastAsiaTheme="minorHAnsi"/>
          <w:szCs w:val="22"/>
        </w:rPr>
        <w:t>No specific nomination form is required; however, each nomination must include the following information:</w:t>
      </w:r>
    </w:p>
    <w:p w:rsidR="00BB3D89" w:rsidRPr="00BD40AD" w:rsidP="001352DB" w14:paraId="32DD33FC" w14:textId="77777777">
      <w:pPr>
        <w:ind w:left="360" w:firstLine="360"/>
        <w:rPr>
          <w:rFonts w:eastAsiaTheme="minorHAnsi"/>
          <w:szCs w:val="22"/>
        </w:rPr>
      </w:pPr>
    </w:p>
    <w:p w:rsidR="001352DB" w:rsidRPr="00BD40AD" w:rsidP="001352DB" w14:paraId="6B2006B6" w14:textId="497AD686">
      <w:pPr>
        <w:numPr>
          <w:ilvl w:val="0"/>
          <w:numId w:val="14"/>
        </w:numPr>
        <w:contextualSpacing/>
        <w:rPr>
          <w:rFonts w:eastAsiaTheme="minorHAnsi"/>
          <w:szCs w:val="22"/>
        </w:rPr>
      </w:pPr>
      <w:r w:rsidRPr="00BD40AD">
        <w:rPr>
          <w:rFonts w:eastAsiaTheme="minorEastAsia"/>
          <w:color w:val="000000"/>
          <w:szCs w:val="22"/>
        </w:rPr>
        <w:t xml:space="preserve">Name and position of the applicant with respect to a </w:t>
      </w:r>
      <w:r w:rsidRPr="00BD40AD" w:rsidR="0028029B">
        <w:rPr>
          <w:rFonts w:eastAsiaTheme="minorEastAsia"/>
          <w:color w:val="000000"/>
          <w:szCs w:val="22"/>
        </w:rPr>
        <w:t>Tribal</w:t>
      </w:r>
      <w:r w:rsidRPr="00BD40AD">
        <w:rPr>
          <w:rFonts w:eastAsiaTheme="minorEastAsia"/>
          <w:color w:val="000000"/>
          <w:szCs w:val="22"/>
        </w:rPr>
        <w:t xml:space="preserve"> government;</w:t>
      </w:r>
    </w:p>
    <w:p w:rsidR="001352DB" w:rsidRPr="00BD40AD" w:rsidP="001352DB" w14:paraId="46AE6EDA" w14:textId="77777777">
      <w:pPr>
        <w:numPr>
          <w:ilvl w:val="0"/>
          <w:numId w:val="14"/>
        </w:numPr>
        <w:contextualSpacing/>
        <w:rPr>
          <w:rFonts w:eastAsiaTheme="minorHAnsi"/>
          <w:szCs w:val="22"/>
        </w:rPr>
      </w:pPr>
      <w:r w:rsidRPr="00BD40AD">
        <w:rPr>
          <w:rFonts w:eastAsiaTheme="minorEastAsia"/>
          <w:color w:val="000000"/>
          <w:szCs w:val="22"/>
        </w:rPr>
        <w:t>Telephone number;</w:t>
      </w:r>
    </w:p>
    <w:p w:rsidR="001352DB" w:rsidRPr="00BD40AD" w:rsidP="001352DB" w14:paraId="2CDF690E" w14:textId="77777777">
      <w:pPr>
        <w:numPr>
          <w:ilvl w:val="0"/>
          <w:numId w:val="14"/>
        </w:numPr>
        <w:contextualSpacing/>
        <w:rPr>
          <w:rFonts w:eastAsiaTheme="minorHAnsi"/>
          <w:szCs w:val="22"/>
        </w:rPr>
      </w:pPr>
      <w:r w:rsidRPr="00BD40AD">
        <w:rPr>
          <w:rFonts w:eastAsiaTheme="minorEastAsia"/>
          <w:color w:val="000000"/>
          <w:szCs w:val="22"/>
        </w:rPr>
        <w:t>Mailing address and/or e-mail address;</w:t>
      </w:r>
    </w:p>
    <w:p w:rsidR="001352DB" w:rsidRPr="00BD40AD" w:rsidP="001352DB" w14:paraId="11CDF8FC" w14:textId="5207626F">
      <w:pPr>
        <w:numPr>
          <w:ilvl w:val="0"/>
          <w:numId w:val="14"/>
        </w:numPr>
        <w:contextualSpacing/>
        <w:rPr>
          <w:rFonts w:eastAsiaTheme="minorHAnsi"/>
          <w:szCs w:val="22"/>
        </w:rPr>
      </w:pPr>
      <w:r w:rsidRPr="00BD40AD">
        <w:rPr>
          <w:rFonts w:eastAsiaTheme="minorEastAsia"/>
          <w:color w:val="000000"/>
          <w:szCs w:val="22"/>
        </w:rPr>
        <w:t xml:space="preserve">A brief description of the </w:t>
      </w:r>
      <w:r w:rsidRPr="00BD40AD" w:rsidR="004C7DC6">
        <w:rPr>
          <w:rFonts w:eastAsiaTheme="minorEastAsia"/>
          <w:color w:val="000000"/>
          <w:szCs w:val="22"/>
        </w:rPr>
        <w:t xml:space="preserve">applicant’s </w:t>
      </w:r>
      <w:r w:rsidRPr="00BD40AD">
        <w:rPr>
          <w:rFonts w:eastAsiaTheme="minorEastAsia"/>
          <w:color w:val="000000"/>
          <w:szCs w:val="22"/>
        </w:rPr>
        <w:t>area</w:t>
      </w:r>
      <w:r w:rsidRPr="00BD40AD" w:rsidR="004C7DC6">
        <w:rPr>
          <w:rFonts w:eastAsiaTheme="minorEastAsia"/>
          <w:color w:val="000000"/>
          <w:szCs w:val="22"/>
        </w:rPr>
        <w:t>(s)</w:t>
      </w:r>
      <w:r w:rsidRPr="00BD40AD">
        <w:rPr>
          <w:rFonts w:eastAsiaTheme="minorEastAsia"/>
          <w:color w:val="000000"/>
          <w:szCs w:val="22"/>
        </w:rPr>
        <w:t xml:space="preserve"> of expertise and qualifications to serve on the </w:t>
      </w:r>
      <w:r w:rsidRPr="00BD40AD" w:rsidR="00E812CF">
        <w:rPr>
          <w:rFonts w:eastAsiaTheme="minorEastAsia"/>
          <w:color w:val="000000"/>
          <w:szCs w:val="22"/>
        </w:rPr>
        <w:t>Task Force</w:t>
      </w:r>
      <w:r w:rsidRPr="00BD40AD">
        <w:rPr>
          <w:rFonts w:eastAsiaTheme="minorEastAsia"/>
          <w:color w:val="000000"/>
          <w:szCs w:val="22"/>
        </w:rPr>
        <w:t>;</w:t>
      </w:r>
    </w:p>
    <w:p w:rsidR="001352DB" w:rsidRPr="00BD40AD" w:rsidP="001352DB" w14:paraId="25D5862F" w14:textId="1BD56F38">
      <w:pPr>
        <w:numPr>
          <w:ilvl w:val="0"/>
          <w:numId w:val="14"/>
        </w:numPr>
        <w:contextualSpacing/>
        <w:rPr>
          <w:rFonts w:eastAsiaTheme="minorHAnsi"/>
          <w:szCs w:val="22"/>
        </w:rPr>
      </w:pPr>
      <w:r w:rsidRPr="00BD40AD">
        <w:rPr>
          <w:rFonts w:eastAsiaTheme="minorEastAsia"/>
          <w:color w:val="000000"/>
          <w:szCs w:val="22"/>
        </w:rPr>
        <w:t>A nominating letter from the relevant elected Tribal government official or officials in support of the applicant.</w:t>
      </w:r>
    </w:p>
    <w:p w:rsidR="00121DC4" w:rsidRPr="00BD40AD" w:rsidP="00B6623C" w14:paraId="6618868A" w14:textId="77777777">
      <w:pPr>
        <w:contextualSpacing/>
        <w:rPr>
          <w:rFonts w:eastAsiaTheme="minorHAnsi"/>
          <w:szCs w:val="22"/>
        </w:rPr>
      </w:pPr>
    </w:p>
    <w:p w:rsidR="001352DB" w:rsidRPr="00BD40AD" w:rsidP="005E7FA1" w14:paraId="0B897A1E" w14:textId="59E7E502">
      <w:pPr>
        <w:rPr>
          <w:rFonts w:eastAsiaTheme="minorHAnsi"/>
          <w:b/>
          <w:szCs w:val="22"/>
        </w:rPr>
      </w:pPr>
      <w:r w:rsidRPr="00BD40AD">
        <w:rPr>
          <w:rFonts w:eastAsiaTheme="minorHAnsi"/>
          <w:b/>
          <w:szCs w:val="22"/>
          <w:u w:val="single"/>
        </w:rPr>
        <w:t>D</w:t>
      </w:r>
      <w:r w:rsidRPr="00BD40AD" w:rsidR="00602897">
        <w:rPr>
          <w:rFonts w:eastAsiaTheme="minorHAnsi"/>
          <w:b/>
          <w:szCs w:val="22"/>
          <w:u w:val="single"/>
        </w:rPr>
        <w:t xml:space="preserve">esignated </w:t>
      </w:r>
      <w:r w:rsidRPr="00BD40AD">
        <w:rPr>
          <w:rFonts w:eastAsiaTheme="minorHAnsi"/>
          <w:b/>
          <w:szCs w:val="22"/>
          <w:u w:val="single"/>
        </w:rPr>
        <w:t>E</w:t>
      </w:r>
      <w:r w:rsidRPr="00BD40AD" w:rsidR="00602897">
        <w:rPr>
          <w:rFonts w:eastAsiaTheme="minorHAnsi"/>
          <w:b/>
          <w:szCs w:val="22"/>
          <w:u w:val="single"/>
        </w:rPr>
        <w:t>mployee</w:t>
      </w:r>
    </w:p>
    <w:p w:rsidR="001352DB" w:rsidRPr="00BD40AD" w:rsidP="00B6623C" w14:paraId="341E777D" w14:textId="77777777">
      <w:pPr>
        <w:rPr>
          <w:rFonts w:eastAsiaTheme="minorHAnsi"/>
          <w:szCs w:val="22"/>
        </w:rPr>
      </w:pPr>
    </w:p>
    <w:p w:rsidR="001352DB" w:rsidRPr="00BD40AD" w:rsidP="00C87B27" w14:paraId="0FDABECB" w14:textId="62213FFD">
      <w:pPr>
        <w:ind w:firstLine="720"/>
        <w:rPr>
          <w:rFonts w:eastAsiaTheme="minorEastAsia"/>
          <w:color w:val="000000"/>
          <w:szCs w:val="22"/>
        </w:rPr>
      </w:pPr>
      <w:r w:rsidRPr="00BD40AD">
        <w:rPr>
          <w:rFonts w:eastAsiaTheme="minorEastAsia"/>
          <w:color w:val="000000"/>
          <w:szCs w:val="22"/>
        </w:rPr>
        <w:t>In the case of a person seeking to serve as a “designated employee,” the name of the elected officer on whose behalf the employee would be acting and a copy of the officer</w:t>
      </w:r>
      <w:r w:rsidRPr="00BD40AD" w:rsidR="004C7DC6">
        <w:rPr>
          <w:rFonts w:eastAsiaTheme="minorEastAsia"/>
          <w:color w:val="000000"/>
          <w:szCs w:val="22"/>
        </w:rPr>
        <w:t>’</w:t>
      </w:r>
      <w:r w:rsidRPr="00BD40AD">
        <w:rPr>
          <w:rFonts w:eastAsiaTheme="minorEastAsia"/>
          <w:color w:val="000000"/>
          <w:szCs w:val="22"/>
        </w:rPr>
        <w:t xml:space="preserve">s designation letter is also required.  A designated employee must be on the staff of a Tribal government, and part of the governmental process. </w:t>
      </w:r>
      <w:r w:rsidRPr="00BD40AD" w:rsidR="004C7DC6">
        <w:rPr>
          <w:rFonts w:eastAsiaTheme="minorEastAsia"/>
          <w:color w:val="000000"/>
          <w:szCs w:val="22"/>
        </w:rPr>
        <w:t xml:space="preserve"> </w:t>
      </w:r>
      <w:r w:rsidRPr="00BD40AD">
        <w:rPr>
          <w:rFonts w:eastAsiaTheme="minorEastAsia"/>
          <w:color w:val="000000"/>
          <w:szCs w:val="22"/>
        </w:rPr>
        <w:t>The designated employee</w:t>
      </w:r>
      <w:r w:rsidRPr="00BD40AD" w:rsidR="004C7DC6">
        <w:rPr>
          <w:rFonts w:eastAsiaTheme="minorEastAsia"/>
          <w:color w:val="000000"/>
          <w:szCs w:val="22"/>
        </w:rPr>
        <w:t>’</w:t>
      </w:r>
      <w:r w:rsidRPr="00BD40AD">
        <w:rPr>
          <w:rFonts w:eastAsiaTheme="minorEastAsia"/>
          <w:color w:val="000000"/>
          <w:szCs w:val="22"/>
        </w:rPr>
        <w:t xml:space="preserve">s experience and qualifications should be commensurate with the functions of the </w:t>
      </w:r>
      <w:r w:rsidRPr="00BD40AD" w:rsidR="00E812CF">
        <w:rPr>
          <w:rFonts w:eastAsiaTheme="minorEastAsia"/>
          <w:color w:val="000000"/>
          <w:szCs w:val="22"/>
        </w:rPr>
        <w:t>Task Force</w:t>
      </w:r>
      <w:r w:rsidRPr="00BD40AD">
        <w:rPr>
          <w:rFonts w:eastAsiaTheme="minorEastAsia"/>
          <w:color w:val="000000"/>
          <w:szCs w:val="22"/>
        </w:rPr>
        <w:t>, and not ministerial, such as a professional or administrative assistant.</w:t>
      </w:r>
    </w:p>
    <w:p w:rsidR="00BB3D89" w:rsidRPr="00BD40AD" w:rsidP="00B6623C" w14:paraId="55D6370E" w14:textId="77777777">
      <w:pPr>
        <w:widowControl w:val="0"/>
        <w:autoSpaceDE w:val="0"/>
        <w:autoSpaceDN w:val="0"/>
        <w:adjustRightInd w:val="0"/>
        <w:rPr>
          <w:rFonts w:eastAsiaTheme="minorEastAsia"/>
          <w:color w:val="000000"/>
          <w:szCs w:val="22"/>
        </w:rPr>
      </w:pPr>
    </w:p>
    <w:p w:rsidR="001352DB" w:rsidRPr="00BD40AD" w:rsidP="00C87B27" w14:paraId="160AEE9A" w14:textId="443F5F64">
      <w:pPr>
        <w:ind w:firstLine="720"/>
        <w:rPr>
          <w:rFonts w:eastAsiaTheme="minorEastAsia"/>
          <w:color w:val="000000"/>
          <w:szCs w:val="22"/>
        </w:rPr>
      </w:pPr>
      <w:r w:rsidRPr="00BD40AD">
        <w:rPr>
          <w:rFonts w:eastAsiaTheme="minorEastAsia"/>
          <w:color w:val="000000"/>
          <w:szCs w:val="22"/>
        </w:rPr>
        <w:t xml:space="preserve">Because the </w:t>
      </w:r>
      <w:r w:rsidRPr="00BD40AD" w:rsidR="00BB3D89">
        <w:rPr>
          <w:rFonts w:eastAsiaTheme="minorEastAsia"/>
          <w:color w:val="000000"/>
          <w:szCs w:val="22"/>
        </w:rPr>
        <w:t>“inter</w:t>
      </w:r>
      <w:r w:rsidRPr="00BD40AD">
        <w:rPr>
          <w:rFonts w:eastAsiaTheme="minorEastAsia"/>
          <w:color w:val="000000"/>
          <w:szCs w:val="22"/>
        </w:rPr>
        <w:t>governmental communication” exemption</w:t>
      </w:r>
      <w:r w:rsidRPr="00BD40AD" w:rsidR="00A22D46">
        <w:rPr>
          <w:rFonts w:eastAsiaTheme="minorEastAsia"/>
          <w:color w:val="000000"/>
          <w:szCs w:val="22"/>
        </w:rPr>
        <w:t>,</w:t>
      </w:r>
      <w:r w:rsidRPr="00BD40AD">
        <w:rPr>
          <w:rFonts w:eastAsiaTheme="minorEastAsia"/>
          <w:color w:val="000000"/>
          <w:szCs w:val="22"/>
        </w:rPr>
        <w:t xml:space="preserve"> </w:t>
      </w:r>
      <w:r w:rsidRPr="00BD40AD">
        <w:rPr>
          <w:rFonts w:eastAsiaTheme="minorEastAsia"/>
          <w:color w:val="000000"/>
          <w:szCs w:val="22"/>
        </w:rPr>
        <w:t>as applied</w:t>
      </w:r>
      <w:r w:rsidRPr="00BD40AD">
        <w:rPr>
          <w:rFonts w:eastAsiaTheme="minorEastAsia"/>
          <w:color w:val="000000"/>
          <w:szCs w:val="22"/>
        </w:rPr>
        <w:t xml:space="preserve"> to the </w:t>
      </w:r>
      <w:r w:rsidRPr="00BD40AD" w:rsidR="00E812CF">
        <w:rPr>
          <w:rFonts w:eastAsiaTheme="minorEastAsia"/>
          <w:color w:val="000000"/>
          <w:szCs w:val="22"/>
        </w:rPr>
        <w:t>Task Force</w:t>
      </w:r>
      <w:r w:rsidRPr="00BD40AD">
        <w:rPr>
          <w:rFonts w:eastAsiaTheme="minorEastAsia"/>
          <w:color w:val="000000"/>
          <w:szCs w:val="22"/>
        </w:rPr>
        <w:t>, is institutional in nature, the exemption covers Federal communications with elected officers or their designated employees involved in the governmental process at the Tribal level.</w:t>
      </w:r>
      <w:r w:rsidRPr="00BD40AD" w:rsidR="00A22D46">
        <w:rPr>
          <w:rFonts w:eastAsiaTheme="minorEastAsia"/>
          <w:color w:val="000000"/>
          <w:szCs w:val="22"/>
        </w:rPr>
        <w:t xml:space="preserve"> </w:t>
      </w:r>
      <w:r w:rsidRPr="00BD40AD">
        <w:rPr>
          <w:rFonts w:eastAsiaTheme="minorEastAsia"/>
          <w:color w:val="000000"/>
          <w:szCs w:val="22"/>
        </w:rPr>
        <w:t xml:space="preserve"> Before the first meeting of the </w:t>
      </w:r>
      <w:r w:rsidRPr="00BD40AD" w:rsidR="00E812CF">
        <w:rPr>
          <w:rFonts w:eastAsiaTheme="minorEastAsia"/>
          <w:color w:val="000000"/>
          <w:szCs w:val="22"/>
        </w:rPr>
        <w:t>Task Force</w:t>
      </w:r>
      <w:r w:rsidRPr="00BD40AD" w:rsidR="00A22D46">
        <w:rPr>
          <w:rFonts w:eastAsiaTheme="minorEastAsia"/>
          <w:color w:val="000000"/>
          <w:szCs w:val="22"/>
        </w:rPr>
        <w:t>,</w:t>
      </w:r>
      <w:r w:rsidRPr="00BD40AD">
        <w:rPr>
          <w:rFonts w:eastAsiaTheme="minorEastAsia"/>
          <w:color w:val="000000"/>
          <w:szCs w:val="22"/>
        </w:rPr>
        <w:t xml:space="preserve"> those seeking nomination as a “designated employee” should provide a letter or other documentation from the elected officer of the Tribal government for whom the employee would be acting, advising the Commission that such employee is duly authorized to act on such official</w:t>
      </w:r>
      <w:r w:rsidRPr="00BD40AD" w:rsidR="00A22D46">
        <w:rPr>
          <w:rFonts w:eastAsiaTheme="minorEastAsia"/>
          <w:color w:val="000000"/>
          <w:szCs w:val="22"/>
        </w:rPr>
        <w:t>’</w:t>
      </w:r>
      <w:r w:rsidRPr="00BD40AD">
        <w:rPr>
          <w:rFonts w:eastAsiaTheme="minorEastAsia"/>
          <w:color w:val="000000"/>
          <w:szCs w:val="22"/>
        </w:rPr>
        <w:t xml:space="preserve">s behalf. </w:t>
      </w:r>
      <w:r w:rsidRPr="00BD40AD" w:rsidR="00A22D46">
        <w:rPr>
          <w:rFonts w:eastAsiaTheme="minorEastAsia"/>
          <w:color w:val="000000"/>
          <w:szCs w:val="22"/>
        </w:rPr>
        <w:t xml:space="preserve"> </w:t>
      </w:r>
      <w:r w:rsidRPr="00BD40AD">
        <w:rPr>
          <w:rFonts w:eastAsiaTheme="minorEastAsia"/>
          <w:color w:val="000000"/>
          <w:szCs w:val="22"/>
        </w:rPr>
        <w:t xml:space="preserve">Following these procedures will ensure the </w:t>
      </w:r>
      <w:r w:rsidRPr="00BD40AD" w:rsidR="00E812CF">
        <w:rPr>
          <w:rFonts w:eastAsiaTheme="minorEastAsia"/>
          <w:color w:val="000000"/>
          <w:szCs w:val="22"/>
        </w:rPr>
        <w:t>Task Force</w:t>
      </w:r>
      <w:r w:rsidRPr="00BD40AD">
        <w:rPr>
          <w:rFonts w:eastAsiaTheme="minorEastAsia"/>
          <w:color w:val="000000"/>
          <w:szCs w:val="22"/>
        </w:rPr>
        <w:t xml:space="preserve"> may operate with adequate flexibility and within its FACA-exempt status.</w:t>
      </w:r>
    </w:p>
    <w:p w:rsidR="00337DA4" w:rsidRPr="00BD40AD" w:rsidP="00B6623C" w14:paraId="4E3B533F" w14:textId="77777777">
      <w:pPr>
        <w:rPr>
          <w:rFonts w:eastAsiaTheme="minorEastAsia"/>
          <w:color w:val="000000"/>
          <w:szCs w:val="22"/>
        </w:rPr>
      </w:pPr>
    </w:p>
    <w:p w:rsidR="00BD40AD" w:rsidRPr="00BD40AD" w14:paraId="14CBE461" w14:textId="77777777">
      <w:pPr>
        <w:rPr>
          <w:rFonts w:eastAsiaTheme="minorHAnsi"/>
          <w:b/>
          <w:szCs w:val="22"/>
          <w:u w:val="single"/>
        </w:rPr>
      </w:pPr>
      <w:r w:rsidRPr="00BD40AD">
        <w:rPr>
          <w:rFonts w:eastAsiaTheme="minorHAnsi"/>
          <w:b/>
          <w:szCs w:val="22"/>
          <w:u w:val="single"/>
        </w:rPr>
        <w:br w:type="page"/>
      </w:r>
    </w:p>
    <w:p w:rsidR="001352DB" w:rsidRPr="00BD40AD" w:rsidP="005E7FA1" w14:paraId="3B5E0DF9" w14:textId="72C1EDC7">
      <w:pPr>
        <w:rPr>
          <w:rFonts w:eastAsiaTheme="minorHAnsi"/>
          <w:b/>
          <w:szCs w:val="22"/>
        </w:rPr>
      </w:pPr>
      <w:r w:rsidRPr="00BD40AD">
        <w:rPr>
          <w:rFonts w:eastAsiaTheme="minorHAnsi"/>
          <w:b/>
          <w:szCs w:val="22"/>
          <w:u w:val="single"/>
        </w:rPr>
        <w:t>A</w:t>
      </w:r>
      <w:r w:rsidRPr="00BD40AD" w:rsidR="00602897">
        <w:rPr>
          <w:rFonts w:eastAsiaTheme="minorHAnsi"/>
          <w:b/>
          <w:szCs w:val="22"/>
          <w:u w:val="single"/>
        </w:rPr>
        <w:t>lternates</w:t>
      </w:r>
    </w:p>
    <w:p w:rsidR="007839BE" w:rsidRPr="00BD40AD" w:rsidP="00B6623C" w14:paraId="224ADB0E" w14:textId="77777777">
      <w:pPr>
        <w:widowControl w:val="0"/>
        <w:autoSpaceDE w:val="0"/>
        <w:autoSpaceDN w:val="0"/>
        <w:adjustRightInd w:val="0"/>
        <w:rPr>
          <w:rFonts w:eastAsiaTheme="minorHAnsi"/>
          <w:szCs w:val="22"/>
        </w:rPr>
      </w:pPr>
    </w:p>
    <w:p w:rsidR="001352DB" w:rsidRPr="00BD40AD" w:rsidP="00C87B27" w14:paraId="2CC27A82" w14:textId="37D79F15">
      <w:pPr>
        <w:ind w:firstLine="720"/>
        <w:rPr>
          <w:rFonts w:eastAsiaTheme="minorEastAsia"/>
          <w:color w:val="000000"/>
          <w:szCs w:val="22"/>
        </w:rPr>
      </w:pPr>
      <w:r w:rsidRPr="00BD40AD">
        <w:rPr>
          <w:rFonts w:eastAsiaTheme="minorEastAsia"/>
          <w:color w:val="000000"/>
          <w:szCs w:val="22"/>
        </w:rPr>
        <w:t>The application f</w:t>
      </w:r>
      <w:r w:rsidRPr="00BD40AD" w:rsidR="00CD15E7">
        <w:rPr>
          <w:rFonts w:eastAsiaTheme="minorEastAsia"/>
          <w:color w:val="000000"/>
          <w:szCs w:val="22"/>
        </w:rPr>
        <w:t>or</w:t>
      </w:r>
      <w:r w:rsidRPr="00BD40AD">
        <w:rPr>
          <w:rFonts w:eastAsiaTheme="minorEastAsia"/>
          <w:color w:val="000000"/>
          <w:szCs w:val="22"/>
        </w:rPr>
        <w:t xml:space="preserve"> a new appointment to the </w:t>
      </w:r>
      <w:r w:rsidRPr="00BD40AD" w:rsidR="003C338E">
        <w:rPr>
          <w:rFonts w:eastAsiaTheme="minorEastAsia"/>
          <w:color w:val="000000"/>
          <w:szCs w:val="22"/>
        </w:rPr>
        <w:t>Task Force</w:t>
      </w:r>
      <w:r w:rsidRPr="00BD40AD">
        <w:rPr>
          <w:rFonts w:eastAsiaTheme="minorEastAsia"/>
          <w:color w:val="000000"/>
          <w:szCs w:val="22"/>
        </w:rPr>
        <w:t xml:space="preserve"> should include the nomination of an alternate representative who can participate in the case of the primary member</w:t>
      </w:r>
      <w:r w:rsidRPr="00BD40AD" w:rsidR="00A22D46">
        <w:rPr>
          <w:rFonts w:eastAsiaTheme="minorEastAsia"/>
          <w:color w:val="000000"/>
          <w:szCs w:val="22"/>
        </w:rPr>
        <w:t>’</w:t>
      </w:r>
      <w:r w:rsidRPr="00BD40AD">
        <w:rPr>
          <w:rFonts w:eastAsiaTheme="minorEastAsia"/>
          <w:color w:val="000000"/>
          <w:szCs w:val="22"/>
        </w:rPr>
        <w:t xml:space="preserve">s lack of availability for a </w:t>
      </w:r>
      <w:r w:rsidRPr="00BD40AD" w:rsidR="0028029B">
        <w:rPr>
          <w:rFonts w:eastAsiaTheme="minorEastAsia"/>
          <w:color w:val="000000"/>
          <w:szCs w:val="22"/>
        </w:rPr>
        <w:t>meeting</w:t>
      </w:r>
      <w:r w:rsidRPr="00BD40AD">
        <w:rPr>
          <w:rFonts w:eastAsiaTheme="minorEastAsia"/>
          <w:color w:val="000000"/>
          <w:szCs w:val="22"/>
        </w:rPr>
        <w:t xml:space="preserve"> or tasks.  An alternate</w:t>
      </w:r>
      <w:r w:rsidRPr="00BD40AD" w:rsidR="00A22D46">
        <w:rPr>
          <w:rFonts w:eastAsiaTheme="minorEastAsia"/>
          <w:color w:val="000000"/>
          <w:szCs w:val="22"/>
        </w:rPr>
        <w:t>’</w:t>
      </w:r>
      <w:r w:rsidRPr="00BD40AD">
        <w:rPr>
          <w:rFonts w:eastAsiaTheme="minorEastAsia"/>
          <w:color w:val="000000"/>
          <w:szCs w:val="22"/>
        </w:rPr>
        <w:t>s participation will not count towards the participation of the primary member, and should the primary member cease to serve or qualify to serve, the alternate does not become a replacement.  The alternate representative</w:t>
      </w:r>
      <w:r w:rsidRPr="00BD40AD" w:rsidR="00A22D46">
        <w:rPr>
          <w:rFonts w:eastAsiaTheme="minorEastAsia"/>
          <w:color w:val="000000"/>
          <w:szCs w:val="22"/>
        </w:rPr>
        <w:t>’</w:t>
      </w:r>
      <w:r w:rsidRPr="00BD40AD">
        <w:rPr>
          <w:rFonts w:eastAsiaTheme="minorEastAsia"/>
          <w:color w:val="000000"/>
          <w:szCs w:val="22"/>
        </w:rPr>
        <w:t xml:space="preserve">s experience and qualifications should be commensurate with the functions of the </w:t>
      </w:r>
      <w:r w:rsidRPr="00BD40AD" w:rsidR="00324687">
        <w:rPr>
          <w:rFonts w:eastAsiaTheme="minorEastAsia"/>
          <w:color w:val="000000"/>
          <w:szCs w:val="22"/>
        </w:rPr>
        <w:t>Task Force</w:t>
      </w:r>
      <w:r w:rsidRPr="00BD40AD">
        <w:rPr>
          <w:rFonts w:eastAsiaTheme="minorEastAsia"/>
          <w:color w:val="000000"/>
          <w:szCs w:val="22"/>
        </w:rPr>
        <w:t>, and not ministerial, such as a professional or administrative assistant.</w:t>
      </w:r>
    </w:p>
    <w:p w:rsidR="001352DB" w:rsidRPr="00BD40AD" w:rsidP="001352DB" w14:paraId="3BE29F93" w14:textId="77777777">
      <w:pPr>
        <w:widowControl w:val="0"/>
        <w:autoSpaceDE w:val="0"/>
        <w:autoSpaceDN w:val="0"/>
        <w:adjustRightInd w:val="0"/>
        <w:rPr>
          <w:rFonts w:eastAsiaTheme="minorEastAsia"/>
          <w:bCs/>
          <w:color w:val="000000"/>
          <w:szCs w:val="22"/>
        </w:rPr>
      </w:pPr>
    </w:p>
    <w:p w:rsidR="001352DB" w:rsidRPr="00BD40AD" w:rsidP="005E7FA1" w14:paraId="001095C9" w14:textId="425991E0">
      <w:pPr>
        <w:widowControl w:val="0"/>
        <w:autoSpaceDE w:val="0"/>
        <w:autoSpaceDN w:val="0"/>
        <w:adjustRightInd w:val="0"/>
        <w:rPr>
          <w:rFonts w:eastAsiaTheme="minorEastAsia"/>
          <w:b/>
          <w:bCs/>
          <w:color w:val="000000"/>
          <w:szCs w:val="22"/>
          <w:u w:val="single"/>
        </w:rPr>
      </w:pPr>
      <w:r w:rsidRPr="00BD40AD">
        <w:rPr>
          <w:rFonts w:eastAsiaTheme="minorEastAsia"/>
          <w:b/>
          <w:bCs/>
          <w:color w:val="000000"/>
          <w:szCs w:val="22"/>
          <w:u w:val="single"/>
        </w:rPr>
        <w:t>E</w:t>
      </w:r>
      <w:r w:rsidRPr="00BD40AD" w:rsidR="00602897">
        <w:rPr>
          <w:rFonts w:eastAsiaTheme="minorEastAsia"/>
          <w:b/>
          <w:bCs/>
          <w:color w:val="000000"/>
          <w:szCs w:val="22"/>
          <w:u w:val="single"/>
        </w:rPr>
        <w:t xml:space="preserve">xpiration of </w:t>
      </w:r>
      <w:r w:rsidRPr="00BD40AD" w:rsidR="00EA13FA">
        <w:rPr>
          <w:rFonts w:eastAsiaTheme="minorEastAsia"/>
          <w:b/>
          <w:bCs/>
          <w:color w:val="000000"/>
          <w:szCs w:val="22"/>
          <w:u w:val="single"/>
        </w:rPr>
        <w:t>T</w:t>
      </w:r>
      <w:r w:rsidRPr="00BD40AD" w:rsidR="00602897">
        <w:rPr>
          <w:rFonts w:eastAsiaTheme="minorEastAsia"/>
          <w:b/>
          <w:bCs/>
          <w:color w:val="000000"/>
          <w:szCs w:val="22"/>
          <w:u w:val="single"/>
        </w:rPr>
        <w:t xml:space="preserve">ask </w:t>
      </w:r>
      <w:r w:rsidRPr="00BD40AD" w:rsidR="00EA13FA">
        <w:rPr>
          <w:rFonts w:eastAsiaTheme="minorEastAsia"/>
          <w:b/>
          <w:bCs/>
          <w:color w:val="000000"/>
          <w:szCs w:val="22"/>
          <w:u w:val="single"/>
        </w:rPr>
        <w:t>F</w:t>
      </w:r>
      <w:r w:rsidRPr="00BD40AD" w:rsidR="00602897">
        <w:rPr>
          <w:rFonts w:eastAsiaTheme="minorEastAsia"/>
          <w:b/>
          <w:bCs/>
          <w:color w:val="000000"/>
          <w:szCs w:val="22"/>
          <w:u w:val="single"/>
        </w:rPr>
        <w:t xml:space="preserve">orce </w:t>
      </w:r>
      <w:r w:rsidRPr="00BD40AD">
        <w:rPr>
          <w:rFonts w:eastAsiaTheme="minorEastAsia"/>
          <w:b/>
          <w:bCs/>
          <w:color w:val="000000"/>
          <w:szCs w:val="22"/>
          <w:u w:val="single"/>
        </w:rPr>
        <w:t>M</w:t>
      </w:r>
      <w:r w:rsidRPr="00BD40AD" w:rsidR="00602897">
        <w:rPr>
          <w:rFonts w:eastAsiaTheme="minorEastAsia"/>
          <w:b/>
          <w:bCs/>
          <w:color w:val="000000"/>
          <w:szCs w:val="22"/>
          <w:u w:val="single"/>
        </w:rPr>
        <w:t>embership</w:t>
      </w:r>
      <w:r w:rsidRPr="00BD40AD">
        <w:rPr>
          <w:rFonts w:eastAsiaTheme="minorEastAsia"/>
          <w:b/>
          <w:bCs/>
          <w:color w:val="000000"/>
          <w:szCs w:val="22"/>
          <w:u w:val="single"/>
        </w:rPr>
        <w:t xml:space="preserve"> </w:t>
      </w:r>
      <w:r w:rsidRPr="00BD40AD" w:rsidR="00602897">
        <w:rPr>
          <w:rFonts w:eastAsiaTheme="minorEastAsia"/>
          <w:b/>
          <w:bCs/>
          <w:color w:val="000000"/>
          <w:szCs w:val="22"/>
          <w:u w:val="single"/>
        </w:rPr>
        <w:t xml:space="preserve">or </w:t>
      </w:r>
      <w:r w:rsidRPr="00BD40AD">
        <w:rPr>
          <w:rFonts w:eastAsiaTheme="minorEastAsia"/>
          <w:b/>
          <w:bCs/>
          <w:color w:val="000000"/>
          <w:szCs w:val="22"/>
          <w:u w:val="single"/>
        </w:rPr>
        <w:t>R</w:t>
      </w:r>
      <w:r w:rsidRPr="00BD40AD" w:rsidR="00602897">
        <w:rPr>
          <w:rFonts w:eastAsiaTheme="minorEastAsia"/>
          <w:b/>
          <w:bCs/>
          <w:color w:val="000000"/>
          <w:szCs w:val="22"/>
          <w:u w:val="single"/>
        </w:rPr>
        <w:t>emoval</w:t>
      </w:r>
    </w:p>
    <w:p w:rsidR="001352DB" w:rsidRPr="00BD40AD" w:rsidP="00B6623C" w14:paraId="174EE928" w14:textId="77777777">
      <w:pPr>
        <w:widowControl w:val="0"/>
        <w:autoSpaceDE w:val="0"/>
        <w:autoSpaceDN w:val="0"/>
        <w:adjustRightInd w:val="0"/>
        <w:rPr>
          <w:rFonts w:eastAsiaTheme="minorEastAsia"/>
          <w:color w:val="000000"/>
          <w:szCs w:val="22"/>
        </w:rPr>
      </w:pPr>
    </w:p>
    <w:p w:rsidR="001352DB" w:rsidRPr="00BD40AD" w:rsidP="00C87B27" w14:paraId="495372A8" w14:textId="3E672736">
      <w:pPr>
        <w:ind w:firstLine="720"/>
        <w:rPr>
          <w:rFonts w:eastAsiaTheme="minorEastAsia"/>
          <w:color w:val="000000"/>
          <w:szCs w:val="22"/>
        </w:rPr>
      </w:pPr>
      <w:r w:rsidRPr="00BD40AD">
        <w:rPr>
          <w:rFonts w:eastAsiaTheme="minorEastAsia"/>
          <w:color w:val="000000"/>
          <w:szCs w:val="22"/>
        </w:rPr>
        <w:t xml:space="preserve">In the case of an elected or an appointed Tribal representative no longer holding office in a Tribal government, or a Tribal designated employee no longer employed by the Tribal government, the Tribal representative must give notice to the </w:t>
      </w:r>
      <w:r w:rsidRPr="00BD40AD" w:rsidR="00E812CF">
        <w:rPr>
          <w:rFonts w:eastAsiaTheme="minorEastAsia"/>
          <w:color w:val="000000"/>
          <w:szCs w:val="22"/>
        </w:rPr>
        <w:t>Task Force</w:t>
      </w:r>
      <w:r w:rsidRPr="00BD40AD" w:rsidR="003C338E">
        <w:rPr>
          <w:rFonts w:eastAsiaTheme="minorEastAsia"/>
          <w:color w:val="000000"/>
          <w:szCs w:val="22"/>
        </w:rPr>
        <w:t xml:space="preserve"> and his/her</w:t>
      </w:r>
      <w:r w:rsidRPr="00BD40AD">
        <w:rPr>
          <w:rFonts w:eastAsiaTheme="minorEastAsia"/>
          <w:color w:val="000000"/>
          <w:szCs w:val="22"/>
        </w:rPr>
        <w:t xml:space="preserve"> seat on the </w:t>
      </w:r>
      <w:r w:rsidRPr="00BD40AD" w:rsidR="00E812CF">
        <w:rPr>
          <w:rFonts w:eastAsiaTheme="minorEastAsia"/>
          <w:color w:val="000000"/>
          <w:szCs w:val="22"/>
        </w:rPr>
        <w:t>Task Force</w:t>
      </w:r>
      <w:r w:rsidRPr="00BD40AD">
        <w:rPr>
          <w:rFonts w:eastAsiaTheme="minorEastAsia"/>
          <w:color w:val="000000"/>
          <w:szCs w:val="22"/>
        </w:rPr>
        <w:t xml:space="preserve"> expires immediately with the expiration of their elected or appointed term, or period of employment, in the case of </w:t>
      </w:r>
      <w:r w:rsidRPr="00BD40AD" w:rsidR="00324687">
        <w:rPr>
          <w:rFonts w:eastAsiaTheme="minorEastAsia"/>
          <w:color w:val="000000"/>
          <w:szCs w:val="22"/>
        </w:rPr>
        <w:t xml:space="preserve">a </w:t>
      </w:r>
      <w:r w:rsidRPr="00BD40AD">
        <w:rPr>
          <w:rFonts w:eastAsiaTheme="minorEastAsia"/>
          <w:color w:val="000000"/>
          <w:szCs w:val="22"/>
        </w:rPr>
        <w:t xml:space="preserve">designated employee.  </w:t>
      </w:r>
      <w:r w:rsidRPr="00BD40AD" w:rsidR="00E812CF">
        <w:rPr>
          <w:rFonts w:eastAsiaTheme="minorEastAsia"/>
          <w:color w:val="000000"/>
          <w:szCs w:val="22"/>
        </w:rPr>
        <w:t>Task Force</w:t>
      </w:r>
      <w:r w:rsidRPr="00BD40AD">
        <w:rPr>
          <w:rFonts w:eastAsiaTheme="minorEastAsia"/>
          <w:color w:val="000000"/>
          <w:szCs w:val="22"/>
        </w:rPr>
        <w:t xml:space="preserve"> members who do not attend at least one in-person meeting and participate in at least two teleconferences </w:t>
      </w:r>
      <w:r w:rsidRPr="00BD40AD" w:rsidR="00A22D46">
        <w:rPr>
          <w:rFonts w:eastAsiaTheme="minorEastAsia"/>
          <w:color w:val="000000"/>
          <w:szCs w:val="22"/>
        </w:rPr>
        <w:t xml:space="preserve">a year </w:t>
      </w:r>
      <w:r w:rsidRPr="00BD40AD">
        <w:rPr>
          <w:rFonts w:eastAsiaTheme="minorEastAsia"/>
          <w:color w:val="000000"/>
          <w:szCs w:val="22"/>
        </w:rPr>
        <w:t xml:space="preserve">will be removed from the </w:t>
      </w:r>
      <w:r w:rsidRPr="00BD40AD" w:rsidR="00E812CF">
        <w:rPr>
          <w:rFonts w:eastAsiaTheme="minorEastAsia"/>
          <w:color w:val="000000"/>
          <w:szCs w:val="22"/>
        </w:rPr>
        <w:t>Task Force</w:t>
      </w:r>
      <w:r w:rsidRPr="00BD40AD">
        <w:rPr>
          <w:rFonts w:eastAsiaTheme="minorEastAsia"/>
          <w:color w:val="000000"/>
          <w:szCs w:val="22"/>
        </w:rPr>
        <w:t xml:space="preserve">.  Members of the </w:t>
      </w:r>
      <w:r w:rsidRPr="00BD40AD" w:rsidR="00E812CF">
        <w:rPr>
          <w:rFonts w:eastAsiaTheme="minorEastAsia"/>
          <w:color w:val="000000"/>
          <w:szCs w:val="22"/>
        </w:rPr>
        <w:t>Task Force</w:t>
      </w:r>
      <w:r w:rsidRPr="00BD40AD">
        <w:rPr>
          <w:rFonts w:eastAsiaTheme="minorEastAsia"/>
          <w:color w:val="000000"/>
          <w:szCs w:val="22"/>
        </w:rPr>
        <w:t xml:space="preserve"> who fail to disclose any interests in, or connections to, persons or entities that are or will be regulated by, or who have interests before, the Commission, will be removed from the </w:t>
      </w:r>
      <w:r w:rsidRPr="00BD40AD" w:rsidR="00E812CF">
        <w:rPr>
          <w:rFonts w:eastAsiaTheme="minorEastAsia"/>
          <w:color w:val="000000"/>
          <w:szCs w:val="22"/>
        </w:rPr>
        <w:t>Task Force</w:t>
      </w:r>
      <w:r w:rsidRPr="00BD40AD">
        <w:rPr>
          <w:rFonts w:eastAsiaTheme="minorEastAsia"/>
          <w:color w:val="000000"/>
          <w:szCs w:val="22"/>
        </w:rPr>
        <w:t>.</w:t>
      </w:r>
      <w:r>
        <w:rPr>
          <w:rStyle w:val="FootnoteReference"/>
          <w:rFonts w:eastAsiaTheme="minorEastAsia"/>
          <w:color w:val="000000"/>
          <w:szCs w:val="22"/>
        </w:rPr>
        <w:footnoteReference w:id="6"/>
      </w:r>
    </w:p>
    <w:p w:rsidR="001352DB" w:rsidRPr="00BD40AD" w:rsidP="00B6623C" w14:paraId="21627756" w14:textId="77777777">
      <w:pPr>
        <w:widowControl w:val="0"/>
        <w:autoSpaceDE w:val="0"/>
        <w:autoSpaceDN w:val="0"/>
        <w:adjustRightInd w:val="0"/>
        <w:rPr>
          <w:rFonts w:eastAsiaTheme="minorHAnsi"/>
          <w:szCs w:val="22"/>
        </w:rPr>
      </w:pPr>
    </w:p>
    <w:p w:rsidR="001352DB" w:rsidRPr="00BD40AD" w:rsidP="005E7FA1" w14:paraId="5988D982" w14:textId="46DD6006">
      <w:pPr>
        <w:widowControl w:val="0"/>
        <w:autoSpaceDE w:val="0"/>
        <w:autoSpaceDN w:val="0"/>
        <w:adjustRightInd w:val="0"/>
        <w:rPr>
          <w:rFonts w:eastAsiaTheme="minorHAnsi"/>
          <w:b/>
          <w:szCs w:val="22"/>
          <w:u w:val="single"/>
        </w:rPr>
      </w:pPr>
      <w:r w:rsidRPr="00BD40AD">
        <w:rPr>
          <w:rFonts w:eastAsiaTheme="minorHAnsi"/>
          <w:b/>
          <w:szCs w:val="22"/>
          <w:u w:val="single"/>
        </w:rPr>
        <w:t>N</w:t>
      </w:r>
      <w:r w:rsidRPr="00BD40AD" w:rsidR="00602897">
        <w:rPr>
          <w:rFonts w:eastAsiaTheme="minorHAnsi"/>
          <w:b/>
          <w:szCs w:val="22"/>
          <w:u w:val="single"/>
        </w:rPr>
        <w:t>ominations</w:t>
      </w:r>
    </w:p>
    <w:p w:rsidR="007839BE" w:rsidRPr="00BD40AD" w:rsidP="00B6623C" w14:paraId="4B59A95B" w14:textId="77777777">
      <w:pPr>
        <w:widowControl w:val="0"/>
        <w:autoSpaceDE w:val="0"/>
        <w:autoSpaceDN w:val="0"/>
        <w:adjustRightInd w:val="0"/>
        <w:rPr>
          <w:rFonts w:eastAsiaTheme="minorHAnsi"/>
          <w:szCs w:val="22"/>
        </w:rPr>
      </w:pPr>
    </w:p>
    <w:p w:rsidR="001352DB" w:rsidRPr="00BD40AD" w:rsidP="00C87B27" w14:paraId="49C2EC2A" w14:textId="489BED09">
      <w:pPr>
        <w:ind w:firstLine="720"/>
        <w:rPr>
          <w:rFonts w:eastAsiaTheme="minorHAnsi"/>
          <w:szCs w:val="22"/>
        </w:rPr>
      </w:pPr>
      <w:r w:rsidRPr="00BD40AD">
        <w:rPr>
          <w:rFonts w:eastAsiaTheme="minorHAnsi"/>
          <w:szCs w:val="22"/>
        </w:rPr>
        <w:t xml:space="preserve">All nominations, including the requisite statements listed above, should be submitted by email to </w:t>
      </w:r>
      <w:r>
        <w:fldChar w:fldCharType="begin"/>
      </w:r>
      <w:r>
        <w:instrText xml:space="preserve"> HYPERLINK "mailto:native@fcc.gov" </w:instrText>
      </w:r>
      <w:r>
        <w:fldChar w:fldCharType="separate"/>
      </w:r>
      <w:r w:rsidRPr="00BD40AD">
        <w:rPr>
          <w:rFonts w:eastAsiaTheme="minorHAnsi"/>
          <w:color w:val="0563C1" w:themeColor="hyperlink"/>
          <w:szCs w:val="22"/>
          <w:u w:val="single"/>
        </w:rPr>
        <w:t>native@fcc.gov</w:t>
      </w:r>
      <w:r>
        <w:fldChar w:fldCharType="end"/>
      </w:r>
      <w:r w:rsidRPr="00BD40AD">
        <w:rPr>
          <w:rFonts w:eastAsiaTheme="minorHAnsi"/>
          <w:szCs w:val="22"/>
        </w:rPr>
        <w:t xml:space="preserve">.  </w:t>
      </w:r>
      <w:r w:rsidRPr="00BD40AD">
        <w:rPr>
          <w:rFonts w:eastAsiaTheme="minorEastAsia"/>
          <w:color w:val="000000"/>
          <w:szCs w:val="22"/>
        </w:rPr>
        <w:t>If submitting the required information through email is not possible, please contact Janet Sievert at (202) 418-1362 (voice) to determine another method of delivery. If submitting by regular mail, send to: Federal Communications Commission, Office of Native Affairs and Policy, Attention: Janet Sievert (4B-544), 445 12</w:t>
      </w:r>
      <w:r w:rsidRPr="00BD40AD">
        <w:rPr>
          <w:rFonts w:eastAsiaTheme="minorEastAsia"/>
          <w:color w:val="000000"/>
          <w:szCs w:val="22"/>
          <w:vertAlign w:val="superscript"/>
        </w:rPr>
        <w:t>th</w:t>
      </w:r>
      <w:r w:rsidRPr="00BD40AD">
        <w:rPr>
          <w:rFonts w:eastAsiaTheme="minorEastAsia"/>
          <w:color w:val="000000"/>
          <w:szCs w:val="22"/>
        </w:rPr>
        <w:t xml:space="preserve"> St., S.W., Washington, D.C. </w:t>
      </w:r>
      <w:r w:rsidRPr="00BD40AD" w:rsidR="00337FC6">
        <w:rPr>
          <w:rFonts w:eastAsiaTheme="minorEastAsia"/>
          <w:color w:val="000000"/>
          <w:szCs w:val="22"/>
        </w:rPr>
        <w:t xml:space="preserve"> </w:t>
      </w:r>
      <w:r w:rsidRPr="00BD40AD">
        <w:rPr>
          <w:rFonts w:eastAsiaTheme="minorEastAsia"/>
          <w:color w:val="000000"/>
          <w:szCs w:val="22"/>
        </w:rPr>
        <w:t>20554.</w:t>
      </w:r>
    </w:p>
    <w:p w:rsidR="001352DB" w:rsidRPr="00BD40AD" w:rsidP="001352DB" w14:paraId="55EAEB83" w14:textId="77777777">
      <w:pPr>
        <w:widowControl w:val="0"/>
        <w:autoSpaceDE w:val="0"/>
        <w:autoSpaceDN w:val="0"/>
        <w:adjustRightInd w:val="0"/>
        <w:rPr>
          <w:rFonts w:eastAsiaTheme="minorHAnsi"/>
          <w:szCs w:val="22"/>
        </w:rPr>
      </w:pPr>
    </w:p>
    <w:p w:rsidR="001352DB" w:rsidRPr="00BD40AD" w:rsidP="005E7FA1" w14:paraId="3059DBC7" w14:textId="2B3A341A">
      <w:pPr>
        <w:widowControl w:val="0"/>
        <w:autoSpaceDE w:val="0"/>
        <w:autoSpaceDN w:val="0"/>
        <w:adjustRightInd w:val="0"/>
        <w:rPr>
          <w:rFonts w:eastAsiaTheme="minorHAnsi"/>
          <w:b/>
          <w:szCs w:val="22"/>
          <w:u w:val="single"/>
        </w:rPr>
      </w:pPr>
      <w:r w:rsidRPr="00BD40AD">
        <w:rPr>
          <w:rFonts w:eastAsiaTheme="minorHAnsi"/>
          <w:b/>
          <w:szCs w:val="22"/>
          <w:u w:val="single"/>
        </w:rPr>
        <w:t>A</w:t>
      </w:r>
      <w:r w:rsidRPr="00BD40AD" w:rsidR="00602897">
        <w:rPr>
          <w:rFonts w:eastAsiaTheme="minorHAnsi"/>
          <w:b/>
          <w:szCs w:val="22"/>
          <w:u w:val="single"/>
        </w:rPr>
        <w:t xml:space="preserve">ccessible </w:t>
      </w:r>
      <w:r w:rsidRPr="00BD40AD">
        <w:rPr>
          <w:rFonts w:eastAsiaTheme="minorHAnsi"/>
          <w:b/>
          <w:szCs w:val="22"/>
          <w:u w:val="single"/>
        </w:rPr>
        <w:t>F</w:t>
      </w:r>
      <w:r w:rsidRPr="00BD40AD" w:rsidR="00602897">
        <w:rPr>
          <w:rFonts w:eastAsiaTheme="minorHAnsi"/>
          <w:b/>
          <w:szCs w:val="22"/>
          <w:u w:val="single"/>
        </w:rPr>
        <w:t>ormats</w:t>
      </w:r>
    </w:p>
    <w:p w:rsidR="00121DC4" w:rsidRPr="00BD40AD" w:rsidP="00B6623C" w14:paraId="3450814E" w14:textId="77777777">
      <w:pPr>
        <w:widowControl w:val="0"/>
        <w:autoSpaceDE w:val="0"/>
        <w:autoSpaceDN w:val="0"/>
        <w:adjustRightInd w:val="0"/>
        <w:rPr>
          <w:rFonts w:eastAsiaTheme="minorHAnsi"/>
          <w:szCs w:val="22"/>
        </w:rPr>
      </w:pPr>
    </w:p>
    <w:p w:rsidR="001352DB" w:rsidRPr="00BD40AD" w:rsidP="00C87B27" w14:paraId="02513D4F" w14:textId="43BAB6E0">
      <w:pPr>
        <w:ind w:firstLine="720"/>
        <w:rPr>
          <w:szCs w:val="22"/>
        </w:rPr>
      </w:pPr>
      <w:r w:rsidRPr="00BD40AD">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BD40AD">
        <w:rPr>
          <w:szCs w:val="22"/>
          <w:u w:val="single"/>
        </w:rPr>
        <w:t>fcc504@fcc.gov</w:t>
      </w:r>
      <w:r>
        <w:fldChar w:fldCharType="end"/>
      </w:r>
      <w:r w:rsidRPr="00BD40AD">
        <w:rPr>
          <w:szCs w:val="22"/>
        </w:rPr>
        <w:t xml:space="preserve"> or call the Consumer &amp; Governmental Affairs Bureau at 202-418-0530 (voice), 202-418-0432 (TTY).</w:t>
      </w:r>
    </w:p>
    <w:p w:rsidR="007246D6" w:rsidRPr="00BD40AD" w:rsidP="00B6623C" w14:paraId="1A541697" w14:textId="3C3D15E0">
      <w:pPr>
        <w:rPr>
          <w:szCs w:val="22"/>
        </w:rPr>
      </w:pPr>
    </w:p>
    <w:p w:rsidR="007246D6" w:rsidRPr="00BD40AD" w:rsidP="005E7FA1" w14:paraId="0E7CF6B7" w14:textId="777F9EAA">
      <w:pPr>
        <w:rPr>
          <w:b/>
          <w:szCs w:val="22"/>
          <w:u w:val="single"/>
        </w:rPr>
      </w:pPr>
      <w:r w:rsidRPr="00BD40AD">
        <w:rPr>
          <w:b/>
          <w:szCs w:val="22"/>
          <w:u w:val="single"/>
        </w:rPr>
        <w:t>Additional Information</w:t>
      </w:r>
    </w:p>
    <w:p w:rsidR="001352DB" w:rsidRPr="00BD40AD" w:rsidP="00B6623C" w14:paraId="01A9B547" w14:textId="77777777">
      <w:pPr>
        <w:rPr>
          <w:szCs w:val="22"/>
        </w:rPr>
      </w:pPr>
    </w:p>
    <w:p w:rsidR="00602577" w:rsidRPr="00BD40AD" w:rsidP="00B6623C" w14:paraId="0CA12025" w14:textId="2F56A18A">
      <w:pPr>
        <w:ind w:firstLine="720"/>
        <w:rPr>
          <w:szCs w:val="22"/>
        </w:rPr>
      </w:pPr>
      <w:r w:rsidRPr="00BD40AD">
        <w:rPr>
          <w:rFonts w:eastAsiaTheme="minorHAnsi"/>
          <w:szCs w:val="22"/>
        </w:rPr>
        <w:t xml:space="preserve">For additional information, please contact Janet Sievert, </w:t>
      </w:r>
      <w:r w:rsidRPr="00BD40AD" w:rsidR="003C338E">
        <w:rPr>
          <w:rFonts w:eastAsiaTheme="minorHAnsi"/>
          <w:szCs w:val="22"/>
        </w:rPr>
        <w:t xml:space="preserve">Legal Advisor, </w:t>
      </w:r>
      <w:r w:rsidRPr="00BD40AD">
        <w:rPr>
          <w:rFonts w:eastAsiaTheme="minorHAnsi"/>
          <w:szCs w:val="22"/>
        </w:rPr>
        <w:t>Offic</w:t>
      </w:r>
      <w:r w:rsidRPr="00BD40AD" w:rsidR="003C338E">
        <w:rPr>
          <w:rFonts w:eastAsiaTheme="minorHAnsi"/>
          <w:szCs w:val="22"/>
        </w:rPr>
        <w:t xml:space="preserve">e of Native Affairs and Policy, </w:t>
      </w:r>
      <w:r w:rsidRPr="00BD40AD">
        <w:rPr>
          <w:rFonts w:eastAsiaTheme="minorHAnsi"/>
          <w:szCs w:val="22"/>
        </w:rPr>
        <w:t>(202) 428-1362 (voice) or janet.sievert@fcc.gov.</w:t>
      </w:r>
    </w:p>
    <w:sectPr w:rsidSect="001622D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693" w14:paraId="158FC2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8FA" w:rsidRPr="004E78FA" w:rsidP="004E78FA" w14:paraId="6AD33D5A" w14:textId="57FB1D5A">
    <w:pPr>
      <w:tabs>
        <w:tab w:val="center" w:pos="4320"/>
        <w:tab w:val="right" w:pos="8640"/>
      </w:tabs>
      <w:jc w:val="center"/>
    </w:pPr>
    <w:r w:rsidRPr="004E78FA">
      <w:t>-  FCC</w:t>
    </w:r>
    <w:r w:rsidR="004960DD">
      <w:t xml:space="preserve">  </w:t>
    </w:r>
    <w:r w:rsidRPr="004E78FA">
      <w:t>-</w:t>
    </w:r>
  </w:p>
  <w:p w:rsidR="004E78FA" w:rsidRPr="004E78FA" w:rsidP="004E78FA" w14:paraId="44E58514" w14:textId="77777777">
    <w:pPr>
      <w:tabs>
        <w:tab w:val="center" w:pos="4320"/>
        <w:tab w:val="right" w:pos="8640"/>
      </w:tabs>
      <w:jc w:val="center"/>
    </w:pPr>
  </w:p>
  <w:p w:rsidR="003E2C96" w:rsidP="004960DD" w14:paraId="36C08B24" w14:textId="79D547BF">
    <w:pPr>
      <w:tabs>
        <w:tab w:val="center" w:pos="4320"/>
        <w:tab w:val="right" w:pos="8640"/>
      </w:tabs>
      <w:jc w:val="center"/>
    </w:pPr>
    <w:r w:rsidRPr="004E78FA">
      <w:fldChar w:fldCharType="begin"/>
    </w:r>
    <w:r w:rsidRPr="004E78FA">
      <w:instrText xml:space="preserve"> PAGE   \* MERGEFORMAT </w:instrText>
    </w:r>
    <w:r w:rsidRPr="004E78FA">
      <w:fldChar w:fldCharType="separate"/>
    </w:r>
    <w:r w:rsidR="002B4693">
      <w:rPr>
        <w:noProof/>
      </w:rPr>
      <w:t>2</w:t>
    </w:r>
    <w:r w:rsidRPr="004E78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8943137"/>
      <w:docPartObj>
        <w:docPartGallery w:val="Page Numbers (Bottom of Page)"/>
        <w:docPartUnique/>
      </w:docPartObj>
    </w:sdtPr>
    <w:sdtEndPr>
      <w:rPr>
        <w:noProof/>
      </w:rPr>
    </w:sdtEndPr>
    <w:sdtContent>
      <w:p w:rsidR="004E78FA" w14:paraId="694041CB" w14:textId="11DF5D1A">
        <w:pPr>
          <w:pStyle w:val="Footer"/>
          <w:jc w:val="center"/>
          <w:rPr>
            <w:noProof/>
          </w:rPr>
        </w:pPr>
      </w:p>
      <w:p w:rsidR="00EE19C0" w:rsidP="003A4145" w14:paraId="71EB2AAC" w14:textId="6D50240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615A" w14:paraId="0B1051F7" w14:textId="77777777">
      <w:r>
        <w:separator/>
      </w:r>
    </w:p>
  </w:footnote>
  <w:footnote w:type="continuationSeparator" w:id="1">
    <w:p w:rsidR="0071615A" w14:paraId="0AF2F403" w14:textId="77777777">
      <w:r>
        <w:continuationSeparator/>
      </w:r>
    </w:p>
  </w:footnote>
  <w:footnote w:id="2">
    <w:p w:rsidR="00C84B2E" w:rsidP="0025161E" w14:paraId="69D1ED36" w14:textId="714B32F5">
      <w:pPr>
        <w:pStyle w:val="FootnoteText"/>
      </w:pPr>
      <w:r>
        <w:rPr>
          <w:rStyle w:val="FootnoteReference"/>
        </w:rPr>
        <w:footnoteRef/>
      </w:r>
      <w:r>
        <w:t xml:space="preserve"> </w:t>
      </w:r>
      <w:r w:rsidRPr="005E7FA1">
        <w:rPr>
          <w:i/>
        </w:rPr>
        <w:t>Establishing a Government-to-Government Relationship with Indian Tribes</w:t>
      </w:r>
      <w:r w:rsidRPr="005B2D54">
        <w:t>, Policy Statement</w:t>
      </w:r>
      <w:r>
        <w:t>, 16 FCC Rcd 4078 (2000).</w:t>
      </w:r>
    </w:p>
  </w:footnote>
  <w:footnote w:id="3">
    <w:p w:rsidR="0025161E" w14:paraId="06B96A3D" w14:textId="1CA5422A">
      <w:pPr>
        <w:pStyle w:val="FootnoteText"/>
      </w:pPr>
      <w:r>
        <w:rPr>
          <w:rStyle w:val="FootnoteReference"/>
        </w:rPr>
        <w:footnoteRef/>
      </w:r>
      <w:r>
        <w:t xml:space="preserve"> </w:t>
      </w:r>
      <w:r w:rsidRPr="005E7FA1">
        <w:rPr>
          <w:i/>
        </w:rPr>
        <w:t>See</w:t>
      </w:r>
      <w:r>
        <w:t xml:space="preserve"> </w:t>
      </w:r>
      <w:r w:rsidRPr="005E7FA1">
        <w:rPr>
          <w:i/>
        </w:rPr>
        <w:t>FCC Establishes FCC-Native Nations Broadband Task Force and Seeks Nominations for Tribal Representatives</w:t>
      </w:r>
      <w:r w:rsidR="005B2D54">
        <w:t xml:space="preserve">, Public Notice, DA 10-1008, </w:t>
      </w:r>
      <w:r w:rsidR="00745912">
        <w:t>25</w:t>
      </w:r>
      <w:r w:rsidR="005B2D54">
        <w:t xml:space="preserve"> FCC Rcd </w:t>
      </w:r>
      <w:r w:rsidR="001B6CEB">
        <w:t>7137</w:t>
      </w:r>
      <w:r w:rsidR="005B2D54">
        <w:t xml:space="preserve"> (2010); see also Connecting America:  The National Broadband Plan (rel. Mar. 16, 2010) at 184 (Recommendation 9.14) available at </w:t>
      </w:r>
      <w:r>
        <w:fldChar w:fldCharType="begin"/>
      </w:r>
      <w:r>
        <w:instrText xml:space="preserve"> HYPERLINK "http://www.broadband.gov/plan/" </w:instrText>
      </w:r>
      <w:r>
        <w:fldChar w:fldCharType="separate"/>
      </w:r>
      <w:r w:rsidRPr="001502E3" w:rsidR="005B2D54">
        <w:rPr>
          <w:rStyle w:val="Hyperlink"/>
        </w:rPr>
        <w:t>http://www.broadband.gov/plan/</w:t>
      </w:r>
      <w:r>
        <w:fldChar w:fldCharType="end"/>
      </w:r>
      <w:r w:rsidRPr="001502E3" w:rsidR="005B2D54">
        <w:t>.</w:t>
      </w:r>
    </w:p>
  </w:footnote>
  <w:footnote w:id="4">
    <w:p w:rsidR="005B2D54" w:rsidRPr="00EC5590" w:rsidP="008E349F" w14:paraId="24CD09BD" w14:textId="0F208D5B">
      <w:pPr>
        <w:widowControl w:val="0"/>
        <w:autoSpaceDE w:val="0"/>
        <w:autoSpaceDN w:val="0"/>
        <w:adjustRightInd w:val="0"/>
        <w:rPr>
          <w:rFonts w:eastAsiaTheme="minorEastAsia"/>
          <w:color w:val="000000"/>
          <w:szCs w:val="22"/>
        </w:rPr>
      </w:pPr>
      <w:r>
        <w:rPr>
          <w:rStyle w:val="FootnoteReference"/>
        </w:rPr>
        <w:footnoteRef/>
      </w:r>
      <w:r>
        <w:t xml:space="preserve"> </w:t>
      </w:r>
      <w:r w:rsidRPr="00EC5590">
        <w:rPr>
          <w:rFonts w:eastAsiaTheme="minorEastAsia"/>
          <w:i/>
          <w:color w:val="000000"/>
          <w:szCs w:val="22"/>
        </w:rPr>
        <w:t xml:space="preserve">See </w:t>
      </w:r>
      <w:r>
        <w:fldChar w:fldCharType="begin"/>
      </w:r>
      <w:r>
        <w:instrText xml:space="preserve"> HYPERLINK "http://www.westlaw.com/Find/Default.wl?rs=dfa1.0&amp;vr=2.0&amp;DB=0004493&amp;FindType=Y&amp;SerialNum=2024717487" </w:instrText>
      </w:r>
      <w:r>
        <w:fldChar w:fldCharType="separate"/>
      </w:r>
      <w:r w:rsidRPr="00EC5590">
        <w:rPr>
          <w:rFonts w:eastAsiaTheme="minorEastAsia"/>
          <w:i/>
          <w:szCs w:val="22"/>
        </w:rPr>
        <w:t xml:space="preserve">Chairman Genachowski Names Members to the FCC-Native Nations Broadband Task Force, </w:t>
      </w:r>
      <w:r w:rsidRPr="00EC5590">
        <w:rPr>
          <w:rFonts w:eastAsiaTheme="minorEastAsia"/>
          <w:szCs w:val="22"/>
        </w:rPr>
        <w:t>Public</w:t>
      </w:r>
      <w:r w:rsidRPr="00EC5590">
        <w:rPr>
          <w:rFonts w:eastAsiaTheme="minorEastAsia"/>
          <w:i/>
          <w:szCs w:val="22"/>
        </w:rPr>
        <w:t xml:space="preserve"> </w:t>
      </w:r>
      <w:r w:rsidRPr="00EC5590">
        <w:rPr>
          <w:rFonts w:eastAsiaTheme="minorEastAsia"/>
          <w:szCs w:val="22"/>
        </w:rPr>
        <w:t>Notice, 26 FCC Rcd 2467 (2011)</w:t>
      </w:r>
      <w:r>
        <w:fldChar w:fldCharType="end"/>
      </w:r>
      <w:r w:rsidRPr="00EC5590">
        <w:rPr>
          <w:rFonts w:eastAsiaTheme="minorEastAsia"/>
          <w:szCs w:val="22"/>
        </w:rPr>
        <w:t xml:space="preserve">; </w:t>
      </w:r>
      <w:r w:rsidRPr="00EC5590">
        <w:rPr>
          <w:rFonts w:eastAsiaTheme="minorEastAsia"/>
          <w:i/>
          <w:szCs w:val="22"/>
        </w:rPr>
        <w:t>see also</w:t>
      </w:r>
      <w:r w:rsidRPr="00EC5590">
        <w:rPr>
          <w:rFonts w:eastAsiaTheme="minorEastAsia"/>
          <w:szCs w:val="22"/>
        </w:rPr>
        <w:t xml:space="preserve"> </w:t>
      </w:r>
      <w:r w:rsidRPr="00EC5590">
        <w:rPr>
          <w:rFonts w:eastAsiaTheme="minorEastAsia"/>
          <w:i/>
          <w:color w:val="000000"/>
          <w:szCs w:val="22"/>
        </w:rPr>
        <w:t>Chairman Wheeler Renews FCC-Native Nations Broadband Task Force</w:t>
      </w:r>
      <w:r w:rsidRPr="00EC5590">
        <w:rPr>
          <w:rFonts w:eastAsiaTheme="minorEastAsia"/>
          <w:color w:val="000000"/>
          <w:szCs w:val="22"/>
        </w:rPr>
        <w:t>, Public Notice, 29 FCC Rcd 13437 (2014).</w:t>
      </w:r>
      <w:r w:rsidR="00163951">
        <w:rPr>
          <w:rFonts w:eastAsiaTheme="minorEastAsia"/>
          <w:color w:val="000000"/>
          <w:szCs w:val="22"/>
        </w:rPr>
        <w:t xml:space="preserve">  The Task Force has 31 members comprised of 20 representatives of Tribal Nations and 11 FCC senior officials and is led by two Co-Chairpersons – a Commission Co-Chair, Chief of the Office of Native Affairs and Policy, and a Tribal Co-Chair elected by the Tribal Members.</w:t>
      </w:r>
    </w:p>
    <w:p w:rsidR="005B2D54" w:rsidP="005B2D54" w14:paraId="68FB6E0D" w14:textId="77777777">
      <w:pPr>
        <w:pStyle w:val="FootnoteText"/>
        <w:spacing w:after="0"/>
      </w:pPr>
    </w:p>
  </w:footnote>
  <w:footnote w:id="5">
    <w:p w:rsidR="00FA5C98" w:rsidP="007E7E78" w14:paraId="10FA71FE" w14:textId="7E1DE16F">
      <w:pPr>
        <w:pStyle w:val="FootnoteText"/>
      </w:pPr>
      <w:r>
        <w:rPr>
          <w:rStyle w:val="FootnoteReference"/>
        </w:rPr>
        <w:footnoteRef/>
      </w:r>
      <w:r>
        <w:t xml:space="preserve"> See 47 U.S.C. § 151</w:t>
      </w:r>
      <w:r w:rsidR="00FF2BAB">
        <w:t>; 47 U.S.C. § 1302.</w:t>
      </w:r>
    </w:p>
  </w:footnote>
  <w:footnote w:id="6">
    <w:p w:rsidR="00EC5590" w14:paraId="2CDA4360" w14:textId="7DE0E573">
      <w:pPr>
        <w:pStyle w:val="FootnoteText"/>
      </w:pPr>
      <w:r>
        <w:rPr>
          <w:rStyle w:val="FootnoteReference"/>
        </w:rPr>
        <w:footnoteRef/>
      </w:r>
      <w:r>
        <w:t xml:space="preserve"> </w:t>
      </w:r>
      <w:r w:rsidRPr="00EC5590">
        <w:rPr>
          <w:szCs w:val="22"/>
        </w:rPr>
        <w:t>Vacancies on the Task Force that are the result of attrition will be filled in a similar nomination process initiated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693" w14:paraId="20B82C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693" w14:paraId="1C0F29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2D0" w:rsidRPr="001622D0" w:rsidP="001622D0" w14:paraId="6CE3A446" w14:textId="77777777">
    <w:pPr>
      <w:widowControl w:val="0"/>
      <w:spacing w:before="40"/>
      <w:rPr>
        <w:rFonts w:ascii="Arial" w:hAnsi="Arial" w:cs="Arial"/>
        <w:b/>
        <w:snapToGrid w:val="0"/>
        <w:kern w:val="28"/>
        <w:sz w:val="96"/>
      </w:rPr>
    </w:pPr>
    <w:r w:rsidRPr="001622D0">
      <w:rPr>
        <w:rFonts w:ascii="Arial" w:hAnsi="Arial" w:cs="Arial"/>
        <w:noProof/>
        <w:snapToGrid w:val="0"/>
        <w:kern w:val="28"/>
        <w:sz w:val="96"/>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622D0" w:rsidP="001622D0" w14:textId="77777777">
                          <w:pPr>
                            <w:rPr>
                              <w:rFonts w:ascii="Arial" w:hAnsi="Arial"/>
                              <w:b/>
                            </w:rPr>
                          </w:pPr>
                          <w:r>
                            <w:rPr>
                              <w:rFonts w:ascii="Arial" w:hAnsi="Arial"/>
                              <w:b/>
                            </w:rPr>
                            <w:t>Federal Communications Commission</w:t>
                          </w:r>
                        </w:p>
                        <w:p w:rsidR="001622D0" w:rsidP="001622D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622D0" w:rsidP="001622D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622D0" w:rsidP="001622D0" w14:paraId="00904FAB" w14:textId="77777777">
                    <w:pPr>
                      <w:rPr>
                        <w:rFonts w:ascii="Arial" w:hAnsi="Arial"/>
                        <w:b/>
                      </w:rPr>
                    </w:pPr>
                    <w:r>
                      <w:rPr>
                        <w:rFonts w:ascii="Arial" w:hAnsi="Arial"/>
                        <w:b/>
                      </w:rPr>
                      <w:t>Federal Communications Commission</w:t>
                    </w:r>
                  </w:p>
                  <w:p w:rsidR="001622D0" w:rsidP="001622D0" w14:paraId="3B4D0A1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622D0" w:rsidP="001622D0" w14:paraId="158A072E" w14:textId="77777777">
                    <w:pPr>
                      <w:rPr>
                        <w:rFonts w:ascii="Arial" w:hAnsi="Arial"/>
                        <w:sz w:val="24"/>
                      </w:rPr>
                    </w:pPr>
                    <w:r>
                      <w:rPr>
                        <w:rFonts w:ascii="Arial" w:hAnsi="Arial"/>
                        <w:b/>
                      </w:rPr>
                      <w:t>Washington, D.C. 20554</w:t>
                    </w:r>
                  </w:p>
                </w:txbxContent>
              </v:textbox>
              <w10:wrap anchorx="margin"/>
            </v:shape>
          </w:pict>
        </mc:Fallback>
      </mc:AlternateContent>
    </w:r>
    <w:r w:rsidRPr="001622D0">
      <w:rPr>
        <w:rFonts w:ascii="Arial" w:hAnsi="Arial" w:cs="Arial"/>
        <w:b/>
        <w:noProof/>
        <w:snapToGrid w:val="0"/>
        <w:kern w:val="28"/>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16421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2D0">
      <w:rPr>
        <w:rFonts w:ascii="Arial" w:hAnsi="Arial" w:cs="Arial"/>
        <w:b/>
        <w:snapToGrid w:val="0"/>
        <w:kern w:val="28"/>
        <w:sz w:val="96"/>
      </w:rPr>
      <w:t>PUBLIC NOTICE</w:t>
    </w:r>
  </w:p>
  <w:p w:rsidR="00602577" w:rsidRPr="001622D0" w:rsidP="001622D0" w14:paraId="274B1041" w14:textId="276A86FB">
    <w:pPr>
      <w:widowControl w:val="0"/>
      <w:spacing w:before="40"/>
      <w:rPr>
        <w:rFonts w:ascii="Arial" w:hAnsi="Arial" w:cs="Arial"/>
        <w:b/>
        <w:snapToGrid w:val="0"/>
        <w:kern w:val="28"/>
        <w:sz w:val="96"/>
      </w:rPr>
    </w:pPr>
    <w:r w:rsidRPr="001622D0">
      <w:rPr>
        <w:rFonts w:ascii="Arial" w:hAnsi="Arial" w:cs="Arial"/>
        <w:noProof/>
        <w:snapToGrid w:val="0"/>
        <w:kern w:val="28"/>
        <w:sz w:val="96"/>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sidRPr="001622D0">
      <w:rPr>
        <w:rFonts w:ascii="Arial" w:hAnsi="Arial" w:cs="Arial"/>
        <w:noProof/>
        <w:snapToGrid w:val="0"/>
        <w:kern w:val="28"/>
        <w:sz w:val="96"/>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622D0" w:rsidP="001622D0" w14:textId="77777777">
                          <w:pPr>
                            <w:spacing w:before="40"/>
                            <w:jc w:val="right"/>
                            <w:rPr>
                              <w:rFonts w:ascii="Arial" w:hAnsi="Arial"/>
                              <w:b/>
                              <w:sz w:val="16"/>
                            </w:rPr>
                          </w:pPr>
                          <w:r>
                            <w:rPr>
                              <w:rFonts w:ascii="Arial" w:hAnsi="Arial"/>
                              <w:b/>
                              <w:sz w:val="16"/>
                            </w:rPr>
                            <w:t>News Media Information 202 / 418-0500</w:t>
                          </w:r>
                        </w:p>
                        <w:p w:rsidR="001622D0" w:rsidP="001622D0" w14:textId="7777777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1622D0" w:rsidP="001622D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622D0" w:rsidP="001622D0" w14:paraId="6B422C53" w14:textId="77777777">
                    <w:pPr>
                      <w:spacing w:before="40"/>
                      <w:jc w:val="right"/>
                      <w:rPr>
                        <w:rFonts w:ascii="Arial" w:hAnsi="Arial"/>
                        <w:b/>
                        <w:sz w:val="16"/>
                      </w:rPr>
                    </w:pPr>
                    <w:r>
                      <w:rPr>
                        <w:rFonts w:ascii="Arial" w:hAnsi="Arial"/>
                        <w:b/>
                        <w:sz w:val="16"/>
                      </w:rPr>
                      <w:t>News Media Information 202 / 418-0500</w:t>
                    </w:r>
                  </w:p>
                  <w:p w:rsidR="001622D0" w:rsidP="001622D0" w14:paraId="64AB6A54" w14:textId="7777777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1622D0" w:rsidP="001622D0" w14:paraId="1F1B1439"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3020D"/>
    <w:multiLevelType w:val="hybridMultilevel"/>
    <w:tmpl w:val="D5C47C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09B3B1C"/>
    <w:multiLevelType w:val="hybridMultilevel"/>
    <w:tmpl w:val="DB60AD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E2"/>
    <w:rsid w:val="000041CE"/>
    <w:rsid w:val="00023536"/>
    <w:rsid w:val="000254DA"/>
    <w:rsid w:val="000265AE"/>
    <w:rsid w:val="00033C1B"/>
    <w:rsid w:val="00042DFC"/>
    <w:rsid w:val="00055861"/>
    <w:rsid w:val="00065641"/>
    <w:rsid w:val="00086C94"/>
    <w:rsid w:val="000A2531"/>
    <w:rsid w:val="000A3450"/>
    <w:rsid w:val="000C28EE"/>
    <w:rsid w:val="000D68FA"/>
    <w:rsid w:val="000F4704"/>
    <w:rsid w:val="00105BA6"/>
    <w:rsid w:val="00121DC4"/>
    <w:rsid w:val="0013424E"/>
    <w:rsid w:val="001352DB"/>
    <w:rsid w:val="00137129"/>
    <w:rsid w:val="0014449A"/>
    <w:rsid w:val="0014660A"/>
    <w:rsid w:val="001502E3"/>
    <w:rsid w:val="001622D0"/>
    <w:rsid w:val="00163951"/>
    <w:rsid w:val="0017487F"/>
    <w:rsid w:val="001913A3"/>
    <w:rsid w:val="001B10F1"/>
    <w:rsid w:val="001B2559"/>
    <w:rsid w:val="001B6CEB"/>
    <w:rsid w:val="001F6755"/>
    <w:rsid w:val="00207894"/>
    <w:rsid w:val="00221BBE"/>
    <w:rsid w:val="00224D95"/>
    <w:rsid w:val="00236E22"/>
    <w:rsid w:val="00245415"/>
    <w:rsid w:val="0025161E"/>
    <w:rsid w:val="002572B6"/>
    <w:rsid w:val="002717C1"/>
    <w:rsid w:val="0028029B"/>
    <w:rsid w:val="00281850"/>
    <w:rsid w:val="002A04BB"/>
    <w:rsid w:val="002A0E20"/>
    <w:rsid w:val="002B4693"/>
    <w:rsid w:val="002C304B"/>
    <w:rsid w:val="002E179B"/>
    <w:rsid w:val="002E1CF9"/>
    <w:rsid w:val="00323D0B"/>
    <w:rsid w:val="00324687"/>
    <w:rsid w:val="00337DA4"/>
    <w:rsid w:val="00337FC6"/>
    <w:rsid w:val="00345860"/>
    <w:rsid w:val="0039767E"/>
    <w:rsid w:val="003A4145"/>
    <w:rsid w:val="003A65A2"/>
    <w:rsid w:val="003C338E"/>
    <w:rsid w:val="003C366E"/>
    <w:rsid w:val="003C399F"/>
    <w:rsid w:val="003D184B"/>
    <w:rsid w:val="003D2B31"/>
    <w:rsid w:val="003D49DE"/>
    <w:rsid w:val="003E2C96"/>
    <w:rsid w:val="003F3D7D"/>
    <w:rsid w:val="004300EA"/>
    <w:rsid w:val="0043683F"/>
    <w:rsid w:val="00461B55"/>
    <w:rsid w:val="0047178C"/>
    <w:rsid w:val="00472B18"/>
    <w:rsid w:val="004877E5"/>
    <w:rsid w:val="004960DD"/>
    <w:rsid w:val="004A2130"/>
    <w:rsid w:val="004A33B6"/>
    <w:rsid w:val="004A42B4"/>
    <w:rsid w:val="004B1D0A"/>
    <w:rsid w:val="004C0766"/>
    <w:rsid w:val="004C265C"/>
    <w:rsid w:val="004C4F60"/>
    <w:rsid w:val="004C7C46"/>
    <w:rsid w:val="004C7DC6"/>
    <w:rsid w:val="004E78FA"/>
    <w:rsid w:val="004F42D8"/>
    <w:rsid w:val="00501472"/>
    <w:rsid w:val="00512916"/>
    <w:rsid w:val="00514630"/>
    <w:rsid w:val="00526FE2"/>
    <w:rsid w:val="00544BCB"/>
    <w:rsid w:val="00551364"/>
    <w:rsid w:val="00560037"/>
    <w:rsid w:val="00567F72"/>
    <w:rsid w:val="005A7C12"/>
    <w:rsid w:val="005B2D54"/>
    <w:rsid w:val="005B726F"/>
    <w:rsid w:val="005C5BFC"/>
    <w:rsid w:val="005E7FA1"/>
    <w:rsid w:val="006024DD"/>
    <w:rsid w:val="00602577"/>
    <w:rsid w:val="00602897"/>
    <w:rsid w:val="00610AF0"/>
    <w:rsid w:val="006370F2"/>
    <w:rsid w:val="006522BA"/>
    <w:rsid w:val="00692B15"/>
    <w:rsid w:val="00694356"/>
    <w:rsid w:val="00697188"/>
    <w:rsid w:val="006D3E67"/>
    <w:rsid w:val="006D6CE1"/>
    <w:rsid w:val="006E2138"/>
    <w:rsid w:val="006E4069"/>
    <w:rsid w:val="0071615A"/>
    <w:rsid w:val="007236E1"/>
    <w:rsid w:val="007246D6"/>
    <w:rsid w:val="007302C3"/>
    <w:rsid w:val="00745912"/>
    <w:rsid w:val="00771669"/>
    <w:rsid w:val="00782536"/>
    <w:rsid w:val="007839BE"/>
    <w:rsid w:val="007A3E56"/>
    <w:rsid w:val="007A5D3E"/>
    <w:rsid w:val="007C65CF"/>
    <w:rsid w:val="007E7E78"/>
    <w:rsid w:val="007F0344"/>
    <w:rsid w:val="00800561"/>
    <w:rsid w:val="00800A7E"/>
    <w:rsid w:val="00821736"/>
    <w:rsid w:val="00831D86"/>
    <w:rsid w:val="00831F18"/>
    <w:rsid w:val="00835F36"/>
    <w:rsid w:val="00845A41"/>
    <w:rsid w:val="00863716"/>
    <w:rsid w:val="008801BD"/>
    <w:rsid w:val="008963C3"/>
    <w:rsid w:val="008B4870"/>
    <w:rsid w:val="008D2683"/>
    <w:rsid w:val="008E349F"/>
    <w:rsid w:val="00934C1E"/>
    <w:rsid w:val="00944DA3"/>
    <w:rsid w:val="0096135E"/>
    <w:rsid w:val="009737C2"/>
    <w:rsid w:val="009841E6"/>
    <w:rsid w:val="0098782F"/>
    <w:rsid w:val="00990AFE"/>
    <w:rsid w:val="00997435"/>
    <w:rsid w:val="009A5B9A"/>
    <w:rsid w:val="009B4B8F"/>
    <w:rsid w:val="009C2429"/>
    <w:rsid w:val="009C3A5A"/>
    <w:rsid w:val="009C6FE0"/>
    <w:rsid w:val="009F2F86"/>
    <w:rsid w:val="009F33C6"/>
    <w:rsid w:val="009F6AB0"/>
    <w:rsid w:val="00A0622E"/>
    <w:rsid w:val="00A06962"/>
    <w:rsid w:val="00A1217B"/>
    <w:rsid w:val="00A17C22"/>
    <w:rsid w:val="00A22D46"/>
    <w:rsid w:val="00A3333C"/>
    <w:rsid w:val="00A35909"/>
    <w:rsid w:val="00AD149D"/>
    <w:rsid w:val="00AE1CB8"/>
    <w:rsid w:val="00AE6D99"/>
    <w:rsid w:val="00B04F36"/>
    <w:rsid w:val="00B24003"/>
    <w:rsid w:val="00B31254"/>
    <w:rsid w:val="00B54821"/>
    <w:rsid w:val="00B6623C"/>
    <w:rsid w:val="00B83664"/>
    <w:rsid w:val="00B9462B"/>
    <w:rsid w:val="00BB3D89"/>
    <w:rsid w:val="00BC1405"/>
    <w:rsid w:val="00BD40AD"/>
    <w:rsid w:val="00BE44BF"/>
    <w:rsid w:val="00C0760B"/>
    <w:rsid w:val="00C362AC"/>
    <w:rsid w:val="00C70DBE"/>
    <w:rsid w:val="00C84B2E"/>
    <w:rsid w:val="00C8661E"/>
    <w:rsid w:val="00C87B27"/>
    <w:rsid w:val="00C95391"/>
    <w:rsid w:val="00C97A59"/>
    <w:rsid w:val="00CA0055"/>
    <w:rsid w:val="00CB58CE"/>
    <w:rsid w:val="00CC4374"/>
    <w:rsid w:val="00CC5B8A"/>
    <w:rsid w:val="00CD15E7"/>
    <w:rsid w:val="00CF5088"/>
    <w:rsid w:val="00D163B6"/>
    <w:rsid w:val="00D17DC0"/>
    <w:rsid w:val="00D216CD"/>
    <w:rsid w:val="00D375A7"/>
    <w:rsid w:val="00D42C48"/>
    <w:rsid w:val="00D50EA8"/>
    <w:rsid w:val="00D60EFF"/>
    <w:rsid w:val="00DE6051"/>
    <w:rsid w:val="00E16065"/>
    <w:rsid w:val="00E63C45"/>
    <w:rsid w:val="00E71994"/>
    <w:rsid w:val="00E812CF"/>
    <w:rsid w:val="00E82559"/>
    <w:rsid w:val="00EA13FA"/>
    <w:rsid w:val="00EA44FC"/>
    <w:rsid w:val="00EC5590"/>
    <w:rsid w:val="00ED4069"/>
    <w:rsid w:val="00EE19C0"/>
    <w:rsid w:val="00EE1C00"/>
    <w:rsid w:val="00EE51E2"/>
    <w:rsid w:val="00EE6CA1"/>
    <w:rsid w:val="00F07858"/>
    <w:rsid w:val="00F241BF"/>
    <w:rsid w:val="00F26F1D"/>
    <w:rsid w:val="00F51C59"/>
    <w:rsid w:val="00F63D9D"/>
    <w:rsid w:val="00F8382D"/>
    <w:rsid w:val="00F874BC"/>
    <w:rsid w:val="00FA5926"/>
    <w:rsid w:val="00FA5C98"/>
    <w:rsid w:val="00FB49A5"/>
    <w:rsid w:val="00FE0D8D"/>
    <w:rsid w:val="00FF2B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54"/>
    <w:rPr>
      <w:sz w:val="22"/>
    </w:rPr>
  </w:style>
  <w:style w:type="paragraph" w:styleId="Heading1">
    <w:name w:val="heading 1"/>
    <w:basedOn w:val="Normal"/>
    <w:next w:val="Normal"/>
    <w:qFormat/>
    <w:rsid w:val="00B3125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B31254"/>
    <w:pPr>
      <w:keepNext/>
      <w:widowControl w:val="0"/>
      <w:numPr>
        <w:ilvl w:val="1"/>
        <w:numId w:val="2"/>
      </w:numPr>
      <w:spacing w:after="220"/>
      <w:jc w:val="both"/>
      <w:outlineLvl w:val="1"/>
    </w:pPr>
    <w:rPr>
      <w:b/>
    </w:rPr>
  </w:style>
  <w:style w:type="paragraph" w:styleId="Heading3">
    <w:name w:val="heading 3"/>
    <w:basedOn w:val="Normal"/>
    <w:next w:val="Normal"/>
    <w:qFormat/>
    <w:rsid w:val="00B31254"/>
    <w:pPr>
      <w:keepNext/>
      <w:widowControl w:val="0"/>
      <w:numPr>
        <w:ilvl w:val="2"/>
        <w:numId w:val="2"/>
      </w:numPr>
      <w:spacing w:after="220"/>
      <w:jc w:val="both"/>
      <w:outlineLvl w:val="2"/>
    </w:pPr>
    <w:rPr>
      <w:b/>
    </w:rPr>
  </w:style>
  <w:style w:type="paragraph" w:styleId="Heading4">
    <w:name w:val="heading 4"/>
    <w:basedOn w:val="Normal"/>
    <w:next w:val="Normal"/>
    <w:qFormat/>
    <w:rsid w:val="00B31254"/>
    <w:pPr>
      <w:keepNext/>
      <w:widowControl w:val="0"/>
      <w:numPr>
        <w:ilvl w:val="3"/>
        <w:numId w:val="2"/>
      </w:numPr>
      <w:spacing w:after="220"/>
      <w:jc w:val="both"/>
      <w:outlineLvl w:val="3"/>
    </w:pPr>
    <w:rPr>
      <w:b/>
    </w:rPr>
  </w:style>
  <w:style w:type="paragraph" w:styleId="Heading5">
    <w:name w:val="heading 5"/>
    <w:basedOn w:val="Normal"/>
    <w:next w:val="Normal"/>
    <w:qFormat/>
    <w:rsid w:val="00B3125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B31254"/>
    <w:pPr>
      <w:widowControl w:val="0"/>
      <w:numPr>
        <w:ilvl w:val="5"/>
        <w:numId w:val="2"/>
      </w:numPr>
      <w:spacing w:after="220"/>
      <w:jc w:val="both"/>
      <w:outlineLvl w:val="5"/>
    </w:pPr>
    <w:rPr>
      <w:b/>
    </w:rPr>
  </w:style>
  <w:style w:type="paragraph" w:styleId="Heading7">
    <w:name w:val="heading 7"/>
    <w:basedOn w:val="Normal"/>
    <w:next w:val="Normal"/>
    <w:qFormat/>
    <w:rsid w:val="00B31254"/>
    <w:pPr>
      <w:widowControl w:val="0"/>
      <w:numPr>
        <w:ilvl w:val="7"/>
        <w:numId w:val="2"/>
      </w:numPr>
      <w:spacing w:after="220"/>
      <w:jc w:val="both"/>
      <w:outlineLvl w:val="6"/>
    </w:pPr>
    <w:rPr>
      <w:b/>
    </w:rPr>
  </w:style>
  <w:style w:type="paragraph" w:styleId="Heading8">
    <w:name w:val="heading 8"/>
    <w:basedOn w:val="Normal"/>
    <w:next w:val="Normal"/>
    <w:qFormat/>
    <w:rsid w:val="00B3125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B3125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254"/>
    <w:pPr>
      <w:tabs>
        <w:tab w:val="center" w:pos="4320"/>
        <w:tab w:val="right" w:pos="8640"/>
      </w:tabs>
    </w:pPr>
  </w:style>
  <w:style w:type="paragraph" w:styleId="Footer">
    <w:name w:val="footer"/>
    <w:basedOn w:val="Normal"/>
    <w:link w:val="FooterChar"/>
    <w:rsid w:val="00B31254"/>
    <w:pPr>
      <w:tabs>
        <w:tab w:val="center" w:pos="4320"/>
        <w:tab w:val="right" w:pos="8640"/>
      </w:tabs>
    </w:pPr>
  </w:style>
  <w:style w:type="character" w:styleId="Hyperlink">
    <w:name w:val="Hyperlink"/>
    <w:rsid w:val="00B31254"/>
    <w:rPr>
      <w:color w:val="0000FF"/>
      <w:u w:val="single"/>
    </w:rPr>
  </w:style>
  <w:style w:type="paragraph" w:styleId="BlockText">
    <w:name w:val="Block Text"/>
    <w:basedOn w:val="Normal"/>
    <w:semiHidden/>
    <w:rsid w:val="00B31254"/>
    <w:pPr>
      <w:widowControl w:val="0"/>
      <w:spacing w:after="220"/>
      <w:ind w:left="1440" w:right="1440"/>
      <w:jc w:val="both"/>
    </w:pPr>
  </w:style>
  <w:style w:type="paragraph" w:customStyle="1" w:styleId="Bullet">
    <w:name w:val="Bullet"/>
    <w:basedOn w:val="Normal"/>
    <w:rsid w:val="00B31254"/>
    <w:pPr>
      <w:widowControl w:val="0"/>
      <w:numPr>
        <w:numId w:val="1"/>
      </w:numPr>
      <w:tabs>
        <w:tab w:val="clear" w:pos="2520"/>
      </w:tabs>
      <w:spacing w:after="220"/>
      <w:ind w:left="2160" w:hanging="720"/>
      <w:jc w:val="both"/>
    </w:pPr>
  </w:style>
  <w:style w:type="paragraph" w:styleId="Caption">
    <w:name w:val="caption"/>
    <w:basedOn w:val="Normal"/>
    <w:next w:val="Normal"/>
    <w:qFormat/>
    <w:rsid w:val="00B31254"/>
    <w:pPr>
      <w:spacing w:before="120" w:after="120"/>
    </w:pPr>
    <w:rPr>
      <w:b/>
    </w:rPr>
  </w:style>
  <w:style w:type="character" w:styleId="FootnoteReference">
    <w:name w:val="footnote reference"/>
    <w:semiHidden/>
    <w:rsid w:val="00B31254"/>
    <w:rPr>
      <w:vertAlign w:val="superscript"/>
    </w:rPr>
  </w:style>
  <w:style w:type="paragraph" w:styleId="FootnoteText">
    <w:name w:val="footnote text"/>
    <w:basedOn w:val="Normal"/>
    <w:semiHidden/>
    <w:rsid w:val="00B31254"/>
    <w:pPr>
      <w:tabs>
        <w:tab w:val="left" w:pos="720"/>
      </w:tabs>
      <w:spacing w:after="200"/>
    </w:pPr>
  </w:style>
  <w:style w:type="paragraph" w:customStyle="1" w:styleId="NumberedList">
    <w:name w:val="Numbered List"/>
    <w:basedOn w:val="Normal"/>
    <w:rsid w:val="00B31254"/>
    <w:pPr>
      <w:numPr>
        <w:numId w:val="11"/>
      </w:numPr>
      <w:tabs>
        <w:tab w:val="clear" w:pos="1080"/>
      </w:tabs>
      <w:spacing w:after="220"/>
      <w:ind w:firstLine="0"/>
    </w:pPr>
  </w:style>
  <w:style w:type="paragraph" w:customStyle="1" w:styleId="Paranum">
    <w:name w:val="Paranum"/>
    <w:basedOn w:val="Normal"/>
    <w:rsid w:val="00B31254"/>
    <w:pPr>
      <w:widowControl w:val="0"/>
      <w:numPr>
        <w:numId w:val="12"/>
      </w:numPr>
      <w:tabs>
        <w:tab w:val="clear" w:pos="1080"/>
      </w:tabs>
      <w:spacing w:after="220"/>
      <w:jc w:val="both"/>
    </w:pPr>
  </w:style>
  <w:style w:type="paragraph" w:customStyle="1" w:styleId="TableFormat">
    <w:name w:val="Table Format"/>
    <w:basedOn w:val="Normal"/>
    <w:rsid w:val="00B31254"/>
    <w:pPr>
      <w:widowControl w:val="0"/>
      <w:tabs>
        <w:tab w:val="left" w:pos="5040"/>
      </w:tabs>
      <w:spacing w:after="220"/>
      <w:ind w:left="5040" w:hanging="3600"/>
      <w:jc w:val="both"/>
    </w:pPr>
  </w:style>
  <w:style w:type="paragraph" w:styleId="TOC1">
    <w:name w:val="toc 1"/>
    <w:basedOn w:val="Normal"/>
    <w:next w:val="Normal"/>
    <w:autoRedefine/>
    <w:semiHidden/>
    <w:rsid w:val="00B31254"/>
    <w:rPr>
      <w:caps/>
    </w:rPr>
  </w:style>
  <w:style w:type="character" w:styleId="FollowedHyperlink">
    <w:name w:val="FollowedHyperlink"/>
    <w:semiHidden/>
    <w:rsid w:val="00B31254"/>
    <w:rPr>
      <w:color w:val="800080"/>
      <w:u w:val="single"/>
    </w:rPr>
  </w:style>
  <w:style w:type="paragraph" w:styleId="BalloonText">
    <w:name w:val="Balloon Text"/>
    <w:basedOn w:val="Normal"/>
    <w:link w:val="BalloonTextChar"/>
    <w:uiPriority w:val="99"/>
    <w:semiHidden/>
    <w:unhideWhenUsed/>
    <w:rsid w:val="00730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2C3"/>
    <w:rPr>
      <w:rFonts w:ascii="Segoe UI" w:hAnsi="Segoe UI" w:cs="Segoe UI"/>
      <w:sz w:val="18"/>
      <w:szCs w:val="18"/>
    </w:rPr>
  </w:style>
  <w:style w:type="character" w:styleId="CommentReference">
    <w:name w:val="annotation reference"/>
    <w:basedOn w:val="DefaultParagraphFont"/>
    <w:uiPriority w:val="99"/>
    <w:semiHidden/>
    <w:unhideWhenUsed/>
    <w:rsid w:val="009F2F86"/>
    <w:rPr>
      <w:sz w:val="16"/>
      <w:szCs w:val="16"/>
    </w:rPr>
  </w:style>
  <w:style w:type="paragraph" w:styleId="CommentText">
    <w:name w:val="annotation text"/>
    <w:basedOn w:val="Normal"/>
    <w:link w:val="CommentTextChar"/>
    <w:uiPriority w:val="99"/>
    <w:semiHidden/>
    <w:unhideWhenUsed/>
    <w:rsid w:val="009F2F86"/>
    <w:rPr>
      <w:sz w:val="20"/>
    </w:rPr>
  </w:style>
  <w:style w:type="character" w:customStyle="1" w:styleId="CommentTextChar">
    <w:name w:val="Comment Text Char"/>
    <w:basedOn w:val="DefaultParagraphFont"/>
    <w:link w:val="CommentText"/>
    <w:uiPriority w:val="99"/>
    <w:semiHidden/>
    <w:rsid w:val="009F2F86"/>
  </w:style>
  <w:style w:type="paragraph" w:styleId="CommentSubject">
    <w:name w:val="annotation subject"/>
    <w:basedOn w:val="CommentText"/>
    <w:next w:val="CommentText"/>
    <w:link w:val="CommentSubjectChar"/>
    <w:uiPriority w:val="99"/>
    <w:semiHidden/>
    <w:unhideWhenUsed/>
    <w:rsid w:val="009F2F86"/>
    <w:rPr>
      <w:b/>
      <w:bCs/>
    </w:rPr>
  </w:style>
  <w:style w:type="character" w:customStyle="1" w:styleId="CommentSubjectChar">
    <w:name w:val="Comment Subject Char"/>
    <w:basedOn w:val="CommentTextChar"/>
    <w:link w:val="CommentSubject"/>
    <w:uiPriority w:val="99"/>
    <w:semiHidden/>
    <w:rsid w:val="009F2F86"/>
    <w:rPr>
      <w:b/>
      <w:bCs/>
    </w:rPr>
  </w:style>
  <w:style w:type="paragraph" w:styleId="EndnoteText">
    <w:name w:val="endnote text"/>
    <w:basedOn w:val="Normal"/>
    <w:link w:val="EndnoteTextChar"/>
    <w:uiPriority w:val="99"/>
    <w:semiHidden/>
    <w:unhideWhenUsed/>
    <w:rsid w:val="00023536"/>
    <w:rPr>
      <w:sz w:val="20"/>
    </w:rPr>
  </w:style>
  <w:style w:type="character" w:customStyle="1" w:styleId="EndnoteTextChar">
    <w:name w:val="Endnote Text Char"/>
    <w:basedOn w:val="DefaultParagraphFont"/>
    <w:link w:val="EndnoteText"/>
    <w:uiPriority w:val="99"/>
    <w:semiHidden/>
    <w:rsid w:val="00023536"/>
  </w:style>
  <w:style w:type="character" w:styleId="EndnoteReference">
    <w:name w:val="endnote reference"/>
    <w:basedOn w:val="DefaultParagraphFont"/>
    <w:uiPriority w:val="99"/>
    <w:semiHidden/>
    <w:unhideWhenUsed/>
    <w:rsid w:val="00023536"/>
    <w:rPr>
      <w:vertAlign w:val="superscript"/>
    </w:rPr>
  </w:style>
  <w:style w:type="character" w:customStyle="1" w:styleId="FooterChar">
    <w:name w:val="Footer Char"/>
    <w:basedOn w:val="DefaultParagraphFont"/>
    <w:link w:val="Footer"/>
    <w:rsid w:val="001B2559"/>
    <w:rPr>
      <w:sz w:val="22"/>
    </w:rPr>
  </w:style>
  <w:style w:type="character" w:customStyle="1" w:styleId="HeaderChar">
    <w:name w:val="Header Char"/>
    <w:basedOn w:val="DefaultParagraphFont"/>
    <w:link w:val="Header"/>
    <w:rsid w:val="001B2559"/>
    <w:rPr>
      <w:sz w:val="22"/>
    </w:rPr>
  </w:style>
  <w:style w:type="paragraph" w:styleId="Revision">
    <w:name w:val="Revision"/>
    <w:hidden/>
    <w:uiPriority w:val="99"/>
    <w:semiHidden/>
    <w:rsid w:val="005B2D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AABD-177C-428C-8238-464A5953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2018-02-08T19:15:27Z</dcterms:created>
  <dcterms:modified xsi:type="dcterms:W3CDTF">2018-02-08T19:15:27Z</dcterms:modified>
</cp:coreProperties>
</file>