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18-</w:t>
      </w:r>
      <w:r w:rsidR="00A053E1">
        <w:rPr>
          <w:b/>
          <w:sz w:val="24"/>
        </w:rPr>
        <w:t>1288</w:t>
      </w:r>
    </w:p>
    <w:p w:rsidR="00013A8B" w:rsidRPr="00B20363" w:rsidP="00013A8B">
      <w:pPr>
        <w:spacing w:before="60"/>
        <w:jc w:val="right"/>
        <w:rPr>
          <w:b/>
          <w:sz w:val="24"/>
        </w:rPr>
      </w:pPr>
      <w:bookmarkStart w:id="0" w:name="_GoBack"/>
      <w:bookmarkEnd w:id="0"/>
      <w:r>
        <w:rPr>
          <w:b/>
          <w:sz w:val="24"/>
        </w:rPr>
        <w:t xml:space="preserve">Released:  </w:t>
      </w:r>
      <w:r w:rsidR="004142E8">
        <w:rPr>
          <w:b/>
          <w:sz w:val="24"/>
        </w:rPr>
        <w:t>December 2</w:t>
      </w:r>
      <w:r w:rsidR="00CE78B0">
        <w:rPr>
          <w:b/>
          <w:sz w:val="24"/>
        </w:rPr>
        <w:t>0</w:t>
      </w:r>
      <w:r w:rsidR="004142E8">
        <w:rPr>
          <w:b/>
          <w:sz w:val="24"/>
        </w:rPr>
        <w:t>, 2018</w:t>
      </w:r>
    </w:p>
    <w:p w:rsidR="00013A8B" w:rsidP="00013A8B">
      <w:pPr>
        <w:jc w:val="right"/>
        <w:rPr>
          <w:sz w:val="24"/>
        </w:rPr>
      </w:pPr>
    </w:p>
    <w:p w:rsidR="00C701A6" w:rsidP="00D2447D">
      <w:pPr>
        <w:jc w:val="center"/>
        <w:rPr>
          <w:b/>
          <w:snapToGrid/>
          <w:color w:val="000000"/>
          <w:kern w:val="0"/>
          <w:sz w:val="24"/>
          <w:szCs w:val="24"/>
        </w:rPr>
      </w:pPr>
      <w:r>
        <w:rPr>
          <w:b/>
          <w:snapToGrid/>
          <w:color w:val="000000"/>
          <w:kern w:val="0"/>
          <w:sz w:val="24"/>
          <w:szCs w:val="24"/>
        </w:rPr>
        <w:t xml:space="preserve">NOTICE OF </w:t>
      </w:r>
      <w:r>
        <w:rPr>
          <w:b/>
          <w:snapToGrid/>
          <w:color w:val="000000"/>
          <w:kern w:val="0"/>
          <w:sz w:val="24"/>
          <w:szCs w:val="24"/>
        </w:rPr>
        <w:t xml:space="preserve">NON-STREAMLINED </w:t>
      </w:r>
    </w:p>
    <w:p w:rsidR="00013A8B" w:rsidP="00D2447D">
      <w:pPr>
        <w:jc w:val="center"/>
        <w:rPr>
          <w:b/>
          <w:snapToGrid/>
          <w:color w:val="000000"/>
          <w:kern w:val="0"/>
          <w:sz w:val="24"/>
          <w:szCs w:val="24"/>
        </w:rPr>
      </w:pPr>
      <w:r>
        <w:rPr>
          <w:b/>
          <w:snapToGrid/>
          <w:color w:val="000000"/>
          <w:kern w:val="0"/>
          <w:sz w:val="24"/>
          <w:szCs w:val="24"/>
        </w:rPr>
        <w:t>DOMESTIC SECTION 214 AUTHORIZATIONS GRANTED</w:t>
      </w:r>
    </w:p>
    <w:p w:rsidR="00D2447D" w:rsidRPr="00B20363" w:rsidP="00D2447D">
      <w:pPr>
        <w:jc w:val="center"/>
        <w:rPr>
          <w:rFonts w:ascii="Times New Roman Bold" w:hAnsi="Times New Roman Bold"/>
          <w:b/>
          <w:caps/>
          <w:sz w:val="24"/>
        </w:rPr>
      </w:pPr>
    </w:p>
    <w:p w:rsidR="00013A8B" w:rsidP="00013A8B">
      <w:pPr>
        <w:jc w:val="center"/>
        <w:rPr>
          <w:b/>
          <w:sz w:val="24"/>
        </w:rPr>
      </w:pPr>
      <w:r>
        <w:rPr>
          <w:b/>
          <w:szCs w:val="22"/>
        </w:rPr>
        <w:t>WC Docket Nos. 18-107, 18-108, 18-109, 18-110, 18-111, 18-112, 18-317, 18-318</w:t>
      </w:r>
    </w:p>
    <w:p w:rsidR="00F96F63" w:rsidRPr="00930ECF" w:rsidP="00F96F63">
      <w:pPr>
        <w:rPr>
          <w:sz w:val="24"/>
        </w:rPr>
      </w:pPr>
      <w:bookmarkStart w:id="1" w:name="TOChere"/>
    </w:p>
    <w:bookmarkEnd w:id="1"/>
    <w:p w:rsidR="00D2447D" w:rsidP="004142E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00"/>
          <w:kern w:val="0"/>
          <w:szCs w:val="22"/>
        </w:rPr>
      </w:pPr>
      <w:r>
        <w:rPr>
          <w:snapToGrid/>
          <w:color w:val="000000"/>
          <w:kern w:val="0"/>
          <w:szCs w:val="22"/>
        </w:rPr>
        <w:tab/>
      </w:r>
      <w:r w:rsidR="00420132">
        <w:rPr>
          <w:snapToGrid/>
          <w:color w:val="000000"/>
          <w:kern w:val="0"/>
          <w:szCs w:val="22"/>
        </w:rPr>
        <w:t xml:space="preserve">By </w:t>
      </w:r>
      <w:r>
        <w:rPr>
          <w:snapToGrid/>
          <w:color w:val="000000"/>
          <w:kern w:val="0"/>
          <w:szCs w:val="22"/>
        </w:rPr>
        <w:t>t</w:t>
      </w:r>
      <w:r w:rsidR="00420132">
        <w:rPr>
          <w:snapToGrid/>
          <w:color w:val="000000"/>
          <w:kern w:val="0"/>
          <w:szCs w:val="22"/>
        </w:rPr>
        <w:t>his Public Notice, t</w:t>
      </w:r>
      <w:r w:rsidR="004142E8">
        <w:rPr>
          <w:snapToGrid/>
          <w:color w:val="000000"/>
          <w:kern w:val="0"/>
          <w:szCs w:val="22"/>
        </w:rPr>
        <w:t>he Wireline Competition Bureau (Bureau) grant</w:t>
      </w:r>
      <w:r w:rsidR="00420132">
        <w:rPr>
          <w:snapToGrid/>
          <w:color w:val="000000"/>
          <w:kern w:val="0"/>
          <w:szCs w:val="22"/>
        </w:rPr>
        <w:t>s</w:t>
      </w:r>
      <w:r w:rsidR="004142E8">
        <w:rPr>
          <w:snapToGrid/>
          <w:color w:val="000000"/>
          <w:kern w:val="0"/>
          <w:szCs w:val="22"/>
        </w:rPr>
        <w:t xml:space="preserve"> the applications listed </w:t>
      </w:r>
      <w:r w:rsidR="00420132">
        <w:rPr>
          <w:snapToGrid/>
          <w:color w:val="000000"/>
          <w:kern w:val="0"/>
          <w:szCs w:val="22"/>
        </w:rPr>
        <w:t>below and filed by</w:t>
      </w:r>
      <w:r>
        <w:rPr>
          <w:snapToGrid/>
          <w:color w:val="000000"/>
          <w:kern w:val="0"/>
          <w:szCs w:val="22"/>
        </w:rPr>
        <w:t xml:space="preserve"> </w:t>
      </w:r>
      <w:r w:rsidR="00420132">
        <w:rPr>
          <w:snapToGrid/>
          <w:color w:val="000000"/>
          <w:kern w:val="0"/>
          <w:szCs w:val="22"/>
        </w:rPr>
        <w:t>various interexchange resellers</w:t>
      </w:r>
      <w:r>
        <w:rPr>
          <w:snapToGrid/>
          <w:color w:val="000000"/>
          <w:kern w:val="0"/>
          <w:szCs w:val="22"/>
        </w:rPr>
        <w:t xml:space="preserve"> (collectively, Licensees)</w:t>
      </w:r>
      <w:r w:rsidR="00420132">
        <w:rPr>
          <w:snapToGrid/>
          <w:color w:val="000000"/>
          <w:kern w:val="0"/>
          <w:szCs w:val="22"/>
        </w:rPr>
        <w:t xml:space="preserve"> and the Estate of Martin J. Tibbitts</w:t>
      </w:r>
      <w:r>
        <w:rPr>
          <w:snapToGrid/>
          <w:color w:val="000000"/>
          <w:kern w:val="0"/>
          <w:szCs w:val="22"/>
        </w:rPr>
        <w:t xml:space="preserve"> (Estate, together with Licensees, Applicants),</w:t>
      </w:r>
      <w:r w:rsidR="004142E8">
        <w:rPr>
          <w:snapToGrid/>
          <w:color w:val="000000"/>
          <w:kern w:val="0"/>
          <w:szCs w:val="22"/>
        </w:rPr>
        <w:t xml:space="preserve"> </w:t>
      </w:r>
      <w:r>
        <w:rPr>
          <w:szCs w:val="22"/>
        </w:rPr>
        <w:t xml:space="preserve">pursuant to section 214 of the Communications Act of 1934, as amended, and sections 63.03-04 of the Commission’s rules, </w:t>
      </w:r>
      <w:r>
        <w:rPr>
          <w:rFonts w:ascii="TimesNewRomanPSMT" w:hAnsi="TimesNewRomanPSMT" w:cs="TimesNewRomanPSMT"/>
          <w:szCs w:val="22"/>
        </w:rPr>
        <w:t>requesting consent to the transfer of control of the Licensees to the Estate</w:t>
      </w:r>
      <w:r w:rsidR="004142E8">
        <w:rPr>
          <w:snapToGrid/>
          <w:color w:val="000000"/>
          <w:kern w:val="0"/>
          <w:szCs w:val="22"/>
        </w:rPr>
        <w:t>.</w:t>
      </w:r>
      <w:r>
        <w:rPr>
          <w:snapToGrid/>
          <w:color w:val="000000"/>
          <w:kern w:val="0"/>
          <w:szCs w:val="22"/>
          <w:vertAlign w:val="superscript"/>
        </w:rPr>
        <w:footnoteReference w:id="3"/>
      </w:r>
      <w:r w:rsidR="004142E8">
        <w:rPr>
          <w:snapToGrid/>
          <w:color w:val="000000"/>
          <w:kern w:val="0"/>
          <w:szCs w:val="22"/>
        </w:rPr>
        <w:t xml:space="preserve">  </w:t>
      </w:r>
      <w:r>
        <w:rPr>
          <w:snapToGrid/>
          <w:color w:val="000000"/>
          <w:kern w:val="0"/>
          <w:szCs w:val="22"/>
        </w:rPr>
        <w:t>No comment</w:t>
      </w:r>
      <w:r w:rsidR="00AC0EFD">
        <w:rPr>
          <w:snapToGrid/>
          <w:color w:val="000000"/>
          <w:kern w:val="0"/>
          <w:szCs w:val="22"/>
        </w:rPr>
        <w:t>er opposed grant</w:t>
      </w:r>
      <w:r>
        <w:rPr>
          <w:snapToGrid/>
          <w:color w:val="000000"/>
          <w:kern w:val="0"/>
          <w:szCs w:val="22"/>
        </w:rPr>
        <w:t xml:space="preserve"> of the applications.  </w:t>
      </w:r>
    </w:p>
    <w:p w:rsidR="00D2447D" w:rsidP="004142E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00"/>
          <w:kern w:val="0"/>
          <w:szCs w:val="22"/>
        </w:rPr>
      </w:pPr>
    </w:p>
    <w:p w:rsidR="004142E8" w:rsidP="004142E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r>
      <w:r w:rsidRPr="00D2447D">
        <w:rPr>
          <w:snapToGrid/>
          <w:kern w:val="0"/>
          <w:szCs w:val="24"/>
        </w:rPr>
        <w:t>The Bureau finds, upon consideration of the record, that the proposed transfer</w:t>
      </w:r>
      <w:r w:rsidR="00CE78B0">
        <w:rPr>
          <w:snapToGrid/>
          <w:kern w:val="0"/>
          <w:szCs w:val="24"/>
        </w:rPr>
        <w:t>s</w:t>
      </w:r>
      <w:r w:rsidRPr="00D2447D">
        <w:rPr>
          <w:snapToGrid/>
          <w:kern w:val="0"/>
          <w:szCs w:val="24"/>
        </w:rPr>
        <w:t xml:space="preserve"> will serve the public interest, convenience, and necessity and, therefore, grants the requested authorization</w:t>
      </w:r>
      <w:r w:rsidR="00CE78B0">
        <w:rPr>
          <w:snapToGrid/>
          <w:kern w:val="0"/>
          <w:szCs w:val="24"/>
        </w:rPr>
        <w:t>s</w:t>
      </w:r>
      <w:r w:rsidRPr="00D2447D">
        <w:rPr>
          <w:snapToGrid/>
          <w:kern w:val="0"/>
          <w:szCs w:val="24"/>
        </w:rPr>
        <w:t>.</w:t>
      </w:r>
      <w:r>
        <w:rPr>
          <w:snapToGrid/>
          <w:kern w:val="0"/>
          <w:vertAlign w:val="superscript"/>
        </w:rPr>
        <w:footnoteReference w:id="4"/>
      </w:r>
      <w:r w:rsidRPr="00D2447D">
        <w:rPr>
          <w:snapToGrid/>
          <w:kern w:val="0"/>
          <w:szCs w:val="24"/>
        </w:rPr>
        <w:t xml:space="preserve">  Pursuant to section 1.103 of the Commission’s rules, 47 CFR § 1.103, the consent granted herein is effective upon the release of the Public Notice.  Petitions for reconsideration under section 1.106 or applications for review under section 1</w:t>
      </w:r>
      <w:r w:rsidR="00CE78B0">
        <w:rPr>
          <w:snapToGrid/>
          <w:kern w:val="0"/>
          <w:szCs w:val="24"/>
        </w:rPr>
        <w:t xml:space="preserve">.115 of the Commission’s rules </w:t>
      </w:r>
      <w:r w:rsidRPr="00D2447D">
        <w:rPr>
          <w:snapToGrid/>
          <w:kern w:val="0"/>
          <w:szCs w:val="24"/>
        </w:rPr>
        <w:t>may be filed within 30 days of the date of this Public Notice.</w:t>
      </w:r>
      <w:r>
        <w:rPr>
          <w:rStyle w:val="FootnoteReference"/>
          <w:snapToGrid/>
          <w:kern w:val="0"/>
          <w:szCs w:val="24"/>
        </w:rPr>
        <w:footnoteReference w:id="5"/>
      </w:r>
    </w:p>
    <w:p w:rsidR="004142E8" w:rsidP="004142E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4142E8" w:rsidRPr="00CE78B0" w:rsidP="00CE78B0">
      <w:pPr>
        <w:autoSpaceDE w:val="0"/>
        <w:autoSpaceDN w:val="0"/>
        <w:adjustRightInd w:val="0"/>
        <w:ind w:left="450" w:right="270"/>
        <w:rPr>
          <w:szCs w:val="22"/>
        </w:rPr>
      </w:pPr>
      <w:r>
        <w:rPr>
          <w:szCs w:val="22"/>
        </w:rPr>
        <w:t>Domestic Section 214 Applications Filed for the Transfer of Control of Interexchange Resellers to Martin Tibbitts, WC Docket Nos. 18-107, 18-108, 18-109, 18-110, 18-111, 18-112</w:t>
      </w:r>
      <w:r w:rsidR="00CE78B0">
        <w:rPr>
          <w:szCs w:val="22"/>
        </w:rPr>
        <w:t xml:space="preserve">, Public Notice, DA 18-725 </w:t>
      </w:r>
      <w:r>
        <w:rPr>
          <w:snapToGrid/>
          <w:kern w:val="0"/>
          <w:szCs w:val="22"/>
        </w:rPr>
        <w:t>(WCB July 12</w:t>
      </w:r>
      <w:r w:rsidRPr="00532F9E">
        <w:rPr>
          <w:snapToGrid/>
          <w:kern w:val="0"/>
          <w:szCs w:val="22"/>
        </w:rPr>
        <w:t>, 201</w:t>
      </w:r>
      <w:r>
        <w:rPr>
          <w:snapToGrid/>
          <w:kern w:val="0"/>
          <w:szCs w:val="22"/>
        </w:rPr>
        <w:t>8</w:t>
      </w:r>
      <w:r w:rsidRPr="00532F9E">
        <w:rPr>
          <w:snapToGrid/>
          <w:kern w:val="0"/>
          <w:szCs w:val="22"/>
        </w:rPr>
        <w:t>).</w:t>
      </w:r>
    </w:p>
    <w:p w:rsidR="004142E8" w:rsidP="004142E8">
      <w:pPr>
        <w:widowControl/>
        <w:autoSpaceDE w:val="0"/>
        <w:autoSpaceDN w:val="0"/>
        <w:adjustRightInd w:val="0"/>
        <w:ind w:left="450"/>
        <w:rPr>
          <w:snapToGrid/>
          <w:kern w:val="0"/>
          <w:szCs w:val="22"/>
        </w:rPr>
      </w:pPr>
    </w:p>
    <w:p w:rsidR="004142E8" w:rsidRPr="008064F7" w:rsidP="004142E8">
      <w:pPr>
        <w:widowControl/>
        <w:autoSpaceDE w:val="0"/>
        <w:autoSpaceDN w:val="0"/>
        <w:adjustRightInd w:val="0"/>
        <w:ind w:left="450"/>
        <w:rPr>
          <w:snapToGrid/>
          <w:kern w:val="0"/>
          <w:szCs w:val="22"/>
        </w:rPr>
      </w:pPr>
      <w:r>
        <w:rPr>
          <w:szCs w:val="22"/>
        </w:rPr>
        <w:t>Domestic Section 214 Applications Filed for the Transfer of Control of Interexchange Resellers to the Estate of Martin J. Tibbitts, WC Docket Nos. 18-317, 18-318</w:t>
      </w:r>
      <w:r w:rsidR="00CE78B0">
        <w:rPr>
          <w:szCs w:val="22"/>
        </w:rPr>
        <w:t xml:space="preserve">, Public Notice, DA 18-1135 </w:t>
      </w:r>
      <w:r>
        <w:rPr>
          <w:szCs w:val="22"/>
        </w:rPr>
        <w:t xml:space="preserve"> (</w:t>
      </w:r>
      <w:r w:rsidR="001301EF">
        <w:rPr>
          <w:szCs w:val="22"/>
        </w:rPr>
        <w:t>WCB Nov</w:t>
      </w:r>
      <w:r>
        <w:rPr>
          <w:szCs w:val="22"/>
        </w:rPr>
        <w:t xml:space="preserve">. </w:t>
      </w:r>
      <w:r w:rsidR="001301EF">
        <w:rPr>
          <w:szCs w:val="22"/>
        </w:rPr>
        <w:t>6</w:t>
      </w:r>
      <w:r>
        <w:rPr>
          <w:szCs w:val="22"/>
        </w:rPr>
        <w:t>, 2018).</w:t>
      </w:r>
    </w:p>
    <w:p w:rsidR="004142E8" w:rsidP="004142E8">
      <w:pPr>
        <w:widowControl/>
      </w:pPr>
    </w:p>
    <w:p w:rsidR="004142E8" w:rsidP="004142E8">
      <w:pPr>
        <w:widowControl/>
        <w:ind w:firstLine="720"/>
        <w:rPr>
          <w:snapToGrid/>
          <w:kern w:val="0"/>
        </w:rPr>
      </w:pPr>
      <w:r>
        <w:rPr>
          <w:snapToGrid/>
          <w:kern w:val="0"/>
        </w:rPr>
        <w:t>For further information, please contact Tracey Wilson at (202) 418-1394</w:t>
      </w:r>
      <w:r w:rsidR="00020FD8">
        <w:rPr>
          <w:snapToGrid/>
          <w:kern w:val="0"/>
        </w:rPr>
        <w:t>,</w:t>
      </w:r>
      <w:r>
        <w:rPr>
          <w:snapToGrid/>
          <w:kern w:val="0"/>
        </w:rPr>
        <w:t xml:space="preserve"> or </w:t>
      </w:r>
      <w:r w:rsidR="001301EF">
        <w:rPr>
          <w:snapToGrid/>
          <w:kern w:val="0"/>
        </w:rPr>
        <w:t>Alex Johns at (202) 418-1167</w:t>
      </w:r>
      <w:r>
        <w:rPr>
          <w:snapToGrid/>
          <w:kern w:val="0"/>
        </w:rPr>
        <w:t>, Competition Policy Division, Wireline Competition Bureau.</w:t>
      </w:r>
    </w:p>
    <w:p w:rsidR="004142E8" w:rsidP="004142E8">
      <w:pPr>
        <w:widowControl/>
        <w:ind w:firstLine="720"/>
        <w:rPr>
          <w:snapToGrid/>
          <w:kern w:val="0"/>
        </w:rPr>
      </w:pPr>
    </w:p>
    <w:p w:rsidR="004142E8" w:rsidP="004142E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4142E8" w:rsidP="004142E8">
      <w:pPr>
        <w:widowControl/>
        <w:jc w:val="center"/>
        <w:rPr>
          <w:b/>
          <w:snapToGrid/>
          <w:color w:val="000000"/>
          <w:kern w:val="0"/>
          <w:szCs w:val="22"/>
        </w:rPr>
      </w:pPr>
      <w:r>
        <w:rPr>
          <w:snapToGrid/>
          <w:color w:val="000000"/>
          <w:kern w:val="0"/>
          <w:szCs w:val="22"/>
        </w:rPr>
        <w:t>-</w:t>
      </w:r>
      <w:r w:rsidR="001301EF">
        <w:rPr>
          <w:snapToGrid/>
          <w:color w:val="000000"/>
          <w:kern w:val="0"/>
          <w:szCs w:val="22"/>
        </w:rPr>
        <w:t xml:space="preserve"> </w:t>
      </w:r>
      <w:r>
        <w:rPr>
          <w:snapToGrid/>
          <w:color w:val="000000"/>
          <w:kern w:val="0"/>
          <w:szCs w:val="22"/>
        </w:rPr>
        <w:t>FCC-</w:t>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3D6D">
      <w:r>
        <w:separator/>
      </w:r>
    </w:p>
  </w:footnote>
  <w:footnote w:type="continuationSeparator" w:id="1">
    <w:p w:rsidR="008A3D6D">
      <w:pPr>
        <w:rPr>
          <w:sz w:val="20"/>
        </w:rPr>
      </w:pPr>
      <w:r>
        <w:rPr>
          <w:sz w:val="20"/>
        </w:rPr>
        <w:t xml:space="preserve">(Continued from previous page)  </w:t>
      </w:r>
      <w:r>
        <w:rPr>
          <w:sz w:val="20"/>
        </w:rPr>
        <w:separator/>
      </w:r>
    </w:p>
  </w:footnote>
  <w:footnote w:type="continuationNotice" w:id="2">
    <w:p w:rsidR="008A3D6D" w:rsidP="00910F12">
      <w:pPr>
        <w:jc w:val="right"/>
        <w:rPr>
          <w:sz w:val="20"/>
        </w:rPr>
      </w:pPr>
      <w:r>
        <w:rPr>
          <w:sz w:val="20"/>
        </w:rPr>
        <w:t>(continued….)</w:t>
      </w:r>
    </w:p>
  </w:footnote>
  <w:footnote w:id="3">
    <w:p w:rsidR="004142E8" w:rsidP="004142E8">
      <w:pPr>
        <w:pStyle w:val="FootnoteText"/>
        <w:rPr>
          <w:color w:val="000000"/>
        </w:rPr>
      </w:pPr>
      <w:r>
        <w:rPr>
          <w:rStyle w:val="FootnoteReference"/>
          <w:color w:val="000000"/>
        </w:rPr>
        <w:footnoteRef/>
      </w:r>
      <w:r>
        <w:rPr>
          <w:color w:val="000000"/>
        </w:rPr>
        <w:t xml:space="preserve">  </w:t>
      </w:r>
      <w:r w:rsidR="00CE78B0">
        <w:rPr>
          <w:color w:val="000000"/>
        </w:rPr>
        <w:t xml:space="preserve">47 U.S.C. § 214; 47 CFR §§ 63.03-04.  </w:t>
      </w:r>
      <w:r w:rsidRPr="00416004" w:rsidR="001301EF">
        <w:t>Action on the</w:t>
      </w:r>
      <w:r w:rsidR="001301EF">
        <w:t>se</w:t>
      </w:r>
      <w:r w:rsidRPr="00416004" w:rsidR="001301EF">
        <w:t xml:space="preserve"> domestic section 214 applications is without prejudice to Commission actio</w:t>
      </w:r>
      <w:r w:rsidR="001301EF">
        <w:t>n on other related applications.</w:t>
      </w:r>
      <w:r w:rsidRPr="00C87F2C" w:rsidR="00C87F2C">
        <w:t xml:space="preserve"> </w:t>
      </w:r>
      <w:r w:rsidR="00C87F2C">
        <w:t xml:space="preserve"> On October 15, 2018, Applicants amended </w:t>
      </w:r>
      <w:r w:rsidR="00CE78B0">
        <w:t xml:space="preserve">certain of </w:t>
      </w:r>
      <w:r w:rsidR="00C87F2C">
        <w:t xml:space="preserve">their domestic section 214 applications to change the designated transferee from Martin J. Tibbitts to the Estate of Martin J. Tibbitts, following the death of Mr. Tibbitts on July 20, 2018.  Letter from Cheng-yi Liu and Mark C. DeSantis, Counsel to the Estate of Martin J. Tibbitts, to Marlene H. Dortch, Secretary, FCC, WC Docket Nos. 18-107, 18-108, 18-109, 18-110, 18-111, 18-112 (filed Oct. 15, 2018).  On October 25, 2018, the Bureau granted the Estate special temporary authority to operate Licensees as a result of unauthorized transactions </w:t>
      </w:r>
      <w:r w:rsidR="00CE78B0">
        <w:t xml:space="preserve">that took place </w:t>
      </w:r>
      <w:r w:rsidR="00C87F2C">
        <w:t xml:space="preserve">in 2017.  </w:t>
      </w:r>
      <w:r w:rsidR="00C87F2C">
        <w:rPr>
          <w:i/>
        </w:rPr>
        <w:t xml:space="preserve">See </w:t>
      </w:r>
      <w:r w:rsidR="00C87F2C">
        <w:t xml:space="preserve">Letter from Cheng-yi Liu and Mark C. DeSantis, Counsel to the Estate of Martin J. Tibbitts, to Marlene H. Dortch, Secretary, FCC, WC Docket Nos. 18-107, 18-108, 18-109, 18-110, 18-111, 18-112, 18-317, 18-318 (filed Sept. 25, 2018).  </w:t>
      </w:r>
      <w:r w:rsidRPr="00C87F2C" w:rsidR="00C87F2C">
        <w:rPr>
          <w:color w:val="212121"/>
        </w:rPr>
        <w:t>A grant</w:t>
      </w:r>
      <w:r w:rsidRPr="00C87F2C" w:rsidR="00C87F2C">
        <w:rPr>
          <w:rStyle w:val="copinpointicon"/>
          <w:color w:val="212121"/>
        </w:rPr>
        <w:t> </w:t>
      </w:r>
      <w:r w:rsidRPr="00C87F2C" w:rsidR="00C87F2C">
        <w:rPr>
          <w:color w:val="212121"/>
        </w:rPr>
        <w:t>of the applications is</w:t>
      </w:r>
      <w:r w:rsidR="00C87F2C">
        <w:rPr>
          <w:color w:val="212121"/>
        </w:rPr>
        <w:t xml:space="preserve"> </w:t>
      </w:r>
      <w:r w:rsidRPr="00C87F2C" w:rsidR="00C87F2C">
        <w:rPr>
          <w:color w:val="212121"/>
        </w:rPr>
        <w:t>without </w:t>
      </w:r>
      <w:r w:rsidRPr="00C87F2C" w:rsidR="00C87F2C">
        <w:rPr>
          <w:rStyle w:val="cosearchterm"/>
          <w:bCs/>
          <w:color w:val="252525"/>
        </w:rPr>
        <w:t>prejudice</w:t>
      </w:r>
      <w:r w:rsidRPr="00C87F2C" w:rsidR="00C87F2C">
        <w:rPr>
          <w:color w:val="212121"/>
        </w:rPr>
        <w:t> to any </w:t>
      </w:r>
      <w:r w:rsidRPr="00C87F2C" w:rsidR="00C87F2C">
        <w:rPr>
          <w:rStyle w:val="cosearchterm"/>
          <w:bCs/>
          <w:color w:val="252525"/>
        </w:rPr>
        <w:t>enforcement</w:t>
      </w:r>
      <w:r w:rsidRPr="00C87F2C" w:rsidR="00C87F2C">
        <w:rPr>
          <w:color w:val="212121"/>
        </w:rPr>
        <w:t> action by the Commission for non-compliance with the Act or the Commission's rules</w:t>
      </w:r>
      <w:r w:rsidR="00C87F2C">
        <w:rPr>
          <w:color w:val="212121"/>
        </w:rPr>
        <w:t>.</w:t>
      </w:r>
    </w:p>
  </w:footnote>
  <w:footnote w:id="4">
    <w:p w:rsidR="00D2447D" w:rsidRPr="00931EA3" w:rsidP="00D2447D">
      <w:pPr>
        <w:rPr>
          <w:sz w:val="20"/>
        </w:rPr>
      </w:pPr>
      <w:r w:rsidRPr="00A34EAA">
        <w:rPr>
          <w:rStyle w:val="FootnoteReference"/>
          <w:sz w:val="20"/>
        </w:rPr>
        <w:footnoteRef/>
      </w:r>
      <w:r w:rsidRPr="00A34EAA">
        <w:rPr>
          <w:sz w:val="20"/>
        </w:rPr>
        <w:t xml:space="preserve">  </w:t>
      </w:r>
      <w:r w:rsidRPr="00931EA3">
        <w:rPr>
          <w:sz w:val="20"/>
        </w:rPr>
        <w:t xml:space="preserve">47 CFR § 63.03(b); </w:t>
      </w:r>
      <w:r w:rsidRPr="00931EA3">
        <w:rPr>
          <w:i/>
          <w:iCs/>
          <w:color w:val="212121"/>
          <w:sz w:val="20"/>
        </w:rPr>
        <w:t>Implementation of Further Streamlining for Domestic Section 214 Authorizations</w:t>
      </w:r>
      <w:r w:rsidRPr="00931EA3">
        <w:rPr>
          <w:color w:val="212121"/>
          <w:sz w:val="20"/>
        </w:rPr>
        <w:t xml:space="preserve">, CC Docket 01-150, Report and Order, 17 FCC Rcd 5517, 5531-33, </w:t>
      </w:r>
      <w:r>
        <w:rPr>
          <w:color w:val="212121"/>
          <w:sz w:val="20"/>
        </w:rPr>
        <w:t>paras.</w:t>
      </w:r>
      <w:r w:rsidRPr="00931EA3">
        <w:rPr>
          <w:color w:val="212121"/>
          <w:sz w:val="20"/>
        </w:rPr>
        <w:t xml:space="preserve"> 28-29 (2002)</w:t>
      </w:r>
      <w:r>
        <w:rPr>
          <w:color w:val="212121"/>
          <w:sz w:val="20"/>
        </w:rPr>
        <w:t xml:space="preserve"> (delegating authority to the Bureau to grant certain domestic 214 applications that are not likely to raise public interest concerns)</w:t>
      </w:r>
      <w:r w:rsidRPr="00931EA3">
        <w:rPr>
          <w:color w:val="212121"/>
          <w:sz w:val="20"/>
        </w:rPr>
        <w:t>.</w:t>
      </w:r>
      <w:r>
        <w:rPr>
          <w:color w:val="212121"/>
          <w:sz w:val="20"/>
        </w:rPr>
        <w:t xml:space="preserve"> </w:t>
      </w:r>
    </w:p>
    <w:p w:rsidR="00D2447D" w:rsidRPr="00596E05" w:rsidP="00D2447D">
      <w:pPr>
        <w:rPr>
          <w:i/>
          <w:iCs/>
          <w:sz w:val="20"/>
        </w:rPr>
      </w:pPr>
    </w:p>
  </w:footnote>
  <w:footnote w:id="5">
    <w:p w:rsidR="00CE78B0">
      <w:pPr>
        <w:pStyle w:val="FootnoteText"/>
      </w:pPr>
      <w:r>
        <w:rPr>
          <w:rStyle w:val="FootnoteReference"/>
        </w:rPr>
        <w:footnoteRef/>
      </w:r>
      <w:r>
        <w:rPr>
          <w:szCs w:val="24"/>
        </w:rPr>
        <w:t>47 CFR §§ 1.106, 1.115.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053E1">
      <w:rPr>
        <w:b/>
      </w:rPr>
      <w:t>DA 18-1288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6D"/>
    <w:rsid w:val="000072CE"/>
    <w:rsid w:val="00013A8B"/>
    <w:rsid w:val="00020FD8"/>
    <w:rsid w:val="00021445"/>
    <w:rsid w:val="00036039"/>
    <w:rsid w:val="00037F90"/>
    <w:rsid w:val="000875BF"/>
    <w:rsid w:val="00096D8C"/>
    <w:rsid w:val="000C0B65"/>
    <w:rsid w:val="000E103C"/>
    <w:rsid w:val="000E3D42"/>
    <w:rsid w:val="000E5884"/>
    <w:rsid w:val="00122BD5"/>
    <w:rsid w:val="001301EF"/>
    <w:rsid w:val="001979D9"/>
    <w:rsid w:val="001D6BCF"/>
    <w:rsid w:val="001E01CA"/>
    <w:rsid w:val="002060D9"/>
    <w:rsid w:val="00226822"/>
    <w:rsid w:val="00260594"/>
    <w:rsid w:val="00285017"/>
    <w:rsid w:val="002A2D2E"/>
    <w:rsid w:val="00343749"/>
    <w:rsid w:val="00357D50"/>
    <w:rsid w:val="00390F9F"/>
    <w:rsid w:val="003925DC"/>
    <w:rsid w:val="003B0550"/>
    <w:rsid w:val="003B694F"/>
    <w:rsid w:val="003F171C"/>
    <w:rsid w:val="00412FC5"/>
    <w:rsid w:val="004142E8"/>
    <w:rsid w:val="00416004"/>
    <w:rsid w:val="00420132"/>
    <w:rsid w:val="00422276"/>
    <w:rsid w:val="004242F1"/>
    <w:rsid w:val="0043240D"/>
    <w:rsid w:val="00445A00"/>
    <w:rsid w:val="00451B0F"/>
    <w:rsid w:val="0046125F"/>
    <w:rsid w:val="00487524"/>
    <w:rsid w:val="00496106"/>
    <w:rsid w:val="004C12D0"/>
    <w:rsid w:val="004C2EE3"/>
    <w:rsid w:val="004E4A22"/>
    <w:rsid w:val="00511968"/>
    <w:rsid w:val="00532F9E"/>
    <w:rsid w:val="0055614C"/>
    <w:rsid w:val="00596E05"/>
    <w:rsid w:val="00607BA5"/>
    <w:rsid w:val="00626EB6"/>
    <w:rsid w:val="006353A3"/>
    <w:rsid w:val="00655D03"/>
    <w:rsid w:val="00683F84"/>
    <w:rsid w:val="006A6A81"/>
    <w:rsid w:val="006E26AF"/>
    <w:rsid w:val="006F7393"/>
    <w:rsid w:val="0070224F"/>
    <w:rsid w:val="007115F7"/>
    <w:rsid w:val="00785689"/>
    <w:rsid w:val="0079754B"/>
    <w:rsid w:val="007A1E6D"/>
    <w:rsid w:val="008064F7"/>
    <w:rsid w:val="00822CE0"/>
    <w:rsid w:val="00837C62"/>
    <w:rsid w:val="00841AB1"/>
    <w:rsid w:val="00880E43"/>
    <w:rsid w:val="008A3D6D"/>
    <w:rsid w:val="008C22FD"/>
    <w:rsid w:val="00910F12"/>
    <w:rsid w:val="00926503"/>
    <w:rsid w:val="00930ECF"/>
    <w:rsid w:val="00931EA3"/>
    <w:rsid w:val="009838BC"/>
    <w:rsid w:val="00A053E1"/>
    <w:rsid w:val="00A34EAA"/>
    <w:rsid w:val="00A45F4F"/>
    <w:rsid w:val="00A600A9"/>
    <w:rsid w:val="00A866AC"/>
    <w:rsid w:val="00AA55B7"/>
    <w:rsid w:val="00AA5B9E"/>
    <w:rsid w:val="00AB2407"/>
    <w:rsid w:val="00AB53DF"/>
    <w:rsid w:val="00AC0EFD"/>
    <w:rsid w:val="00B07E5C"/>
    <w:rsid w:val="00B20363"/>
    <w:rsid w:val="00B326E3"/>
    <w:rsid w:val="00B811F7"/>
    <w:rsid w:val="00B90F22"/>
    <w:rsid w:val="00BA5DC6"/>
    <w:rsid w:val="00BA6196"/>
    <w:rsid w:val="00BC6D8C"/>
    <w:rsid w:val="00C16AF2"/>
    <w:rsid w:val="00C34006"/>
    <w:rsid w:val="00C426B1"/>
    <w:rsid w:val="00C701A6"/>
    <w:rsid w:val="00C82B6B"/>
    <w:rsid w:val="00C87F2C"/>
    <w:rsid w:val="00C90D6A"/>
    <w:rsid w:val="00CC72B6"/>
    <w:rsid w:val="00CE78B0"/>
    <w:rsid w:val="00D0218D"/>
    <w:rsid w:val="00D216CD"/>
    <w:rsid w:val="00D2447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50BC9A-588A-441E-99A3-CBF1ADB1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cosearchterm">
    <w:name w:val="co_searchterm"/>
    <w:rsid w:val="00C87F2C"/>
  </w:style>
  <w:style w:type="character" w:customStyle="1" w:styleId="copinpointicon">
    <w:name w:val="co_pinpointicon"/>
    <w:rsid w:val="00C8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