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P="004E16D7" w14:paraId="26EADFF5" w14:textId="6E811DF6">
      <w:pPr>
        <w:suppressAutoHyphens/>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4E16D7" w14:paraId="1B9E7A42" w14:textId="77777777">
      <w:pPr>
        <w:pStyle w:val="StyleBoldCentered"/>
        <w:suppressAutoHyphens/>
      </w:pPr>
      <w:r>
        <w:t>F</w:t>
      </w:r>
      <w:r>
        <w:rPr>
          <w:caps w:val="0"/>
        </w:rPr>
        <w:t>ederal Communications Commission</w:t>
      </w:r>
    </w:p>
    <w:p w:rsidR="004C2EE3" w:rsidP="004E16D7" w14:paraId="29C4F34F" w14:textId="77777777">
      <w:pPr>
        <w:pStyle w:val="StyleBoldCentered"/>
        <w:suppressAutoHyphens/>
      </w:pPr>
      <w:r>
        <w:rPr>
          <w:caps w:val="0"/>
        </w:rPr>
        <w:t>Washington, D.C. 20554</w:t>
      </w:r>
    </w:p>
    <w:p w:rsidR="004C2EE3" w:rsidP="004E16D7" w14:paraId="03B6D7CF" w14:textId="77777777">
      <w:pPr>
        <w:suppressAutoHyphens/>
      </w:pPr>
    </w:p>
    <w:p w:rsidR="004C2EE3" w:rsidP="004E16D7" w14:paraId="1881E194" w14:textId="77777777">
      <w:pPr>
        <w:suppressAutoHyphens/>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9CBE1A8"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rsidP="004E16D7" w14:paraId="49B79D8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w:t>
            </w:r>
            <w:r w:rsidR="00F42BF3">
              <w:rPr>
                <w:snapToGrid w:val="0"/>
                <w:spacing w:val="-2"/>
                <w:kern w:val="28"/>
                <w:sz w:val="22"/>
                <w:lang w:val="en-US" w:eastAsia="en-US" w:bidi="ar-SA"/>
              </w:rPr>
              <w:t xml:space="preserve"> </w:t>
            </w:r>
            <w:r>
              <w:rPr>
                <w:snapToGrid w:val="0"/>
                <w:spacing w:val="-2"/>
                <w:kern w:val="28"/>
                <w:sz w:val="22"/>
                <w:lang w:val="en-US" w:eastAsia="en-US" w:bidi="ar-SA"/>
              </w:rPr>
              <w:t>of</w:t>
            </w:r>
          </w:p>
          <w:p w:rsidR="004C2EE3" w:rsidP="004E16D7" w14:paraId="2423336D" w14:textId="77777777">
            <w:pPr>
              <w:widowControl w:val="0"/>
              <w:tabs>
                <w:tab w:val="center" w:pos="4680"/>
              </w:tabs>
              <w:suppressAutoHyphens/>
              <w:rPr>
                <w:rStyle w:val="DefaultParagraphFont"/>
                <w:snapToGrid w:val="0"/>
                <w:spacing w:val="-2"/>
                <w:kern w:val="28"/>
                <w:sz w:val="22"/>
                <w:lang w:val="en-US" w:eastAsia="en-US" w:bidi="ar-SA"/>
              </w:rPr>
            </w:pPr>
          </w:p>
          <w:p w:rsidR="004C2EE3" w:rsidP="004E16D7" w14:paraId="7578A3A0" w14:textId="77777777">
            <w:pPr>
              <w:widowControl w:val="0"/>
              <w:tabs>
                <w:tab w:val="center" w:pos="4680"/>
              </w:tabs>
              <w:suppressAutoHyphens/>
              <w:rPr>
                <w:rStyle w:val="DefaultParagraphFont"/>
                <w:snapToGrid w:val="0"/>
                <w:spacing w:val="-2"/>
                <w:kern w:val="28"/>
                <w:sz w:val="22"/>
                <w:lang w:val="en-US" w:eastAsia="en-US" w:bidi="ar-SA"/>
              </w:rPr>
            </w:pPr>
            <w:r w:rsidRPr="00FD14BE">
              <w:rPr>
                <w:snapToGrid w:val="0"/>
                <w:spacing w:val="-2"/>
                <w:kern w:val="28"/>
                <w:sz w:val="22"/>
                <w:lang w:val="en-US" w:eastAsia="en-US" w:bidi="ar-SA"/>
              </w:rPr>
              <w:t xml:space="preserve">Implementation of Section 3 of the Cable Television </w:t>
            </w:r>
            <w:r>
              <w:rPr>
                <w:snapToGrid w:val="0"/>
                <w:spacing w:val="-2"/>
                <w:kern w:val="28"/>
                <w:sz w:val="22"/>
                <w:lang w:val="en-US" w:eastAsia="en-US" w:bidi="ar-SA"/>
              </w:rPr>
              <w:t>Consumer Protection and Competi</w:t>
            </w:r>
            <w:r w:rsidRPr="00FD14BE">
              <w:rPr>
                <w:snapToGrid w:val="0"/>
                <w:spacing w:val="-2"/>
                <w:kern w:val="28"/>
                <w:sz w:val="22"/>
                <w:lang w:val="en-US" w:eastAsia="en-US" w:bidi="ar-SA"/>
              </w:rPr>
              <w:t>tion Act of 1992</w:t>
            </w:r>
          </w:p>
          <w:p w:rsidR="00FD14BE" w:rsidP="004E16D7" w14:paraId="302A38D2" w14:textId="77777777">
            <w:pPr>
              <w:widowControl w:val="0"/>
              <w:tabs>
                <w:tab w:val="center" w:pos="4680"/>
              </w:tabs>
              <w:suppressAutoHyphens/>
              <w:rPr>
                <w:rStyle w:val="DefaultParagraphFont"/>
                <w:snapToGrid w:val="0"/>
                <w:spacing w:val="-2"/>
                <w:kern w:val="28"/>
                <w:sz w:val="22"/>
                <w:lang w:val="en-US" w:eastAsia="en-US" w:bidi="ar-SA"/>
              </w:rPr>
            </w:pPr>
          </w:p>
          <w:p w:rsidR="00FD14BE" w:rsidRPr="007115F7" w:rsidP="004E16D7" w14:paraId="5ED2A854" w14:textId="77777777">
            <w:pPr>
              <w:widowControl w:val="0"/>
              <w:tabs>
                <w:tab w:val="center" w:pos="4680"/>
              </w:tabs>
              <w:suppressAutoHyphens/>
              <w:rPr>
                <w:rStyle w:val="DefaultParagraphFont"/>
                <w:snapToGrid w:val="0"/>
                <w:spacing w:val="-2"/>
                <w:kern w:val="28"/>
                <w:sz w:val="22"/>
                <w:lang w:val="en-US" w:eastAsia="en-US" w:bidi="ar-SA"/>
              </w:rPr>
            </w:pPr>
            <w:r w:rsidRPr="00FD14BE">
              <w:rPr>
                <w:snapToGrid w:val="0"/>
                <w:spacing w:val="-2"/>
                <w:kern w:val="28"/>
                <w:sz w:val="22"/>
                <w:lang w:val="en-US" w:eastAsia="en-US" w:bidi="ar-SA"/>
              </w:rPr>
              <w:t>Statistical Report on Average Rates for Basic Service, Cable Programming Service, and Equipment</w:t>
            </w:r>
          </w:p>
        </w:tc>
        <w:tc>
          <w:tcPr>
            <w:tcW w:w="630" w:type="dxa"/>
          </w:tcPr>
          <w:p w:rsidR="004C2EE3" w:rsidP="004E16D7" w14:paraId="529088C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0DDB906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3B3FD16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1A5049C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152B6BC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3DD371C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73C01AF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2BD7100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4E16D7" w14:paraId="748ED374"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rsidP="004E16D7" w14:paraId="2652ED19" w14:textId="77777777">
            <w:pPr>
              <w:widowControl w:val="0"/>
              <w:tabs>
                <w:tab w:val="center" w:pos="4680"/>
              </w:tabs>
              <w:suppressAutoHyphens/>
              <w:rPr>
                <w:rStyle w:val="DefaultParagraphFont"/>
                <w:snapToGrid w:val="0"/>
                <w:spacing w:val="-2"/>
                <w:kern w:val="28"/>
                <w:sz w:val="22"/>
                <w:lang w:val="en-US" w:eastAsia="en-US" w:bidi="ar-SA"/>
              </w:rPr>
            </w:pPr>
          </w:p>
          <w:p w:rsidR="004C2EE3" w:rsidP="004E16D7" w14:paraId="565E978C"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rsidP="004E16D7" w14:paraId="05E8A9EF" w14:textId="77777777">
            <w:pPr>
              <w:widowControl w:val="0"/>
              <w:tabs>
                <w:tab w:val="center" w:pos="4680"/>
              </w:tabs>
              <w:suppressAutoHyphens/>
              <w:rPr>
                <w:rStyle w:val="DefaultParagraphFont"/>
                <w:snapToGrid w:val="0"/>
                <w:spacing w:val="-2"/>
                <w:kern w:val="28"/>
                <w:sz w:val="22"/>
                <w:lang w:val="en-US" w:eastAsia="en-US" w:bidi="ar-SA"/>
              </w:rPr>
            </w:pPr>
            <w:r w:rsidRPr="00FD14BE">
              <w:rPr>
                <w:snapToGrid w:val="0"/>
                <w:spacing w:val="-2"/>
                <w:kern w:val="28"/>
                <w:sz w:val="22"/>
                <w:lang w:val="en-US" w:eastAsia="en-US" w:bidi="ar-SA"/>
              </w:rPr>
              <w:t>MM Docket No. 92-266</w:t>
            </w:r>
          </w:p>
        </w:tc>
      </w:tr>
    </w:tbl>
    <w:p w:rsidR="004C2EE3" w:rsidP="004E16D7" w14:paraId="2D9CCDD6" w14:textId="77777777">
      <w:pPr>
        <w:suppressAutoHyphens/>
      </w:pPr>
    </w:p>
    <w:p w:rsidR="00841AB1" w:rsidP="004E16D7" w14:paraId="7391627B" w14:textId="77777777">
      <w:pPr>
        <w:pStyle w:val="StyleBoldCentered"/>
        <w:suppressAutoHyphens/>
      </w:pPr>
      <w:r w:rsidRPr="00FD14BE">
        <w:t>REPORT ON CABLE INDUSTRY PRICES</w:t>
      </w:r>
    </w:p>
    <w:p w:rsidR="004C2EE3" w:rsidP="004E16D7" w14:paraId="2B7BFD6C" w14:textId="77777777">
      <w:pPr>
        <w:tabs>
          <w:tab w:val="left" w:pos="-720"/>
        </w:tabs>
        <w:suppressAutoHyphens/>
        <w:spacing w:line="227" w:lineRule="auto"/>
        <w:rPr>
          <w:spacing w:val="-2"/>
        </w:rPr>
      </w:pPr>
    </w:p>
    <w:p w:rsidR="004C2EE3" w:rsidP="004E16D7" w14:paraId="4EB5F213" w14:textId="4796E9A0">
      <w:pPr>
        <w:tabs>
          <w:tab w:val="left" w:pos="720"/>
          <w:tab w:val="right" w:pos="9360"/>
        </w:tabs>
        <w:suppressAutoHyphens/>
        <w:spacing w:line="227" w:lineRule="auto"/>
        <w:rPr>
          <w:spacing w:val="-2"/>
        </w:rPr>
      </w:pPr>
      <w:r>
        <w:rPr>
          <w:b/>
          <w:spacing w:val="-2"/>
        </w:rPr>
        <w:t xml:space="preserve">Adopted:  </w:t>
      </w:r>
      <w:r w:rsidR="006456DD">
        <w:rPr>
          <w:b/>
          <w:spacing w:val="-2"/>
        </w:rPr>
        <w:t>February</w:t>
      </w:r>
      <w:r w:rsidR="00C65EBE">
        <w:rPr>
          <w:b/>
          <w:spacing w:val="-2"/>
        </w:rPr>
        <w:t xml:space="preserve"> </w:t>
      </w:r>
      <w:r w:rsidR="00A755B1">
        <w:rPr>
          <w:b/>
          <w:spacing w:val="-2"/>
        </w:rPr>
        <w:t>8</w:t>
      </w:r>
      <w:r w:rsidR="0098784F">
        <w:rPr>
          <w:b/>
          <w:spacing w:val="-2"/>
        </w:rPr>
        <w:t>, 201</w:t>
      </w:r>
      <w:r w:rsidR="00392C03">
        <w:rPr>
          <w:b/>
          <w:spacing w:val="-2"/>
        </w:rPr>
        <w:t>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456DD">
        <w:rPr>
          <w:b/>
          <w:spacing w:val="-2"/>
        </w:rPr>
        <w:t xml:space="preserve">February </w:t>
      </w:r>
      <w:r w:rsidR="00A755B1">
        <w:rPr>
          <w:b/>
          <w:spacing w:val="-2"/>
        </w:rPr>
        <w:t>8</w:t>
      </w:r>
      <w:r w:rsidR="0098784F">
        <w:rPr>
          <w:b/>
          <w:spacing w:val="-2"/>
        </w:rPr>
        <w:t>, 201</w:t>
      </w:r>
      <w:r w:rsidR="00392C03">
        <w:rPr>
          <w:b/>
          <w:spacing w:val="-2"/>
        </w:rPr>
        <w:t>8</w:t>
      </w:r>
    </w:p>
    <w:p w:rsidR="00822CE0" w:rsidP="004E16D7" w14:paraId="35149493" w14:textId="77777777">
      <w:pPr>
        <w:suppressAutoHyphens/>
      </w:pPr>
    </w:p>
    <w:p w:rsidR="004C2EE3" w:rsidP="004E16D7" w14:paraId="7194A4CA" w14:textId="77777777">
      <w:pPr>
        <w:suppressAutoHyphens/>
        <w:rPr>
          <w:spacing w:val="-2"/>
        </w:rPr>
      </w:pPr>
      <w:r>
        <w:t xml:space="preserve">By </w:t>
      </w:r>
      <w:r w:rsidR="004E4A22">
        <w:t>the</w:t>
      </w:r>
      <w:r w:rsidR="002A2D2E">
        <w:t xml:space="preserve"> </w:t>
      </w:r>
      <w:r w:rsidR="00FD14BE">
        <w:rPr>
          <w:spacing w:val="-2"/>
        </w:rPr>
        <w:t>Chief, Media Bureau</w:t>
      </w:r>
      <w:r>
        <w:rPr>
          <w:spacing w:val="-2"/>
        </w:rPr>
        <w:t>:</w:t>
      </w:r>
    </w:p>
    <w:p w:rsidR="00822CE0" w:rsidP="004E16D7" w14:paraId="6E82CDF8" w14:textId="77777777">
      <w:pPr>
        <w:suppressAutoHyphens/>
        <w:rPr>
          <w:spacing w:val="-2"/>
        </w:rPr>
      </w:pPr>
    </w:p>
    <w:p w:rsidR="00BE0A2C" w:rsidP="004E16D7" w14:paraId="2B249536" w14:textId="77777777">
      <w:pPr>
        <w:pStyle w:val="TOCTitle"/>
        <w:suppressAutoHyphens/>
      </w:pPr>
      <w:bookmarkStart w:id="1" w:name="TOChere"/>
      <w:r>
        <w:t>Table of Contents</w:t>
      </w:r>
    </w:p>
    <w:p w:rsidR="00BE0A2C" w:rsidP="004E16D7" w14:paraId="357D04AC" w14:textId="77777777">
      <w:pPr>
        <w:pStyle w:val="Paratitle"/>
        <w:suppressAutoHyphens/>
      </w:pPr>
      <w:r>
        <w:t>Heading</w:t>
      </w:r>
      <w:r>
        <w:tab/>
        <w:t>Paragraph #</w:t>
      </w:r>
      <w:bookmarkStart w:id="2" w:name="start_here"/>
      <w:bookmarkEnd w:id="2"/>
    </w:p>
    <w:p w:rsidR="00325727" w:rsidP="004E16D7" w14:paraId="77D55A8A" w14:textId="36871056">
      <w:pPr>
        <w:pStyle w:val="TOC1"/>
      </w:pPr>
      <w:r w:rsidRPr="00A3144C">
        <w:t>I.</w:t>
      </w:r>
      <w:r w:rsidRPr="00DE2CB7">
        <w:rPr>
          <w:rFonts w:ascii="Calibri" w:hAnsi="Calibri"/>
          <w:caps w:val="0"/>
          <w:snapToGrid/>
          <w:kern w:val="0"/>
          <w:szCs w:val="22"/>
        </w:rPr>
        <w:tab/>
      </w:r>
      <w:r w:rsidRPr="00A3144C">
        <w:t>Introduction and executive summary</w:t>
      </w:r>
      <w:r>
        <w:tab/>
        <w:t>1</w:t>
      </w:r>
      <w:r w:rsidRPr="00325727">
        <w:t xml:space="preserve"> </w:t>
      </w:r>
    </w:p>
    <w:p w:rsidR="00BE0A2C" w:rsidRPr="00DE2CB7" w:rsidP="004E16D7" w14:paraId="1828FBF9" w14:textId="1C9F0F60">
      <w:pPr>
        <w:pStyle w:val="TOC2"/>
        <w:numPr>
          <w:ilvl w:val="0"/>
          <w:numId w:val="38"/>
        </w:numPr>
        <w:tabs>
          <w:tab w:val="left" w:pos="360"/>
        </w:tabs>
        <w:rPr>
          <w:rFonts w:ascii="Calibri" w:hAnsi="Calibri"/>
          <w:caps/>
          <w:snapToGrid/>
          <w:kern w:val="0"/>
          <w:szCs w:val="22"/>
        </w:rPr>
      </w:pPr>
      <w:r>
        <w:t>Summary of Findings</w:t>
      </w:r>
      <w:r>
        <w:tab/>
      </w:r>
      <w:r w:rsidR="001B503B">
        <w:t>4</w:t>
      </w:r>
    </w:p>
    <w:p w:rsidR="003F3C38" w:rsidRPr="003F3C38" w:rsidP="004E16D7" w14:paraId="15B3C575" w14:textId="30C59C80">
      <w:pPr>
        <w:pStyle w:val="TOC1"/>
      </w:pPr>
      <w:r w:rsidRPr="00A3144C">
        <w:t>II.</w:t>
      </w:r>
      <w:r w:rsidRPr="00DE2CB7">
        <w:rPr>
          <w:rFonts w:ascii="Calibri" w:hAnsi="Calibri"/>
          <w:caps w:val="0"/>
          <w:snapToGrid/>
          <w:kern w:val="0"/>
          <w:szCs w:val="22"/>
        </w:rPr>
        <w:tab/>
      </w:r>
      <w:r w:rsidRPr="00A3144C">
        <w:t>Overview of THE survey</w:t>
      </w:r>
      <w:r>
        <w:tab/>
      </w:r>
      <w:r w:rsidR="00440C5C">
        <w:t>12</w:t>
      </w:r>
      <w:r w:rsidRPr="003F3C38">
        <w:rPr>
          <w:rFonts w:ascii="Calibri" w:hAnsi="Calibri"/>
          <w:snapToGrid/>
          <w:kern w:val="0"/>
          <w:szCs w:val="22"/>
        </w:rPr>
        <w:t xml:space="preserve"> </w:t>
      </w:r>
      <w:bookmarkStart w:id="3" w:name="_Hlk483045217"/>
      <w:bookmarkStart w:id="4" w:name="_Hlk483047950"/>
    </w:p>
    <w:p w:rsidR="003F3C38" w:rsidP="004E16D7" w14:paraId="69FBD705" w14:textId="6B0D1436">
      <w:pPr>
        <w:pStyle w:val="TOC2"/>
        <w:tabs>
          <w:tab w:val="left" w:pos="360"/>
        </w:tabs>
        <w:ind w:left="360" w:firstLine="0"/>
      </w:pPr>
      <w:r>
        <w:t>A</w:t>
      </w:r>
      <w:r w:rsidR="005E244C">
        <w:t>.</w:t>
      </w:r>
      <w:r>
        <w:t xml:space="preserve">   </w:t>
      </w:r>
      <w:r w:rsidR="00325727">
        <w:t>Effective Competition Communities</w:t>
      </w:r>
      <w:r w:rsidRPr="003F3C38">
        <w:tab/>
        <w:t>1</w:t>
      </w:r>
      <w:bookmarkStart w:id="5" w:name="_Hlk483045326"/>
      <w:bookmarkEnd w:id="3"/>
      <w:r w:rsidR="0007224B">
        <w:t>5</w:t>
      </w:r>
      <w:r w:rsidRPr="003F3C38">
        <w:t xml:space="preserve"> </w:t>
      </w:r>
      <w:bookmarkEnd w:id="4"/>
    </w:p>
    <w:p w:rsidR="003F3C38" w:rsidP="004E16D7" w14:paraId="038C5817" w14:textId="70C6D936">
      <w:pPr>
        <w:pStyle w:val="TOC2"/>
        <w:numPr>
          <w:ilvl w:val="0"/>
          <w:numId w:val="38"/>
        </w:numPr>
        <w:tabs>
          <w:tab w:val="left" w:pos="360"/>
        </w:tabs>
      </w:pPr>
      <w:r>
        <w:t>Overview of Survey Methodology</w:t>
      </w:r>
      <w:r>
        <w:tab/>
        <w:t>1</w:t>
      </w:r>
      <w:r w:rsidR="0007224B">
        <w:t>7</w:t>
      </w:r>
      <w:r>
        <w:t xml:space="preserve"> </w:t>
      </w:r>
    </w:p>
    <w:p w:rsidR="005D7A15" w:rsidP="004E16D7" w14:paraId="1D981F94" w14:textId="4AA4471D">
      <w:pPr>
        <w:pStyle w:val="TOC2"/>
        <w:numPr>
          <w:ilvl w:val="0"/>
          <w:numId w:val="38"/>
        </w:numPr>
        <w:tabs>
          <w:tab w:val="left" w:pos="360"/>
        </w:tabs>
      </w:pPr>
      <w:r>
        <w:t>Programming Services</w:t>
      </w:r>
      <w:r>
        <w:tab/>
      </w:r>
      <w:r w:rsidR="00207DB7">
        <w:t>20</w:t>
      </w:r>
      <w:r w:rsidRPr="005D7A15">
        <w:t xml:space="preserve"> </w:t>
      </w:r>
    </w:p>
    <w:p w:rsidR="005D7A15" w:rsidP="004E16D7" w14:paraId="70003E50" w14:textId="7EE78094">
      <w:pPr>
        <w:pStyle w:val="TOC2"/>
        <w:numPr>
          <w:ilvl w:val="0"/>
          <w:numId w:val="38"/>
        </w:numPr>
        <w:tabs>
          <w:tab w:val="left" w:pos="360"/>
        </w:tabs>
      </w:pPr>
      <w:r>
        <w:t>Survey Accuracy and Reliability</w:t>
      </w:r>
      <w:r>
        <w:tab/>
      </w:r>
      <w:r w:rsidR="00207DB7">
        <w:t>27</w:t>
      </w:r>
    </w:p>
    <w:p w:rsidR="00BE0A2C" w:rsidRPr="00DE2CB7" w:rsidP="004E16D7" w14:paraId="6B9F5A93" w14:textId="39EE373E">
      <w:pPr>
        <w:pStyle w:val="TOC1"/>
        <w:rPr>
          <w:rFonts w:ascii="Calibri" w:hAnsi="Calibri"/>
          <w:caps w:val="0"/>
          <w:snapToGrid/>
          <w:kern w:val="0"/>
          <w:szCs w:val="22"/>
        </w:rPr>
      </w:pPr>
      <w:bookmarkEnd w:id="5"/>
      <w:r w:rsidRPr="00A3144C">
        <w:t>III.</w:t>
      </w:r>
      <w:r w:rsidRPr="00DE2CB7">
        <w:rPr>
          <w:rFonts w:ascii="Calibri" w:hAnsi="Calibri"/>
          <w:caps w:val="0"/>
          <w:snapToGrid/>
          <w:kern w:val="0"/>
          <w:szCs w:val="22"/>
        </w:rPr>
        <w:tab/>
      </w:r>
      <w:r w:rsidRPr="00A3144C">
        <w:t>survey Results</w:t>
      </w:r>
      <w:r>
        <w:tab/>
      </w:r>
      <w:bookmarkStart w:id="6" w:name="_Hlk483045024"/>
      <w:r w:rsidR="00207DB7">
        <w:t>28</w:t>
      </w:r>
    </w:p>
    <w:p w:rsidR="00BE0A2C" w:rsidRPr="00DE2CB7" w:rsidP="004E16D7" w14:paraId="5B62A752" w14:textId="15C5D8E1">
      <w:pPr>
        <w:pStyle w:val="TOC2"/>
        <w:tabs>
          <w:tab w:val="left" w:pos="360"/>
        </w:tabs>
        <w:rPr>
          <w:rFonts w:ascii="Calibri" w:hAnsi="Calibri"/>
          <w:snapToGrid/>
          <w:kern w:val="0"/>
          <w:szCs w:val="22"/>
        </w:rPr>
      </w:pPr>
      <w:r>
        <w:t>A.</w:t>
      </w:r>
      <w:r w:rsidRPr="00DE2CB7">
        <w:rPr>
          <w:rFonts w:ascii="Calibri" w:hAnsi="Calibri"/>
          <w:snapToGrid/>
          <w:kern w:val="0"/>
          <w:szCs w:val="22"/>
        </w:rPr>
        <w:tab/>
      </w:r>
      <w:r>
        <w:t>Cable Programming Services</w:t>
      </w:r>
      <w:r>
        <w:tab/>
      </w:r>
      <w:r w:rsidR="00207DB7">
        <w:t>2</w:t>
      </w:r>
      <w:r w:rsidR="00440C5C">
        <w:t>9</w:t>
      </w:r>
      <w:bookmarkStart w:id="7" w:name="_Hlk483045052"/>
      <w:bookmarkEnd w:id="6"/>
    </w:p>
    <w:p w:rsidR="00BE0A2C" w:rsidRPr="00DE2CB7" w:rsidP="004E16D7" w14:paraId="72B9E09C" w14:textId="32B62338">
      <w:pPr>
        <w:pStyle w:val="TOC2"/>
        <w:tabs>
          <w:tab w:val="left" w:pos="360"/>
        </w:tabs>
        <w:rPr>
          <w:rFonts w:ascii="Calibri" w:hAnsi="Calibri"/>
          <w:snapToGrid/>
          <w:kern w:val="0"/>
          <w:szCs w:val="22"/>
        </w:rPr>
      </w:pPr>
      <w:r>
        <w:t>B.</w:t>
      </w:r>
      <w:r w:rsidRPr="00DE2CB7">
        <w:rPr>
          <w:rFonts w:ascii="Calibri" w:hAnsi="Calibri"/>
          <w:snapToGrid/>
          <w:kern w:val="0"/>
          <w:szCs w:val="22"/>
        </w:rPr>
        <w:tab/>
      </w:r>
      <w:r>
        <w:t>Cable Programming Channels</w:t>
      </w:r>
      <w:r>
        <w:tab/>
      </w:r>
      <w:r w:rsidR="00207DB7">
        <w:t>3</w:t>
      </w:r>
      <w:r w:rsidR="00752EC7">
        <w:t>4</w:t>
      </w:r>
      <w:bookmarkEnd w:id="7"/>
    </w:p>
    <w:p w:rsidR="00BE0A2C" w:rsidRPr="00DE2CB7" w:rsidP="004E16D7" w14:paraId="5FEAA91F" w14:textId="6AB9F404">
      <w:pPr>
        <w:pStyle w:val="TOC2"/>
        <w:tabs>
          <w:tab w:val="left" w:pos="360"/>
        </w:tabs>
        <w:rPr>
          <w:rFonts w:ascii="Calibri" w:hAnsi="Calibri"/>
          <w:snapToGrid/>
          <w:kern w:val="0"/>
          <w:szCs w:val="22"/>
        </w:rPr>
      </w:pPr>
      <w:r>
        <w:t>C.</w:t>
      </w:r>
      <w:r w:rsidRPr="00DE2CB7">
        <w:rPr>
          <w:rFonts w:ascii="Calibri" w:hAnsi="Calibri"/>
          <w:snapToGrid/>
          <w:kern w:val="0"/>
          <w:szCs w:val="22"/>
        </w:rPr>
        <w:tab/>
      </w:r>
      <w:r w:rsidR="006850FA">
        <w:t>Cable</w:t>
      </w:r>
      <w:r>
        <w:t xml:space="preserve"> Equipment </w:t>
      </w:r>
      <w:r>
        <w:tab/>
      </w:r>
      <w:r w:rsidR="00207DB7">
        <w:t>37</w:t>
      </w:r>
    </w:p>
    <w:p w:rsidR="00BE0A2C" w:rsidRPr="00DE2CB7" w:rsidP="004E16D7" w14:paraId="4866EC31" w14:textId="291DA02A">
      <w:pPr>
        <w:pStyle w:val="TOC2"/>
        <w:tabs>
          <w:tab w:val="left" w:pos="360"/>
        </w:tabs>
        <w:rPr>
          <w:rFonts w:ascii="Calibri" w:hAnsi="Calibri"/>
          <w:snapToGrid/>
          <w:kern w:val="0"/>
          <w:szCs w:val="22"/>
        </w:rPr>
      </w:pPr>
      <w:r>
        <w:t>D.</w:t>
      </w:r>
      <w:r w:rsidRPr="00DE2CB7">
        <w:rPr>
          <w:rFonts w:ascii="Calibri" w:hAnsi="Calibri"/>
          <w:snapToGrid/>
          <w:kern w:val="0"/>
          <w:szCs w:val="22"/>
        </w:rPr>
        <w:tab/>
      </w:r>
      <w:r>
        <w:t>Broadcast Retransmission Consent</w:t>
      </w:r>
      <w:r>
        <w:tab/>
      </w:r>
      <w:r w:rsidR="00207DB7">
        <w:t>3</w:t>
      </w:r>
      <w:r w:rsidR="00752EC7">
        <w:t>9</w:t>
      </w:r>
    </w:p>
    <w:p w:rsidR="00BE0A2C" w:rsidRPr="00DE2CB7" w:rsidP="004E16D7" w14:paraId="2F7FFD27" w14:textId="3C871E77">
      <w:pPr>
        <w:pStyle w:val="TOC1"/>
        <w:rPr>
          <w:rFonts w:ascii="Calibri" w:hAnsi="Calibri"/>
          <w:caps w:val="0"/>
          <w:snapToGrid/>
          <w:kern w:val="0"/>
          <w:szCs w:val="22"/>
        </w:rPr>
      </w:pPr>
      <w:r w:rsidRPr="00A3144C">
        <w:t>IV.</w:t>
      </w:r>
      <w:r w:rsidRPr="00DE2CB7">
        <w:rPr>
          <w:rFonts w:ascii="Calibri" w:hAnsi="Calibri"/>
          <w:caps w:val="0"/>
          <w:snapToGrid/>
          <w:kern w:val="0"/>
          <w:szCs w:val="22"/>
        </w:rPr>
        <w:tab/>
      </w:r>
      <w:r w:rsidRPr="00A3144C">
        <w:t>CONCLUSIONS</w:t>
      </w:r>
      <w:r>
        <w:tab/>
      </w:r>
      <w:r w:rsidR="00207DB7">
        <w:t>4</w:t>
      </w:r>
      <w:r w:rsidR="00752EC7">
        <w:t>2</w:t>
      </w:r>
    </w:p>
    <w:p w:rsidR="00BE0A2C" w:rsidRPr="00DE2CB7" w:rsidP="004E16D7" w14:paraId="5C1F837A" w14:textId="2D575A9C">
      <w:pPr>
        <w:pStyle w:val="TOC1"/>
        <w:spacing w:after="120"/>
        <w:rPr>
          <w:rFonts w:ascii="Calibri" w:hAnsi="Calibri"/>
          <w:caps w:val="0"/>
          <w:snapToGrid/>
          <w:kern w:val="0"/>
          <w:szCs w:val="22"/>
        </w:rPr>
      </w:pPr>
      <w:r>
        <w:t>V.</w:t>
      </w:r>
      <w:r w:rsidRPr="00DE2CB7">
        <w:rPr>
          <w:rFonts w:ascii="Calibri" w:hAnsi="Calibri"/>
          <w:caps w:val="0"/>
          <w:snapToGrid/>
          <w:kern w:val="0"/>
          <w:szCs w:val="22"/>
        </w:rPr>
        <w:tab/>
      </w:r>
      <w:r>
        <w:t>ordering CLAUSE</w:t>
      </w:r>
      <w:r>
        <w:tab/>
      </w:r>
      <w:r w:rsidR="00207DB7">
        <w:t>46</w:t>
      </w:r>
    </w:p>
    <w:p w:rsidR="00BE0A2C" w:rsidP="004E16D7" w14:paraId="4003D602" w14:textId="77777777">
      <w:pPr>
        <w:suppressAutoHyphens/>
        <w:rPr>
          <w:spacing w:val="-2"/>
        </w:rPr>
      </w:pPr>
      <w:r>
        <w:rPr>
          <w:spacing w:val="-2"/>
        </w:rPr>
        <w:t>ATTACHMENTS</w:t>
      </w:r>
      <w:r w:rsidR="0020171D">
        <w:rPr>
          <w:spacing w:val="-2"/>
        </w:rPr>
        <w:t xml:space="preserve"> 1-8</w:t>
      </w:r>
    </w:p>
    <w:p w:rsidR="000C180D" w:rsidP="004E16D7" w14:paraId="6E35D9C6" w14:textId="77777777">
      <w:pPr>
        <w:suppressAutoHyphens/>
        <w:rPr>
          <w:spacing w:val="-2"/>
        </w:rPr>
      </w:pPr>
      <w:r>
        <w:rPr>
          <w:spacing w:val="-2"/>
        </w:rPr>
        <w:t>APPENDIX</w:t>
      </w:r>
      <w:r w:rsidR="006171E3">
        <w:rPr>
          <w:spacing w:val="-2"/>
        </w:rPr>
        <w:t>:</w:t>
      </w:r>
      <w:r w:rsidR="0020171D">
        <w:rPr>
          <w:spacing w:val="-2"/>
        </w:rPr>
        <w:t xml:space="preserve"> </w:t>
      </w:r>
      <w:r w:rsidR="006171E3">
        <w:rPr>
          <w:spacing w:val="-2"/>
        </w:rPr>
        <w:t xml:space="preserve"> </w:t>
      </w:r>
      <w:r w:rsidR="0020171D">
        <w:rPr>
          <w:spacing w:val="-2"/>
        </w:rPr>
        <w:t>Survey Methodology</w:t>
      </w:r>
    </w:p>
    <w:p w:rsidR="000D2278" w:rsidP="004E16D7" w14:paraId="22F072F9" w14:textId="77777777">
      <w:pPr>
        <w:suppressAutoHyphens/>
        <w:rPr>
          <w:spacing w:val="-2"/>
        </w:rPr>
      </w:pPr>
    </w:p>
    <w:p w:rsidR="008333A4" w:rsidP="004E16D7" w14:paraId="6C679CF9" w14:textId="77777777">
      <w:pPr>
        <w:widowControl/>
        <w:suppressAutoHyphens/>
        <w:rPr>
          <w:b/>
          <w:caps/>
          <w:szCs w:val="22"/>
        </w:rPr>
      </w:pPr>
      <w:bookmarkStart w:id="8" w:name="_Toc384990870"/>
      <w:bookmarkStart w:id="9" w:name="_Toc384991975"/>
      <w:bookmarkStart w:id="10" w:name="_Toc384992811"/>
      <w:bookmarkStart w:id="11" w:name="_Toc456873881"/>
      <w:bookmarkStart w:id="12" w:name="_Toc456874093"/>
      <w:bookmarkEnd w:id="1"/>
      <w:r>
        <w:rPr>
          <w:szCs w:val="22"/>
        </w:rPr>
        <w:br w:type="page"/>
      </w:r>
    </w:p>
    <w:p w:rsidR="002C00E8" w:rsidRPr="00BE0A2C" w:rsidP="004E16D7" w14:paraId="5DFDEEDF" w14:textId="77777777">
      <w:pPr>
        <w:pStyle w:val="Heading1"/>
        <w:keepNext w:val="0"/>
        <w:rPr>
          <w:rFonts w:ascii="Times New Roman" w:hAnsi="Times New Roman"/>
          <w:szCs w:val="22"/>
        </w:rPr>
      </w:pPr>
      <w:r w:rsidRPr="00BE0A2C">
        <w:rPr>
          <w:rFonts w:ascii="Times New Roman" w:hAnsi="Times New Roman"/>
          <w:szCs w:val="22"/>
        </w:rPr>
        <w:t>Introduction and executive summary</w:t>
      </w:r>
      <w:bookmarkEnd w:id="8"/>
      <w:bookmarkEnd w:id="9"/>
      <w:bookmarkEnd w:id="10"/>
      <w:bookmarkEnd w:id="11"/>
      <w:bookmarkEnd w:id="12"/>
    </w:p>
    <w:p w:rsidR="00252A7E" w:rsidRPr="00252A7E" w:rsidP="00956EB9" w14:paraId="40BAB4E3" w14:textId="6B5BFE3F">
      <w:pPr>
        <w:pStyle w:val="Paranum0"/>
        <w:widowControl/>
        <w:numPr>
          <w:ilvl w:val="0"/>
          <w:numId w:val="12"/>
        </w:numPr>
        <w:tabs>
          <w:tab w:val="clear" w:pos="1080"/>
          <w:tab w:val="num" w:pos="1440"/>
        </w:tabs>
        <w:suppressAutoHyphens/>
        <w:spacing w:after="120"/>
        <w:jc w:val="left"/>
        <w:rPr>
          <w:szCs w:val="22"/>
        </w:rPr>
      </w:pPr>
      <w:r w:rsidRPr="00BE0A2C">
        <w:rPr>
          <w:szCs w:val="22"/>
        </w:rPr>
        <w:t>Section 623(k) of the Communications Act of 1934, amended by the Cable Television Consumer Protect</w:t>
      </w:r>
      <w:r w:rsidRPr="00BE0A2C" w:rsidR="00FD14BE">
        <w:rPr>
          <w:szCs w:val="22"/>
        </w:rPr>
        <w:t>ion Act of 1992</w:t>
      </w:r>
      <w:r w:rsidR="00D0361C">
        <w:rPr>
          <w:szCs w:val="22"/>
        </w:rPr>
        <w:t xml:space="preserve"> (Cable Act)</w:t>
      </w:r>
      <w:r w:rsidR="008E69E8">
        <w:rPr>
          <w:szCs w:val="22"/>
        </w:rPr>
        <w:t>,</w:t>
      </w:r>
      <w:r>
        <w:rPr>
          <w:rStyle w:val="FootnoteReference"/>
          <w:sz w:val="22"/>
          <w:szCs w:val="22"/>
        </w:rPr>
        <w:footnoteReference w:id="3"/>
      </w:r>
      <w:r w:rsidRPr="00BE0A2C" w:rsidR="00FD14BE">
        <w:rPr>
          <w:szCs w:val="22"/>
        </w:rPr>
        <w:t xml:space="preserve"> </w:t>
      </w:r>
      <w:r w:rsidRPr="00FD14BE" w:rsidR="00C3707D">
        <w:rPr>
          <w:szCs w:val="22"/>
        </w:rPr>
        <w:t xml:space="preserve">requires the </w:t>
      </w:r>
      <w:r w:rsidR="00C3707D">
        <w:rPr>
          <w:szCs w:val="22"/>
        </w:rPr>
        <w:t xml:space="preserve">Federal </w:t>
      </w:r>
      <w:r w:rsidRPr="00FD14BE" w:rsidR="00C3707D">
        <w:rPr>
          <w:szCs w:val="22"/>
        </w:rPr>
        <w:t>Comm</w:t>
      </w:r>
      <w:r w:rsidR="004D17F5">
        <w:rPr>
          <w:szCs w:val="22"/>
        </w:rPr>
        <w:t>unications</w:t>
      </w:r>
      <w:r w:rsidRPr="00FD14BE" w:rsidR="00C3707D">
        <w:rPr>
          <w:szCs w:val="22"/>
        </w:rPr>
        <w:t xml:space="preserve"> </w:t>
      </w:r>
      <w:r w:rsidR="00C3707D">
        <w:rPr>
          <w:szCs w:val="22"/>
        </w:rPr>
        <w:t>Commission (</w:t>
      </w:r>
      <w:r w:rsidR="00853B7C">
        <w:rPr>
          <w:szCs w:val="22"/>
        </w:rPr>
        <w:t xml:space="preserve">or </w:t>
      </w:r>
      <w:r w:rsidR="00C3707D">
        <w:rPr>
          <w:szCs w:val="22"/>
        </w:rPr>
        <w:t xml:space="preserve">Commission) </w:t>
      </w:r>
      <w:r w:rsidR="00853B7C">
        <w:rPr>
          <w:szCs w:val="22"/>
        </w:rPr>
        <w:t xml:space="preserve">to </w:t>
      </w:r>
      <w:r w:rsidRPr="00FD14BE" w:rsidR="00FD14BE">
        <w:rPr>
          <w:szCs w:val="22"/>
        </w:rPr>
        <w:t>publish annual</w:t>
      </w:r>
      <w:r w:rsidR="00F30738">
        <w:rPr>
          <w:szCs w:val="22"/>
        </w:rPr>
        <w:t>ly a</w:t>
      </w:r>
      <w:r w:rsidR="00C87C9B">
        <w:rPr>
          <w:szCs w:val="22"/>
        </w:rPr>
        <w:t xml:space="preserve"> </w:t>
      </w:r>
      <w:r w:rsidRPr="00FD14BE" w:rsidR="00FD14BE">
        <w:rPr>
          <w:szCs w:val="22"/>
        </w:rPr>
        <w:t>statistical report</w:t>
      </w:r>
      <w:r w:rsidR="00F911CC">
        <w:rPr>
          <w:szCs w:val="22"/>
        </w:rPr>
        <w:t xml:space="preserve"> (Report)</w:t>
      </w:r>
      <w:bookmarkStart w:id="13" w:name="_Ref493140957"/>
      <w:r>
        <w:rPr>
          <w:rStyle w:val="FootnoteReference"/>
          <w:sz w:val="22"/>
          <w:szCs w:val="22"/>
        </w:rPr>
        <w:footnoteReference w:id="4"/>
      </w:r>
      <w:bookmarkEnd w:id="13"/>
      <w:r w:rsidR="004929BD">
        <w:rPr>
          <w:szCs w:val="22"/>
        </w:rPr>
        <w:t xml:space="preserve"> </w:t>
      </w:r>
      <w:r w:rsidRPr="00FD14BE" w:rsidR="00FD14BE">
        <w:rPr>
          <w:szCs w:val="22"/>
        </w:rPr>
        <w:t>on</w:t>
      </w:r>
      <w:r w:rsidR="008B26C1">
        <w:rPr>
          <w:szCs w:val="22"/>
        </w:rPr>
        <w:t xml:space="preserve"> </w:t>
      </w:r>
      <w:r w:rsidR="00286CCA">
        <w:rPr>
          <w:szCs w:val="22"/>
        </w:rPr>
        <w:t xml:space="preserve">the </w:t>
      </w:r>
      <w:r w:rsidR="009F2443">
        <w:rPr>
          <w:szCs w:val="22"/>
        </w:rPr>
        <w:t xml:space="preserve">average </w:t>
      </w:r>
      <w:r w:rsidR="004743AD">
        <w:rPr>
          <w:szCs w:val="22"/>
        </w:rPr>
        <w:t>rates</w:t>
      </w:r>
      <w:r w:rsidR="00E6751D">
        <w:rPr>
          <w:szCs w:val="22"/>
        </w:rPr>
        <w:t xml:space="preserve"> </w:t>
      </w:r>
      <w:r w:rsidR="00C46D10">
        <w:rPr>
          <w:szCs w:val="22"/>
        </w:rPr>
        <w:t>c</w:t>
      </w:r>
      <w:r w:rsidR="00853B7C">
        <w:rPr>
          <w:szCs w:val="22"/>
        </w:rPr>
        <w:t xml:space="preserve">able </w:t>
      </w:r>
      <w:r w:rsidR="00C46D10">
        <w:rPr>
          <w:szCs w:val="22"/>
        </w:rPr>
        <w:t>o</w:t>
      </w:r>
      <w:r w:rsidR="00853B7C">
        <w:rPr>
          <w:szCs w:val="22"/>
        </w:rPr>
        <w:t xml:space="preserve">perators charge </w:t>
      </w:r>
      <w:r w:rsidR="00D0361C">
        <w:rPr>
          <w:szCs w:val="22"/>
        </w:rPr>
        <w:t>for</w:t>
      </w:r>
      <w:r w:rsidR="00D23DAA">
        <w:rPr>
          <w:szCs w:val="22"/>
        </w:rPr>
        <w:t xml:space="preserve"> </w:t>
      </w:r>
      <w:r w:rsidRPr="00FD14BE" w:rsidR="00FD14BE">
        <w:rPr>
          <w:szCs w:val="22"/>
        </w:rPr>
        <w:t>basic</w:t>
      </w:r>
      <w:r w:rsidR="00310A80">
        <w:rPr>
          <w:szCs w:val="22"/>
        </w:rPr>
        <w:t xml:space="preserve"> </w:t>
      </w:r>
      <w:r w:rsidR="009F2443">
        <w:rPr>
          <w:szCs w:val="22"/>
        </w:rPr>
        <w:t xml:space="preserve">cable </w:t>
      </w:r>
      <w:r w:rsidRPr="00FD14BE" w:rsidR="00FD14BE">
        <w:rPr>
          <w:szCs w:val="22"/>
        </w:rPr>
        <w:t>service</w:t>
      </w:r>
      <w:r w:rsidR="009F2443">
        <w:rPr>
          <w:szCs w:val="22"/>
        </w:rPr>
        <w:t xml:space="preserve"> and</w:t>
      </w:r>
      <w:r w:rsidR="00EE6AAE">
        <w:rPr>
          <w:szCs w:val="22"/>
        </w:rPr>
        <w:t xml:space="preserve"> </w:t>
      </w:r>
      <w:r w:rsidR="00AB1D74">
        <w:rPr>
          <w:szCs w:val="22"/>
        </w:rPr>
        <w:t xml:space="preserve">other </w:t>
      </w:r>
      <w:r w:rsidRPr="00FD14BE" w:rsidR="00FD14BE">
        <w:rPr>
          <w:szCs w:val="22"/>
        </w:rPr>
        <w:t>cable programming</w:t>
      </w:r>
      <w:r w:rsidR="004743AD">
        <w:rPr>
          <w:szCs w:val="22"/>
        </w:rPr>
        <w:t>, and</w:t>
      </w:r>
      <w:r w:rsidR="00853B7C">
        <w:rPr>
          <w:szCs w:val="22"/>
        </w:rPr>
        <w:t xml:space="preserve"> </w:t>
      </w:r>
      <w:r w:rsidR="00CA12DE">
        <w:rPr>
          <w:szCs w:val="22"/>
        </w:rPr>
        <w:t xml:space="preserve">for </w:t>
      </w:r>
      <w:r w:rsidR="00F911CC">
        <w:rPr>
          <w:szCs w:val="22"/>
        </w:rPr>
        <w:t xml:space="preserve">cable </w:t>
      </w:r>
      <w:r w:rsidRPr="00FD14BE" w:rsidR="00FD14BE">
        <w:rPr>
          <w:szCs w:val="22"/>
        </w:rPr>
        <w:t>equipment</w:t>
      </w:r>
      <w:r w:rsidR="004743AD">
        <w:rPr>
          <w:szCs w:val="22"/>
        </w:rPr>
        <w:t xml:space="preserve"> to a</w:t>
      </w:r>
      <w:r w:rsidR="00D23DAA">
        <w:rPr>
          <w:szCs w:val="22"/>
        </w:rPr>
        <w:t>cc</w:t>
      </w:r>
      <w:r w:rsidR="004743AD">
        <w:rPr>
          <w:szCs w:val="22"/>
        </w:rPr>
        <w:t>ess</w:t>
      </w:r>
      <w:r w:rsidR="00CE3B18">
        <w:rPr>
          <w:szCs w:val="22"/>
        </w:rPr>
        <w:t xml:space="preserve"> </w:t>
      </w:r>
      <w:r w:rsidR="00E6751D">
        <w:rPr>
          <w:szCs w:val="22"/>
        </w:rPr>
        <w:t>such</w:t>
      </w:r>
      <w:r w:rsidR="00853B7C">
        <w:rPr>
          <w:szCs w:val="22"/>
        </w:rPr>
        <w:t xml:space="preserve"> </w:t>
      </w:r>
      <w:r w:rsidR="004743AD">
        <w:rPr>
          <w:szCs w:val="22"/>
        </w:rPr>
        <w:t>programming</w:t>
      </w:r>
      <w:r w:rsidR="004929BD">
        <w:rPr>
          <w:szCs w:val="22"/>
        </w:rPr>
        <w:t>.</w:t>
      </w:r>
      <w:bookmarkStart w:id="14" w:name="_Ref493169069"/>
      <w:r>
        <w:rPr>
          <w:rStyle w:val="FootnoteReference"/>
          <w:sz w:val="22"/>
          <w:szCs w:val="22"/>
        </w:rPr>
        <w:footnoteReference w:id="5"/>
      </w:r>
      <w:bookmarkEnd w:id="14"/>
      <w:r w:rsidR="004743AD">
        <w:rPr>
          <w:szCs w:val="22"/>
        </w:rPr>
        <w:t xml:space="preserve">  The </w:t>
      </w:r>
      <w:r w:rsidR="00D23DAA">
        <w:rPr>
          <w:szCs w:val="22"/>
        </w:rPr>
        <w:t xml:space="preserve">Cable </w:t>
      </w:r>
      <w:r w:rsidR="004743AD">
        <w:rPr>
          <w:szCs w:val="22"/>
        </w:rPr>
        <w:t xml:space="preserve">Act </w:t>
      </w:r>
      <w:r w:rsidR="00AB1D74">
        <w:rPr>
          <w:szCs w:val="22"/>
        </w:rPr>
        <w:t>requires</w:t>
      </w:r>
      <w:r w:rsidR="004743AD">
        <w:rPr>
          <w:szCs w:val="22"/>
        </w:rPr>
        <w:t xml:space="preserve"> the Commission to </w:t>
      </w:r>
      <w:r w:rsidR="00AB1D74">
        <w:rPr>
          <w:szCs w:val="22"/>
        </w:rPr>
        <w:t>compare</w:t>
      </w:r>
      <w:r>
        <w:rPr>
          <w:szCs w:val="22"/>
        </w:rPr>
        <w:t xml:space="preserve"> </w:t>
      </w:r>
      <w:r w:rsidR="00286CCA">
        <w:rPr>
          <w:szCs w:val="22"/>
        </w:rPr>
        <w:t xml:space="preserve">the </w:t>
      </w:r>
      <w:r w:rsidR="00D23DAA">
        <w:rPr>
          <w:szCs w:val="22"/>
        </w:rPr>
        <w:t>r</w:t>
      </w:r>
      <w:r w:rsidR="004929BD">
        <w:rPr>
          <w:szCs w:val="22"/>
        </w:rPr>
        <w:t>ates</w:t>
      </w:r>
      <w:r w:rsidR="00AB1D74">
        <w:rPr>
          <w:szCs w:val="22"/>
        </w:rPr>
        <w:t xml:space="preserve"> of</w:t>
      </w:r>
      <w:r w:rsidR="00E6751D">
        <w:rPr>
          <w:szCs w:val="22"/>
        </w:rPr>
        <w:t xml:space="preserve"> </w:t>
      </w:r>
      <w:r w:rsidR="004929BD">
        <w:rPr>
          <w:szCs w:val="22"/>
        </w:rPr>
        <w:t>operators</w:t>
      </w:r>
      <w:r w:rsidR="00952787">
        <w:rPr>
          <w:szCs w:val="22"/>
        </w:rPr>
        <w:t xml:space="preserve"> </w:t>
      </w:r>
      <w:r w:rsidRPr="00FD14BE" w:rsidR="00D0361C">
        <w:rPr>
          <w:szCs w:val="22"/>
        </w:rPr>
        <w:t>subject to effective competition</w:t>
      </w:r>
      <w:r w:rsidR="00AB1D74">
        <w:rPr>
          <w:szCs w:val="22"/>
        </w:rPr>
        <w:t xml:space="preserve"> </w:t>
      </w:r>
      <w:r w:rsidR="00B06487">
        <w:rPr>
          <w:szCs w:val="22"/>
        </w:rPr>
        <w:t xml:space="preserve">to </w:t>
      </w:r>
      <w:r w:rsidR="0090170B">
        <w:rPr>
          <w:szCs w:val="22"/>
        </w:rPr>
        <w:t xml:space="preserve">the </w:t>
      </w:r>
      <w:r w:rsidR="00B06487">
        <w:rPr>
          <w:szCs w:val="22"/>
        </w:rPr>
        <w:t xml:space="preserve">rates of operators not </w:t>
      </w:r>
      <w:r w:rsidRPr="00FD14BE" w:rsidR="00B06487">
        <w:rPr>
          <w:szCs w:val="22"/>
        </w:rPr>
        <w:t>subject to effective competition</w:t>
      </w:r>
      <w:r w:rsidR="00B06487">
        <w:rPr>
          <w:szCs w:val="22"/>
        </w:rPr>
        <w:t xml:space="preserve"> </w:t>
      </w:r>
      <w:r w:rsidR="00AB1D74">
        <w:rPr>
          <w:szCs w:val="22"/>
        </w:rPr>
        <w:t xml:space="preserve">under </w:t>
      </w:r>
      <w:r w:rsidR="00286CCA">
        <w:rPr>
          <w:szCs w:val="22"/>
        </w:rPr>
        <w:t>a</w:t>
      </w:r>
      <w:r w:rsidR="00AB1D74">
        <w:rPr>
          <w:szCs w:val="22"/>
        </w:rPr>
        <w:t xml:space="preserve"> </w:t>
      </w:r>
      <w:r w:rsidRPr="00FD14BE" w:rsidR="00AB1D74">
        <w:rPr>
          <w:szCs w:val="22"/>
        </w:rPr>
        <w:t>statutorily defined standard (herein</w:t>
      </w:r>
      <w:r w:rsidR="00B06487">
        <w:rPr>
          <w:szCs w:val="22"/>
        </w:rPr>
        <w:t xml:space="preserve"> </w:t>
      </w:r>
      <w:r w:rsidRPr="00FD14BE" w:rsidR="00AB1D74">
        <w:rPr>
          <w:szCs w:val="22"/>
        </w:rPr>
        <w:t>after referred to as “effective competition”</w:t>
      </w:r>
      <w:r w:rsidR="00AB1D74">
        <w:rPr>
          <w:szCs w:val="22"/>
        </w:rPr>
        <w:t>)</w:t>
      </w:r>
      <w:r w:rsidR="00B915C6">
        <w:rPr>
          <w:szCs w:val="22"/>
        </w:rPr>
        <w:t>.</w:t>
      </w:r>
      <w:bookmarkStart w:id="17" w:name="_Ref493168938"/>
      <w:r>
        <w:rPr>
          <w:rStyle w:val="FootnoteReference"/>
          <w:sz w:val="22"/>
          <w:szCs w:val="22"/>
        </w:rPr>
        <w:footnoteReference w:id="6"/>
      </w:r>
      <w:bookmarkEnd w:id="17"/>
      <w:r w:rsidR="00B915C6">
        <w:rPr>
          <w:szCs w:val="22"/>
        </w:rPr>
        <w:t xml:space="preserve">  </w:t>
      </w:r>
      <w:r w:rsidR="00AB1D74">
        <w:rPr>
          <w:szCs w:val="22"/>
        </w:rPr>
        <w:t>Th</w:t>
      </w:r>
      <w:r w:rsidR="0090170B">
        <w:rPr>
          <w:szCs w:val="22"/>
        </w:rPr>
        <w:t>is</w:t>
      </w:r>
      <w:r w:rsidR="00F911CC">
        <w:rPr>
          <w:szCs w:val="22"/>
        </w:rPr>
        <w:t xml:space="preserve"> R</w:t>
      </w:r>
      <w:r w:rsidR="00D23DAA">
        <w:rPr>
          <w:szCs w:val="22"/>
        </w:rPr>
        <w:t>eport</w:t>
      </w:r>
      <w:r w:rsidRPr="00FD14BE" w:rsidR="00FD14BE">
        <w:rPr>
          <w:szCs w:val="22"/>
        </w:rPr>
        <w:t xml:space="preserve"> fulfills </w:t>
      </w:r>
      <w:r w:rsidR="00D23DAA">
        <w:rPr>
          <w:szCs w:val="22"/>
        </w:rPr>
        <w:t>th</w:t>
      </w:r>
      <w:r w:rsidR="00AB1D74">
        <w:rPr>
          <w:szCs w:val="22"/>
        </w:rPr>
        <w:t>e</w:t>
      </w:r>
      <w:r w:rsidR="00D23DAA">
        <w:rPr>
          <w:szCs w:val="22"/>
        </w:rPr>
        <w:t xml:space="preserve"> s</w:t>
      </w:r>
      <w:r w:rsidRPr="00FD14BE" w:rsidR="00FD14BE">
        <w:rPr>
          <w:szCs w:val="22"/>
        </w:rPr>
        <w:t xml:space="preserve">tatutory </w:t>
      </w:r>
      <w:r w:rsidR="001D0E88">
        <w:rPr>
          <w:szCs w:val="22"/>
        </w:rPr>
        <w:t>d</w:t>
      </w:r>
      <w:r w:rsidRPr="00FD14BE" w:rsidR="00FD14BE">
        <w:rPr>
          <w:szCs w:val="22"/>
        </w:rPr>
        <w:t>irective</w:t>
      </w:r>
      <w:r w:rsidR="00AB1D74">
        <w:rPr>
          <w:szCs w:val="22"/>
        </w:rPr>
        <w:t>s</w:t>
      </w:r>
      <w:r w:rsidRPr="00FD14BE" w:rsidR="00FD14BE">
        <w:rPr>
          <w:szCs w:val="22"/>
        </w:rPr>
        <w:t xml:space="preserve"> and</w:t>
      </w:r>
      <w:r w:rsidR="00D23DAA">
        <w:rPr>
          <w:szCs w:val="22"/>
        </w:rPr>
        <w:t xml:space="preserve"> </w:t>
      </w:r>
      <w:r w:rsidRPr="00FD14BE" w:rsidR="00FD14BE">
        <w:rPr>
          <w:szCs w:val="22"/>
        </w:rPr>
        <w:t>presents</w:t>
      </w:r>
      <w:r w:rsidR="00AB1D74">
        <w:rPr>
          <w:szCs w:val="22"/>
        </w:rPr>
        <w:t xml:space="preserve"> </w:t>
      </w:r>
      <w:r w:rsidRPr="00FD14BE" w:rsidR="00FD14BE">
        <w:rPr>
          <w:szCs w:val="22"/>
        </w:rPr>
        <w:t>findings</w:t>
      </w:r>
      <w:r w:rsidR="00D23DAA">
        <w:rPr>
          <w:szCs w:val="22"/>
        </w:rPr>
        <w:t xml:space="preserve"> </w:t>
      </w:r>
      <w:r w:rsidR="00952787">
        <w:rPr>
          <w:szCs w:val="22"/>
        </w:rPr>
        <w:t>as of</w:t>
      </w:r>
      <w:r w:rsidRPr="00FD14BE" w:rsidR="00FD14BE">
        <w:rPr>
          <w:szCs w:val="22"/>
        </w:rPr>
        <w:t xml:space="preserve"> January 1, </w:t>
      </w:r>
      <w:r w:rsidR="008634B3">
        <w:rPr>
          <w:szCs w:val="22"/>
        </w:rPr>
        <w:t>2016</w:t>
      </w:r>
      <w:r w:rsidRPr="00FD14BE" w:rsidR="00FD14BE">
        <w:rPr>
          <w:szCs w:val="22"/>
        </w:rPr>
        <w:t>.</w:t>
      </w:r>
    </w:p>
    <w:p w:rsidR="00251C06" w:rsidP="004E16D7" w14:paraId="543EF7A2" w14:textId="2019E518">
      <w:pPr>
        <w:pStyle w:val="Paranum0"/>
        <w:numPr>
          <w:ilvl w:val="0"/>
          <w:numId w:val="12"/>
        </w:numPr>
        <w:tabs>
          <w:tab w:val="clear" w:pos="1080"/>
          <w:tab w:val="num" w:pos="1440"/>
        </w:tabs>
        <w:suppressAutoHyphens/>
        <w:spacing w:after="120"/>
        <w:jc w:val="left"/>
      </w:pPr>
      <w:r>
        <w:t>For th</w:t>
      </w:r>
      <w:r w:rsidR="00D334D9">
        <w:t>e R</w:t>
      </w:r>
      <w:r>
        <w:t xml:space="preserve">eport, </w:t>
      </w:r>
      <w:r w:rsidRPr="00FD14BE" w:rsidR="00FD14BE">
        <w:t xml:space="preserve">Media Bureau staff </w:t>
      </w:r>
      <w:r>
        <w:t>survey</w:t>
      </w:r>
      <w:r w:rsidR="00AE3B4F">
        <w:t>ed</w:t>
      </w:r>
      <w:r>
        <w:t xml:space="preserve"> a</w:t>
      </w:r>
      <w:r w:rsidR="009E2DD3">
        <w:t xml:space="preserve"> stratified </w:t>
      </w:r>
      <w:r w:rsidRPr="00FD14BE">
        <w:t>random sample of</w:t>
      </w:r>
      <w:r w:rsidR="00AE3B4F">
        <w:t xml:space="preserve"> </w:t>
      </w:r>
      <w:r w:rsidR="006B02F9">
        <w:t xml:space="preserve">cable communities </w:t>
      </w:r>
      <w:r w:rsidR="00464C8D">
        <w:t xml:space="preserve">nationwide </w:t>
      </w:r>
      <w:r w:rsidR="008570C5">
        <w:t xml:space="preserve">in order </w:t>
      </w:r>
      <w:r w:rsidR="00C47CC2">
        <w:t xml:space="preserve">to collect data on </w:t>
      </w:r>
      <w:r w:rsidR="008570C5">
        <w:t xml:space="preserve">the cable </w:t>
      </w:r>
      <w:r w:rsidR="00C47CC2">
        <w:t>rates</w:t>
      </w:r>
      <w:r w:rsidR="00464C8D">
        <w:t xml:space="preserve"> (prices)</w:t>
      </w:r>
      <w:r w:rsidR="00C47CC2">
        <w:t xml:space="preserve"> in effect </w:t>
      </w:r>
      <w:r w:rsidR="00DE7B92">
        <w:t xml:space="preserve">in communities </w:t>
      </w:r>
      <w:r w:rsidR="00BE6276">
        <w:t xml:space="preserve">as of </w:t>
      </w:r>
      <w:r w:rsidR="00510B06">
        <w:t>January 1, 2016</w:t>
      </w:r>
      <w:r w:rsidR="00C47CC2">
        <w:t>.</w:t>
      </w:r>
      <w:r>
        <w:rPr>
          <w:rStyle w:val="FootnoteReference"/>
        </w:rPr>
        <w:footnoteReference w:id="7"/>
      </w:r>
      <w:r w:rsidR="00C47CC2">
        <w:t xml:space="preserve"> </w:t>
      </w:r>
      <w:r w:rsidR="00B70775">
        <w:t xml:space="preserve"> </w:t>
      </w:r>
      <w:bookmarkStart w:id="19" w:name="_Hlk483133693"/>
      <w:r w:rsidR="008570C5">
        <w:t>In the Report, we</w:t>
      </w:r>
      <w:r w:rsidR="00D334D9">
        <w:rPr>
          <w:szCs w:val="22"/>
        </w:rPr>
        <w:t xml:space="preserve"> </w:t>
      </w:r>
      <w:r w:rsidRPr="00252A7E" w:rsidR="00D334D9">
        <w:rPr>
          <w:szCs w:val="22"/>
        </w:rPr>
        <w:t>refer to</w:t>
      </w:r>
      <w:r w:rsidR="00D334D9">
        <w:rPr>
          <w:szCs w:val="22"/>
        </w:rPr>
        <w:t xml:space="preserve"> </w:t>
      </w:r>
      <w:r w:rsidR="006D19D9">
        <w:rPr>
          <w:szCs w:val="22"/>
        </w:rPr>
        <w:t xml:space="preserve">the </w:t>
      </w:r>
      <w:r w:rsidR="008570C5">
        <w:rPr>
          <w:szCs w:val="22"/>
        </w:rPr>
        <w:t>c</w:t>
      </w:r>
      <w:r w:rsidR="00D334D9">
        <w:rPr>
          <w:szCs w:val="22"/>
        </w:rPr>
        <w:t>ommunities</w:t>
      </w:r>
      <w:r w:rsidRPr="00252A7E" w:rsidR="00D334D9">
        <w:rPr>
          <w:szCs w:val="22"/>
        </w:rPr>
        <w:t xml:space="preserve"> </w:t>
      </w:r>
      <w:r w:rsidR="006D19D9">
        <w:rPr>
          <w:szCs w:val="22"/>
        </w:rPr>
        <w:t xml:space="preserve">that </w:t>
      </w:r>
      <w:r w:rsidR="009800AB">
        <w:rPr>
          <w:szCs w:val="22"/>
        </w:rPr>
        <w:t xml:space="preserve">were found </w:t>
      </w:r>
      <w:r w:rsidR="00D334D9">
        <w:rPr>
          <w:szCs w:val="22"/>
        </w:rPr>
        <w:t xml:space="preserve">subject to effective competition as the “effective competition group” and </w:t>
      </w:r>
      <w:r w:rsidR="008570C5">
        <w:rPr>
          <w:szCs w:val="22"/>
        </w:rPr>
        <w:t>to</w:t>
      </w:r>
      <w:r w:rsidR="006D19D9">
        <w:rPr>
          <w:szCs w:val="22"/>
        </w:rPr>
        <w:t xml:space="preserve"> </w:t>
      </w:r>
      <w:r w:rsidR="00D334D9">
        <w:rPr>
          <w:szCs w:val="22"/>
        </w:rPr>
        <w:t xml:space="preserve">communities </w:t>
      </w:r>
      <w:r w:rsidR="006D19D9">
        <w:rPr>
          <w:szCs w:val="22"/>
        </w:rPr>
        <w:t xml:space="preserve">not </w:t>
      </w:r>
      <w:r w:rsidR="009800AB">
        <w:rPr>
          <w:szCs w:val="22"/>
        </w:rPr>
        <w:t xml:space="preserve">found </w:t>
      </w:r>
      <w:r w:rsidR="00D334D9">
        <w:rPr>
          <w:szCs w:val="22"/>
        </w:rPr>
        <w:t>subject to effective competition as the</w:t>
      </w:r>
      <w:r w:rsidRPr="00252A7E" w:rsidR="00D334D9">
        <w:rPr>
          <w:szCs w:val="22"/>
        </w:rPr>
        <w:t xml:space="preserve"> “noncompetitive group</w:t>
      </w:r>
      <w:r w:rsidR="00143756">
        <w:rPr>
          <w:szCs w:val="22"/>
        </w:rPr>
        <w:t>.</w:t>
      </w:r>
      <w:r w:rsidR="00D334D9">
        <w:rPr>
          <w:szCs w:val="22"/>
        </w:rPr>
        <w:t>”</w:t>
      </w:r>
      <w:bookmarkEnd w:id="19"/>
      <w:r w:rsidR="00D334D9">
        <w:rPr>
          <w:szCs w:val="22"/>
        </w:rPr>
        <w:t xml:space="preserve">  </w:t>
      </w:r>
      <w:r w:rsidR="006D19D9">
        <w:rPr>
          <w:szCs w:val="22"/>
        </w:rPr>
        <w:t>Our sample includes</w:t>
      </w:r>
      <w:r w:rsidR="00E76DE7">
        <w:t xml:space="preserve"> </w:t>
      </w:r>
      <w:r w:rsidR="006B02F9">
        <w:t xml:space="preserve">communities </w:t>
      </w:r>
      <w:r w:rsidR="009F6704">
        <w:t>from both groups</w:t>
      </w:r>
      <w:r w:rsidR="006D19D9">
        <w:t>.  We</w:t>
      </w:r>
      <w:r w:rsidR="007266AF">
        <w:t xml:space="preserve"> collected data on </w:t>
      </w:r>
      <w:r w:rsidR="00E76DE7">
        <w:t>monthly</w:t>
      </w:r>
      <w:r w:rsidR="007266AF">
        <w:t xml:space="preserve"> </w:t>
      </w:r>
      <w:r w:rsidR="00154E70">
        <w:t xml:space="preserve">prices to purchase </w:t>
      </w:r>
      <w:r w:rsidR="007266AF">
        <w:t>basic</w:t>
      </w:r>
      <w:r w:rsidRPr="00FD14BE" w:rsidR="00FD14BE">
        <w:t xml:space="preserve"> service, </w:t>
      </w:r>
      <w:r>
        <w:t>e</w:t>
      </w:r>
      <w:r w:rsidRPr="00FD14BE" w:rsidR="00FD14BE">
        <w:t>xpanded basic service,</w:t>
      </w:r>
      <w:r w:rsidR="00DB1920">
        <w:t xml:space="preserve"> </w:t>
      </w:r>
      <w:r w:rsidR="00FB5E7A">
        <w:t xml:space="preserve">the </w:t>
      </w:r>
      <w:r w:rsidR="00390EB5">
        <w:t>next most popular service</w:t>
      </w:r>
      <w:r w:rsidR="006D19D9">
        <w:t>, and cable</w:t>
      </w:r>
      <w:r w:rsidR="007266AF">
        <w:t xml:space="preserve"> equipment</w:t>
      </w:r>
      <w:r w:rsidR="006D19D9">
        <w:t>, as well as other information</w:t>
      </w:r>
      <w:r w:rsidR="0051381B">
        <w:t>, as described in greater detail in t</w:t>
      </w:r>
      <w:r w:rsidR="006D19D9">
        <w:t xml:space="preserve">he </w:t>
      </w:r>
      <w:r w:rsidR="008C6E0D">
        <w:t>O</w:t>
      </w:r>
      <w:r w:rsidR="006D19D9">
        <w:t>verview Section</w:t>
      </w:r>
      <w:r w:rsidR="0051381B">
        <w:t xml:space="preserve"> below</w:t>
      </w:r>
      <w:r w:rsidR="00581921">
        <w:t>.</w:t>
      </w:r>
      <w:r>
        <w:rPr>
          <w:rStyle w:val="FootnoteReference"/>
        </w:rPr>
        <w:footnoteReference w:id="8"/>
      </w:r>
    </w:p>
    <w:p w:rsidR="007266AF" w:rsidRPr="0016633D" w:rsidP="004E16D7" w14:paraId="6C1560CB" w14:textId="78EF4C9C">
      <w:pPr>
        <w:pStyle w:val="Paranum0"/>
        <w:numPr>
          <w:ilvl w:val="0"/>
          <w:numId w:val="12"/>
        </w:numPr>
        <w:tabs>
          <w:tab w:val="clear" w:pos="1080"/>
          <w:tab w:val="num" w:pos="1440"/>
        </w:tabs>
        <w:suppressAutoHyphens/>
        <w:spacing w:after="120"/>
        <w:jc w:val="left"/>
        <w:rPr>
          <w:b/>
          <w:szCs w:val="22"/>
        </w:rPr>
      </w:pPr>
      <w:r>
        <w:t>Th</w:t>
      </w:r>
      <w:r w:rsidR="009F6704">
        <w:t>e R</w:t>
      </w:r>
      <w:r>
        <w:t>eport presents</w:t>
      </w:r>
      <w:r w:rsidRPr="0016633D">
        <w:rPr>
          <w:szCs w:val="22"/>
        </w:rPr>
        <w:t xml:space="preserve"> the average annual change</w:t>
      </w:r>
      <w:r w:rsidRPr="0016633D" w:rsidR="0045222B">
        <w:rPr>
          <w:szCs w:val="22"/>
        </w:rPr>
        <w:t>s</w:t>
      </w:r>
      <w:r w:rsidRPr="0016633D">
        <w:rPr>
          <w:szCs w:val="22"/>
        </w:rPr>
        <w:t xml:space="preserve"> in price</w:t>
      </w:r>
      <w:r w:rsidRPr="0016633D" w:rsidR="0045222B">
        <w:rPr>
          <w:szCs w:val="22"/>
        </w:rPr>
        <w:t>s</w:t>
      </w:r>
      <w:r w:rsidRPr="0016633D">
        <w:rPr>
          <w:szCs w:val="22"/>
        </w:rPr>
        <w:t xml:space="preserve"> </w:t>
      </w:r>
      <w:r w:rsidR="00581921">
        <w:rPr>
          <w:szCs w:val="22"/>
        </w:rPr>
        <w:t xml:space="preserve">and other data </w:t>
      </w:r>
      <w:r w:rsidRPr="0016633D" w:rsidR="0045222B">
        <w:rPr>
          <w:szCs w:val="22"/>
        </w:rPr>
        <w:t>by cable service</w:t>
      </w:r>
      <w:r w:rsidRPr="0016633D" w:rsidR="00A44397">
        <w:rPr>
          <w:szCs w:val="22"/>
        </w:rPr>
        <w:t xml:space="preserve"> level.  S</w:t>
      </w:r>
      <w:r w:rsidR="009A52F3">
        <w:t xml:space="preserve">ection II </w:t>
      </w:r>
      <w:r w:rsidR="00E45971">
        <w:t xml:space="preserve">provides an </w:t>
      </w:r>
      <w:r w:rsidR="009A52F3">
        <w:t>overview</w:t>
      </w:r>
      <w:r w:rsidR="00E45971">
        <w:t xml:space="preserve"> of</w:t>
      </w:r>
      <w:r w:rsidR="0065054F">
        <w:t xml:space="preserve"> the</w:t>
      </w:r>
      <w:r w:rsidR="009A52F3">
        <w:t xml:space="preserve"> survey</w:t>
      </w:r>
      <w:r w:rsidR="00A44397">
        <w:t xml:space="preserve"> and</w:t>
      </w:r>
      <w:r w:rsidR="007A46D5">
        <w:t xml:space="preserve"> </w:t>
      </w:r>
      <w:r w:rsidR="009A52F3">
        <w:t>Section III</w:t>
      </w:r>
      <w:r w:rsidR="007A46D5">
        <w:t xml:space="preserve"> report</w:t>
      </w:r>
      <w:r w:rsidR="00A44397">
        <w:t>s</w:t>
      </w:r>
      <w:r w:rsidR="0065054F">
        <w:t xml:space="preserve"> </w:t>
      </w:r>
      <w:r w:rsidR="00E45971">
        <w:t xml:space="preserve">the </w:t>
      </w:r>
      <w:r w:rsidR="009A52F3">
        <w:t xml:space="preserve">survey </w:t>
      </w:r>
      <w:r w:rsidR="007A46D5">
        <w:t>findings</w:t>
      </w:r>
      <w:r w:rsidR="009A52F3">
        <w:t>.</w:t>
      </w:r>
      <w:r w:rsidR="0065054F">
        <w:t xml:space="preserve">  </w:t>
      </w:r>
      <w:r w:rsidR="00344797">
        <w:t>S</w:t>
      </w:r>
      <w:r w:rsidR="009A52F3">
        <w:t>ection</w:t>
      </w:r>
      <w:r w:rsidR="00223A09">
        <w:t xml:space="preserve"> III</w:t>
      </w:r>
      <w:r w:rsidR="003A6BB4">
        <w:t>, Part A</w:t>
      </w:r>
      <w:r w:rsidR="009A52F3">
        <w:t xml:space="preserve"> </w:t>
      </w:r>
      <w:r w:rsidR="00A44397">
        <w:t>discusses averages of</w:t>
      </w:r>
      <w:r w:rsidR="007A46D5">
        <w:t xml:space="preserve"> </w:t>
      </w:r>
      <w:r w:rsidR="00C35332">
        <w:t>programming price</w:t>
      </w:r>
      <w:r w:rsidR="0065054F">
        <w:t>s</w:t>
      </w:r>
      <w:r w:rsidR="00A44397">
        <w:t>,</w:t>
      </w:r>
      <w:r w:rsidR="0045222B">
        <w:t xml:space="preserve"> average</w:t>
      </w:r>
      <w:r w:rsidR="00C35332">
        <w:t xml:space="preserve"> price per channel</w:t>
      </w:r>
      <w:r w:rsidR="00A44397">
        <w:t>, and annual change</w:t>
      </w:r>
      <w:r w:rsidR="00581921">
        <w:t>s</w:t>
      </w:r>
      <w:r w:rsidR="00A44397">
        <w:t xml:space="preserve"> in</w:t>
      </w:r>
      <w:r w:rsidR="00581921">
        <w:t xml:space="preserve"> the</w:t>
      </w:r>
      <w:r w:rsidR="00A44397">
        <w:t xml:space="preserve"> prices for the full sample of cable operators</w:t>
      </w:r>
      <w:r w:rsidR="00581921">
        <w:t>, and</w:t>
      </w:r>
      <w:r w:rsidRPr="00A44397" w:rsidR="00A44397">
        <w:t xml:space="preserve"> compares prices in the effective competition group </w:t>
      </w:r>
      <w:r w:rsidR="00E45971">
        <w:t>(</w:t>
      </w:r>
      <w:r w:rsidRPr="00A44397" w:rsidR="00A44397">
        <w:t>and subgroups</w:t>
      </w:r>
      <w:r w:rsidR="00581921">
        <w:t xml:space="preserve"> of communities</w:t>
      </w:r>
      <w:r w:rsidR="00E45971">
        <w:t>)</w:t>
      </w:r>
      <w:r w:rsidRPr="00A44397" w:rsidR="00A44397">
        <w:t xml:space="preserve"> to </w:t>
      </w:r>
      <w:r w:rsidR="00581921">
        <w:t xml:space="preserve">the </w:t>
      </w:r>
      <w:r w:rsidR="00A44397">
        <w:t>prices</w:t>
      </w:r>
      <w:r w:rsidRPr="00A44397" w:rsidR="00A44397">
        <w:t xml:space="preserve"> in the noncompetitive group of </w:t>
      </w:r>
      <w:r w:rsidR="00581921">
        <w:t>communities</w:t>
      </w:r>
      <w:r w:rsidRPr="00A44397" w:rsidR="00A44397">
        <w:t>.</w:t>
      </w:r>
      <w:r w:rsidR="00581921">
        <w:t xml:space="preserve">  </w:t>
      </w:r>
      <w:r w:rsidR="00E45971">
        <w:t xml:space="preserve">Section III, </w:t>
      </w:r>
      <w:r w:rsidR="0065054F">
        <w:t>P</w:t>
      </w:r>
      <w:r w:rsidR="003A6BB4">
        <w:t xml:space="preserve">art B </w:t>
      </w:r>
      <w:r w:rsidR="00E45971">
        <w:t xml:space="preserve">details </w:t>
      </w:r>
      <w:r w:rsidR="00A44397">
        <w:t>the level</w:t>
      </w:r>
      <w:r w:rsidR="00581921">
        <w:t>s</w:t>
      </w:r>
      <w:r w:rsidR="00A44397">
        <w:t xml:space="preserve"> of annual changes in the number of cable programming </w:t>
      </w:r>
      <w:r w:rsidR="009A52F3">
        <w:t>channels</w:t>
      </w:r>
      <w:r w:rsidR="0045222B">
        <w:t xml:space="preserve"> and</w:t>
      </w:r>
      <w:r w:rsidR="00825DB0">
        <w:t xml:space="preserve"> </w:t>
      </w:r>
      <w:r w:rsidR="003A6BB4">
        <w:t>Part C</w:t>
      </w:r>
      <w:r w:rsidR="00F120CB">
        <w:t xml:space="preserve"> </w:t>
      </w:r>
      <w:r w:rsidR="00F81EE2">
        <w:t>looks at the rates to lease cable</w:t>
      </w:r>
      <w:r w:rsidR="00F120CB">
        <w:t xml:space="preserve"> </w:t>
      </w:r>
      <w:r w:rsidR="00CF1EA2">
        <w:t>equipment</w:t>
      </w:r>
      <w:r w:rsidR="00F120CB">
        <w:t xml:space="preserve">.  </w:t>
      </w:r>
      <w:r w:rsidR="0064192E">
        <w:t>Part D</w:t>
      </w:r>
      <w:r w:rsidR="00F120CB">
        <w:t xml:space="preserve"> </w:t>
      </w:r>
      <w:r w:rsidR="00F81EE2">
        <w:t xml:space="preserve">of Section III shows </w:t>
      </w:r>
      <w:r w:rsidR="009324CB">
        <w:t xml:space="preserve">the annual </w:t>
      </w:r>
      <w:r w:rsidR="00F81EE2">
        <w:t xml:space="preserve">change </w:t>
      </w:r>
      <w:r w:rsidR="008A27AD">
        <w:t>in</w:t>
      </w:r>
      <w:r w:rsidR="00F120CB">
        <w:t xml:space="preserve"> </w:t>
      </w:r>
      <w:r w:rsidR="00581921">
        <w:t xml:space="preserve">the </w:t>
      </w:r>
      <w:r w:rsidR="00CF1EA2">
        <w:t xml:space="preserve">broadcast retransmission consent </w:t>
      </w:r>
      <w:r w:rsidR="008A27AD">
        <w:t xml:space="preserve">compensation </w:t>
      </w:r>
      <w:r w:rsidR="00F81EE2">
        <w:t>paid by cable</w:t>
      </w:r>
      <w:r w:rsidR="00CF1EA2">
        <w:t xml:space="preserve"> operators</w:t>
      </w:r>
      <w:r w:rsidR="00454728">
        <w:t xml:space="preserve"> </w:t>
      </w:r>
      <w:r w:rsidR="00F81EE2">
        <w:t xml:space="preserve">to </w:t>
      </w:r>
      <w:r w:rsidR="00581921">
        <w:t xml:space="preserve">local </w:t>
      </w:r>
      <w:r w:rsidR="00F81EE2">
        <w:t>broadcast</w:t>
      </w:r>
      <w:r w:rsidR="00E45971">
        <w:t xml:space="preserve"> stations</w:t>
      </w:r>
      <w:r w:rsidR="00CF1EA2">
        <w:t>.</w:t>
      </w:r>
    </w:p>
    <w:p w:rsidR="00344797" w:rsidRPr="000E223B" w:rsidP="00EE4D37" w14:paraId="374AF2D4" w14:textId="1F2871BD">
      <w:pPr>
        <w:pStyle w:val="Heading2"/>
      </w:pPr>
      <w:r w:rsidRPr="000E223B">
        <w:t>Summary of Findings</w:t>
      </w:r>
    </w:p>
    <w:p w:rsidR="00A7444A" w:rsidRPr="003875B9" w:rsidP="004E16D7" w14:paraId="64968DD3" w14:textId="029087D0">
      <w:pPr>
        <w:pStyle w:val="Paranum0"/>
        <w:numPr>
          <w:ilvl w:val="0"/>
          <w:numId w:val="12"/>
        </w:numPr>
        <w:tabs>
          <w:tab w:val="clear" w:pos="1080"/>
          <w:tab w:val="num" w:pos="1440"/>
        </w:tabs>
        <w:suppressAutoHyphens/>
        <w:spacing w:after="120"/>
        <w:jc w:val="left"/>
        <w:rPr>
          <w:szCs w:val="22"/>
        </w:rPr>
      </w:pPr>
      <w:r w:rsidRPr="003875B9">
        <w:rPr>
          <w:i/>
          <w:szCs w:val="22"/>
        </w:rPr>
        <w:t>Average price</w:t>
      </w:r>
      <w:r w:rsidR="00750720">
        <w:rPr>
          <w:i/>
          <w:szCs w:val="22"/>
        </w:rPr>
        <w:t xml:space="preserve"> over</w:t>
      </w:r>
      <w:r w:rsidRPr="003875B9">
        <w:rPr>
          <w:i/>
          <w:szCs w:val="22"/>
        </w:rPr>
        <w:t xml:space="preserve"> all communities (regardless of effective competition</w:t>
      </w:r>
      <w:r w:rsidR="009324CB">
        <w:rPr>
          <w:i/>
          <w:szCs w:val="22"/>
        </w:rPr>
        <w:t xml:space="preserve"> standing</w:t>
      </w:r>
      <w:r w:rsidRPr="003875B9" w:rsidR="00251C06">
        <w:rPr>
          <w:i/>
          <w:szCs w:val="22"/>
        </w:rPr>
        <w:t>).</w:t>
      </w:r>
      <w:r w:rsidRPr="00831871" w:rsidR="00831871">
        <w:rPr>
          <w:szCs w:val="22"/>
        </w:rPr>
        <w:t xml:space="preserve"> </w:t>
      </w:r>
      <w:r w:rsidRPr="00831871" w:rsidR="00251C06">
        <w:rPr>
          <w:szCs w:val="22"/>
        </w:rPr>
        <w:t xml:space="preserve"> </w:t>
      </w:r>
      <w:r w:rsidR="00CA0D52">
        <w:rPr>
          <w:szCs w:val="22"/>
        </w:rPr>
        <w:t>The a</w:t>
      </w:r>
      <w:r w:rsidR="00831871">
        <w:rPr>
          <w:szCs w:val="22"/>
        </w:rPr>
        <w:t>verage m</w:t>
      </w:r>
      <w:r w:rsidRPr="003875B9" w:rsidR="00251C06">
        <w:rPr>
          <w:szCs w:val="22"/>
        </w:rPr>
        <w:t xml:space="preserve">onthly </w:t>
      </w:r>
      <w:r w:rsidR="00255522">
        <w:rPr>
          <w:szCs w:val="22"/>
        </w:rPr>
        <w:t>price</w:t>
      </w:r>
      <w:r w:rsidRPr="003875B9" w:rsidR="00251C06">
        <w:rPr>
          <w:szCs w:val="22"/>
        </w:rPr>
        <w:t xml:space="preserve"> for subscribers </w:t>
      </w:r>
      <w:r w:rsidR="00446D79">
        <w:rPr>
          <w:szCs w:val="22"/>
        </w:rPr>
        <w:t xml:space="preserve">who </w:t>
      </w:r>
      <w:r w:rsidRPr="003875B9" w:rsidR="00251C06">
        <w:rPr>
          <w:szCs w:val="22"/>
        </w:rPr>
        <w:t>tak</w:t>
      </w:r>
      <w:r w:rsidR="009324CB">
        <w:rPr>
          <w:szCs w:val="22"/>
        </w:rPr>
        <w:t>e</w:t>
      </w:r>
      <w:r w:rsidRPr="003875B9" w:rsidR="00251C06">
        <w:rPr>
          <w:szCs w:val="22"/>
        </w:rPr>
        <w:t xml:space="preserve"> </w:t>
      </w:r>
      <w:r w:rsidR="00831871">
        <w:rPr>
          <w:szCs w:val="22"/>
        </w:rPr>
        <w:t>only</w:t>
      </w:r>
      <w:r w:rsidR="009324CB">
        <w:rPr>
          <w:szCs w:val="22"/>
        </w:rPr>
        <w:t xml:space="preserve"> </w:t>
      </w:r>
      <w:r w:rsidRPr="003875B9" w:rsidR="00251C06">
        <w:rPr>
          <w:szCs w:val="22"/>
        </w:rPr>
        <w:t>basic</w:t>
      </w:r>
      <w:r w:rsidR="009324CB">
        <w:rPr>
          <w:szCs w:val="22"/>
        </w:rPr>
        <w:t xml:space="preserve"> </w:t>
      </w:r>
      <w:r w:rsidRPr="003875B9" w:rsidR="00251C06">
        <w:rPr>
          <w:szCs w:val="22"/>
        </w:rPr>
        <w:t>service</w:t>
      </w:r>
      <w:r w:rsidR="009324CB">
        <w:rPr>
          <w:szCs w:val="22"/>
        </w:rPr>
        <w:t xml:space="preserve"> grew by an</w:t>
      </w:r>
      <w:r w:rsidR="00831871">
        <w:rPr>
          <w:szCs w:val="22"/>
        </w:rPr>
        <w:t xml:space="preserve"> average </w:t>
      </w:r>
      <w:r w:rsidR="009324CB">
        <w:rPr>
          <w:szCs w:val="22"/>
        </w:rPr>
        <w:t>of</w:t>
      </w:r>
      <w:r w:rsidRPr="003875B9" w:rsidR="00251C06">
        <w:rPr>
          <w:szCs w:val="22"/>
        </w:rPr>
        <w:t xml:space="preserve"> 4.</w:t>
      </w:r>
      <w:r w:rsidR="00111CBA">
        <w:rPr>
          <w:szCs w:val="22"/>
        </w:rPr>
        <w:t>4</w:t>
      </w:r>
      <w:r w:rsidRPr="003875B9" w:rsidR="00251C06">
        <w:rPr>
          <w:szCs w:val="22"/>
        </w:rPr>
        <w:t xml:space="preserve"> percent</w:t>
      </w:r>
      <w:r w:rsidR="00831871">
        <w:rPr>
          <w:szCs w:val="22"/>
        </w:rPr>
        <w:t>,</w:t>
      </w:r>
      <w:r w:rsidRPr="003875B9" w:rsidR="00251C06">
        <w:rPr>
          <w:szCs w:val="22"/>
        </w:rPr>
        <w:t xml:space="preserve"> </w:t>
      </w:r>
      <w:r w:rsidRPr="003875B9" w:rsidR="00831871">
        <w:rPr>
          <w:szCs w:val="22"/>
        </w:rPr>
        <w:t>to $25.4</w:t>
      </w:r>
      <w:r w:rsidR="00111CBA">
        <w:rPr>
          <w:szCs w:val="22"/>
        </w:rPr>
        <w:t>0</w:t>
      </w:r>
      <w:r w:rsidR="00831871">
        <w:rPr>
          <w:szCs w:val="22"/>
        </w:rPr>
        <w:t xml:space="preserve">, </w:t>
      </w:r>
      <w:r w:rsidRPr="003875B9" w:rsidR="00251C06">
        <w:rPr>
          <w:szCs w:val="22"/>
        </w:rPr>
        <w:t>over the 12 months ending</w:t>
      </w:r>
      <w:r w:rsidR="009324CB">
        <w:rPr>
          <w:szCs w:val="22"/>
        </w:rPr>
        <w:t xml:space="preserve"> </w:t>
      </w:r>
      <w:r w:rsidRPr="003875B9" w:rsidR="00251C06">
        <w:rPr>
          <w:szCs w:val="22"/>
        </w:rPr>
        <w:t xml:space="preserve">January 1, 2016.  </w:t>
      </w:r>
      <w:r w:rsidR="00831871">
        <w:rPr>
          <w:szCs w:val="22"/>
        </w:rPr>
        <w:t xml:space="preserve">The average </w:t>
      </w:r>
      <w:r w:rsidR="00590382">
        <w:rPr>
          <w:szCs w:val="22"/>
        </w:rPr>
        <w:t xml:space="preserve">price </w:t>
      </w:r>
      <w:r w:rsidR="00446D79">
        <w:rPr>
          <w:szCs w:val="22"/>
        </w:rPr>
        <w:t>for</w:t>
      </w:r>
      <w:r w:rsidR="00831871">
        <w:rPr>
          <w:szCs w:val="22"/>
        </w:rPr>
        <w:t xml:space="preserve"> e</w:t>
      </w:r>
      <w:r w:rsidRPr="003875B9" w:rsidR="00251C06">
        <w:rPr>
          <w:szCs w:val="22"/>
        </w:rPr>
        <w:t xml:space="preserve">xpanded basic </w:t>
      </w:r>
      <w:r w:rsidR="00831871">
        <w:rPr>
          <w:szCs w:val="22"/>
        </w:rPr>
        <w:t>service</w:t>
      </w:r>
      <w:r w:rsidRPr="003875B9" w:rsidR="00251C06">
        <w:rPr>
          <w:szCs w:val="22"/>
        </w:rPr>
        <w:t xml:space="preserve"> rose </w:t>
      </w:r>
      <w:r w:rsidR="00831871">
        <w:rPr>
          <w:szCs w:val="22"/>
        </w:rPr>
        <w:t>by 3.4 percent over the same</w:t>
      </w:r>
      <w:r w:rsidR="00CA0D52">
        <w:rPr>
          <w:szCs w:val="22"/>
        </w:rPr>
        <w:t xml:space="preserve"> one</w:t>
      </w:r>
      <w:r w:rsidR="00D71AC6">
        <w:rPr>
          <w:szCs w:val="22"/>
        </w:rPr>
        <w:t>-</w:t>
      </w:r>
      <w:r w:rsidR="00CA0D52">
        <w:rPr>
          <w:szCs w:val="22"/>
        </w:rPr>
        <w:t xml:space="preserve">year </w:t>
      </w:r>
      <w:r w:rsidR="00831871">
        <w:rPr>
          <w:szCs w:val="22"/>
        </w:rPr>
        <w:t xml:space="preserve">period </w:t>
      </w:r>
      <w:r w:rsidRPr="00831871" w:rsidR="00831871">
        <w:rPr>
          <w:szCs w:val="22"/>
        </w:rPr>
        <w:t>to $71.3</w:t>
      </w:r>
      <w:r w:rsidR="00231A45">
        <w:rPr>
          <w:szCs w:val="22"/>
        </w:rPr>
        <w:t>7</w:t>
      </w:r>
      <w:r w:rsidR="00446D79">
        <w:rPr>
          <w:szCs w:val="22"/>
        </w:rPr>
        <w:t xml:space="preserve">.  Over the five years ending January 1, 2016, the price of expanded basic service </w:t>
      </w:r>
      <w:r w:rsidR="00255522">
        <w:rPr>
          <w:szCs w:val="22"/>
        </w:rPr>
        <w:t>rose</w:t>
      </w:r>
      <w:r w:rsidR="00446D79">
        <w:rPr>
          <w:szCs w:val="22"/>
        </w:rPr>
        <w:t xml:space="preserve">, on average, by 4.4 percent annually. </w:t>
      </w:r>
      <w:r w:rsidR="00C72894">
        <w:rPr>
          <w:szCs w:val="22"/>
        </w:rPr>
        <w:t xml:space="preserve"> </w:t>
      </w:r>
      <w:r w:rsidR="00446D79">
        <w:rPr>
          <w:szCs w:val="22"/>
        </w:rPr>
        <w:t>A</w:t>
      </w:r>
      <w:r w:rsidR="00520AE9">
        <w:rPr>
          <w:szCs w:val="22"/>
        </w:rPr>
        <w:t xml:space="preserve">verage </w:t>
      </w:r>
      <w:r w:rsidR="009324CB">
        <w:rPr>
          <w:szCs w:val="22"/>
        </w:rPr>
        <w:t>price per channel (price divided by the number of channels offered with expanded basic service</w:t>
      </w:r>
      <w:r w:rsidR="00520AE9">
        <w:rPr>
          <w:szCs w:val="22"/>
        </w:rPr>
        <w:t>)</w:t>
      </w:r>
      <w:r w:rsidRPr="003875B9" w:rsidR="00251C06">
        <w:rPr>
          <w:szCs w:val="22"/>
        </w:rPr>
        <w:t xml:space="preserve"> </w:t>
      </w:r>
      <w:r w:rsidRPr="003875B9" w:rsidR="00BD11D3">
        <w:rPr>
          <w:szCs w:val="22"/>
        </w:rPr>
        <w:t>rose</w:t>
      </w:r>
      <w:r w:rsidR="00BD11D3">
        <w:rPr>
          <w:szCs w:val="22"/>
        </w:rPr>
        <w:t xml:space="preserve"> </w:t>
      </w:r>
      <w:r w:rsidRPr="003875B9" w:rsidR="00BD11D3">
        <w:rPr>
          <w:szCs w:val="22"/>
        </w:rPr>
        <w:t xml:space="preserve">by </w:t>
      </w:r>
      <w:r w:rsidR="009852C4">
        <w:rPr>
          <w:szCs w:val="22"/>
        </w:rPr>
        <w:t>2.1</w:t>
      </w:r>
      <w:r w:rsidRPr="003875B9" w:rsidR="00BD11D3">
        <w:rPr>
          <w:szCs w:val="22"/>
        </w:rPr>
        <w:t xml:space="preserve"> percent to 4</w:t>
      </w:r>
      <w:r w:rsidR="009852C4">
        <w:rPr>
          <w:szCs w:val="22"/>
        </w:rPr>
        <w:t>7</w:t>
      </w:r>
      <w:r w:rsidRPr="003875B9" w:rsidR="00BD11D3">
        <w:rPr>
          <w:szCs w:val="22"/>
        </w:rPr>
        <w:t xml:space="preserve"> cents per channel</w:t>
      </w:r>
      <w:r w:rsidR="00446D79">
        <w:rPr>
          <w:szCs w:val="22"/>
        </w:rPr>
        <w:t xml:space="preserve"> over the 12 months ending January 1, 2016. </w:t>
      </w:r>
      <w:r w:rsidRPr="003875B9" w:rsidR="003875B9">
        <w:rPr>
          <w:szCs w:val="22"/>
        </w:rPr>
        <w:t xml:space="preserve"> </w:t>
      </w:r>
      <w:r w:rsidR="00446D79">
        <w:rPr>
          <w:szCs w:val="22"/>
        </w:rPr>
        <w:t xml:space="preserve">Over the last five years, however, price per channel </w:t>
      </w:r>
      <w:r w:rsidR="00C72894">
        <w:rPr>
          <w:szCs w:val="22"/>
        </w:rPr>
        <w:t xml:space="preserve">has </w:t>
      </w:r>
      <w:r w:rsidR="00446D79">
        <w:rPr>
          <w:szCs w:val="22"/>
        </w:rPr>
        <w:t>decreased, on average, by 3.9 percent</w:t>
      </w:r>
      <w:r w:rsidR="00255522">
        <w:rPr>
          <w:szCs w:val="22"/>
        </w:rPr>
        <w:t xml:space="preserve"> annually</w:t>
      </w:r>
      <w:r w:rsidR="00446D79">
        <w:rPr>
          <w:szCs w:val="22"/>
        </w:rPr>
        <w:t xml:space="preserve">. </w:t>
      </w:r>
      <w:r w:rsidR="00C72894">
        <w:rPr>
          <w:szCs w:val="22"/>
        </w:rPr>
        <w:t xml:space="preserve"> </w:t>
      </w:r>
      <w:r w:rsidR="003C56BE">
        <w:rPr>
          <w:szCs w:val="22"/>
        </w:rPr>
        <w:t>For</w:t>
      </w:r>
      <w:r w:rsidR="008A27AD">
        <w:rPr>
          <w:szCs w:val="22"/>
        </w:rPr>
        <w:t xml:space="preserve"> comparison</w:t>
      </w:r>
      <w:r w:rsidRPr="003875B9" w:rsidR="003875B9">
        <w:rPr>
          <w:szCs w:val="22"/>
        </w:rPr>
        <w:t xml:space="preserve">, </w:t>
      </w:r>
      <w:r w:rsidR="00BD11D3">
        <w:rPr>
          <w:szCs w:val="22"/>
        </w:rPr>
        <w:t>the rate of</w:t>
      </w:r>
      <w:r w:rsidRPr="003875B9" w:rsidR="008A27AD">
        <w:rPr>
          <w:szCs w:val="22"/>
        </w:rPr>
        <w:t xml:space="preserve"> </w:t>
      </w:r>
      <w:r w:rsidR="00BD11D3">
        <w:rPr>
          <w:szCs w:val="22"/>
        </w:rPr>
        <w:t xml:space="preserve">general </w:t>
      </w:r>
      <w:r w:rsidRPr="003875B9" w:rsidR="008A27AD">
        <w:rPr>
          <w:szCs w:val="22"/>
        </w:rPr>
        <w:t>inflation</w:t>
      </w:r>
      <w:r w:rsidR="000E223B">
        <w:rPr>
          <w:szCs w:val="22"/>
        </w:rPr>
        <w:t xml:space="preserve"> </w:t>
      </w:r>
      <w:r w:rsidR="00BD11D3">
        <w:rPr>
          <w:szCs w:val="22"/>
        </w:rPr>
        <w:t>m</w:t>
      </w:r>
      <w:r w:rsidRPr="003875B9" w:rsidR="008A27AD">
        <w:rPr>
          <w:szCs w:val="22"/>
        </w:rPr>
        <w:t xml:space="preserve">easured by the </w:t>
      </w:r>
      <w:r w:rsidR="000E223B">
        <w:rPr>
          <w:szCs w:val="22"/>
        </w:rPr>
        <w:t>C</w:t>
      </w:r>
      <w:r w:rsidRPr="003875B9" w:rsidR="008A27AD">
        <w:rPr>
          <w:szCs w:val="22"/>
        </w:rPr>
        <w:t xml:space="preserve">onsumer Price Index </w:t>
      </w:r>
      <w:r w:rsidR="00590382">
        <w:rPr>
          <w:szCs w:val="22"/>
        </w:rPr>
        <w:t>(</w:t>
      </w:r>
      <w:r w:rsidR="00831871">
        <w:rPr>
          <w:szCs w:val="22"/>
        </w:rPr>
        <w:t>a</w:t>
      </w:r>
      <w:r w:rsidRPr="003875B9" w:rsidR="008A27AD">
        <w:rPr>
          <w:szCs w:val="22"/>
        </w:rPr>
        <w:t xml:space="preserve">ll </w:t>
      </w:r>
      <w:r w:rsidR="00831871">
        <w:rPr>
          <w:szCs w:val="22"/>
        </w:rPr>
        <w:t>i</w:t>
      </w:r>
      <w:r w:rsidRPr="003875B9" w:rsidR="008A27AD">
        <w:rPr>
          <w:szCs w:val="22"/>
        </w:rPr>
        <w:t>tems</w:t>
      </w:r>
      <w:r w:rsidR="00590382">
        <w:rPr>
          <w:szCs w:val="22"/>
        </w:rPr>
        <w:t>)</w:t>
      </w:r>
      <w:r w:rsidRPr="003875B9" w:rsidR="008A27AD">
        <w:rPr>
          <w:szCs w:val="22"/>
        </w:rPr>
        <w:t xml:space="preserve"> </w:t>
      </w:r>
      <w:r w:rsidR="00BD11D3">
        <w:rPr>
          <w:szCs w:val="22"/>
        </w:rPr>
        <w:t>rose</w:t>
      </w:r>
      <w:r w:rsidR="008A27AD">
        <w:rPr>
          <w:szCs w:val="22"/>
        </w:rPr>
        <w:t xml:space="preserve"> </w:t>
      </w:r>
      <w:r w:rsidR="00BD11D3">
        <w:rPr>
          <w:szCs w:val="22"/>
        </w:rPr>
        <w:t xml:space="preserve">by </w:t>
      </w:r>
      <w:r w:rsidRPr="003875B9" w:rsidR="00251C06">
        <w:rPr>
          <w:szCs w:val="22"/>
        </w:rPr>
        <w:t>1.</w:t>
      </w:r>
      <w:r w:rsidR="00056A27">
        <w:rPr>
          <w:szCs w:val="22"/>
        </w:rPr>
        <w:t>4</w:t>
      </w:r>
      <w:r w:rsidRPr="003875B9" w:rsidR="00251C06">
        <w:rPr>
          <w:szCs w:val="22"/>
        </w:rPr>
        <w:t xml:space="preserve"> </w:t>
      </w:r>
      <w:r w:rsidR="00CE4C2B">
        <w:rPr>
          <w:szCs w:val="22"/>
        </w:rPr>
        <w:t xml:space="preserve">percent </w:t>
      </w:r>
      <w:r w:rsidRPr="003875B9" w:rsidR="00251C06">
        <w:rPr>
          <w:szCs w:val="22"/>
        </w:rPr>
        <w:t>over the 12 months</w:t>
      </w:r>
      <w:r w:rsidR="00BD11D3">
        <w:rPr>
          <w:szCs w:val="22"/>
        </w:rPr>
        <w:t xml:space="preserve"> ending</w:t>
      </w:r>
      <w:r w:rsidRPr="003875B9" w:rsidR="00251C06">
        <w:rPr>
          <w:szCs w:val="22"/>
        </w:rPr>
        <w:t xml:space="preserve"> January 1, 2016</w:t>
      </w:r>
      <w:r w:rsidR="000E223B">
        <w:rPr>
          <w:szCs w:val="22"/>
        </w:rPr>
        <w:t>,</w:t>
      </w:r>
      <w:r w:rsidR="00056A27">
        <w:rPr>
          <w:szCs w:val="22"/>
        </w:rPr>
        <w:t xml:space="preserve"> and </w:t>
      </w:r>
      <w:r w:rsidR="003C56BE">
        <w:rPr>
          <w:szCs w:val="22"/>
        </w:rPr>
        <w:t>at</w:t>
      </w:r>
      <w:r w:rsidR="00BD11D3">
        <w:rPr>
          <w:szCs w:val="22"/>
        </w:rPr>
        <w:t xml:space="preserve"> </w:t>
      </w:r>
      <w:r w:rsidR="00CA0D52">
        <w:rPr>
          <w:szCs w:val="22"/>
        </w:rPr>
        <w:t xml:space="preserve">an </w:t>
      </w:r>
      <w:r w:rsidR="00255522">
        <w:rPr>
          <w:szCs w:val="22"/>
        </w:rPr>
        <w:t xml:space="preserve">average </w:t>
      </w:r>
      <w:r w:rsidR="00CA0D52">
        <w:rPr>
          <w:szCs w:val="22"/>
        </w:rPr>
        <w:t>annual rate of</w:t>
      </w:r>
      <w:r w:rsidR="00520AE9">
        <w:rPr>
          <w:szCs w:val="22"/>
        </w:rPr>
        <w:t xml:space="preserve"> </w:t>
      </w:r>
      <w:r w:rsidR="00056A27">
        <w:rPr>
          <w:szCs w:val="22"/>
        </w:rPr>
        <w:t xml:space="preserve">1.5 percent over the </w:t>
      </w:r>
      <w:r w:rsidR="00446D79">
        <w:rPr>
          <w:szCs w:val="22"/>
        </w:rPr>
        <w:t xml:space="preserve">last </w:t>
      </w:r>
      <w:r w:rsidR="00056A27">
        <w:rPr>
          <w:szCs w:val="22"/>
        </w:rPr>
        <w:t>five years</w:t>
      </w:r>
      <w:r w:rsidR="003875B9">
        <w:rPr>
          <w:szCs w:val="22"/>
        </w:rPr>
        <w:t>.</w:t>
      </w:r>
    </w:p>
    <w:p w:rsidR="00A76FDD" w:rsidP="004E16D7" w14:paraId="661BB9BF" w14:textId="24A6C432">
      <w:pPr>
        <w:pStyle w:val="Paranum0"/>
        <w:numPr>
          <w:ilvl w:val="0"/>
          <w:numId w:val="12"/>
        </w:numPr>
        <w:tabs>
          <w:tab w:val="clear" w:pos="1080"/>
          <w:tab w:val="num" w:pos="1440"/>
        </w:tabs>
        <w:suppressAutoHyphens/>
        <w:spacing w:after="120"/>
        <w:jc w:val="left"/>
      </w:pPr>
      <w:bookmarkStart w:id="20" w:name="_Hlk480215396"/>
      <w:r w:rsidRPr="00606764">
        <w:rPr>
          <w:i/>
        </w:rPr>
        <w:t>Average price in</w:t>
      </w:r>
      <w:r w:rsidR="00CE4C2B">
        <w:rPr>
          <w:i/>
        </w:rPr>
        <w:t xml:space="preserve"> </w:t>
      </w:r>
      <w:r w:rsidR="0054238B">
        <w:rPr>
          <w:i/>
        </w:rPr>
        <w:t xml:space="preserve">communities with a finding of </w:t>
      </w:r>
      <w:r w:rsidR="00CE4C2B">
        <w:rPr>
          <w:i/>
        </w:rPr>
        <w:t xml:space="preserve">effective competition </w:t>
      </w:r>
      <w:r w:rsidR="0054238B">
        <w:rPr>
          <w:i/>
        </w:rPr>
        <w:t xml:space="preserve">(effective competition </w:t>
      </w:r>
      <w:r w:rsidRPr="00606764">
        <w:rPr>
          <w:i/>
        </w:rPr>
        <w:t>communities</w:t>
      </w:r>
      <w:r w:rsidR="0054238B">
        <w:rPr>
          <w:i/>
        </w:rPr>
        <w:t>)</w:t>
      </w:r>
      <w:r w:rsidRPr="00606764">
        <w:rPr>
          <w:i/>
        </w:rPr>
        <w:t xml:space="preserve"> compared </w:t>
      </w:r>
      <w:r w:rsidR="008A27AD">
        <w:rPr>
          <w:i/>
        </w:rPr>
        <w:t>to</w:t>
      </w:r>
      <w:r w:rsidR="0096186B">
        <w:rPr>
          <w:i/>
        </w:rPr>
        <w:t xml:space="preserve"> price in</w:t>
      </w:r>
      <w:r w:rsidRPr="00606764">
        <w:rPr>
          <w:i/>
        </w:rPr>
        <w:t xml:space="preserve"> </w:t>
      </w:r>
      <w:r w:rsidR="0054238B">
        <w:rPr>
          <w:i/>
        </w:rPr>
        <w:t>communities without a finding of effective competition (“</w:t>
      </w:r>
      <w:r w:rsidR="00750720">
        <w:rPr>
          <w:i/>
        </w:rPr>
        <w:t xml:space="preserve">noncompetitive </w:t>
      </w:r>
      <w:r w:rsidRPr="00606764">
        <w:rPr>
          <w:i/>
        </w:rPr>
        <w:t>communities</w:t>
      </w:r>
      <w:r w:rsidR="0054238B">
        <w:rPr>
          <w:i/>
        </w:rPr>
        <w:t>”).</w:t>
      </w:r>
      <w:bookmarkEnd w:id="20"/>
      <w:r w:rsidRPr="00FD14BE">
        <w:t xml:space="preserve"> </w:t>
      </w:r>
      <w:r w:rsidR="0054238B">
        <w:t xml:space="preserve"> </w:t>
      </w:r>
      <w:r w:rsidRPr="00FD14BE">
        <w:t>Over the 12 months end</w:t>
      </w:r>
      <w:r w:rsidR="0096186B">
        <w:t>ing</w:t>
      </w:r>
      <w:r w:rsidRPr="00FD14BE">
        <w:t xml:space="preserve"> January 1, </w:t>
      </w:r>
      <w:r w:rsidR="008634B3">
        <w:t>2016</w:t>
      </w:r>
      <w:r w:rsidRPr="00FD14BE">
        <w:t xml:space="preserve">, </w:t>
      </w:r>
      <w:r w:rsidR="0096186B">
        <w:t xml:space="preserve">on average, </w:t>
      </w:r>
      <w:r w:rsidR="00750720">
        <w:t xml:space="preserve">the </w:t>
      </w:r>
      <w:r w:rsidRPr="00FD14BE">
        <w:t xml:space="preserve">price </w:t>
      </w:r>
      <w:r w:rsidR="009133AB">
        <w:t>of</w:t>
      </w:r>
      <w:r w:rsidRPr="00FD14BE">
        <w:t xml:space="preserve"> expanded basic service</w:t>
      </w:r>
      <w:r w:rsidRPr="0096186B" w:rsidR="0096186B">
        <w:t xml:space="preserve"> </w:t>
      </w:r>
      <w:r w:rsidR="0096186B">
        <w:t xml:space="preserve">in </w:t>
      </w:r>
      <w:r w:rsidRPr="00FD14BE" w:rsidR="0096186B">
        <w:t xml:space="preserve">effective competition communities </w:t>
      </w:r>
      <w:r w:rsidR="0096186B">
        <w:t>rose by 3.3</w:t>
      </w:r>
      <w:r w:rsidRPr="00FD14BE" w:rsidR="0096186B">
        <w:t xml:space="preserve"> percent to </w:t>
      </w:r>
      <w:r w:rsidRPr="00EC42A2" w:rsidR="0096186B">
        <w:rPr>
          <w:szCs w:val="22"/>
        </w:rPr>
        <w:t>$73.08</w:t>
      </w:r>
      <w:r w:rsidR="0096186B">
        <w:rPr>
          <w:szCs w:val="22"/>
        </w:rPr>
        <w:t xml:space="preserve">, and </w:t>
      </w:r>
      <w:r w:rsidR="0096186B">
        <w:t>price per channel</w:t>
      </w:r>
      <w:r w:rsidRPr="00FD14BE" w:rsidR="0096186B">
        <w:t xml:space="preserve"> </w:t>
      </w:r>
      <w:r w:rsidR="0096186B">
        <w:t>increased by 1.</w:t>
      </w:r>
      <w:r w:rsidR="00231A45">
        <w:t>8</w:t>
      </w:r>
      <w:r w:rsidR="0096186B">
        <w:t xml:space="preserve"> percent to </w:t>
      </w:r>
      <w:r w:rsidR="00AC712E">
        <w:t>4</w:t>
      </w:r>
      <w:r w:rsidR="00231A45">
        <w:t>2</w:t>
      </w:r>
      <w:r w:rsidR="00AC712E">
        <w:t xml:space="preserve"> </w:t>
      </w:r>
      <w:r w:rsidR="0096186B">
        <w:t xml:space="preserve">cents per channel. </w:t>
      </w:r>
      <w:r w:rsidR="00C72894">
        <w:t xml:space="preserve"> </w:t>
      </w:r>
      <w:r w:rsidR="000D1BD9">
        <w:t>In comparison</w:t>
      </w:r>
      <w:r w:rsidR="00255522">
        <w:t>,</w:t>
      </w:r>
      <w:r w:rsidR="003E4453">
        <w:t xml:space="preserve"> </w:t>
      </w:r>
      <w:r w:rsidR="000D1BD9">
        <w:t>the average</w:t>
      </w:r>
      <w:r w:rsidR="0096186B">
        <w:t xml:space="preserve"> price of expanded</w:t>
      </w:r>
      <w:r w:rsidR="000D1BD9">
        <w:t xml:space="preserve"> </w:t>
      </w:r>
      <w:r w:rsidR="0096186B">
        <w:t xml:space="preserve">basic </w:t>
      </w:r>
      <w:r w:rsidR="00255522">
        <w:t xml:space="preserve">in noncompetitive communities </w:t>
      </w:r>
      <w:r w:rsidR="00750720">
        <w:t xml:space="preserve">grew </w:t>
      </w:r>
      <w:r w:rsidRPr="00FD14BE">
        <w:t>by 3.</w:t>
      </w:r>
      <w:r w:rsidR="00EC42A2">
        <w:t>5</w:t>
      </w:r>
      <w:r w:rsidRPr="00FD14BE">
        <w:t xml:space="preserve"> percent, to $</w:t>
      </w:r>
      <w:r w:rsidR="00EC42A2">
        <w:t>69.8</w:t>
      </w:r>
      <w:r w:rsidR="00C82B63">
        <w:t>0</w:t>
      </w:r>
      <w:r w:rsidR="0096186B">
        <w:t xml:space="preserve">, and </w:t>
      </w:r>
      <w:r w:rsidR="000D1BD9">
        <w:t xml:space="preserve">average </w:t>
      </w:r>
      <w:r w:rsidR="00831871">
        <w:t>p</w:t>
      </w:r>
      <w:r w:rsidRPr="00FD14BE">
        <w:t xml:space="preserve">rice per channel </w:t>
      </w:r>
      <w:r w:rsidR="00831871">
        <w:t>grew</w:t>
      </w:r>
      <w:r w:rsidR="00606764">
        <w:t xml:space="preserve"> by 2.</w:t>
      </w:r>
      <w:r w:rsidR="00231A45">
        <w:t>2</w:t>
      </w:r>
      <w:r w:rsidRPr="00FD14BE" w:rsidR="00231A45">
        <w:t xml:space="preserve"> </w:t>
      </w:r>
      <w:r w:rsidRPr="00FD14BE">
        <w:t>percent</w:t>
      </w:r>
      <w:r w:rsidR="00606764">
        <w:t xml:space="preserve"> to </w:t>
      </w:r>
      <w:r w:rsidR="00AC712E">
        <w:t>5</w:t>
      </w:r>
      <w:r w:rsidR="00231A45">
        <w:t>1</w:t>
      </w:r>
      <w:r w:rsidR="00AC712E">
        <w:t xml:space="preserve"> </w:t>
      </w:r>
      <w:r w:rsidR="00606764">
        <w:t>cents per channel</w:t>
      </w:r>
      <w:r w:rsidR="008A27AD">
        <w:t>.</w:t>
      </w:r>
    </w:p>
    <w:p w:rsidR="00962445" w:rsidP="0080186F" w14:paraId="2CC44ABC" w14:textId="5FD5C543">
      <w:pPr>
        <w:pStyle w:val="Paranum0"/>
        <w:widowControl/>
        <w:numPr>
          <w:ilvl w:val="0"/>
          <w:numId w:val="12"/>
        </w:numPr>
        <w:tabs>
          <w:tab w:val="clear" w:pos="1080"/>
          <w:tab w:val="num" w:pos="1440"/>
        </w:tabs>
        <w:suppressAutoHyphens/>
        <w:spacing w:after="120"/>
        <w:jc w:val="left"/>
      </w:pPr>
      <w:r>
        <w:t xml:space="preserve">As </w:t>
      </w:r>
      <w:r w:rsidR="006746A9">
        <w:t>shown</w:t>
      </w:r>
      <w:r>
        <w:t xml:space="preserve"> above,</w:t>
      </w:r>
      <w:r w:rsidR="00A76FDD">
        <w:t xml:space="preserve"> </w:t>
      </w:r>
      <w:r w:rsidR="006746A9">
        <w:t xml:space="preserve">the average </w:t>
      </w:r>
      <w:r w:rsidRPr="00FD14BE" w:rsidR="00A76FDD">
        <w:rPr>
          <w:szCs w:val="22"/>
        </w:rPr>
        <w:t>price</w:t>
      </w:r>
      <w:r w:rsidR="00A76FDD">
        <w:rPr>
          <w:szCs w:val="22"/>
        </w:rPr>
        <w:t xml:space="preserve"> </w:t>
      </w:r>
      <w:r w:rsidR="001565DC">
        <w:rPr>
          <w:szCs w:val="22"/>
        </w:rPr>
        <w:t>of</w:t>
      </w:r>
      <w:r w:rsidR="00A76FDD">
        <w:rPr>
          <w:szCs w:val="22"/>
        </w:rPr>
        <w:t xml:space="preserve"> </w:t>
      </w:r>
      <w:r w:rsidRPr="00FD14BE" w:rsidR="00A76FDD">
        <w:rPr>
          <w:szCs w:val="22"/>
        </w:rPr>
        <w:t>expanded basic service</w:t>
      </w:r>
      <w:r w:rsidR="00A76FDD">
        <w:rPr>
          <w:szCs w:val="22"/>
        </w:rPr>
        <w:t xml:space="preserve"> </w:t>
      </w:r>
      <w:r w:rsidR="001565DC">
        <w:rPr>
          <w:szCs w:val="22"/>
        </w:rPr>
        <w:t xml:space="preserve">charged by </w:t>
      </w:r>
      <w:r w:rsidR="00A76FDD">
        <w:rPr>
          <w:szCs w:val="22"/>
        </w:rPr>
        <w:t xml:space="preserve">operators in effective </w:t>
      </w:r>
      <w:r w:rsidRPr="00FD14BE" w:rsidR="00A76FDD">
        <w:rPr>
          <w:szCs w:val="22"/>
        </w:rPr>
        <w:t xml:space="preserve">competition </w:t>
      </w:r>
      <w:r w:rsidR="006746A9">
        <w:rPr>
          <w:szCs w:val="22"/>
        </w:rPr>
        <w:t>communities</w:t>
      </w:r>
      <w:r w:rsidR="00A76FDD">
        <w:rPr>
          <w:szCs w:val="22"/>
        </w:rPr>
        <w:t xml:space="preserve"> </w:t>
      </w:r>
      <w:r w:rsidR="006746A9">
        <w:rPr>
          <w:szCs w:val="22"/>
        </w:rPr>
        <w:t>was</w:t>
      </w:r>
      <w:r w:rsidR="00A76FDD">
        <w:rPr>
          <w:szCs w:val="22"/>
        </w:rPr>
        <w:t xml:space="preserve"> high</w:t>
      </w:r>
      <w:r w:rsidRPr="00FD14BE" w:rsidR="00A76FDD">
        <w:rPr>
          <w:szCs w:val="22"/>
        </w:rPr>
        <w:t xml:space="preserve">er </w:t>
      </w:r>
      <w:r w:rsidR="001565DC">
        <w:rPr>
          <w:szCs w:val="22"/>
        </w:rPr>
        <w:t xml:space="preserve">than </w:t>
      </w:r>
      <w:r w:rsidR="00165F6F">
        <w:rPr>
          <w:szCs w:val="22"/>
        </w:rPr>
        <w:t>was</w:t>
      </w:r>
      <w:r w:rsidR="001565DC">
        <w:rPr>
          <w:szCs w:val="22"/>
        </w:rPr>
        <w:t xml:space="preserve"> charged by </w:t>
      </w:r>
      <w:r w:rsidR="00165F6F">
        <w:rPr>
          <w:szCs w:val="22"/>
        </w:rPr>
        <w:t xml:space="preserve">the </w:t>
      </w:r>
      <w:r w:rsidR="00A76FDD">
        <w:rPr>
          <w:szCs w:val="22"/>
        </w:rPr>
        <w:t>operators in</w:t>
      </w:r>
      <w:r w:rsidR="000D1BD9">
        <w:rPr>
          <w:szCs w:val="22"/>
        </w:rPr>
        <w:t xml:space="preserve"> </w:t>
      </w:r>
      <w:r w:rsidR="00A76FDD">
        <w:rPr>
          <w:szCs w:val="22"/>
        </w:rPr>
        <w:t xml:space="preserve">noncompetitive </w:t>
      </w:r>
      <w:r w:rsidR="001565DC">
        <w:rPr>
          <w:szCs w:val="22"/>
        </w:rPr>
        <w:t>communities</w:t>
      </w:r>
      <w:r w:rsidR="003E4453">
        <w:rPr>
          <w:szCs w:val="22"/>
        </w:rPr>
        <w:t xml:space="preserve"> (and this difference is statistically significant)</w:t>
      </w:r>
      <w:r w:rsidR="000D1BD9">
        <w:rPr>
          <w:szCs w:val="22"/>
        </w:rPr>
        <w:t>.</w:t>
      </w:r>
      <w:r>
        <w:rPr>
          <w:rStyle w:val="FootnoteReference"/>
          <w:szCs w:val="22"/>
        </w:rPr>
        <w:footnoteReference w:id="9"/>
      </w:r>
      <w:r w:rsidR="000D1BD9">
        <w:rPr>
          <w:szCs w:val="22"/>
        </w:rPr>
        <w:t xml:space="preserve">  </w:t>
      </w:r>
      <w:r w:rsidR="001565DC">
        <w:rPr>
          <w:szCs w:val="22"/>
        </w:rPr>
        <w:t>This result was also found in the previous five surveys.</w:t>
      </w:r>
      <w:r w:rsidR="00C72894">
        <w:rPr>
          <w:szCs w:val="22"/>
        </w:rPr>
        <w:t xml:space="preserve"> </w:t>
      </w:r>
      <w:r w:rsidR="001565DC">
        <w:rPr>
          <w:szCs w:val="22"/>
        </w:rPr>
        <w:t xml:space="preserve"> </w:t>
      </w:r>
      <w:r w:rsidRPr="00FD14BE" w:rsidR="00A76FDD">
        <w:rPr>
          <w:szCs w:val="22"/>
        </w:rPr>
        <w:t>Prior to that,</w:t>
      </w:r>
      <w:r w:rsidR="001565DC">
        <w:rPr>
          <w:szCs w:val="22"/>
        </w:rPr>
        <w:t xml:space="preserve"> however, </w:t>
      </w:r>
      <w:r w:rsidR="006746A9">
        <w:rPr>
          <w:szCs w:val="22"/>
        </w:rPr>
        <w:t>the s</w:t>
      </w:r>
      <w:r w:rsidRPr="00FD14BE" w:rsidR="00A76FDD">
        <w:rPr>
          <w:szCs w:val="22"/>
        </w:rPr>
        <w:t xml:space="preserve">urveys found </w:t>
      </w:r>
      <w:r w:rsidR="00385A94">
        <w:rPr>
          <w:szCs w:val="22"/>
        </w:rPr>
        <w:t xml:space="preserve">the </w:t>
      </w:r>
      <w:r w:rsidRPr="00FD14BE" w:rsidR="00A76FDD">
        <w:rPr>
          <w:szCs w:val="22"/>
        </w:rPr>
        <w:t xml:space="preserve">effective competition </w:t>
      </w:r>
      <w:r w:rsidR="00385A94">
        <w:rPr>
          <w:szCs w:val="22"/>
        </w:rPr>
        <w:t>group</w:t>
      </w:r>
      <w:r w:rsidRPr="00FD14BE" w:rsidR="00A76FDD">
        <w:rPr>
          <w:szCs w:val="22"/>
        </w:rPr>
        <w:t xml:space="preserve"> general</w:t>
      </w:r>
      <w:r w:rsidR="007B0C6B">
        <w:rPr>
          <w:szCs w:val="22"/>
        </w:rPr>
        <w:t>ly</w:t>
      </w:r>
      <w:r w:rsidRPr="00FD14BE" w:rsidR="007B0C6B">
        <w:rPr>
          <w:szCs w:val="22"/>
        </w:rPr>
        <w:t xml:space="preserve"> </w:t>
      </w:r>
      <w:r w:rsidRPr="00FD14BE" w:rsidR="00A76FDD">
        <w:rPr>
          <w:szCs w:val="22"/>
        </w:rPr>
        <w:t>had lower prices</w:t>
      </w:r>
      <w:r w:rsidR="000D1BD9">
        <w:rPr>
          <w:szCs w:val="22"/>
        </w:rPr>
        <w:t xml:space="preserve"> for expanded basic service</w:t>
      </w:r>
      <w:r w:rsidRPr="00FD14BE" w:rsidR="00A76FDD">
        <w:rPr>
          <w:szCs w:val="22"/>
        </w:rPr>
        <w:t xml:space="preserve">.  </w:t>
      </w:r>
      <w:r w:rsidR="00165F6F">
        <w:rPr>
          <w:szCs w:val="22"/>
        </w:rPr>
        <w:t>F</w:t>
      </w:r>
      <w:r w:rsidRPr="00D36601" w:rsidR="00165F6F">
        <w:rPr>
          <w:szCs w:val="22"/>
        </w:rPr>
        <w:t>indings of effective competition where the competitor is a DBS provider</w:t>
      </w:r>
      <w:r w:rsidR="00A76FDD">
        <w:t xml:space="preserve"> constituted over two-thirds of effective competition findings </w:t>
      </w:r>
      <w:r w:rsidR="000D1BD9">
        <w:t>as of January 2016</w:t>
      </w:r>
      <w:r w:rsidR="007B59E9">
        <w:t>, and</w:t>
      </w:r>
      <w:r w:rsidR="00F250E4">
        <w:t xml:space="preserve"> have </w:t>
      </w:r>
      <w:r w:rsidR="0001139B">
        <w:t xml:space="preserve">had </w:t>
      </w:r>
      <w:r w:rsidR="007B59E9">
        <w:t xml:space="preserve">a </w:t>
      </w:r>
      <w:r w:rsidR="00F250E4">
        <w:t xml:space="preserve">considerable </w:t>
      </w:r>
      <w:r w:rsidR="00A76FDD">
        <w:t>influence on</w:t>
      </w:r>
      <w:r>
        <w:t xml:space="preserve"> </w:t>
      </w:r>
      <w:r w:rsidR="0001139B">
        <w:t xml:space="preserve">price </w:t>
      </w:r>
      <w:r w:rsidR="003B6008">
        <w:t xml:space="preserve">averages </w:t>
      </w:r>
      <w:r w:rsidR="0001139B">
        <w:t>in</w:t>
      </w:r>
      <w:r w:rsidR="003B6008">
        <w:t xml:space="preserve"> the effective competition group</w:t>
      </w:r>
      <w:r>
        <w:t>.</w:t>
      </w:r>
      <w:r>
        <w:rPr>
          <w:rStyle w:val="FootnoteReference"/>
          <w:szCs w:val="22"/>
        </w:rPr>
        <w:footnoteReference w:id="10"/>
      </w:r>
      <w:r w:rsidR="00C72C15">
        <w:t xml:space="preserve">  The operators in this effective competition subgroup tend to be located in densely populated communities and belong to high capacity cable systems that carry more than the average number of channels.</w:t>
      </w:r>
      <w:r>
        <w:t xml:space="preserve">  In </w:t>
      </w:r>
      <w:r w:rsidR="007B59E9">
        <w:t xml:space="preserve">the present survey, the price </w:t>
      </w:r>
      <w:r w:rsidR="00BA242D">
        <w:t>charged for expanded basic service by</w:t>
      </w:r>
      <w:r w:rsidR="007B59E9">
        <w:t xml:space="preserve"> operators with </w:t>
      </w:r>
      <w:r w:rsidR="001565DC">
        <w:t xml:space="preserve">a </w:t>
      </w:r>
      <w:r w:rsidR="007B59E9">
        <w:t xml:space="preserve">DBS finding </w:t>
      </w:r>
      <w:r w:rsidRPr="006E32BC" w:rsidR="003748E2">
        <w:t>of effective competition</w:t>
      </w:r>
      <w:r w:rsidR="003748E2">
        <w:t xml:space="preserve"> </w:t>
      </w:r>
      <w:r w:rsidR="00BA242D">
        <w:t>was</w:t>
      </w:r>
      <w:r w:rsidR="001565DC">
        <w:t>,</w:t>
      </w:r>
      <w:r w:rsidR="00BA242D">
        <w:t xml:space="preserve"> on average</w:t>
      </w:r>
      <w:r w:rsidR="001565DC">
        <w:t>,</w:t>
      </w:r>
      <w:r w:rsidR="00BA242D">
        <w:t xml:space="preserve"> 5.6 percent higher </w:t>
      </w:r>
      <w:r w:rsidR="001565DC">
        <w:t>than the price charged by operators</w:t>
      </w:r>
      <w:r w:rsidR="00BA242D">
        <w:t xml:space="preserve"> without an effective competition finding.</w:t>
      </w:r>
    </w:p>
    <w:p w:rsidR="00FD14BE" w:rsidRPr="00B82CA0" w:rsidP="004E16D7" w14:paraId="6B50334F" w14:textId="539664BB">
      <w:pPr>
        <w:pStyle w:val="Paranum0"/>
        <w:numPr>
          <w:ilvl w:val="0"/>
          <w:numId w:val="12"/>
        </w:numPr>
        <w:tabs>
          <w:tab w:val="clear" w:pos="1080"/>
          <w:tab w:val="num" w:pos="1440"/>
        </w:tabs>
        <w:suppressAutoHyphens/>
        <w:spacing w:after="120"/>
        <w:jc w:val="left"/>
        <w:rPr>
          <w:szCs w:val="22"/>
        </w:rPr>
      </w:pPr>
      <w:r>
        <w:t>I</w:t>
      </w:r>
      <w:r w:rsidR="007302ED">
        <w:t>n contrast</w:t>
      </w:r>
      <w:r w:rsidR="00BA242D">
        <w:t xml:space="preserve"> to the price of expanded basic service,</w:t>
      </w:r>
      <w:r w:rsidR="00B82CA0">
        <w:t xml:space="preserve"> </w:t>
      </w:r>
      <w:r w:rsidR="00517A56">
        <w:t xml:space="preserve">the </w:t>
      </w:r>
      <w:r w:rsidR="00B82CA0">
        <w:t xml:space="preserve">average </w:t>
      </w:r>
      <w:r w:rsidR="00962445">
        <w:t>price per channel</w:t>
      </w:r>
      <w:r w:rsidRPr="00B82CA0" w:rsidR="00962445">
        <w:rPr>
          <w:szCs w:val="22"/>
        </w:rPr>
        <w:t xml:space="preserve"> was significantly lower </w:t>
      </w:r>
      <w:r w:rsidR="00B82CA0">
        <w:rPr>
          <w:szCs w:val="22"/>
        </w:rPr>
        <w:t>(</w:t>
      </w:r>
      <w:r w:rsidR="00AC712E">
        <w:rPr>
          <w:szCs w:val="22"/>
        </w:rPr>
        <w:t>4</w:t>
      </w:r>
      <w:r w:rsidR="00231A45">
        <w:rPr>
          <w:szCs w:val="22"/>
        </w:rPr>
        <w:t>2</w:t>
      </w:r>
      <w:r w:rsidR="00AC712E">
        <w:rPr>
          <w:szCs w:val="22"/>
        </w:rPr>
        <w:t xml:space="preserve"> </w:t>
      </w:r>
      <w:r w:rsidR="00B82CA0">
        <w:rPr>
          <w:szCs w:val="22"/>
        </w:rPr>
        <w:t>cents per channel)</w:t>
      </w:r>
      <w:r w:rsidRPr="00B82CA0" w:rsidR="00962445">
        <w:rPr>
          <w:szCs w:val="22"/>
        </w:rPr>
        <w:t xml:space="preserve"> </w:t>
      </w:r>
      <w:r w:rsidR="007302ED">
        <w:rPr>
          <w:szCs w:val="22"/>
        </w:rPr>
        <w:t>in</w:t>
      </w:r>
      <w:r w:rsidRPr="00B82CA0" w:rsidR="00962445">
        <w:rPr>
          <w:szCs w:val="22"/>
        </w:rPr>
        <w:t xml:space="preserve"> </w:t>
      </w:r>
      <w:r w:rsidR="00BA242D">
        <w:rPr>
          <w:szCs w:val="22"/>
        </w:rPr>
        <w:t xml:space="preserve">effective competition communities </w:t>
      </w:r>
      <w:r>
        <w:rPr>
          <w:szCs w:val="22"/>
        </w:rPr>
        <w:t xml:space="preserve">than </w:t>
      </w:r>
      <w:r w:rsidR="00BA242D">
        <w:rPr>
          <w:szCs w:val="22"/>
        </w:rPr>
        <w:t>in noncompetitive communities</w:t>
      </w:r>
      <w:r>
        <w:rPr>
          <w:szCs w:val="22"/>
        </w:rPr>
        <w:t xml:space="preserve"> (51 cents per channel)</w:t>
      </w:r>
      <w:r w:rsidR="00962445">
        <w:t>.</w:t>
      </w:r>
      <w:r w:rsidRPr="00FD14BE" w:rsidR="00962445">
        <w:t xml:space="preserve"> </w:t>
      </w:r>
      <w:r w:rsidR="007302ED">
        <w:t xml:space="preserve"> </w:t>
      </w:r>
      <w:r w:rsidR="00BA242D">
        <w:t>This is because the o</w:t>
      </w:r>
      <w:r w:rsidR="003B6008">
        <w:t>perators in the e</w:t>
      </w:r>
      <w:r w:rsidR="00962445">
        <w:t xml:space="preserve">ffective competition </w:t>
      </w:r>
      <w:r w:rsidR="003B6008">
        <w:t>group</w:t>
      </w:r>
      <w:r w:rsidR="00B82CA0">
        <w:t xml:space="preserve"> </w:t>
      </w:r>
      <w:r w:rsidR="007302ED">
        <w:t>offered</w:t>
      </w:r>
      <w:r w:rsidR="00B82CA0">
        <w:t xml:space="preserve"> </w:t>
      </w:r>
      <w:r w:rsidR="003B6008">
        <w:t xml:space="preserve">an average of </w:t>
      </w:r>
      <w:r w:rsidR="00E4542C">
        <w:t>19</w:t>
      </w:r>
      <w:r w:rsidR="00231A45">
        <w:t>5</w:t>
      </w:r>
      <w:r w:rsidR="00E4542C">
        <w:t xml:space="preserve"> </w:t>
      </w:r>
      <w:r w:rsidR="00CF34FE">
        <w:t xml:space="preserve">video </w:t>
      </w:r>
      <w:r w:rsidR="007302ED">
        <w:t xml:space="preserve">channels </w:t>
      </w:r>
      <w:r w:rsidR="00BA242D">
        <w:t xml:space="preserve">with expanded basic service </w:t>
      </w:r>
      <w:r>
        <w:t xml:space="preserve">while operators in noncompetitive communities offered an average of 168 channels. </w:t>
      </w:r>
      <w:r w:rsidR="00B2776E">
        <w:t xml:space="preserve"> </w:t>
      </w:r>
      <w:r w:rsidR="00CF34FE">
        <w:t>Again, operators with a DBS finding of effective competition</w:t>
      </w:r>
      <w:r w:rsidR="007302ED">
        <w:t xml:space="preserve"> </w:t>
      </w:r>
      <w:r w:rsidR="003B6008">
        <w:t>considerably</w:t>
      </w:r>
      <w:r w:rsidR="007302ED">
        <w:t xml:space="preserve"> influenced th</w:t>
      </w:r>
      <w:r w:rsidR="003B6008">
        <w:t>e</w:t>
      </w:r>
      <w:r w:rsidR="007302ED">
        <w:t xml:space="preserve"> differential.  </w:t>
      </w:r>
      <w:r w:rsidR="00BE6EF1">
        <w:t xml:space="preserve">In our survey, </w:t>
      </w:r>
      <w:r w:rsidR="00C306EB">
        <w:t xml:space="preserve">operators </w:t>
      </w:r>
      <w:r w:rsidR="00BE6EF1">
        <w:t xml:space="preserve">in communities with </w:t>
      </w:r>
      <w:r>
        <w:t xml:space="preserve">a </w:t>
      </w:r>
      <w:r w:rsidR="00BE6EF1">
        <w:t>DBS-based finding</w:t>
      </w:r>
      <w:r w:rsidR="00C306EB">
        <w:t xml:space="preserve"> had a</w:t>
      </w:r>
      <w:r w:rsidR="007302ED">
        <w:t xml:space="preserve"> </w:t>
      </w:r>
      <w:r>
        <w:t>17.</w:t>
      </w:r>
      <w:r w:rsidR="00CF40BA">
        <w:t>7</w:t>
      </w:r>
      <w:r>
        <w:t xml:space="preserve"> percent</w:t>
      </w:r>
      <w:r w:rsidR="007302ED">
        <w:t xml:space="preserve"> lower </w:t>
      </w:r>
      <w:r w:rsidR="00B12EBD">
        <w:t xml:space="preserve">price per channel </w:t>
      </w:r>
      <w:r>
        <w:t>than operators in noncompetitive communities.</w:t>
      </w:r>
    </w:p>
    <w:p w:rsidR="00C8110C" w:rsidRPr="00167D5D" w:rsidP="004E16D7" w14:paraId="5CD0A9A1" w14:textId="1780FD45">
      <w:pPr>
        <w:pStyle w:val="Paranum0"/>
        <w:numPr>
          <w:ilvl w:val="0"/>
          <w:numId w:val="12"/>
        </w:numPr>
        <w:tabs>
          <w:tab w:val="clear" w:pos="1080"/>
          <w:tab w:val="num" w:pos="1440"/>
        </w:tabs>
        <w:suppressAutoHyphens/>
        <w:spacing w:after="120"/>
        <w:jc w:val="left"/>
      </w:pPr>
      <w:r w:rsidRPr="00606764">
        <w:rPr>
          <w:i/>
        </w:rPr>
        <w:t>Average price in</w:t>
      </w:r>
      <w:r w:rsidR="00D714B5">
        <w:rPr>
          <w:i/>
        </w:rPr>
        <w:t xml:space="preserve"> </w:t>
      </w:r>
      <w:r w:rsidR="008A27AD">
        <w:rPr>
          <w:i/>
        </w:rPr>
        <w:t xml:space="preserve">effective competition </w:t>
      </w:r>
      <w:r w:rsidR="00D714B5">
        <w:rPr>
          <w:i/>
        </w:rPr>
        <w:t>subgroups</w:t>
      </w:r>
      <w:r w:rsidR="009133AB">
        <w:rPr>
          <w:i/>
        </w:rPr>
        <w:t xml:space="preserve"> </w:t>
      </w:r>
      <w:r w:rsidRPr="00606764">
        <w:rPr>
          <w:i/>
        </w:rPr>
        <w:t xml:space="preserve">compared </w:t>
      </w:r>
      <w:r w:rsidR="008A27AD">
        <w:rPr>
          <w:i/>
        </w:rPr>
        <w:t>to</w:t>
      </w:r>
      <w:r w:rsidR="00C5594E">
        <w:rPr>
          <w:i/>
        </w:rPr>
        <w:t xml:space="preserve"> </w:t>
      </w:r>
      <w:r w:rsidRPr="00606764">
        <w:rPr>
          <w:i/>
        </w:rPr>
        <w:t xml:space="preserve">price in </w:t>
      </w:r>
      <w:r w:rsidR="00627759">
        <w:rPr>
          <w:i/>
        </w:rPr>
        <w:t xml:space="preserve">noncompetitive </w:t>
      </w:r>
      <w:r w:rsidRPr="00606764">
        <w:rPr>
          <w:i/>
        </w:rPr>
        <w:t>communities.</w:t>
      </w:r>
      <w:r w:rsidR="006977DA">
        <w:rPr>
          <w:i/>
        </w:rPr>
        <w:t xml:space="preserve">  </w:t>
      </w:r>
      <w:r w:rsidR="002A6A4D">
        <w:t>As in prior years, w</w:t>
      </w:r>
      <w:r w:rsidR="00627759">
        <w:t>e</w:t>
      </w:r>
      <w:r w:rsidR="00D714B5">
        <w:t xml:space="preserve"> </w:t>
      </w:r>
      <w:r w:rsidR="003D2F25">
        <w:t>divided</w:t>
      </w:r>
      <w:r w:rsidR="00A31E2E">
        <w:t xml:space="preserve"> operators </w:t>
      </w:r>
      <w:r w:rsidR="003D2F25">
        <w:t>subject to</w:t>
      </w:r>
      <w:r w:rsidR="00A31E2E">
        <w:t xml:space="preserve"> effective competition </w:t>
      </w:r>
      <w:r w:rsidR="00D714B5">
        <w:t>into subgroups</w:t>
      </w:r>
      <w:r w:rsidR="009133AB">
        <w:t xml:space="preserve">, </w:t>
      </w:r>
      <w:r w:rsidR="00D714B5">
        <w:t>depend</w:t>
      </w:r>
      <w:r w:rsidR="009133AB">
        <w:t>ing</w:t>
      </w:r>
      <w:r w:rsidR="00D714B5">
        <w:t xml:space="preserve"> on the type of </w:t>
      </w:r>
      <w:r w:rsidR="002A6A4D">
        <w:t xml:space="preserve">effective competition found, </w:t>
      </w:r>
      <w:r w:rsidR="003D2F25">
        <w:t>such as</w:t>
      </w:r>
      <w:r w:rsidR="00BE6EF1">
        <w:t xml:space="preserve"> </w:t>
      </w:r>
      <w:r w:rsidR="006977DA">
        <w:t xml:space="preserve">the </w:t>
      </w:r>
      <w:r w:rsidR="00BE6EF1">
        <w:t>DBS subgroup discussed above</w:t>
      </w:r>
      <w:r w:rsidR="00D714B5">
        <w:t>.</w:t>
      </w:r>
      <w:r>
        <w:rPr>
          <w:rStyle w:val="FootnoteReference"/>
          <w:szCs w:val="22"/>
        </w:rPr>
        <w:footnoteReference w:id="11"/>
      </w:r>
      <w:r w:rsidR="00C5594E">
        <w:t xml:space="preserve">  </w:t>
      </w:r>
      <w:r w:rsidR="002C72F2">
        <w:t xml:space="preserve">Compared </w:t>
      </w:r>
      <w:r w:rsidR="009133AB">
        <w:t xml:space="preserve">to </w:t>
      </w:r>
      <w:r w:rsidR="004F26E9">
        <w:t xml:space="preserve">the </w:t>
      </w:r>
      <w:r w:rsidR="00B45CEC">
        <w:t>average price of expanded basic service</w:t>
      </w:r>
      <w:r w:rsidR="000D429F">
        <w:t xml:space="preserve"> </w:t>
      </w:r>
      <w:r w:rsidR="00B45CEC">
        <w:t xml:space="preserve">in </w:t>
      </w:r>
      <w:r w:rsidR="003D2F25">
        <w:t xml:space="preserve">noncompetitive </w:t>
      </w:r>
      <w:r w:rsidR="000D429F">
        <w:t xml:space="preserve">communities </w:t>
      </w:r>
      <w:r w:rsidR="00B45CEC">
        <w:t>($69.80)</w:t>
      </w:r>
      <w:r w:rsidR="002C72F2">
        <w:t xml:space="preserve">, </w:t>
      </w:r>
      <w:r w:rsidR="000D429F">
        <w:t xml:space="preserve">in cable overbuild communities </w:t>
      </w:r>
      <w:r w:rsidR="002C72F2">
        <w:t>the</w:t>
      </w:r>
      <w:r w:rsidR="003D2F25">
        <w:t xml:space="preserve"> </w:t>
      </w:r>
      <w:r w:rsidR="004F26E9">
        <w:t xml:space="preserve">average </w:t>
      </w:r>
      <w:r w:rsidR="002C72F2">
        <w:t>price</w:t>
      </w:r>
      <w:r w:rsidR="00B45CEC">
        <w:t xml:space="preserve"> </w:t>
      </w:r>
      <w:r w:rsidR="002C72F2">
        <w:t>charged by</w:t>
      </w:r>
      <w:r w:rsidR="006977DA">
        <w:t xml:space="preserve"> </w:t>
      </w:r>
      <w:r w:rsidR="004F26E9">
        <w:t>rival operators was $65</w:t>
      </w:r>
      <w:r w:rsidR="0097336E">
        <w:t>.</w:t>
      </w:r>
      <w:r w:rsidR="004F26E9">
        <w:t>60 (6</w:t>
      </w:r>
      <w:r w:rsidR="00C82B63">
        <w:t xml:space="preserve"> </w:t>
      </w:r>
      <w:r w:rsidR="004F26E9">
        <w:t xml:space="preserve">percent </w:t>
      </w:r>
      <w:r w:rsidR="00C82B63">
        <w:t>lower</w:t>
      </w:r>
      <w:r w:rsidR="004F26E9">
        <w:t>)</w:t>
      </w:r>
      <w:r w:rsidR="002C72F2">
        <w:t>,</w:t>
      </w:r>
      <w:r w:rsidR="004F26E9">
        <w:t xml:space="preserve"> </w:t>
      </w:r>
      <w:r w:rsidR="000D429F">
        <w:t xml:space="preserve">and </w:t>
      </w:r>
      <w:r w:rsidR="004F26E9">
        <w:t xml:space="preserve">the average </w:t>
      </w:r>
      <w:r w:rsidR="002C72F2">
        <w:t>price charged by</w:t>
      </w:r>
      <w:r w:rsidR="004F26E9">
        <w:t xml:space="preserve"> incumbent operators was</w:t>
      </w:r>
      <w:r w:rsidR="006977DA">
        <w:t xml:space="preserve"> </w:t>
      </w:r>
      <w:r w:rsidRPr="005B7CE6" w:rsidR="004F26E9">
        <w:rPr>
          <w:szCs w:val="22"/>
        </w:rPr>
        <w:t>$72.16</w:t>
      </w:r>
      <w:r w:rsidR="006977DA">
        <w:rPr>
          <w:szCs w:val="22"/>
        </w:rPr>
        <w:t xml:space="preserve"> (</w:t>
      </w:r>
      <w:r w:rsidR="00231A45">
        <w:rPr>
          <w:szCs w:val="22"/>
        </w:rPr>
        <w:t>3.4</w:t>
      </w:r>
      <w:r w:rsidR="006977DA">
        <w:rPr>
          <w:szCs w:val="22"/>
        </w:rPr>
        <w:t xml:space="preserve"> percent higher</w:t>
      </w:r>
      <w:r w:rsidR="000D429F">
        <w:rPr>
          <w:szCs w:val="22"/>
        </w:rPr>
        <w:t xml:space="preserve">).  Looking at the other effective competition subgroups, </w:t>
      </w:r>
      <w:r w:rsidR="006977DA">
        <w:rPr>
          <w:szCs w:val="22"/>
        </w:rPr>
        <w:t xml:space="preserve">the average </w:t>
      </w:r>
      <w:r w:rsidR="002C72F2">
        <w:rPr>
          <w:szCs w:val="22"/>
        </w:rPr>
        <w:t>price charged by</w:t>
      </w:r>
      <w:r w:rsidR="006977DA">
        <w:rPr>
          <w:szCs w:val="22"/>
        </w:rPr>
        <w:t xml:space="preserve"> operators in communities either facing competition from a wireless MVPD or with low market penetration (below 30 percent) was </w:t>
      </w:r>
      <w:r w:rsidRPr="005B7CE6" w:rsidR="006977DA">
        <w:t>$73.0</w:t>
      </w:r>
      <w:r w:rsidR="00C82B63">
        <w:t>2</w:t>
      </w:r>
      <w:r w:rsidR="006977DA">
        <w:t xml:space="preserve"> (</w:t>
      </w:r>
      <w:r w:rsidR="00231A45">
        <w:t>4.6</w:t>
      </w:r>
      <w:r w:rsidR="006977DA">
        <w:t xml:space="preserve"> percent higher)</w:t>
      </w:r>
      <w:r w:rsidR="00B45CEC">
        <w:t>,</w:t>
      </w:r>
      <w:r w:rsidR="006977DA">
        <w:t xml:space="preserve"> and the average </w:t>
      </w:r>
      <w:r w:rsidR="00B45CEC">
        <w:t xml:space="preserve">price charged by </w:t>
      </w:r>
      <w:r w:rsidR="006977DA">
        <w:t>operators with a DBS-based finding of effective competition was</w:t>
      </w:r>
      <w:r w:rsidR="006977DA">
        <w:rPr>
          <w:szCs w:val="22"/>
        </w:rPr>
        <w:t xml:space="preserve"> </w:t>
      </w:r>
      <w:r w:rsidRPr="005B7CE6" w:rsidR="006977DA">
        <w:t>$73.73</w:t>
      </w:r>
      <w:r w:rsidR="006977DA">
        <w:t xml:space="preserve"> (</w:t>
      </w:r>
      <w:r w:rsidR="00231A45">
        <w:t>5.6</w:t>
      </w:r>
      <w:r w:rsidR="006977DA">
        <w:t xml:space="preserve"> percent higher)</w:t>
      </w:r>
      <w:r w:rsidR="00BF318A">
        <w:t>.</w:t>
      </w:r>
    </w:p>
    <w:p w:rsidR="00C8110C" w:rsidRPr="00167D5D" w:rsidP="00FC6508" w14:paraId="1D8B7395" w14:textId="7720F91A">
      <w:pPr>
        <w:pStyle w:val="Paranum0"/>
        <w:numPr>
          <w:ilvl w:val="0"/>
          <w:numId w:val="12"/>
        </w:numPr>
        <w:tabs>
          <w:tab w:val="left" w:pos="1440"/>
        </w:tabs>
        <w:suppressAutoHyphens/>
        <w:spacing w:after="120"/>
        <w:jc w:val="left"/>
      </w:pPr>
      <w:r>
        <w:rPr>
          <w:i/>
          <w:szCs w:val="22"/>
        </w:rPr>
        <w:t xml:space="preserve">Broadcast retransmission </w:t>
      </w:r>
      <w:r w:rsidR="00593317">
        <w:rPr>
          <w:i/>
          <w:szCs w:val="22"/>
        </w:rPr>
        <w:t>c</w:t>
      </w:r>
      <w:r>
        <w:rPr>
          <w:i/>
          <w:szCs w:val="22"/>
        </w:rPr>
        <w:t>onsen</w:t>
      </w:r>
      <w:r w:rsidR="00593317">
        <w:rPr>
          <w:i/>
          <w:szCs w:val="22"/>
        </w:rPr>
        <w:t>t compensation fees.</w:t>
      </w:r>
      <w:r w:rsidR="00AB008F">
        <w:rPr>
          <w:szCs w:val="22"/>
        </w:rPr>
        <w:t xml:space="preserve">  </w:t>
      </w:r>
      <w:r w:rsidRPr="00C31C48" w:rsidR="00C31C48">
        <w:rPr>
          <w:szCs w:val="22"/>
        </w:rPr>
        <w:t>From 2014 to 2015</w:t>
      </w:r>
      <w:r w:rsidR="006617B1">
        <w:rPr>
          <w:szCs w:val="22"/>
        </w:rPr>
        <w:t>,</w:t>
      </w:r>
      <w:r>
        <w:rPr>
          <w:rStyle w:val="FootnoteReference"/>
          <w:szCs w:val="22"/>
        </w:rPr>
        <w:footnoteReference w:id="12"/>
      </w:r>
      <w:r w:rsidRPr="00C31C48" w:rsidR="00C31C48">
        <w:rPr>
          <w:szCs w:val="22"/>
        </w:rPr>
        <w:t xml:space="preserve"> retransmission consent fees paid by cable systems to television broadcast stations increas</w:t>
      </w:r>
      <w:r w:rsidR="00C31C48">
        <w:rPr>
          <w:szCs w:val="22"/>
        </w:rPr>
        <w:t>ed, on average, by 33.9 percent.</w:t>
      </w:r>
      <w:r>
        <w:rPr>
          <w:rStyle w:val="FootnoteReference"/>
          <w:szCs w:val="22"/>
        </w:rPr>
        <w:footnoteReference w:id="13"/>
      </w:r>
      <w:r w:rsidR="00FC6508">
        <w:rPr>
          <w:szCs w:val="22"/>
        </w:rPr>
        <w:t xml:space="preserve"> </w:t>
      </w:r>
      <w:r w:rsidR="00C31C48">
        <w:rPr>
          <w:szCs w:val="22"/>
        </w:rPr>
        <w:t xml:space="preserve"> </w:t>
      </w:r>
      <w:r w:rsidRPr="00FC6508" w:rsidR="00FC6508">
        <w:rPr>
          <w:szCs w:val="22"/>
        </w:rPr>
        <w:t>Similarly, average annual retransmission consent fees paid by cable systems to television broadcast stations calculated on a per-subscriber basis increased by about one-third, rising from $42.67 to $57.21 over the same period.  Over the two-year period from 2013-2015, the compound average annual increase in retransmission consent fees paid by cable systems to broadcast stations was 47.8 percent and the annual increase in such fees calculated on a per-subscriber basis was 41.8 percent.</w:t>
      </w:r>
      <w:r w:rsidR="00FC6508">
        <w:rPr>
          <w:szCs w:val="22"/>
        </w:rPr>
        <w:t xml:space="preserve">  </w:t>
      </w:r>
    </w:p>
    <w:p w:rsidR="000B5213" w:rsidP="004E16D7" w14:paraId="058E9F71" w14:textId="6D5E2A67">
      <w:pPr>
        <w:pStyle w:val="Paranum0"/>
        <w:numPr>
          <w:ilvl w:val="0"/>
          <w:numId w:val="12"/>
        </w:numPr>
        <w:tabs>
          <w:tab w:val="clear" w:pos="1080"/>
          <w:tab w:val="num" w:pos="1440"/>
        </w:tabs>
        <w:suppressAutoHyphens/>
        <w:spacing w:after="120"/>
        <w:jc w:val="left"/>
      </w:pPr>
      <w:r w:rsidRPr="00A118F0">
        <w:rPr>
          <w:i/>
          <w:szCs w:val="22"/>
        </w:rPr>
        <w:t xml:space="preserve">Comparison of DBS </w:t>
      </w:r>
      <w:r w:rsidR="00705EEC">
        <w:rPr>
          <w:i/>
          <w:szCs w:val="22"/>
        </w:rPr>
        <w:t>to</w:t>
      </w:r>
      <w:r w:rsidRPr="00A118F0">
        <w:rPr>
          <w:i/>
          <w:szCs w:val="22"/>
        </w:rPr>
        <w:t xml:space="preserve"> cable programming services.</w:t>
      </w:r>
      <w:r w:rsidRPr="00A118F0">
        <w:rPr>
          <w:szCs w:val="22"/>
        </w:rPr>
        <w:t xml:space="preserve">  </w:t>
      </w:r>
      <w:bookmarkStart w:id="21" w:name="_Hlk482011235"/>
      <w:r w:rsidR="007F7CC9">
        <w:rPr>
          <w:szCs w:val="22"/>
        </w:rPr>
        <w:t xml:space="preserve">DBS providers </w:t>
      </w:r>
      <w:r w:rsidR="00E35938">
        <w:rPr>
          <w:szCs w:val="22"/>
        </w:rPr>
        <w:t>DIRECTV, LLC (DIRECTV)</w:t>
      </w:r>
      <w:r w:rsidRPr="00A118F0" w:rsidR="00E35938">
        <w:rPr>
          <w:szCs w:val="22"/>
        </w:rPr>
        <w:t xml:space="preserve"> </w:t>
      </w:r>
      <w:r w:rsidRPr="00A118F0">
        <w:rPr>
          <w:szCs w:val="22"/>
        </w:rPr>
        <w:t xml:space="preserve">and </w:t>
      </w:r>
      <w:r w:rsidR="00E35938">
        <w:rPr>
          <w:szCs w:val="22"/>
        </w:rPr>
        <w:t>DISH</w:t>
      </w:r>
      <w:r w:rsidRPr="00A118F0" w:rsidR="00E35938">
        <w:rPr>
          <w:szCs w:val="22"/>
        </w:rPr>
        <w:t xml:space="preserve"> </w:t>
      </w:r>
      <w:r w:rsidRPr="00A118F0">
        <w:rPr>
          <w:szCs w:val="22"/>
        </w:rPr>
        <w:t>Network</w:t>
      </w:r>
      <w:r w:rsidR="00E35938">
        <w:rPr>
          <w:szCs w:val="22"/>
        </w:rPr>
        <w:t xml:space="preserve"> LLC (DISH Network)</w:t>
      </w:r>
      <w:r w:rsidRPr="00A118F0">
        <w:rPr>
          <w:szCs w:val="22"/>
        </w:rPr>
        <w:t xml:space="preserve"> </w:t>
      </w:r>
      <w:r w:rsidR="007F7CC9">
        <w:rPr>
          <w:szCs w:val="22"/>
        </w:rPr>
        <w:t xml:space="preserve">offer video </w:t>
      </w:r>
      <w:r w:rsidRPr="00A118F0">
        <w:rPr>
          <w:szCs w:val="22"/>
        </w:rPr>
        <w:t xml:space="preserve">programming services similar to </w:t>
      </w:r>
      <w:r w:rsidRPr="00A118F0" w:rsidR="00286040">
        <w:rPr>
          <w:szCs w:val="22"/>
        </w:rPr>
        <w:t xml:space="preserve">those offered by </w:t>
      </w:r>
      <w:r w:rsidRPr="00A118F0" w:rsidR="00846119">
        <w:rPr>
          <w:szCs w:val="22"/>
        </w:rPr>
        <w:t>cable operators</w:t>
      </w:r>
      <w:r w:rsidRPr="00A118F0">
        <w:rPr>
          <w:szCs w:val="22"/>
        </w:rPr>
        <w:t xml:space="preserve">.  Accordingly, we </w:t>
      </w:r>
      <w:r w:rsidR="0000726B">
        <w:rPr>
          <w:szCs w:val="22"/>
        </w:rPr>
        <w:t>compare</w:t>
      </w:r>
      <w:r w:rsidRPr="00A118F0">
        <w:rPr>
          <w:szCs w:val="22"/>
        </w:rPr>
        <w:t xml:space="preserve"> </w:t>
      </w:r>
      <w:r w:rsidR="00705EEC">
        <w:rPr>
          <w:szCs w:val="22"/>
        </w:rPr>
        <w:t>these D</w:t>
      </w:r>
      <w:r w:rsidRPr="00A118F0">
        <w:rPr>
          <w:szCs w:val="22"/>
        </w:rPr>
        <w:t xml:space="preserve">BS </w:t>
      </w:r>
      <w:r w:rsidR="00705EEC">
        <w:rPr>
          <w:szCs w:val="22"/>
        </w:rPr>
        <w:t>providers’ price</w:t>
      </w:r>
      <w:r w:rsidRPr="00A118F0">
        <w:rPr>
          <w:szCs w:val="22"/>
        </w:rPr>
        <w:t xml:space="preserve"> and</w:t>
      </w:r>
      <w:r w:rsidRPr="00A118F0" w:rsidR="00E0023D">
        <w:rPr>
          <w:szCs w:val="22"/>
        </w:rPr>
        <w:t xml:space="preserve"> </w:t>
      </w:r>
      <w:r w:rsidRPr="00A118F0">
        <w:rPr>
          <w:szCs w:val="22"/>
        </w:rPr>
        <w:t>channel</w:t>
      </w:r>
      <w:r w:rsidR="000C16CE">
        <w:rPr>
          <w:szCs w:val="22"/>
        </w:rPr>
        <w:t xml:space="preserve"> level</w:t>
      </w:r>
      <w:r w:rsidRPr="00A118F0">
        <w:rPr>
          <w:szCs w:val="22"/>
        </w:rPr>
        <w:t xml:space="preserve">s </w:t>
      </w:r>
      <w:r w:rsidR="00705EEC">
        <w:rPr>
          <w:szCs w:val="22"/>
        </w:rPr>
        <w:t>to cable operator offerings</w:t>
      </w:r>
      <w:r w:rsidR="000C16CE">
        <w:rPr>
          <w:szCs w:val="22"/>
        </w:rPr>
        <w:t xml:space="preserve"> </w:t>
      </w:r>
      <w:r w:rsidRPr="00A118F0">
        <w:rPr>
          <w:szCs w:val="22"/>
        </w:rPr>
        <w:t>as part of th</w:t>
      </w:r>
      <w:r w:rsidR="005A63E4">
        <w:rPr>
          <w:szCs w:val="22"/>
        </w:rPr>
        <w:t>e R</w:t>
      </w:r>
      <w:r w:rsidRPr="00A118F0">
        <w:rPr>
          <w:szCs w:val="22"/>
        </w:rPr>
        <w:t xml:space="preserve">eport even though the statute does not </w:t>
      </w:r>
      <w:r w:rsidR="003E744B">
        <w:rPr>
          <w:szCs w:val="22"/>
        </w:rPr>
        <w:t xml:space="preserve">explicitly </w:t>
      </w:r>
      <w:r w:rsidRPr="00A118F0">
        <w:rPr>
          <w:szCs w:val="22"/>
        </w:rPr>
        <w:t>require it.  As in prior years, we sampled DBS providers</w:t>
      </w:r>
      <w:r>
        <w:rPr>
          <w:szCs w:val="22"/>
        </w:rPr>
        <w:t xml:space="preserve"> </w:t>
      </w:r>
      <w:r w:rsidR="00B41E2B">
        <w:rPr>
          <w:szCs w:val="22"/>
        </w:rPr>
        <w:t xml:space="preserve">(separately from our cable survey) </w:t>
      </w:r>
      <w:r w:rsidR="000C16CE">
        <w:rPr>
          <w:szCs w:val="22"/>
        </w:rPr>
        <w:t>to estimate</w:t>
      </w:r>
      <w:r>
        <w:rPr>
          <w:szCs w:val="22"/>
        </w:rPr>
        <w:t xml:space="preserve"> na</w:t>
      </w:r>
      <w:r w:rsidRPr="00A118F0">
        <w:rPr>
          <w:szCs w:val="22"/>
        </w:rPr>
        <w:t>tional average price, number of channels, and</w:t>
      </w:r>
      <w:r>
        <w:rPr>
          <w:szCs w:val="22"/>
        </w:rPr>
        <w:t xml:space="preserve"> </w:t>
      </w:r>
      <w:r w:rsidRPr="00A118F0">
        <w:rPr>
          <w:szCs w:val="22"/>
        </w:rPr>
        <w:t>average price per channel</w:t>
      </w:r>
      <w:r w:rsidR="00B41E2B">
        <w:rPr>
          <w:szCs w:val="22"/>
        </w:rPr>
        <w:t xml:space="preserve"> for DBS video services</w:t>
      </w:r>
      <w:r w:rsidRPr="00A118F0" w:rsidR="00286040">
        <w:rPr>
          <w:szCs w:val="22"/>
        </w:rPr>
        <w:t xml:space="preserve">. </w:t>
      </w:r>
      <w:r w:rsidRPr="00A118F0">
        <w:rPr>
          <w:szCs w:val="22"/>
        </w:rPr>
        <w:t xml:space="preserve"> </w:t>
      </w:r>
      <w:r w:rsidRPr="003F5713" w:rsidR="007B57B6">
        <w:rPr>
          <w:szCs w:val="22"/>
        </w:rPr>
        <w:t>To get DBS averages for these services, we sampled 35 different geographic markets, selected in a systematic random sample, that are representative of markets in our annual cable price surveys.</w:t>
      </w:r>
      <w:r w:rsidR="007B57B6">
        <w:rPr>
          <w:szCs w:val="22"/>
        </w:rPr>
        <w:t xml:space="preserve">  </w:t>
      </w:r>
      <w:r w:rsidR="000C16CE">
        <w:rPr>
          <w:szCs w:val="22"/>
        </w:rPr>
        <w:t>Specifically, w</w:t>
      </w:r>
      <w:r w:rsidRPr="00A118F0" w:rsidR="00E0023D">
        <w:rPr>
          <w:szCs w:val="22"/>
        </w:rPr>
        <w:t>e</w:t>
      </w:r>
      <w:r w:rsidRPr="00A118F0">
        <w:rPr>
          <w:szCs w:val="22"/>
        </w:rPr>
        <w:t xml:space="preserve"> collected </w:t>
      </w:r>
      <w:r w:rsidR="005A63E4">
        <w:rPr>
          <w:szCs w:val="22"/>
        </w:rPr>
        <w:t>data</w:t>
      </w:r>
      <w:r w:rsidRPr="00A118F0">
        <w:rPr>
          <w:szCs w:val="22"/>
        </w:rPr>
        <w:t xml:space="preserve"> on two DBS packages we determined were most comparable to </w:t>
      </w:r>
      <w:r w:rsidR="004636F9">
        <w:rPr>
          <w:szCs w:val="22"/>
        </w:rPr>
        <w:t xml:space="preserve">cable’s </w:t>
      </w:r>
      <w:r w:rsidRPr="00A118F0">
        <w:rPr>
          <w:szCs w:val="22"/>
        </w:rPr>
        <w:t>expanded basic</w:t>
      </w:r>
      <w:r w:rsidR="00901AF1">
        <w:rPr>
          <w:szCs w:val="22"/>
        </w:rPr>
        <w:t xml:space="preserve"> </w:t>
      </w:r>
      <w:r w:rsidRPr="00A118F0">
        <w:rPr>
          <w:szCs w:val="22"/>
        </w:rPr>
        <w:t>service</w:t>
      </w:r>
      <w:r w:rsidRPr="00A118F0" w:rsidR="00E0023D">
        <w:rPr>
          <w:szCs w:val="22"/>
        </w:rPr>
        <w:t>:</w:t>
      </w:r>
      <w:r w:rsidRPr="00A118F0">
        <w:rPr>
          <w:szCs w:val="22"/>
        </w:rPr>
        <w:t xml:space="preserve"> </w:t>
      </w:r>
      <w:r w:rsidRPr="00A118F0" w:rsidR="00286040">
        <w:rPr>
          <w:szCs w:val="22"/>
        </w:rPr>
        <w:t xml:space="preserve"> </w:t>
      </w:r>
      <w:r w:rsidR="007D5892">
        <w:rPr>
          <w:szCs w:val="22"/>
        </w:rPr>
        <w:t>DIRECTV</w:t>
      </w:r>
      <w:r w:rsidRPr="00A118F0">
        <w:rPr>
          <w:szCs w:val="22"/>
        </w:rPr>
        <w:t>’s Choice</w:t>
      </w:r>
      <w:r w:rsidRPr="00A118F0" w:rsidR="00E0023D">
        <w:rPr>
          <w:szCs w:val="22"/>
        </w:rPr>
        <w:t xml:space="preserve"> </w:t>
      </w:r>
      <w:r w:rsidR="004636F9">
        <w:rPr>
          <w:szCs w:val="22"/>
        </w:rPr>
        <w:t xml:space="preserve">package </w:t>
      </w:r>
      <w:r w:rsidRPr="00A118F0">
        <w:rPr>
          <w:szCs w:val="22"/>
        </w:rPr>
        <w:t xml:space="preserve">and </w:t>
      </w:r>
      <w:r w:rsidR="007D5892">
        <w:rPr>
          <w:szCs w:val="22"/>
        </w:rPr>
        <w:t>DISH</w:t>
      </w:r>
      <w:r w:rsidRPr="00A118F0">
        <w:rPr>
          <w:szCs w:val="22"/>
        </w:rPr>
        <w:t xml:space="preserve"> Network’s America’s Top 120 Plus (AT120+).</w:t>
      </w:r>
      <w:bookmarkEnd w:id="21"/>
      <w:r>
        <w:rPr>
          <w:rStyle w:val="FootnoteReference"/>
          <w:sz w:val="22"/>
          <w:szCs w:val="22"/>
        </w:rPr>
        <w:footnoteReference w:id="14"/>
      </w:r>
    </w:p>
    <w:p w:rsidR="00FD14BE" w:rsidP="004E16D7" w14:paraId="7ECD4AB7" w14:textId="301D660A">
      <w:pPr>
        <w:pStyle w:val="Paranum0"/>
        <w:numPr>
          <w:ilvl w:val="0"/>
          <w:numId w:val="12"/>
        </w:numPr>
        <w:tabs>
          <w:tab w:val="clear" w:pos="1080"/>
          <w:tab w:val="num" w:pos="1440"/>
        </w:tabs>
        <w:suppressAutoHyphens/>
        <w:spacing w:after="240"/>
        <w:jc w:val="left"/>
      </w:pPr>
      <w:r>
        <w:t>T</w:t>
      </w:r>
      <w:r w:rsidRPr="008932BF" w:rsidR="00C8110C">
        <w:t>he</w:t>
      </w:r>
      <w:r w:rsidR="00846119">
        <w:t xml:space="preserve"> </w:t>
      </w:r>
      <w:r w:rsidR="000B5213">
        <w:t>average</w:t>
      </w:r>
      <w:r w:rsidRPr="008932BF" w:rsidR="00C8110C">
        <w:t xml:space="preserve"> price </w:t>
      </w:r>
      <w:r w:rsidR="006E3C05">
        <w:t>of cable’s</w:t>
      </w:r>
      <w:r w:rsidR="00A6497B">
        <w:t xml:space="preserve"> </w:t>
      </w:r>
      <w:r w:rsidRPr="008932BF" w:rsidR="00C8110C">
        <w:t>expanded basic</w:t>
      </w:r>
      <w:r w:rsidR="00901AF1">
        <w:t xml:space="preserve"> </w:t>
      </w:r>
      <w:r w:rsidRPr="008932BF" w:rsidR="00C8110C">
        <w:t>service</w:t>
      </w:r>
      <w:r w:rsidR="000B5213">
        <w:t xml:space="preserve"> </w:t>
      </w:r>
      <w:r w:rsidRPr="008932BF" w:rsidR="00C8110C">
        <w:t>($71.3</w:t>
      </w:r>
      <w:r w:rsidR="00111CBA">
        <w:t>7</w:t>
      </w:r>
      <w:r w:rsidRPr="008932BF" w:rsidR="00C8110C">
        <w:t xml:space="preserve">) </w:t>
      </w:r>
      <w:r w:rsidR="00846119">
        <w:t>was</w:t>
      </w:r>
      <w:r w:rsidRPr="008932BF" w:rsidR="00C8110C">
        <w:t xml:space="preserve"> </w:t>
      </w:r>
      <w:r w:rsidR="00A6497B">
        <w:t xml:space="preserve">slightly </w:t>
      </w:r>
      <w:r w:rsidR="00901AF1">
        <w:t>higher</w:t>
      </w:r>
      <w:r w:rsidR="00C8110C">
        <w:t xml:space="preserve"> </w:t>
      </w:r>
      <w:r w:rsidR="00286040">
        <w:t>than</w:t>
      </w:r>
      <w:r w:rsidR="00846119">
        <w:t xml:space="preserve"> </w:t>
      </w:r>
      <w:r w:rsidR="007D5892">
        <w:t>DIRECTV</w:t>
      </w:r>
      <w:r w:rsidR="00C8110C">
        <w:t>’s Choice</w:t>
      </w:r>
      <w:r w:rsidR="00D16F11">
        <w:t xml:space="preserve"> </w:t>
      </w:r>
      <w:r w:rsidR="0000726B">
        <w:t xml:space="preserve">package </w:t>
      </w:r>
      <w:r w:rsidRPr="008932BF" w:rsidR="00C8110C">
        <w:t xml:space="preserve">($70.95) and </w:t>
      </w:r>
      <w:r w:rsidR="004E1406">
        <w:t>also</w:t>
      </w:r>
      <w:r w:rsidR="00D16F11">
        <w:t xml:space="preserve"> </w:t>
      </w:r>
      <w:r w:rsidR="00A6497B">
        <w:t>higher than</w:t>
      </w:r>
      <w:r w:rsidR="004E1406">
        <w:t xml:space="preserve"> </w:t>
      </w:r>
      <w:r w:rsidRPr="008932BF" w:rsidR="00C8110C">
        <w:t>Dish Network</w:t>
      </w:r>
      <w:r w:rsidR="00C8110C">
        <w:t xml:space="preserve">’s AT120+ </w:t>
      </w:r>
      <w:r w:rsidR="0000726B">
        <w:t xml:space="preserve">package </w:t>
      </w:r>
      <w:r w:rsidRPr="008932BF" w:rsidR="00C8110C">
        <w:t>($64.99)</w:t>
      </w:r>
      <w:r>
        <w:t>, a</w:t>
      </w:r>
      <w:r w:rsidRPr="008932BF">
        <w:t>s of January 1, 2016</w:t>
      </w:r>
      <w:r w:rsidR="001B503B">
        <w:t>.</w:t>
      </w:r>
      <w:r>
        <w:rPr>
          <w:rStyle w:val="FootnoteReference"/>
        </w:rPr>
        <w:footnoteReference w:id="15"/>
      </w:r>
      <w:r w:rsidR="00C8110C">
        <w:t xml:space="preserve">  </w:t>
      </w:r>
      <w:r w:rsidRPr="00F911CC" w:rsidR="00F911CC">
        <w:t>Similar to cable</w:t>
      </w:r>
      <w:r w:rsidR="004636F9">
        <w:t xml:space="preserve">’s expanded basic service, we found with </w:t>
      </w:r>
      <w:r w:rsidR="00E4542C">
        <w:t xml:space="preserve">one </w:t>
      </w:r>
      <w:r w:rsidR="004636F9">
        <w:t>exception in our DBS sample that</w:t>
      </w:r>
      <w:r w:rsidRPr="00F911CC" w:rsidR="00F911CC">
        <w:t xml:space="preserve"> subscribers to Choice and AT120+ received a national tier of cable networks a</w:t>
      </w:r>
      <w:r w:rsidR="004636F9">
        <w:t>s well as local broadcast channels</w:t>
      </w:r>
      <w:r w:rsidR="001D0FDA">
        <w:t>.</w:t>
      </w:r>
      <w:r>
        <w:rPr>
          <w:rStyle w:val="FootnoteReference"/>
        </w:rPr>
        <w:footnoteReference w:id="16"/>
      </w:r>
      <w:r w:rsidRPr="00F911CC" w:rsidR="00F911CC">
        <w:t xml:space="preserve"> </w:t>
      </w:r>
      <w:r w:rsidR="001D0FDA">
        <w:t xml:space="preserve"> </w:t>
      </w:r>
      <w:r w:rsidR="00A118F0">
        <w:t>C</w:t>
      </w:r>
      <w:r w:rsidR="00846119">
        <w:t>ompared to</w:t>
      </w:r>
      <w:r w:rsidR="001D0FDA">
        <w:t xml:space="preserve"> an average of</w:t>
      </w:r>
      <w:r w:rsidR="00901AF1">
        <w:t xml:space="preserve"> </w:t>
      </w:r>
      <w:r w:rsidR="00412261">
        <w:t>1</w:t>
      </w:r>
      <w:r w:rsidR="000F3CD8">
        <w:t>81</w:t>
      </w:r>
      <w:r w:rsidR="00846119">
        <w:t xml:space="preserve"> channels</w:t>
      </w:r>
      <w:r w:rsidR="001D0FDA">
        <w:t xml:space="preserve"> offered with cable’s </w:t>
      </w:r>
      <w:r w:rsidR="00846119">
        <w:t>expanded basic</w:t>
      </w:r>
      <w:r w:rsidR="001D0FDA">
        <w:t xml:space="preserve"> service</w:t>
      </w:r>
      <w:r w:rsidR="00846119">
        <w:t>, Choice</w:t>
      </w:r>
      <w:r w:rsidR="00901AF1">
        <w:t xml:space="preserve"> </w:t>
      </w:r>
      <w:r w:rsidR="00A6497B">
        <w:t>averaged</w:t>
      </w:r>
      <w:r w:rsidR="00846119">
        <w:t xml:space="preserve"> 16</w:t>
      </w:r>
      <w:r w:rsidRPr="008932BF" w:rsidR="00846119">
        <w:t>8 channels</w:t>
      </w:r>
      <w:r w:rsidR="00846119">
        <w:t xml:space="preserve"> </w:t>
      </w:r>
      <w:r w:rsidR="00412261">
        <w:t>and</w:t>
      </w:r>
      <w:r w:rsidRPr="008932BF" w:rsidR="00846119">
        <w:t xml:space="preserve"> </w:t>
      </w:r>
      <w:r w:rsidR="00846119">
        <w:t>AT120+</w:t>
      </w:r>
      <w:r w:rsidR="00A6497B">
        <w:t xml:space="preserve"> </w:t>
      </w:r>
      <w:r w:rsidR="00901AF1">
        <w:t>averaged</w:t>
      </w:r>
      <w:r w:rsidR="00412261">
        <w:t xml:space="preserve"> </w:t>
      </w:r>
      <w:r w:rsidRPr="008932BF" w:rsidR="00846119">
        <w:t>160 channels</w:t>
      </w:r>
      <w:r w:rsidR="00846119">
        <w:t>.</w:t>
      </w:r>
      <w:r w:rsidRPr="006B02F9" w:rsidR="006B02F9">
        <w:t xml:space="preserve"> </w:t>
      </w:r>
      <w:r w:rsidR="006B02F9">
        <w:t>The number of primary broadcast stations offered by cable and the two DBS services were generally the same, but cable offered additional broadcast multicast channels and national cable networks.</w:t>
      </w:r>
      <w:r w:rsidR="00846119">
        <w:t xml:space="preserve"> </w:t>
      </w:r>
      <w:r w:rsidR="0000726B">
        <w:t xml:space="preserve">Cable’s price per channel for </w:t>
      </w:r>
      <w:r w:rsidR="00A6497B">
        <w:t>e</w:t>
      </w:r>
      <w:r w:rsidRPr="008932BF" w:rsidR="00846119">
        <w:t>xpanded basic</w:t>
      </w:r>
      <w:r w:rsidR="008058D8">
        <w:t xml:space="preserve"> </w:t>
      </w:r>
      <w:r w:rsidR="00A6497B">
        <w:t>service (</w:t>
      </w:r>
      <w:r w:rsidRPr="008932BF" w:rsidR="00846119">
        <w:t>4</w:t>
      </w:r>
      <w:r w:rsidR="009852C4">
        <w:t>7</w:t>
      </w:r>
      <w:r w:rsidRPr="008932BF" w:rsidR="00846119">
        <w:t xml:space="preserve"> cents per channel</w:t>
      </w:r>
      <w:r w:rsidR="00A6497B">
        <w:t>) was higher</w:t>
      </w:r>
      <w:r w:rsidR="00A118F0">
        <w:t xml:space="preserve"> </w:t>
      </w:r>
      <w:r w:rsidR="00A6497B">
        <w:t>than</w:t>
      </w:r>
      <w:r w:rsidR="004636F9">
        <w:t xml:space="preserve"> </w:t>
      </w:r>
      <w:r w:rsidR="007D5892">
        <w:t>DIRECTV</w:t>
      </w:r>
      <w:r w:rsidR="0000726B">
        <w:t xml:space="preserve">’s </w:t>
      </w:r>
      <w:r w:rsidR="00A118F0">
        <w:t>Choice</w:t>
      </w:r>
      <w:r w:rsidR="00483427">
        <w:t xml:space="preserve"> </w:t>
      </w:r>
      <w:r w:rsidR="0000726B">
        <w:t xml:space="preserve">package </w:t>
      </w:r>
      <w:r w:rsidRPr="008932BF" w:rsidR="00846119">
        <w:t>(42 cents per channel) and</w:t>
      </w:r>
      <w:r w:rsidR="008058D8">
        <w:t xml:space="preserve"> </w:t>
      </w:r>
      <w:r w:rsidR="007D5892">
        <w:t>DISH</w:t>
      </w:r>
      <w:r w:rsidR="0000726B">
        <w:t xml:space="preserve"> Network’s </w:t>
      </w:r>
      <w:r w:rsidR="00A118F0">
        <w:t>AT120+</w:t>
      </w:r>
      <w:r w:rsidRPr="008932BF" w:rsidR="00846119">
        <w:t xml:space="preserve"> </w:t>
      </w:r>
      <w:r w:rsidR="0000726B">
        <w:t xml:space="preserve">package </w:t>
      </w:r>
      <w:r w:rsidRPr="008932BF" w:rsidR="00846119">
        <w:t>(41 cents per channel)</w:t>
      </w:r>
      <w:r w:rsidR="00C8110C">
        <w:t>.</w:t>
      </w:r>
      <w:r>
        <w:rPr>
          <w:rStyle w:val="FootnoteReference"/>
        </w:rPr>
        <w:footnoteReference w:id="17"/>
      </w:r>
      <w:r w:rsidR="001C1A55">
        <w:t xml:space="preserve">  </w:t>
      </w:r>
    </w:p>
    <w:p w:rsidR="00167D5D" w:rsidRPr="00167D5D" w:rsidP="004E16D7" w14:paraId="1CEA9EF8" w14:textId="15BE68E8">
      <w:pPr>
        <w:pStyle w:val="Heading1"/>
        <w:spacing w:before="120"/>
        <w:rPr>
          <w:rFonts w:ascii="Times New Roman" w:hAnsi="Times New Roman"/>
          <w:szCs w:val="22"/>
        </w:rPr>
      </w:pPr>
      <w:bookmarkStart w:id="22" w:name="_Toc456873882"/>
      <w:bookmarkStart w:id="23" w:name="_Toc456874094"/>
      <w:r w:rsidRPr="00167D5D">
        <w:rPr>
          <w:rFonts w:ascii="Times New Roman" w:hAnsi="Times New Roman"/>
          <w:szCs w:val="22"/>
        </w:rPr>
        <w:t>Overview of THE survey</w:t>
      </w:r>
      <w:bookmarkEnd w:id="22"/>
      <w:bookmarkEnd w:id="23"/>
    </w:p>
    <w:p w:rsidR="00314424" w:rsidRPr="009502DF" w:rsidP="0080186F" w14:paraId="3DB42358" w14:textId="26FD8417">
      <w:pPr>
        <w:pStyle w:val="Paranum0"/>
        <w:widowControl/>
        <w:numPr>
          <w:ilvl w:val="0"/>
          <w:numId w:val="9"/>
        </w:numPr>
        <w:tabs>
          <w:tab w:val="clear" w:pos="1080"/>
        </w:tabs>
        <w:suppressAutoHyphens/>
        <w:spacing w:after="240"/>
        <w:jc w:val="left"/>
      </w:pPr>
      <w:r w:rsidRPr="009502DF">
        <w:rPr>
          <w:szCs w:val="22"/>
        </w:rPr>
        <w:t xml:space="preserve">The basis </w:t>
      </w:r>
      <w:r w:rsidRPr="009502DF" w:rsidR="008058D8">
        <w:rPr>
          <w:szCs w:val="22"/>
        </w:rPr>
        <w:t>of</w:t>
      </w:r>
      <w:r w:rsidRPr="009502DF">
        <w:rPr>
          <w:szCs w:val="22"/>
        </w:rPr>
        <w:t xml:space="preserve"> information and analysis in th</w:t>
      </w:r>
      <w:r w:rsidRPr="009502DF" w:rsidR="007F471C">
        <w:rPr>
          <w:szCs w:val="22"/>
        </w:rPr>
        <w:t>e</w:t>
      </w:r>
      <w:r w:rsidRPr="009502DF">
        <w:rPr>
          <w:szCs w:val="22"/>
        </w:rPr>
        <w:t xml:space="preserve"> Report is the Commission’s </w:t>
      </w:r>
      <w:r w:rsidRPr="009502DF" w:rsidR="008634B3">
        <w:rPr>
          <w:szCs w:val="22"/>
        </w:rPr>
        <w:t>2016</w:t>
      </w:r>
      <w:r w:rsidRPr="009502DF">
        <w:rPr>
          <w:szCs w:val="22"/>
        </w:rPr>
        <w:t xml:space="preserve"> survey of cable industry prices (survey).</w:t>
      </w:r>
      <w:r w:rsidRPr="009502DF" w:rsidR="001D0FDA">
        <w:rPr>
          <w:szCs w:val="22"/>
        </w:rPr>
        <w:t xml:space="preserve">  </w:t>
      </w:r>
      <w:r w:rsidRPr="009502DF" w:rsidR="00BD2CDD">
        <w:rPr>
          <w:szCs w:val="22"/>
        </w:rPr>
        <w:t>T</w:t>
      </w:r>
      <w:r w:rsidRPr="009502DF">
        <w:rPr>
          <w:szCs w:val="22"/>
        </w:rPr>
        <w:t xml:space="preserve">he Commission </w:t>
      </w:r>
      <w:r w:rsidRPr="009502DF" w:rsidR="00A82F5A">
        <w:rPr>
          <w:szCs w:val="22"/>
        </w:rPr>
        <w:t>directed</w:t>
      </w:r>
      <w:r w:rsidRPr="009502DF">
        <w:rPr>
          <w:szCs w:val="22"/>
        </w:rPr>
        <w:t xml:space="preserve"> a randomly selected sample of </w:t>
      </w:r>
      <w:r w:rsidRPr="009502DF" w:rsidR="00197D72">
        <w:rPr>
          <w:szCs w:val="22"/>
        </w:rPr>
        <w:t xml:space="preserve">cable communities nationwide </w:t>
      </w:r>
      <w:r w:rsidRPr="009502DF">
        <w:rPr>
          <w:szCs w:val="22"/>
        </w:rPr>
        <w:t>to respond to a survey questionnaire request</w:t>
      </w:r>
      <w:r w:rsidRPr="009502DF" w:rsidR="001D11C2">
        <w:rPr>
          <w:szCs w:val="22"/>
        </w:rPr>
        <w:t>ing</w:t>
      </w:r>
      <w:r w:rsidRPr="009502DF">
        <w:rPr>
          <w:szCs w:val="22"/>
        </w:rPr>
        <w:t xml:space="preserve"> </w:t>
      </w:r>
      <w:r w:rsidRPr="009502DF" w:rsidR="006C4697">
        <w:rPr>
          <w:szCs w:val="22"/>
        </w:rPr>
        <w:t xml:space="preserve">prices and other </w:t>
      </w:r>
      <w:r w:rsidRPr="009502DF" w:rsidR="00197D72">
        <w:rPr>
          <w:szCs w:val="22"/>
        </w:rPr>
        <w:t xml:space="preserve">information </w:t>
      </w:r>
      <w:r w:rsidRPr="009502DF">
        <w:rPr>
          <w:szCs w:val="22"/>
        </w:rPr>
        <w:t>as of January 1, 201</w:t>
      </w:r>
      <w:r w:rsidRPr="009502DF" w:rsidR="00BD2CDD">
        <w:rPr>
          <w:szCs w:val="22"/>
        </w:rPr>
        <w:t>5</w:t>
      </w:r>
      <w:r w:rsidRPr="009502DF">
        <w:rPr>
          <w:szCs w:val="22"/>
        </w:rPr>
        <w:t xml:space="preserve"> and January 1, </w:t>
      </w:r>
      <w:r w:rsidRPr="009502DF" w:rsidR="008634B3">
        <w:rPr>
          <w:szCs w:val="22"/>
        </w:rPr>
        <w:t>2016</w:t>
      </w:r>
      <w:r w:rsidRPr="009502DF">
        <w:rPr>
          <w:szCs w:val="22"/>
        </w:rPr>
        <w:t>.</w:t>
      </w:r>
      <w:r>
        <w:rPr>
          <w:rStyle w:val="FootnoteReference"/>
          <w:sz w:val="22"/>
          <w:szCs w:val="22"/>
        </w:rPr>
        <w:footnoteReference w:id="18"/>
      </w:r>
      <w:r w:rsidRPr="009502DF">
        <w:rPr>
          <w:szCs w:val="22"/>
        </w:rPr>
        <w:t xml:space="preserve"> </w:t>
      </w:r>
      <w:r w:rsidRPr="009502DF" w:rsidR="00197D72">
        <w:rPr>
          <w:szCs w:val="22"/>
        </w:rPr>
        <w:t xml:space="preserve"> </w:t>
      </w:r>
      <w:r w:rsidR="000846B1">
        <w:rPr>
          <w:szCs w:val="22"/>
        </w:rPr>
        <w:t>W</w:t>
      </w:r>
      <w:r w:rsidRPr="009502DF" w:rsidR="00197D72">
        <w:rPr>
          <w:szCs w:val="22"/>
        </w:rPr>
        <w:t xml:space="preserve">e </w:t>
      </w:r>
      <w:r w:rsidR="00D4208B">
        <w:rPr>
          <w:szCs w:val="22"/>
        </w:rPr>
        <w:t xml:space="preserve">selected for the survey communities </w:t>
      </w:r>
      <w:r w:rsidR="000846B1">
        <w:rPr>
          <w:szCs w:val="22"/>
        </w:rPr>
        <w:t>that were subject to</w:t>
      </w:r>
      <w:r w:rsidRPr="009502DF" w:rsidR="00197D72">
        <w:rPr>
          <w:szCs w:val="22"/>
        </w:rPr>
        <w:t xml:space="preserve"> effective competition (effective competition group) </w:t>
      </w:r>
      <w:r w:rsidR="00D4208B">
        <w:rPr>
          <w:szCs w:val="22"/>
        </w:rPr>
        <w:t xml:space="preserve">as well as </w:t>
      </w:r>
      <w:r w:rsidRPr="009502DF" w:rsidR="00197D72">
        <w:rPr>
          <w:szCs w:val="22"/>
        </w:rPr>
        <w:t xml:space="preserve">communities </w:t>
      </w:r>
      <w:r w:rsidR="000846B1">
        <w:rPr>
          <w:szCs w:val="22"/>
        </w:rPr>
        <w:t>not subject to effective competition,</w:t>
      </w:r>
      <w:r w:rsidRPr="000846B1" w:rsidR="000846B1">
        <w:t xml:space="preserve"> </w:t>
      </w:r>
      <w:r w:rsidR="000846B1">
        <w:t>under</w:t>
      </w:r>
      <w:r w:rsidRPr="00167D5D" w:rsidR="000846B1">
        <w:t xml:space="preserve"> the </w:t>
      </w:r>
      <w:r w:rsidR="000846B1">
        <w:t xml:space="preserve">Cable Act’s </w:t>
      </w:r>
      <w:r w:rsidRPr="00167D5D" w:rsidR="000846B1">
        <w:t>statutory definition of effective competition.</w:t>
      </w:r>
      <w:r>
        <w:rPr>
          <w:rStyle w:val="FootnoteReference"/>
          <w:sz w:val="22"/>
          <w:szCs w:val="22"/>
        </w:rPr>
        <w:footnoteReference w:id="19"/>
      </w:r>
      <w:r w:rsidRPr="009502DF" w:rsidR="00197D72">
        <w:rPr>
          <w:szCs w:val="22"/>
        </w:rPr>
        <w:t xml:space="preserve"> </w:t>
      </w:r>
      <w:r w:rsidR="009800AB">
        <w:rPr>
          <w:szCs w:val="22"/>
        </w:rPr>
        <w:t xml:space="preserve"> </w:t>
      </w:r>
      <w:r w:rsidRPr="009502DF" w:rsidR="000846B1">
        <w:rPr>
          <w:szCs w:val="22"/>
        </w:rPr>
        <w:t xml:space="preserve">We used the information collected to </w:t>
      </w:r>
      <w:r w:rsidR="00D4208B">
        <w:rPr>
          <w:szCs w:val="22"/>
        </w:rPr>
        <w:t>estimate average values and make comparisons</w:t>
      </w:r>
      <w:r w:rsidR="000846B1">
        <w:rPr>
          <w:szCs w:val="22"/>
        </w:rPr>
        <w:t xml:space="preserve"> </w:t>
      </w:r>
      <w:r w:rsidRPr="009502DF" w:rsidR="000846B1">
        <w:rPr>
          <w:szCs w:val="22"/>
        </w:rPr>
        <w:t>across</w:t>
      </w:r>
      <w:r w:rsidR="000846B1">
        <w:rPr>
          <w:szCs w:val="22"/>
        </w:rPr>
        <w:t xml:space="preserve"> </w:t>
      </w:r>
      <w:r w:rsidRPr="009502DF" w:rsidR="000846B1">
        <w:rPr>
          <w:szCs w:val="22"/>
        </w:rPr>
        <w:t>groups and subgroups</w:t>
      </w:r>
      <w:r w:rsidR="000846B1">
        <w:rPr>
          <w:szCs w:val="22"/>
        </w:rPr>
        <w:t xml:space="preserve"> of cable communities. </w:t>
      </w:r>
      <w:r w:rsidRPr="009502DF" w:rsidR="000846B1">
        <w:rPr>
          <w:szCs w:val="22"/>
        </w:rPr>
        <w:t xml:space="preserve"> </w:t>
      </w:r>
      <w:r w:rsidR="000846B1">
        <w:rPr>
          <w:szCs w:val="22"/>
        </w:rPr>
        <w:t>For</w:t>
      </w:r>
      <w:r w:rsidRPr="009502DF" w:rsidR="00197D72">
        <w:rPr>
          <w:szCs w:val="22"/>
        </w:rPr>
        <w:t xml:space="preserve"> the Report</w:t>
      </w:r>
      <w:r w:rsidR="000846B1">
        <w:rPr>
          <w:szCs w:val="22"/>
        </w:rPr>
        <w:t>, we calculated 2015 to 2016 percent</w:t>
      </w:r>
      <w:r w:rsidR="00F5198A">
        <w:rPr>
          <w:szCs w:val="22"/>
        </w:rPr>
        <w:t>age</w:t>
      </w:r>
      <w:r w:rsidR="000846B1">
        <w:rPr>
          <w:szCs w:val="22"/>
        </w:rPr>
        <w:t xml:space="preserve"> changes</w:t>
      </w:r>
      <w:r w:rsidRPr="009502DF" w:rsidR="00197D72">
        <w:rPr>
          <w:szCs w:val="22"/>
        </w:rPr>
        <w:t xml:space="preserve"> in </w:t>
      </w:r>
      <w:r w:rsidR="00D4208B">
        <w:rPr>
          <w:szCs w:val="22"/>
        </w:rPr>
        <w:t>average values</w:t>
      </w:r>
      <w:r w:rsidRPr="009502DF" w:rsidR="00F2373F">
        <w:rPr>
          <w:szCs w:val="22"/>
        </w:rPr>
        <w:t xml:space="preserve"> based </w:t>
      </w:r>
      <w:r w:rsidR="000846B1">
        <w:rPr>
          <w:szCs w:val="22"/>
        </w:rPr>
        <w:t xml:space="preserve">on </w:t>
      </w:r>
      <w:r w:rsidRPr="009502DF">
        <w:rPr>
          <w:szCs w:val="22"/>
        </w:rPr>
        <w:t>the data collected in th</w:t>
      </w:r>
      <w:r w:rsidR="00D4208B">
        <w:rPr>
          <w:szCs w:val="22"/>
        </w:rPr>
        <w:t>e</w:t>
      </w:r>
      <w:r w:rsidRPr="009502DF">
        <w:rPr>
          <w:szCs w:val="22"/>
        </w:rPr>
        <w:t xml:space="preserve"> </w:t>
      </w:r>
      <w:r w:rsidRPr="009502DF" w:rsidR="008634B3">
        <w:rPr>
          <w:szCs w:val="22"/>
        </w:rPr>
        <w:t>2016</w:t>
      </w:r>
      <w:r w:rsidRPr="009502DF">
        <w:rPr>
          <w:szCs w:val="22"/>
        </w:rPr>
        <w:t xml:space="preserve"> survey.</w:t>
      </w:r>
      <w:r>
        <w:rPr>
          <w:rStyle w:val="FootnoteReference"/>
          <w:sz w:val="22"/>
          <w:szCs w:val="22"/>
        </w:rPr>
        <w:footnoteReference w:id="20"/>
      </w:r>
      <w:r w:rsidR="00D248A6">
        <w:rPr>
          <w:szCs w:val="22"/>
        </w:rPr>
        <w:t xml:space="preserve">  </w:t>
      </w:r>
      <w:r w:rsidRPr="00167D5D" w:rsidR="00D248A6">
        <w:rPr>
          <w:szCs w:val="22"/>
        </w:rPr>
        <w:t>We calculated average</w:t>
      </w:r>
      <w:r w:rsidR="00D4208B">
        <w:rPr>
          <w:szCs w:val="22"/>
        </w:rPr>
        <w:t xml:space="preserve"> values</w:t>
      </w:r>
      <w:r w:rsidRPr="00167D5D" w:rsidR="00D248A6">
        <w:rPr>
          <w:szCs w:val="22"/>
        </w:rPr>
        <w:t xml:space="preserve"> for each survey question by subgroup, by larger sample group, and for </w:t>
      </w:r>
      <w:r w:rsidR="00D4208B">
        <w:rPr>
          <w:szCs w:val="22"/>
        </w:rPr>
        <w:t>the full sample of communities</w:t>
      </w:r>
      <w:r w:rsidRPr="00167D5D" w:rsidR="00D248A6">
        <w:rPr>
          <w:szCs w:val="22"/>
        </w:rPr>
        <w:t>.</w:t>
      </w:r>
    </w:p>
    <w:p w:rsidR="00314424" w:rsidRPr="009502DF" w:rsidP="004E16D7" w14:paraId="42BCCB99" w14:textId="11E5D0A7">
      <w:pPr>
        <w:pStyle w:val="Paranum0"/>
        <w:numPr>
          <w:ilvl w:val="0"/>
          <w:numId w:val="9"/>
        </w:numPr>
        <w:tabs>
          <w:tab w:val="clear" w:pos="1080"/>
        </w:tabs>
        <w:suppressAutoHyphens/>
        <w:spacing w:after="120"/>
        <w:jc w:val="left"/>
      </w:pPr>
      <w:r w:rsidRPr="009502DF">
        <w:rPr>
          <w:szCs w:val="22"/>
        </w:rPr>
        <w:t>For each community selected for the sample, we asked the cable operator to complete a questionnaire that included questions on the prices of basic cable service and other cable programming service</w:t>
      </w:r>
      <w:r w:rsidR="00E96441">
        <w:rPr>
          <w:szCs w:val="22"/>
        </w:rPr>
        <w:t xml:space="preserve"> offering</w:t>
      </w:r>
      <w:r w:rsidRPr="009502DF">
        <w:rPr>
          <w:szCs w:val="22"/>
        </w:rPr>
        <w:t>s</w:t>
      </w:r>
      <w:r w:rsidR="00111CBA">
        <w:rPr>
          <w:szCs w:val="22"/>
        </w:rPr>
        <w:t>.</w:t>
      </w:r>
      <w:r w:rsidR="00675339">
        <w:rPr>
          <w:szCs w:val="22"/>
        </w:rPr>
        <w:t xml:space="preserve"> </w:t>
      </w:r>
      <w:r>
        <w:rPr>
          <w:szCs w:val="22"/>
        </w:rPr>
        <w:t xml:space="preserve"> </w:t>
      </w:r>
      <w:r w:rsidRPr="00E353D9">
        <w:rPr>
          <w:szCs w:val="22"/>
        </w:rPr>
        <w:t>The Cable Act requires</w:t>
      </w:r>
      <w:r>
        <w:rPr>
          <w:szCs w:val="22"/>
        </w:rPr>
        <w:t xml:space="preserve"> </w:t>
      </w:r>
      <w:r w:rsidRPr="00E353D9">
        <w:rPr>
          <w:szCs w:val="22"/>
        </w:rPr>
        <w:t>operators</w:t>
      </w:r>
      <w:r>
        <w:rPr>
          <w:szCs w:val="22"/>
        </w:rPr>
        <w:t xml:space="preserve"> to offer</w:t>
      </w:r>
      <w:r w:rsidRPr="00E353D9">
        <w:rPr>
          <w:szCs w:val="22"/>
        </w:rPr>
        <w:t xml:space="preserve"> a separately available basic cable service</w:t>
      </w:r>
      <w:r>
        <w:rPr>
          <w:szCs w:val="22"/>
        </w:rPr>
        <w:t xml:space="preserve"> </w:t>
      </w:r>
      <w:r w:rsidRPr="00E353D9">
        <w:rPr>
          <w:szCs w:val="22"/>
        </w:rPr>
        <w:t xml:space="preserve">to which customers must subscribe before purchasing any other </w:t>
      </w:r>
      <w:r>
        <w:rPr>
          <w:szCs w:val="22"/>
        </w:rPr>
        <w:t>service.</w:t>
      </w:r>
      <w:r>
        <w:rPr>
          <w:rStyle w:val="FootnoteReference"/>
          <w:szCs w:val="22"/>
        </w:rPr>
        <w:footnoteReference w:id="21"/>
      </w:r>
      <w:r>
        <w:rPr>
          <w:szCs w:val="22"/>
        </w:rPr>
        <w:t xml:space="preserve">  </w:t>
      </w:r>
      <w:r w:rsidRPr="00167D5D" w:rsidR="00E96441">
        <w:rPr>
          <w:szCs w:val="22"/>
        </w:rPr>
        <w:t>Basic cable service consists of the local broadcast stations; public, educational, and governmental access channels;</w:t>
      </w:r>
      <w:r w:rsidRPr="00E96441" w:rsidR="00E96441">
        <w:rPr>
          <w:szCs w:val="22"/>
        </w:rPr>
        <w:t xml:space="preserve"> </w:t>
      </w:r>
      <w:r w:rsidRPr="00167D5D" w:rsidR="00E96441">
        <w:rPr>
          <w:szCs w:val="22"/>
        </w:rPr>
        <w:t xml:space="preserve">and </w:t>
      </w:r>
      <w:r w:rsidRPr="00167D5D" w:rsidR="009C497D">
        <w:rPr>
          <w:szCs w:val="22"/>
        </w:rPr>
        <w:t>typically,</w:t>
      </w:r>
      <w:r w:rsidRPr="00167D5D" w:rsidR="00E96441">
        <w:rPr>
          <w:szCs w:val="22"/>
        </w:rPr>
        <w:t xml:space="preserve"> a few additional channels that may be of local, regional, national, or international origin.  </w:t>
      </w:r>
      <w:r w:rsidR="008013FE">
        <w:t>Other cable programming</w:t>
      </w:r>
      <w:r w:rsidRPr="001B503B" w:rsidR="008013FE">
        <w:t xml:space="preserve"> </w:t>
      </w:r>
      <w:r w:rsidR="008013FE">
        <w:t>service offerings refer to</w:t>
      </w:r>
      <w:r w:rsidRPr="008A7DDA" w:rsidR="008013FE">
        <w:t xml:space="preserve"> </w:t>
      </w:r>
      <w:r w:rsidR="002F3723">
        <w:t>any</w:t>
      </w:r>
      <w:r w:rsidRPr="008A7DDA" w:rsidR="008013FE">
        <w:t xml:space="preserve"> video programming</w:t>
      </w:r>
      <w:r w:rsidR="008013FE">
        <w:t xml:space="preserve"> </w:t>
      </w:r>
      <w:r w:rsidR="002F3723">
        <w:t xml:space="preserve">that is not carried on the basic service tier and is not </w:t>
      </w:r>
      <w:r w:rsidR="00A66CCE">
        <w:t xml:space="preserve">offered </w:t>
      </w:r>
      <w:r w:rsidR="008013FE">
        <w:t xml:space="preserve">on a </w:t>
      </w:r>
      <w:r w:rsidRPr="001B503B" w:rsidR="008013FE">
        <w:t>per channel or per program</w:t>
      </w:r>
      <w:r w:rsidR="008013FE">
        <w:t xml:space="preserve"> basis.</w:t>
      </w:r>
      <w:r>
        <w:rPr>
          <w:rStyle w:val="FootnoteReference"/>
          <w:szCs w:val="22"/>
        </w:rPr>
        <w:footnoteReference w:id="22"/>
      </w:r>
      <w:r w:rsidR="008832C0">
        <w:rPr>
          <w:szCs w:val="22"/>
        </w:rPr>
        <w:t xml:space="preserve"> </w:t>
      </w:r>
      <w:r w:rsidRPr="00AF4455">
        <w:rPr>
          <w:szCs w:val="22"/>
        </w:rPr>
        <w:t xml:space="preserve"> </w:t>
      </w:r>
      <w:r w:rsidRPr="00167D5D" w:rsidR="00E96441">
        <w:rPr>
          <w:szCs w:val="22"/>
        </w:rPr>
        <w:t xml:space="preserve">The survey </w:t>
      </w:r>
      <w:r w:rsidR="008832C0">
        <w:rPr>
          <w:szCs w:val="22"/>
        </w:rPr>
        <w:t xml:space="preserve">also </w:t>
      </w:r>
      <w:r w:rsidRPr="00167D5D" w:rsidR="00E96441">
        <w:rPr>
          <w:szCs w:val="22"/>
        </w:rPr>
        <w:t xml:space="preserve">focused on expanded basic service, which consists of the basic service channels </w:t>
      </w:r>
      <w:r w:rsidR="001D6D30">
        <w:rPr>
          <w:szCs w:val="22"/>
        </w:rPr>
        <w:t>and</w:t>
      </w:r>
      <w:r w:rsidR="00507329">
        <w:rPr>
          <w:szCs w:val="22"/>
        </w:rPr>
        <w:t xml:space="preserve"> </w:t>
      </w:r>
      <w:r w:rsidRPr="00167D5D" w:rsidR="00E96441">
        <w:rPr>
          <w:szCs w:val="22"/>
        </w:rPr>
        <w:t>a large number of popular national cable networks</w:t>
      </w:r>
      <w:r w:rsidR="001D6D30">
        <w:rPr>
          <w:szCs w:val="22"/>
        </w:rPr>
        <w:t>.</w:t>
      </w:r>
      <w:r w:rsidR="00921DD1">
        <w:rPr>
          <w:szCs w:val="22"/>
        </w:rPr>
        <w:t xml:space="preserve"> </w:t>
      </w:r>
      <w:r w:rsidR="001D6D30">
        <w:rPr>
          <w:szCs w:val="22"/>
        </w:rPr>
        <w:t xml:space="preserve"> Expanded basic service</w:t>
      </w:r>
      <w:r w:rsidR="00D3072F">
        <w:rPr>
          <w:szCs w:val="22"/>
        </w:rPr>
        <w:t xml:space="preserve"> is the most popular level of service</w:t>
      </w:r>
      <w:r w:rsidRPr="00167D5D" w:rsidR="00E96441">
        <w:rPr>
          <w:szCs w:val="22"/>
        </w:rPr>
        <w:t xml:space="preserve">.  We also collected information on the price of the “next most popular” (or next most subscribed) service after expanded basic.  This next most popular service package generally includes all programming channels included in the expanded basic service package </w:t>
      </w:r>
      <w:r w:rsidR="00B75EE7">
        <w:rPr>
          <w:szCs w:val="22"/>
        </w:rPr>
        <w:t>plus</w:t>
      </w:r>
      <w:r w:rsidRPr="00167D5D" w:rsidR="00B75EE7">
        <w:rPr>
          <w:szCs w:val="22"/>
        </w:rPr>
        <w:t xml:space="preserve"> </w:t>
      </w:r>
      <w:r w:rsidRPr="00167D5D" w:rsidR="00E96441">
        <w:rPr>
          <w:szCs w:val="22"/>
        </w:rPr>
        <w:t>at least seven additional cable network channels.</w:t>
      </w:r>
      <w:r>
        <w:rPr>
          <w:rStyle w:val="FootnoteReference"/>
          <w:sz w:val="22"/>
          <w:szCs w:val="22"/>
        </w:rPr>
        <w:footnoteReference w:id="23"/>
      </w:r>
    </w:p>
    <w:p w:rsidR="00F268A6" w:rsidRPr="00325727" w:rsidP="004E16D7" w14:paraId="234E043E" w14:textId="1EF6411D">
      <w:pPr>
        <w:pStyle w:val="Paranum0"/>
        <w:numPr>
          <w:ilvl w:val="0"/>
          <w:numId w:val="12"/>
        </w:numPr>
        <w:tabs>
          <w:tab w:val="clear" w:pos="1080"/>
        </w:tabs>
        <w:suppressAutoHyphens/>
        <w:spacing w:after="240"/>
        <w:jc w:val="left"/>
      </w:pPr>
      <w:r>
        <w:rPr>
          <w:szCs w:val="22"/>
        </w:rPr>
        <w:t>In Part A</w:t>
      </w:r>
      <w:r w:rsidR="006A1DBC">
        <w:rPr>
          <w:szCs w:val="22"/>
        </w:rPr>
        <w:t xml:space="preserve"> of this section, </w:t>
      </w:r>
      <w:r>
        <w:rPr>
          <w:szCs w:val="22"/>
        </w:rPr>
        <w:t xml:space="preserve">we </w:t>
      </w:r>
      <w:r w:rsidR="008304D6">
        <w:rPr>
          <w:szCs w:val="22"/>
        </w:rPr>
        <w:t xml:space="preserve">discuss the effective </w:t>
      </w:r>
      <w:r w:rsidR="00C048E1">
        <w:rPr>
          <w:szCs w:val="22"/>
        </w:rPr>
        <w:t xml:space="preserve">competition </w:t>
      </w:r>
      <w:r w:rsidR="008304D6">
        <w:rPr>
          <w:szCs w:val="22"/>
        </w:rPr>
        <w:t xml:space="preserve">communities, and how </w:t>
      </w:r>
      <w:r w:rsidR="006A1DBC">
        <w:rPr>
          <w:szCs w:val="22"/>
        </w:rPr>
        <w:t>the</w:t>
      </w:r>
      <w:r w:rsidR="00DA727F">
        <w:rPr>
          <w:szCs w:val="22"/>
        </w:rPr>
        <w:t xml:space="preserve"> statute and</w:t>
      </w:r>
      <w:r w:rsidR="006A1DBC">
        <w:rPr>
          <w:szCs w:val="22"/>
        </w:rPr>
        <w:t xml:space="preserve"> process</w:t>
      </w:r>
      <w:r w:rsidR="008304D6">
        <w:rPr>
          <w:szCs w:val="22"/>
        </w:rPr>
        <w:t xml:space="preserve"> has changed</w:t>
      </w:r>
      <w:r w:rsidR="0061486E">
        <w:rPr>
          <w:szCs w:val="22"/>
        </w:rPr>
        <w:t xml:space="preserve"> since this survey</w:t>
      </w:r>
      <w:r w:rsidR="008304D6">
        <w:rPr>
          <w:szCs w:val="22"/>
        </w:rPr>
        <w:t xml:space="preserve">.  In Part B, we </w:t>
      </w:r>
      <w:r w:rsidR="00B75EE7">
        <w:rPr>
          <w:szCs w:val="22"/>
        </w:rPr>
        <w:t xml:space="preserve">provide an </w:t>
      </w:r>
      <w:r w:rsidR="008304D6">
        <w:rPr>
          <w:szCs w:val="22"/>
        </w:rPr>
        <w:t xml:space="preserve">overview </w:t>
      </w:r>
      <w:r w:rsidR="00B75EE7">
        <w:rPr>
          <w:szCs w:val="22"/>
        </w:rPr>
        <w:t xml:space="preserve">of the </w:t>
      </w:r>
      <w:r w:rsidR="008304D6">
        <w:rPr>
          <w:szCs w:val="22"/>
        </w:rPr>
        <w:t>survey methodology, which is described in more detail in the Methodology Appe</w:t>
      </w:r>
      <w:r w:rsidR="006A1DBC">
        <w:rPr>
          <w:szCs w:val="22"/>
        </w:rPr>
        <w:t>n</w:t>
      </w:r>
      <w:r w:rsidR="008304D6">
        <w:rPr>
          <w:szCs w:val="22"/>
        </w:rPr>
        <w:t>dix</w:t>
      </w:r>
      <w:r w:rsidR="006A1DBC">
        <w:rPr>
          <w:szCs w:val="22"/>
        </w:rPr>
        <w:t xml:space="preserve">.  In Part C, we provide definitions of </w:t>
      </w:r>
      <w:r w:rsidR="00DA727F">
        <w:rPr>
          <w:szCs w:val="22"/>
        </w:rPr>
        <w:t xml:space="preserve">specific </w:t>
      </w:r>
      <w:r w:rsidR="006A1DBC">
        <w:rPr>
          <w:szCs w:val="22"/>
        </w:rPr>
        <w:t>cable services</w:t>
      </w:r>
      <w:r w:rsidR="00DA727F">
        <w:rPr>
          <w:szCs w:val="22"/>
        </w:rPr>
        <w:t>.  In Part D, we review</w:t>
      </w:r>
      <w:r w:rsidR="006A1DBC">
        <w:rPr>
          <w:szCs w:val="22"/>
        </w:rPr>
        <w:t xml:space="preserve"> </w:t>
      </w:r>
      <w:r w:rsidR="00DA727F">
        <w:rPr>
          <w:szCs w:val="22"/>
        </w:rPr>
        <w:t>survey accuracy and reliability</w:t>
      </w:r>
      <w:r w:rsidR="00A918ED">
        <w:rPr>
          <w:szCs w:val="22"/>
        </w:rPr>
        <w:t>.</w:t>
      </w:r>
    </w:p>
    <w:p w:rsidR="00325727" w:rsidP="004E16D7" w14:paraId="18C7F13D" w14:textId="33AA154E">
      <w:pPr>
        <w:pStyle w:val="Paranum0"/>
        <w:tabs>
          <w:tab w:val="clear" w:pos="1080"/>
        </w:tabs>
        <w:suppressAutoHyphens/>
        <w:spacing w:after="120"/>
        <w:ind w:left="720" w:firstLine="0"/>
        <w:jc w:val="left"/>
      </w:pPr>
      <w:r>
        <w:rPr>
          <w:b/>
        </w:rPr>
        <w:t>A.</w:t>
      </w:r>
      <w:r>
        <w:rPr>
          <w:b/>
        </w:rPr>
        <w:tab/>
      </w:r>
      <w:r w:rsidRPr="00860C6C">
        <w:rPr>
          <w:b/>
        </w:rPr>
        <w:t>Effective Competition Communities</w:t>
      </w:r>
    </w:p>
    <w:p w:rsidR="0007224B" w:rsidRPr="0007224B" w:rsidP="004E16D7" w14:paraId="2A40609D" w14:textId="79C2610B">
      <w:pPr>
        <w:pStyle w:val="Paranum0"/>
        <w:numPr>
          <w:ilvl w:val="0"/>
          <w:numId w:val="12"/>
        </w:numPr>
        <w:tabs>
          <w:tab w:val="clear" w:pos="1080"/>
          <w:tab w:val="num" w:pos="1440"/>
        </w:tabs>
        <w:suppressAutoHyphens/>
        <w:spacing w:after="240"/>
        <w:jc w:val="left"/>
        <w:rPr>
          <w:b/>
        </w:rPr>
      </w:pPr>
      <w:r>
        <w:t>To identify</w:t>
      </w:r>
      <w:r w:rsidRPr="00167D5D">
        <w:t xml:space="preserve"> operators </w:t>
      </w:r>
      <w:r>
        <w:t>in</w:t>
      </w:r>
      <w:r w:rsidRPr="00167D5D">
        <w:t xml:space="preserve"> the effective competition communities, we relied on the Commission’s formal findings of effective competition</w:t>
      </w:r>
      <w:r w:rsidR="000846B1">
        <w:t xml:space="preserve"> mad</w:t>
      </w:r>
      <w:r>
        <w:t>e</w:t>
      </w:r>
      <w:r w:rsidR="000846B1">
        <w:t xml:space="preserve"> under the statutory definition of effective competition.</w:t>
      </w:r>
      <w:r w:rsidRPr="00167D5D">
        <w:t xml:space="preserve"> </w:t>
      </w:r>
      <w:r>
        <w:t xml:space="preserve"> M</w:t>
      </w:r>
      <w:r w:rsidRPr="00167D5D">
        <w:t xml:space="preserve">ost </w:t>
      </w:r>
      <w:r>
        <w:t xml:space="preserve">of the </w:t>
      </w:r>
      <w:r w:rsidRPr="00167D5D">
        <w:t xml:space="preserve">effective competition </w:t>
      </w:r>
      <w:r w:rsidR="00643145">
        <w:t>proceedings</w:t>
      </w:r>
      <w:r w:rsidR="00A84CE1">
        <w:t xml:space="preserve"> considered by</w:t>
      </w:r>
      <w:r w:rsidR="0016213D">
        <w:t xml:space="preserve"> the</w:t>
      </w:r>
      <w:r w:rsidRPr="00167D5D">
        <w:t xml:space="preserve"> Commission </w:t>
      </w:r>
      <w:r w:rsidR="00643145">
        <w:t>involve</w:t>
      </w:r>
      <w:r w:rsidRPr="00167D5D">
        <w:t xml:space="preserve"> competition between a cable operator and a DBS provider.  </w:t>
      </w:r>
      <w:r>
        <w:t xml:space="preserve">Other cases involve </w:t>
      </w:r>
      <w:r w:rsidRPr="00167D5D">
        <w:t xml:space="preserve">competition </w:t>
      </w:r>
      <w:r>
        <w:t xml:space="preserve">between an incumbent </w:t>
      </w:r>
      <w:r w:rsidR="00643145">
        <w:t xml:space="preserve">cable operator </w:t>
      </w:r>
      <w:r>
        <w:t>and a rival</w:t>
      </w:r>
      <w:r w:rsidR="00643145">
        <w:t xml:space="preserve"> cable</w:t>
      </w:r>
      <w:r>
        <w:t xml:space="preserve"> operator in a cable overbuild community</w:t>
      </w:r>
      <w:r w:rsidR="00643145">
        <w:t>;</w:t>
      </w:r>
      <w:r>
        <w:t xml:space="preserve"> the </w:t>
      </w:r>
      <w:r>
        <w:t>presence of a</w:t>
      </w:r>
      <w:r w:rsidRPr="00167D5D">
        <w:t xml:space="preserve"> wireless</w:t>
      </w:r>
      <w:r>
        <w:t xml:space="preserve"> MVPD </w:t>
      </w:r>
      <w:r w:rsidR="000846B1">
        <w:t xml:space="preserve">service </w:t>
      </w:r>
      <w:r>
        <w:t>system in the community</w:t>
      </w:r>
      <w:r w:rsidR="00643145">
        <w:t>;</w:t>
      </w:r>
      <w:r w:rsidRPr="00167D5D">
        <w:t xml:space="preserve"> or </w:t>
      </w:r>
      <w:r>
        <w:t>operator</w:t>
      </w:r>
      <w:r>
        <w:t>s</w:t>
      </w:r>
      <w:r>
        <w:t xml:space="preserve"> that have </w:t>
      </w:r>
      <w:r w:rsidRPr="00167D5D">
        <w:t xml:space="preserve">low </w:t>
      </w:r>
      <w:r>
        <w:t xml:space="preserve">market </w:t>
      </w:r>
      <w:r w:rsidRPr="00167D5D">
        <w:t>penetration</w:t>
      </w:r>
      <w:r>
        <w:t xml:space="preserve"> in the community</w:t>
      </w:r>
      <w:r w:rsidRPr="00167D5D">
        <w:t>.</w:t>
      </w:r>
    </w:p>
    <w:p w:rsidR="00325727" w:rsidRPr="00860C6C" w:rsidP="001B0131" w14:paraId="4E214F89" w14:textId="59EF4646">
      <w:pPr>
        <w:pStyle w:val="Paranum0"/>
        <w:widowControl/>
        <w:numPr>
          <w:ilvl w:val="0"/>
          <w:numId w:val="12"/>
        </w:numPr>
        <w:tabs>
          <w:tab w:val="clear" w:pos="1080"/>
          <w:tab w:val="num" w:pos="1440"/>
        </w:tabs>
        <w:suppressAutoHyphens/>
        <w:spacing w:after="240"/>
        <w:jc w:val="left"/>
        <w:rPr>
          <w:b/>
        </w:rPr>
      </w:pPr>
      <w:bookmarkStart w:id="24" w:name="_Ref489022365"/>
      <w:r w:rsidRPr="00860C6C">
        <w:t xml:space="preserve">While </w:t>
      </w:r>
      <w:r w:rsidR="00C62768">
        <w:t xml:space="preserve">it did not impact </w:t>
      </w:r>
      <w:r w:rsidR="00643145">
        <w:t>the data for this</w:t>
      </w:r>
      <w:r w:rsidRPr="00860C6C">
        <w:t xml:space="preserve"> Report, </w:t>
      </w:r>
      <w:r w:rsidR="00643145">
        <w:t xml:space="preserve">it is important to note that </w:t>
      </w:r>
      <w:r w:rsidRPr="00860C6C">
        <w:t xml:space="preserve">the Commission </w:t>
      </w:r>
      <w:r w:rsidR="00643145">
        <w:t xml:space="preserve">recently </w:t>
      </w:r>
      <w:r w:rsidRPr="00860C6C">
        <w:t xml:space="preserve">changed its effective competition process by adopting a rebuttable presumption that </w:t>
      </w:r>
      <w:r w:rsidR="00643145">
        <w:t xml:space="preserve">all </w:t>
      </w:r>
      <w:r w:rsidR="0064207D">
        <w:t xml:space="preserve">cable </w:t>
      </w:r>
      <w:r w:rsidRPr="00860C6C">
        <w:t>operators are subject to a single type of effective</w:t>
      </w:r>
      <w:r w:rsidR="0007224B">
        <w:t xml:space="preserve"> </w:t>
      </w:r>
      <w:r w:rsidRPr="00860C6C">
        <w:t xml:space="preserve">competition known as </w:t>
      </w:r>
      <w:r w:rsidR="001C3B9C">
        <w:t>c</w:t>
      </w:r>
      <w:r w:rsidRPr="00860C6C">
        <w:t xml:space="preserve">ompeting </w:t>
      </w:r>
      <w:r w:rsidR="001C3B9C">
        <w:t>p</w:t>
      </w:r>
      <w:r w:rsidRPr="00860C6C">
        <w:t xml:space="preserve">rovider </w:t>
      </w:r>
      <w:r w:rsidR="001C3B9C">
        <w:t>e</w:t>
      </w:r>
      <w:r w:rsidRPr="00860C6C">
        <w:t xml:space="preserve">ffective </w:t>
      </w:r>
      <w:r w:rsidR="001C3B9C">
        <w:t>c</w:t>
      </w:r>
      <w:r w:rsidRPr="00860C6C">
        <w:t>ompetition</w:t>
      </w:r>
      <w:r w:rsidR="001C3B9C">
        <w:t xml:space="preserve"> or the </w:t>
      </w:r>
      <w:r w:rsidR="0016213D">
        <w:t>“</w:t>
      </w:r>
      <w:r w:rsidR="001C3B9C">
        <w:t>50/15</w:t>
      </w:r>
      <w:r w:rsidR="0016213D">
        <w:t>”</w:t>
      </w:r>
      <w:r w:rsidR="001C3B9C">
        <w:t xml:space="preserve"> test</w:t>
      </w:r>
      <w:r w:rsidR="00643145">
        <w:t>.</w:t>
      </w:r>
      <w:r>
        <w:rPr>
          <w:rStyle w:val="FootnoteReference"/>
        </w:rPr>
        <w:footnoteReference w:id="24"/>
      </w:r>
      <w:r w:rsidRPr="00860C6C">
        <w:t xml:space="preserve">  </w:t>
      </w:r>
      <w:r>
        <w:t xml:space="preserve">  </w:t>
      </w:r>
      <w:r w:rsidR="00386517">
        <w:t xml:space="preserve">In a </w:t>
      </w:r>
      <w:r w:rsidRPr="007635A0" w:rsidR="00811749">
        <w:t>201</w:t>
      </w:r>
      <w:r w:rsidRPr="007635A0" w:rsidR="00F7798A">
        <w:t>5</w:t>
      </w:r>
      <w:r w:rsidRPr="007635A0" w:rsidR="00811749">
        <w:t xml:space="preserve"> </w:t>
      </w:r>
      <w:r w:rsidRPr="007635A0" w:rsidR="00386517">
        <w:t>proceeding, t</w:t>
      </w:r>
      <w:r w:rsidRPr="007635A0">
        <w:t>he Commission concluded that the ubiquitous nature of Direct Broadcast Satellite</w:t>
      </w:r>
      <w:r w:rsidRPr="007635A0" w:rsidR="0064207D">
        <w:t xml:space="preserve"> </w:t>
      </w:r>
      <w:r w:rsidRPr="007635A0">
        <w:t xml:space="preserve">services </w:t>
      </w:r>
      <w:r w:rsidRPr="007635A0" w:rsidR="001C3B9C">
        <w:t>made</w:t>
      </w:r>
      <w:r w:rsidRPr="007635A0">
        <w:t xml:space="preserve"> it appropriate to presume that the 50/15 test of effective competition</w:t>
      </w:r>
      <w:r w:rsidRPr="007635A0" w:rsidR="0064207D">
        <w:t xml:space="preserve"> is met</w:t>
      </w:r>
      <w:r w:rsidRPr="007635A0" w:rsidR="001C3B9C">
        <w:t xml:space="preserve"> in all cases, unless a </w:t>
      </w:r>
      <w:r w:rsidRPr="007635A0" w:rsidR="00CE6A9E">
        <w:t>showing</w:t>
      </w:r>
      <w:r w:rsidRPr="007635A0" w:rsidR="001C3B9C">
        <w:t xml:space="preserve"> is made to the contrary to rebut this presumption</w:t>
      </w:r>
      <w:r w:rsidRPr="007635A0">
        <w:t>.</w:t>
      </w:r>
      <w:r>
        <w:rPr>
          <w:rStyle w:val="FootnoteReference"/>
        </w:rPr>
        <w:footnoteReference w:id="25"/>
      </w:r>
      <w:r w:rsidRPr="007635A0">
        <w:t xml:space="preserve"> </w:t>
      </w:r>
      <w:r w:rsidRPr="007635A0" w:rsidR="0064207D">
        <w:t xml:space="preserve"> A</w:t>
      </w:r>
      <w:r w:rsidRPr="007635A0">
        <w:t>s a result</w:t>
      </w:r>
      <w:r w:rsidRPr="007635A0" w:rsidR="0064207D">
        <w:t>,</w:t>
      </w:r>
      <w:r w:rsidRPr="007635A0">
        <w:t xml:space="preserve"> the vast majority of </w:t>
      </w:r>
      <w:r w:rsidRPr="007635A0" w:rsidR="0064207D">
        <w:t xml:space="preserve">this survey’s noncompetitive group (the </w:t>
      </w:r>
      <w:r w:rsidRPr="007635A0">
        <w:t>communities</w:t>
      </w:r>
      <w:r w:rsidRPr="007635A0" w:rsidR="0064207D">
        <w:t xml:space="preserve"> without a finding of effective competition</w:t>
      </w:r>
      <w:r>
        <w:rPr>
          <w:rStyle w:val="FootnoteReference"/>
        </w:rPr>
        <w:footnoteReference w:id="26"/>
      </w:r>
      <w:r w:rsidRPr="007635A0" w:rsidR="0064207D">
        <w:t xml:space="preserve">) </w:t>
      </w:r>
      <w:r w:rsidRPr="007635A0" w:rsidR="00CE6A9E">
        <w:t xml:space="preserve">would </w:t>
      </w:r>
      <w:r w:rsidRPr="007635A0">
        <w:t>now</w:t>
      </w:r>
      <w:r w:rsidRPr="007635A0" w:rsidR="00CE6A9E">
        <w:t xml:space="preserve"> be</w:t>
      </w:r>
      <w:r w:rsidRPr="007635A0">
        <w:t xml:space="preserve"> considered subject to effective competition.  </w:t>
      </w:r>
      <w:r w:rsidRPr="007635A0" w:rsidR="00386517">
        <w:t>Because this change</w:t>
      </w:r>
      <w:r w:rsidRPr="007635A0" w:rsidR="001C3B9C">
        <w:t xml:space="preserve"> did not take</w:t>
      </w:r>
      <w:r w:rsidRPr="007635A0" w:rsidR="00817C4B">
        <w:t xml:space="preserve"> full</w:t>
      </w:r>
      <w:r w:rsidRPr="007635A0" w:rsidR="001C3B9C">
        <w:t xml:space="preserve"> effect until </w:t>
      </w:r>
      <w:r w:rsidRPr="007635A0" w:rsidR="00386517">
        <w:t xml:space="preserve">after January 1, 2016, however, the data </w:t>
      </w:r>
      <w:r w:rsidRPr="007635A0" w:rsidR="001C3B9C">
        <w:t>collected</w:t>
      </w:r>
      <w:r w:rsidRPr="007635A0" w:rsidR="00386517">
        <w:t xml:space="preserve"> by the survey</w:t>
      </w:r>
      <w:r w:rsidRPr="007635A0" w:rsidR="001C3B9C">
        <w:t xml:space="preserve"> and compiled in this Report</w:t>
      </w:r>
      <w:r w:rsidR="002D39AF">
        <w:t xml:space="preserve"> do not reflect application of the new rebuttable presumption</w:t>
      </w:r>
      <w:r w:rsidRPr="007635A0" w:rsidR="00386517">
        <w:t>.</w:t>
      </w:r>
      <w:r>
        <w:rPr>
          <w:rStyle w:val="FootnoteReference"/>
        </w:rPr>
        <w:footnoteReference w:id="27"/>
      </w:r>
      <w:r w:rsidRPr="007635A0" w:rsidR="00A34AD1">
        <w:t xml:space="preserve"> </w:t>
      </w:r>
      <w:r w:rsidR="00386517">
        <w:t xml:space="preserve">  Rather, t</w:t>
      </w:r>
      <w:r w:rsidRPr="00860C6C" w:rsidR="00386517">
        <w:t xml:space="preserve">he </w:t>
      </w:r>
      <w:r w:rsidR="00386517">
        <w:t xml:space="preserve">sample for the </w:t>
      </w:r>
      <w:r w:rsidRPr="00860C6C" w:rsidR="00386517">
        <w:t xml:space="preserve">next </w:t>
      </w:r>
      <w:r w:rsidR="00386517">
        <w:t xml:space="preserve">annual </w:t>
      </w:r>
      <w:r w:rsidRPr="00860C6C" w:rsidR="00386517">
        <w:t xml:space="preserve">report </w:t>
      </w:r>
      <w:r w:rsidR="00386517">
        <w:t xml:space="preserve">on cable industry prices </w:t>
      </w:r>
      <w:r w:rsidRPr="00860C6C" w:rsidR="00386517">
        <w:t>will reflect this change.</w:t>
      </w:r>
      <w:r w:rsidR="00386517">
        <w:t xml:space="preserve">  </w:t>
      </w:r>
      <w:bookmarkEnd w:id="24"/>
    </w:p>
    <w:p w:rsidR="001D0E88" w:rsidP="004E16D7" w14:paraId="1D01BA7A" w14:textId="774839B5">
      <w:pPr>
        <w:pStyle w:val="Paranum0"/>
        <w:numPr>
          <w:ilvl w:val="1"/>
          <w:numId w:val="40"/>
        </w:numPr>
        <w:suppressAutoHyphens/>
        <w:spacing w:after="120"/>
        <w:ind w:left="720" w:firstLine="0"/>
        <w:jc w:val="left"/>
      </w:pPr>
      <w:r w:rsidRPr="000846B1">
        <w:rPr>
          <w:b/>
          <w:szCs w:val="22"/>
        </w:rPr>
        <w:t>Overview of Survey Methodology</w:t>
      </w:r>
    </w:p>
    <w:p w:rsidR="00167D5D" w:rsidRPr="00167D5D" w:rsidP="0024410F" w14:paraId="4711411A" w14:textId="6E5FF39A">
      <w:pPr>
        <w:pStyle w:val="Paranum0"/>
        <w:numPr>
          <w:ilvl w:val="0"/>
          <w:numId w:val="12"/>
        </w:numPr>
        <w:tabs>
          <w:tab w:val="clear" w:pos="1080"/>
          <w:tab w:val="left" w:pos="1440"/>
        </w:tabs>
        <w:suppressAutoHyphens/>
        <w:spacing w:after="120"/>
        <w:jc w:val="left"/>
      </w:pPr>
      <w:bookmarkStart w:id="25" w:name="_Ref455046639"/>
      <w:r w:rsidRPr="00167D5D">
        <w:t xml:space="preserve">We selected the sample of </w:t>
      </w:r>
      <w:r w:rsidR="00896A00">
        <w:t>effective competition communities</w:t>
      </w:r>
      <w:r w:rsidRPr="00167D5D">
        <w:t xml:space="preserve"> from four subgroups</w:t>
      </w:r>
      <w:r w:rsidR="00DA2DAD">
        <w:t>,</w:t>
      </w:r>
      <w:r>
        <w:rPr>
          <w:rStyle w:val="FootnoteReference"/>
          <w:sz w:val="22"/>
          <w:szCs w:val="22"/>
        </w:rPr>
        <w:footnoteReference w:id="28"/>
      </w:r>
      <w:r w:rsidRPr="00167D5D" w:rsidR="00DA2DAD">
        <w:t xml:space="preserve"> </w:t>
      </w:r>
      <w:bookmarkStart w:id="26" w:name="_Hlk502225541"/>
      <w:r w:rsidR="00726349">
        <w:t xml:space="preserve">based on the type of </w:t>
      </w:r>
      <w:r w:rsidR="00DA2DAD">
        <w:t xml:space="preserve">MVPD </w:t>
      </w:r>
      <w:r w:rsidR="00726349">
        <w:t xml:space="preserve">competition cited in effective competition filings.  </w:t>
      </w:r>
      <w:r w:rsidR="00DA2DAD">
        <w:t>We note that m</w:t>
      </w:r>
      <w:r w:rsidR="00726349">
        <w:t xml:space="preserve">any operators might have other </w:t>
      </w:r>
      <w:r w:rsidR="00DA2DAD">
        <w:t xml:space="preserve">MVPD </w:t>
      </w:r>
      <w:r w:rsidR="00726349">
        <w:t xml:space="preserve">competition </w:t>
      </w:r>
      <w:r w:rsidR="00DA2DAD">
        <w:t>as well</w:t>
      </w:r>
      <w:r w:rsidR="00726349">
        <w:t xml:space="preserve">.  </w:t>
      </w:r>
      <w:r w:rsidR="00DA2DAD">
        <w:t>For example, c</w:t>
      </w:r>
      <w:r w:rsidRPr="00DA2DAD" w:rsidR="00DA2DAD">
        <w:t xml:space="preserve">ommunities </w:t>
      </w:r>
      <w:r w:rsidR="00C56C93">
        <w:t xml:space="preserve">with a finding of </w:t>
      </w:r>
      <w:r w:rsidR="002D39AF">
        <w:t xml:space="preserve">effective </w:t>
      </w:r>
      <w:r w:rsidR="00C56C93">
        <w:t>competition</w:t>
      </w:r>
      <w:r w:rsidRPr="00DA2DAD" w:rsidR="00DA2DAD">
        <w:t xml:space="preserve"> due to wireline overbuild may </w:t>
      </w:r>
      <w:r w:rsidR="00DA2DAD">
        <w:t>also</w:t>
      </w:r>
      <w:r w:rsidRPr="00DA2DAD" w:rsidR="00DA2DAD">
        <w:t xml:space="preserve"> be subject to DBS competition.</w:t>
      </w:r>
      <w:bookmarkEnd w:id="26"/>
      <w:r w:rsidR="00DA2DAD">
        <w:t xml:space="preserve">  </w:t>
      </w:r>
      <w:r w:rsidRPr="00167D5D">
        <w:t xml:space="preserve">The first two subgroups are </w:t>
      </w:r>
      <w:r w:rsidRPr="00167D5D" w:rsidR="002B283A">
        <w:t>c</w:t>
      </w:r>
      <w:r w:rsidR="002B283A">
        <w:t xml:space="preserve">omposed </w:t>
      </w:r>
      <w:r w:rsidRPr="00167D5D">
        <w:t xml:space="preserve">of </w:t>
      </w:r>
      <w:r w:rsidR="001D17D5">
        <w:t xml:space="preserve">the </w:t>
      </w:r>
      <w:r w:rsidRPr="00167D5D">
        <w:t xml:space="preserve">communities in which </w:t>
      </w:r>
      <w:r w:rsidR="00DE02FC">
        <w:t xml:space="preserve">a finding of effective competition was made because two </w:t>
      </w:r>
      <w:r w:rsidR="004A5ECD">
        <w:t>wireline</w:t>
      </w:r>
      <w:r w:rsidR="007C5FEF">
        <w:t xml:space="preserve"> </w:t>
      </w:r>
      <w:r w:rsidR="004A5ECD">
        <w:t>MVPDs</w:t>
      </w:r>
      <w:r w:rsidR="001D17D5">
        <w:t xml:space="preserve"> served the same</w:t>
      </w:r>
      <w:r w:rsidR="00DE02FC">
        <w:t xml:space="preserve"> area.</w:t>
      </w:r>
      <w:r w:rsidRPr="00167D5D">
        <w:t xml:space="preserve"> </w:t>
      </w:r>
      <w:r w:rsidR="001D17D5">
        <w:t xml:space="preserve"> T</w:t>
      </w:r>
      <w:r w:rsidRPr="00167D5D">
        <w:t xml:space="preserve">he first </w:t>
      </w:r>
      <w:r w:rsidR="001D17D5">
        <w:t xml:space="preserve">of these two </w:t>
      </w:r>
      <w:r w:rsidRPr="00167D5D">
        <w:t>subgroup</w:t>
      </w:r>
      <w:r w:rsidR="001D17D5">
        <w:t>s</w:t>
      </w:r>
      <w:r w:rsidRPr="00167D5D">
        <w:t xml:space="preserve"> consis</w:t>
      </w:r>
      <w:r w:rsidR="001D17D5">
        <w:t>t</w:t>
      </w:r>
      <w:r w:rsidR="00C228A5">
        <w:t>s</w:t>
      </w:r>
      <w:r w:rsidRPr="00167D5D">
        <w:t xml:space="preserve"> of </w:t>
      </w:r>
      <w:r w:rsidRPr="00023F7B">
        <w:rPr>
          <w:i/>
        </w:rPr>
        <w:t>incumbent</w:t>
      </w:r>
      <w:r w:rsidRPr="00167D5D">
        <w:t xml:space="preserve"> </w:t>
      </w:r>
      <w:r w:rsidR="004A5ECD">
        <w:t xml:space="preserve">cable system </w:t>
      </w:r>
      <w:r w:rsidRPr="00167D5D">
        <w:t xml:space="preserve">operators in areas with a second </w:t>
      </w:r>
      <w:r w:rsidR="004A5ECD">
        <w:t>wireline MVPD overbuilding the incumbent</w:t>
      </w:r>
      <w:r w:rsidRPr="00167D5D">
        <w:t xml:space="preserve">.  The incumbent is the operator who provided service prior to the rival </w:t>
      </w:r>
      <w:r w:rsidR="004A5ECD">
        <w:t>MVPD</w:t>
      </w:r>
      <w:r w:rsidRPr="00167D5D" w:rsidR="004A5ECD">
        <w:t xml:space="preserve">’s </w:t>
      </w:r>
      <w:r w:rsidR="00DE02FC">
        <w:t>arrival in</w:t>
      </w:r>
      <w:r w:rsidRPr="00167D5D">
        <w:t xml:space="preserve"> the market.</w:t>
      </w:r>
      <w:r w:rsidR="00023F7B">
        <w:t xml:space="preserve"> </w:t>
      </w:r>
      <w:r w:rsidR="005D1E65">
        <w:t xml:space="preserve"> </w:t>
      </w:r>
      <w:r w:rsidR="00023F7B">
        <w:t>T</w:t>
      </w:r>
      <w:r w:rsidRPr="00167D5D">
        <w:t xml:space="preserve">he second subgroup </w:t>
      </w:r>
      <w:r w:rsidR="007C5FEF">
        <w:t>includes the</w:t>
      </w:r>
      <w:r w:rsidRPr="00167D5D">
        <w:t xml:space="preserve"> </w:t>
      </w:r>
      <w:r w:rsidRPr="00023F7B">
        <w:rPr>
          <w:i/>
        </w:rPr>
        <w:t>rival</w:t>
      </w:r>
      <w:r w:rsidRPr="00167D5D">
        <w:t xml:space="preserve"> </w:t>
      </w:r>
      <w:r w:rsidR="004A5ECD">
        <w:t>MVPDs</w:t>
      </w:r>
      <w:r w:rsidRPr="00167D5D">
        <w:t xml:space="preserve"> in </w:t>
      </w:r>
      <w:r w:rsidR="007C5FEF">
        <w:t>these communities</w:t>
      </w:r>
      <w:r w:rsidRPr="00167D5D">
        <w:t xml:space="preserve">.  We also report </w:t>
      </w:r>
      <w:r w:rsidR="007C5FEF">
        <w:t xml:space="preserve">a combined </w:t>
      </w:r>
      <w:r w:rsidR="00C1166E">
        <w:t>average</w:t>
      </w:r>
      <w:r w:rsidR="007C5FEF">
        <w:t xml:space="preserve"> rate</w:t>
      </w:r>
      <w:r w:rsidR="00C1166E">
        <w:t xml:space="preserve"> for the </w:t>
      </w:r>
      <w:r w:rsidRPr="00167D5D">
        <w:t>incumbent and rival operator</w:t>
      </w:r>
      <w:r w:rsidR="00C1166E">
        <w:t xml:space="preserve"> subgroup</w:t>
      </w:r>
      <w:r w:rsidRPr="00167D5D">
        <w:t xml:space="preserve">.  The basis of findings of effective competition for the incumbent subgroup </w:t>
      </w:r>
      <w:r w:rsidR="00DE02FC">
        <w:t>is</w:t>
      </w:r>
      <w:r w:rsidRPr="00167D5D" w:rsidR="00DE02FC">
        <w:t xml:space="preserve"> </w:t>
      </w:r>
      <w:r w:rsidRPr="00167D5D">
        <w:t>either (a) the 50/15 test</w:t>
      </w:r>
      <w:r w:rsidR="00023F7B">
        <w:t>,</w:t>
      </w:r>
      <w:r w:rsidRPr="00167D5D">
        <w:t xml:space="preserve"> resulting from the presence of at least two MVPDs</w:t>
      </w:r>
      <w:r w:rsidR="00B5576E">
        <w:t>,</w:t>
      </w:r>
      <w:r w:rsidRPr="00167D5D">
        <w:t xml:space="preserve"> or (b) the local exchange carrier (LEC) test resulting from the presence of at least two MVPDs, one of which is a LEC or an entity affiliated with or using the LEC’s facilities.</w:t>
      </w:r>
      <w:bookmarkEnd w:id="25"/>
      <w:r>
        <w:rPr>
          <w:rStyle w:val="FootnoteReference"/>
        </w:rPr>
        <w:footnoteReference w:id="29"/>
      </w:r>
      <w:r w:rsidRPr="00023F7B">
        <w:t xml:space="preserve"> </w:t>
      </w:r>
      <w:r w:rsidR="00A83679">
        <w:t xml:space="preserve"> </w:t>
      </w:r>
    </w:p>
    <w:p w:rsidR="001D11C2" w:rsidRPr="001D11C2" w:rsidP="004E16D7" w14:paraId="0A6B8305" w14:textId="3960F7F9">
      <w:pPr>
        <w:pStyle w:val="Paranum0"/>
        <w:numPr>
          <w:ilvl w:val="0"/>
          <w:numId w:val="12"/>
        </w:numPr>
        <w:tabs>
          <w:tab w:val="clear" w:pos="1080"/>
          <w:tab w:val="num" w:pos="1440"/>
        </w:tabs>
        <w:suppressAutoHyphens/>
        <w:spacing w:after="120"/>
        <w:jc w:val="left"/>
        <w:rPr>
          <w:szCs w:val="22"/>
        </w:rPr>
      </w:pPr>
      <w:r w:rsidRPr="00F268A6">
        <w:t>The third</w:t>
      </w:r>
      <w:r w:rsidRPr="00167D5D">
        <w:t xml:space="preserve"> subgroup</w:t>
      </w:r>
      <w:r w:rsidR="005D1E65">
        <w:t>, the</w:t>
      </w:r>
      <w:r w:rsidRPr="00167D5D">
        <w:t xml:space="preserve"> </w:t>
      </w:r>
      <w:r w:rsidRPr="00520EE8" w:rsidR="005D1E65">
        <w:t>DBS</w:t>
      </w:r>
      <w:r w:rsidRPr="00167D5D" w:rsidR="005D1E65">
        <w:t xml:space="preserve"> subgroup</w:t>
      </w:r>
      <w:r w:rsidR="005D1E65">
        <w:t>,</w:t>
      </w:r>
      <w:r w:rsidRPr="00167D5D" w:rsidR="005D1E65">
        <w:t xml:space="preserve"> </w:t>
      </w:r>
      <w:r w:rsidR="00C270D8">
        <w:t>includes</w:t>
      </w:r>
      <w:r w:rsidRPr="00167D5D" w:rsidR="00C270D8">
        <w:t xml:space="preserve"> </w:t>
      </w:r>
      <w:r w:rsidRPr="00167D5D">
        <w:t xml:space="preserve">operators in communities in which a sufficient percentage of households subscribed to DBS service to substantiate a finding of effective competition under the 50/15 </w:t>
      </w:r>
      <w:r w:rsidRPr="00167D5D" w:rsidR="009C497D">
        <w:t>test.</w:t>
      </w:r>
      <w:r w:rsidRPr="00167D5D">
        <w:t xml:space="preserve">  The basis of most effective competition cases is competition between a cable operator and a DBS provider.  </w:t>
      </w:r>
      <w:r w:rsidRPr="001608CA" w:rsidR="001608CA">
        <w:rPr>
          <w:szCs w:val="22"/>
        </w:rPr>
        <w:t xml:space="preserve">The DBS subgroup does not include DBS prices; rather it </w:t>
      </w:r>
      <w:r w:rsidR="00296FD6">
        <w:rPr>
          <w:szCs w:val="22"/>
        </w:rPr>
        <w:t>includes</w:t>
      </w:r>
      <w:r w:rsidRPr="001608CA" w:rsidR="001608CA">
        <w:rPr>
          <w:szCs w:val="22"/>
        </w:rPr>
        <w:t xml:space="preserve"> incumbent cable operators who cited DBS competition</w:t>
      </w:r>
      <w:r w:rsidR="007E38EB">
        <w:rPr>
          <w:szCs w:val="22"/>
        </w:rPr>
        <w:t xml:space="preserve"> as the basis for a successful effective competition petition</w:t>
      </w:r>
      <w:r w:rsidR="001608CA">
        <w:rPr>
          <w:szCs w:val="22"/>
        </w:rPr>
        <w:t>.</w:t>
      </w:r>
      <w:r w:rsidR="003E7B35">
        <w:rPr>
          <w:szCs w:val="22"/>
        </w:rPr>
        <w:t xml:space="preserve"> </w:t>
      </w:r>
      <w:r w:rsidR="00023F7B">
        <w:rPr>
          <w:szCs w:val="22"/>
        </w:rPr>
        <w:t xml:space="preserve"> </w:t>
      </w:r>
      <w:r w:rsidRPr="00BB6A72" w:rsidR="007A4BAE">
        <w:rPr>
          <w:rFonts w:eastAsiaTheme="minorHAnsi"/>
          <w:szCs w:val="22"/>
        </w:rPr>
        <w:t xml:space="preserve">The fourth subgroup, the Wireless/Low Penetration subgroup, includes incumbent operators facing competition from wireless operators offering MVPD programming comparable to the cable operator’s offerings. The effective competition findings in these cases </w:t>
      </w:r>
      <w:r w:rsidR="007A4BAE">
        <w:rPr>
          <w:rFonts w:eastAsiaTheme="minorHAnsi"/>
          <w:szCs w:val="22"/>
        </w:rPr>
        <w:t>have all been</w:t>
      </w:r>
      <w:r w:rsidRPr="00BB6A72" w:rsidR="007A4BAE">
        <w:rPr>
          <w:rFonts w:eastAsiaTheme="minorHAnsi"/>
          <w:szCs w:val="22"/>
        </w:rPr>
        <w:t xml:space="preserve"> based on the LEC test because the competing wireless operators are LECs or their affiliates.</w:t>
      </w:r>
      <w:r>
        <w:rPr>
          <w:rFonts w:eastAsiaTheme="minorHAnsi"/>
          <w:szCs w:val="22"/>
          <w:vertAlign w:val="superscript"/>
        </w:rPr>
        <w:footnoteReference w:id="30"/>
      </w:r>
      <w:r w:rsidRPr="00BB6A72" w:rsidR="007A4BAE">
        <w:rPr>
          <w:rFonts w:eastAsiaTheme="minorHAnsi"/>
          <w:szCs w:val="22"/>
        </w:rPr>
        <w:t xml:space="preserve"> </w:t>
      </w:r>
      <w:r w:rsidR="003E7B35">
        <w:rPr>
          <w:rFonts w:eastAsiaTheme="minorHAnsi"/>
          <w:szCs w:val="22"/>
        </w:rPr>
        <w:t xml:space="preserve"> </w:t>
      </w:r>
      <w:r w:rsidRPr="00BB6A72" w:rsidR="007A4BAE">
        <w:rPr>
          <w:rFonts w:eastAsiaTheme="minorHAnsi"/>
          <w:szCs w:val="22"/>
        </w:rPr>
        <w:t xml:space="preserve">The Wireless/Low Penetration subgroup also includes operators with low market penetration. </w:t>
      </w:r>
      <w:r w:rsidR="003E7B35">
        <w:rPr>
          <w:rFonts w:eastAsiaTheme="minorHAnsi"/>
          <w:szCs w:val="22"/>
        </w:rPr>
        <w:t xml:space="preserve"> </w:t>
      </w:r>
      <w:r w:rsidRPr="00BB6A72" w:rsidR="007A4BAE">
        <w:rPr>
          <w:rFonts w:eastAsiaTheme="minorHAnsi"/>
          <w:szCs w:val="22"/>
        </w:rPr>
        <w:t>These operators serve fewer than 30 percent of households in the service area, thereby establishing effective competition under the low penetration test.</w:t>
      </w:r>
      <w:r w:rsidR="002D6EB6">
        <w:t xml:space="preserve"> </w:t>
      </w:r>
    </w:p>
    <w:p w:rsidR="0061486E" w:rsidRPr="00167D5D" w:rsidP="001B0131" w14:paraId="34AA415D" w14:textId="132209B9">
      <w:pPr>
        <w:pStyle w:val="Paranum0"/>
        <w:widowControl/>
        <w:numPr>
          <w:ilvl w:val="0"/>
          <w:numId w:val="12"/>
        </w:numPr>
        <w:tabs>
          <w:tab w:val="clear" w:pos="1080"/>
        </w:tabs>
        <w:suppressAutoHyphens/>
        <w:spacing w:after="240"/>
        <w:jc w:val="left"/>
        <w:rPr>
          <w:szCs w:val="22"/>
        </w:rPr>
      </w:pPr>
      <w:r>
        <w:rPr>
          <w:szCs w:val="22"/>
        </w:rPr>
        <w:t>The noncompetitive group consists of communities that did not have a finding of effective competition before the new effective competition presumption went into effect.</w:t>
      </w:r>
      <w:r>
        <w:rPr>
          <w:rStyle w:val="FootnoteReference"/>
          <w:szCs w:val="22"/>
        </w:rPr>
        <w:footnoteReference w:id="31"/>
      </w:r>
      <w:r w:rsidR="00831AA1">
        <w:rPr>
          <w:szCs w:val="22"/>
        </w:rPr>
        <w:t xml:space="preserve"> </w:t>
      </w:r>
      <w:r>
        <w:rPr>
          <w:rStyle w:val="FootnoteReference"/>
          <w:szCs w:val="22"/>
        </w:rPr>
        <w:footnoteReference w:id="32"/>
      </w:r>
      <w:r w:rsidR="009260EF">
        <w:rPr>
          <w:szCs w:val="22"/>
        </w:rPr>
        <w:t xml:space="preserve">  </w:t>
      </w:r>
      <w:r w:rsidR="000B72B4">
        <w:rPr>
          <w:szCs w:val="22"/>
        </w:rPr>
        <w:t>As in previous Reports, f</w:t>
      </w:r>
      <w:r w:rsidR="009260EF">
        <w:rPr>
          <w:szCs w:val="22"/>
        </w:rPr>
        <w:t>or</w:t>
      </w:r>
      <w:r w:rsidR="00167658">
        <w:rPr>
          <w:szCs w:val="22"/>
        </w:rPr>
        <w:t xml:space="preserve"> many</w:t>
      </w:r>
      <w:r>
        <w:rPr>
          <w:szCs w:val="22"/>
        </w:rPr>
        <w:t xml:space="preserve"> </w:t>
      </w:r>
      <w:r w:rsidR="009260EF">
        <w:rPr>
          <w:szCs w:val="22"/>
        </w:rPr>
        <w:t xml:space="preserve">operators in these </w:t>
      </w:r>
      <w:r w:rsidR="00167658">
        <w:rPr>
          <w:szCs w:val="22"/>
        </w:rPr>
        <w:t xml:space="preserve">noncompetitive </w:t>
      </w:r>
      <w:r>
        <w:rPr>
          <w:szCs w:val="22"/>
        </w:rPr>
        <w:t>communities</w:t>
      </w:r>
      <w:r w:rsidR="004577DD">
        <w:rPr>
          <w:szCs w:val="22"/>
        </w:rPr>
        <w:t>,</w:t>
      </w:r>
      <w:r>
        <w:rPr>
          <w:szCs w:val="22"/>
        </w:rPr>
        <w:t xml:space="preserve"> </w:t>
      </w:r>
      <w:r w:rsidRPr="00167D5D">
        <w:rPr>
          <w:szCs w:val="22"/>
        </w:rPr>
        <w:t>market-based competition</w:t>
      </w:r>
      <w:r w:rsidR="00167658">
        <w:rPr>
          <w:szCs w:val="22"/>
        </w:rPr>
        <w:t xml:space="preserve"> sufficient </w:t>
      </w:r>
      <w:r w:rsidRPr="00167D5D">
        <w:rPr>
          <w:szCs w:val="22"/>
        </w:rPr>
        <w:t xml:space="preserve">to warrant a finding of effective competition </w:t>
      </w:r>
      <w:r w:rsidR="00167658">
        <w:rPr>
          <w:szCs w:val="22"/>
        </w:rPr>
        <w:t xml:space="preserve">was likely present </w:t>
      </w:r>
      <w:r>
        <w:rPr>
          <w:szCs w:val="22"/>
        </w:rPr>
        <w:t>but</w:t>
      </w:r>
      <w:r w:rsidR="00167658">
        <w:rPr>
          <w:szCs w:val="22"/>
        </w:rPr>
        <w:t xml:space="preserve"> no cable operator had</w:t>
      </w:r>
      <w:r w:rsidRPr="00167D5D">
        <w:rPr>
          <w:szCs w:val="22"/>
        </w:rPr>
        <w:t xml:space="preserve"> petitioned for a finding</w:t>
      </w:r>
      <w:r w:rsidR="00167658">
        <w:rPr>
          <w:szCs w:val="22"/>
        </w:rPr>
        <w:t>.</w:t>
      </w:r>
      <w:r>
        <w:rPr>
          <w:szCs w:val="22"/>
        </w:rPr>
        <w:t xml:space="preserve"> </w:t>
      </w:r>
      <w:r w:rsidR="00921DD1">
        <w:rPr>
          <w:szCs w:val="22"/>
        </w:rPr>
        <w:t xml:space="preserve"> </w:t>
      </w:r>
      <w:r w:rsidR="001B7DA4">
        <w:rPr>
          <w:szCs w:val="22"/>
        </w:rPr>
        <w:t>We selected the sample of noncompetitive communities from five subgroups</w:t>
      </w:r>
      <w:r w:rsidR="007A396B">
        <w:rPr>
          <w:szCs w:val="22"/>
        </w:rPr>
        <w:t xml:space="preserve"> based on system size</w:t>
      </w:r>
      <w:r w:rsidR="001B7DA4">
        <w:rPr>
          <w:szCs w:val="22"/>
        </w:rPr>
        <w:t xml:space="preserve">. </w:t>
      </w:r>
      <w:r w:rsidR="003E7B35">
        <w:rPr>
          <w:szCs w:val="22"/>
        </w:rPr>
        <w:t xml:space="preserve"> </w:t>
      </w:r>
      <w:r w:rsidR="007A396B">
        <w:rPr>
          <w:szCs w:val="22"/>
        </w:rPr>
        <w:t xml:space="preserve">Attachment 1 in the Appendix defines the five subgroups. </w:t>
      </w:r>
      <w:r w:rsidR="003E7B35">
        <w:rPr>
          <w:szCs w:val="22"/>
        </w:rPr>
        <w:t xml:space="preserve"> </w:t>
      </w:r>
      <w:r w:rsidR="007A396B">
        <w:rPr>
          <w:szCs w:val="22"/>
        </w:rPr>
        <w:t xml:space="preserve">The smallest systems in the noncompetitive group have 1,000 </w:t>
      </w:r>
      <w:r w:rsidR="004E1A81">
        <w:rPr>
          <w:szCs w:val="22"/>
        </w:rPr>
        <w:t xml:space="preserve">or fewer </w:t>
      </w:r>
      <w:r w:rsidR="007A396B">
        <w:rPr>
          <w:szCs w:val="22"/>
        </w:rPr>
        <w:t>subscribers while the largest systems have more than 75,000 subscribers</w:t>
      </w:r>
      <w:r w:rsidR="00167658">
        <w:rPr>
          <w:szCs w:val="22"/>
        </w:rPr>
        <w:t>.</w:t>
      </w:r>
    </w:p>
    <w:p w:rsidR="001D11C2" w:rsidRPr="00E353D9" w:rsidP="004E16D7" w14:paraId="2A93277C" w14:textId="610C45AE">
      <w:pPr>
        <w:pStyle w:val="Paranum0"/>
        <w:numPr>
          <w:ilvl w:val="1"/>
          <w:numId w:val="40"/>
        </w:numPr>
        <w:suppressAutoHyphens/>
        <w:spacing w:after="120"/>
        <w:jc w:val="left"/>
        <w:rPr>
          <w:b/>
          <w:szCs w:val="22"/>
        </w:rPr>
      </w:pPr>
      <w:r>
        <w:rPr>
          <w:b/>
          <w:szCs w:val="22"/>
        </w:rPr>
        <w:t>Pr</w:t>
      </w:r>
      <w:r w:rsidR="00E94F44">
        <w:rPr>
          <w:b/>
          <w:szCs w:val="22"/>
        </w:rPr>
        <w:t>ogramming Services</w:t>
      </w:r>
    </w:p>
    <w:p w:rsidR="005D36F4" w:rsidRPr="00AF4455" w:rsidP="004E16D7" w14:paraId="17E7B7FB" w14:textId="7250A1C5">
      <w:pPr>
        <w:pStyle w:val="Paranum0"/>
        <w:numPr>
          <w:ilvl w:val="0"/>
          <w:numId w:val="12"/>
        </w:numPr>
        <w:tabs>
          <w:tab w:val="clear" w:pos="1080"/>
        </w:tabs>
        <w:suppressAutoHyphens/>
        <w:spacing w:after="120"/>
        <w:jc w:val="left"/>
        <w:rPr>
          <w:szCs w:val="22"/>
        </w:rPr>
      </w:pPr>
      <w:r>
        <w:rPr>
          <w:szCs w:val="22"/>
        </w:rPr>
        <w:t>We n</w:t>
      </w:r>
      <w:r w:rsidR="0061486E">
        <w:rPr>
          <w:szCs w:val="22"/>
        </w:rPr>
        <w:t>ext</w:t>
      </w:r>
      <w:r w:rsidRPr="00AF4455" w:rsidR="00581AD2">
        <w:rPr>
          <w:szCs w:val="22"/>
        </w:rPr>
        <w:t xml:space="preserve"> define</w:t>
      </w:r>
      <w:r w:rsidRPr="00AF4455" w:rsidR="00E94F44">
        <w:rPr>
          <w:szCs w:val="22"/>
        </w:rPr>
        <w:t xml:space="preserve"> the </w:t>
      </w:r>
      <w:r w:rsidR="000846B1">
        <w:rPr>
          <w:szCs w:val="22"/>
        </w:rPr>
        <w:t xml:space="preserve">programming </w:t>
      </w:r>
      <w:r w:rsidRPr="00AF4455" w:rsidR="00E94F44">
        <w:rPr>
          <w:szCs w:val="22"/>
        </w:rPr>
        <w:t>service</w:t>
      </w:r>
      <w:r w:rsidRPr="00AF4455" w:rsidR="00581AD2">
        <w:rPr>
          <w:szCs w:val="22"/>
        </w:rPr>
        <w:t>s</w:t>
      </w:r>
      <w:r w:rsidRPr="00AF4455" w:rsidR="00E94F44">
        <w:rPr>
          <w:szCs w:val="22"/>
        </w:rPr>
        <w:t xml:space="preserve"> refer</w:t>
      </w:r>
      <w:r w:rsidRPr="00AF4455" w:rsidR="0003068A">
        <w:rPr>
          <w:szCs w:val="22"/>
        </w:rPr>
        <w:t>enced</w:t>
      </w:r>
      <w:r w:rsidRPr="00AF4455" w:rsidR="00E94F44">
        <w:rPr>
          <w:szCs w:val="22"/>
        </w:rPr>
        <w:t xml:space="preserve"> in the Report.</w:t>
      </w:r>
      <w:r w:rsidRPr="00AF4455" w:rsidR="00E353D9">
        <w:rPr>
          <w:szCs w:val="22"/>
        </w:rPr>
        <w:t xml:space="preserve"> </w:t>
      </w:r>
      <w:r w:rsidRPr="00AF4455" w:rsidR="00E94F44">
        <w:rPr>
          <w:szCs w:val="22"/>
        </w:rPr>
        <w:t xml:space="preserve"> </w:t>
      </w:r>
      <w:r w:rsidR="000846B1">
        <w:rPr>
          <w:szCs w:val="22"/>
        </w:rPr>
        <w:t>S</w:t>
      </w:r>
      <w:r w:rsidR="0061486E">
        <w:rPr>
          <w:szCs w:val="22"/>
        </w:rPr>
        <w:t>ervice p</w:t>
      </w:r>
      <w:r w:rsidRPr="00AF4455" w:rsidR="0003068A">
        <w:rPr>
          <w:szCs w:val="22"/>
        </w:rPr>
        <w:t>r</w:t>
      </w:r>
      <w:r w:rsidRPr="00AF4455" w:rsidR="00581AD2">
        <w:rPr>
          <w:szCs w:val="22"/>
        </w:rPr>
        <w:t>ices</w:t>
      </w:r>
      <w:r w:rsidRPr="00AF4455" w:rsidR="00E353D9">
        <w:rPr>
          <w:szCs w:val="22"/>
        </w:rPr>
        <w:t xml:space="preserve"> </w:t>
      </w:r>
      <w:r w:rsidR="000846B1">
        <w:rPr>
          <w:szCs w:val="22"/>
        </w:rPr>
        <w:t xml:space="preserve">in the Report </w:t>
      </w:r>
      <w:r w:rsidR="00603C0B">
        <w:rPr>
          <w:szCs w:val="22"/>
        </w:rPr>
        <w:t>reflect</w:t>
      </w:r>
      <w:r w:rsidRPr="00AF4455" w:rsidR="00603C0B">
        <w:rPr>
          <w:szCs w:val="22"/>
        </w:rPr>
        <w:t xml:space="preserve"> </w:t>
      </w:r>
      <w:r w:rsidRPr="00AF4455" w:rsidR="00E353D9">
        <w:rPr>
          <w:szCs w:val="22"/>
        </w:rPr>
        <w:t>the non-promotional rates</w:t>
      </w:r>
      <w:r w:rsidRPr="00AF4455" w:rsidR="0003068A">
        <w:rPr>
          <w:szCs w:val="22"/>
        </w:rPr>
        <w:t xml:space="preserve"> </w:t>
      </w:r>
      <w:r w:rsidRPr="00AF4455" w:rsidR="00581AD2">
        <w:rPr>
          <w:szCs w:val="22"/>
        </w:rPr>
        <w:t xml:space="preserve">and </w:t>
      </w:r>
      <w:r w:rsidRPr="00AF4455" w:rsidR="00E353D9">
        <w:rPr>
          <w:szCs w:val="22"/>
        </w:rPr>
        <w:t>exclud</w:t>
      </w:r>
      <w:r w:rsidRPr="00AF4455" w:rsidR="00581AD2">
        <w:rPr>
          <w:szCs w:val="22"/>
        </w:rPr>
        <w:t>e</w:t>
      </w:r>
      <w:r w:rsidRPr="00AF4455" w:rsidR="00E353D9">
        <w:rPr>
          <w:szCs w:val="22"/>
        </w:rPr>
        <w:t xml:space="preserve"> taxes and fees</w:t>
      </w:r>
      <w:r w:rsidRPr="00AF4455" w:rsidR="0003068A">
        <w:rPr>
          <w:szCs w:val="22"/>
        </w:rPr>
        <w:t>, and</w:t>
      </w:r>
      <w:r w:rsidRPr="00AF4455" w:rsidR="009C4AB4">
        <w:rPr>
          <w:szCs w:val="22"/>
        </w:rPr>
        <w:t xml:space="preserve"> </w:t>
      </w:r>
      <w:r w:rsidR="0061486E">
        <w:rPr>
          <w:szCs w:val="22"/>
        </w:rPr>
        <w:t xml:space="preserve">also exclude </w:t>
      </w:r>
      <w:r w:rsidR="00603C0B">
        <w:rPr>
          <w:szCs w:val="22"/>
        </w:rPr>
        <w:t xml:space="preserve">fees for </w:t>
      </w:r>
      <w:r w:rsidR="0061486E">
        <w:rPr>
          <w:szCs w:val="22"/>
        </w:rPr>
        <w:t xml:space="preserve">cable </w:t>
      </w:r>
      <w:r w:rsidRPr="00AF4455" w:rsidR="009C4AB4">
        <w:rPr>
          <w:szCs w:val="22"/>
        </w:rPr>
        <w:t xml:space="preserve">equipment unless </w:t>
      </w:r>
      <w:r w:rsidRPr="00AF4455" w:rsidR="00CE76AC">
        <w:rPr>
          <w:szCs w:val="22"/>
        </w:rPr>
        <w:t>the customer receive</w:t>
      </w:r>
      <w:r w:rsidRPr="00AF4455" w:rsidR="00581AD2">
        <w:rPr>
          <w:szCs w:val="22"/>
        </w:rPr>
        <w:t>d</w:t>
      </w:r>
      <w:r w:rsidRPr="00AF4455" w:rsidR="00CE76AC">
        <w:rPr>
          <w:szCs w:val="22"/>
        </w:rPr>
        <w:t xml:space="preserve"> equipment </w:t>
      </w:r>
      <w:r w:rsidRPr="00AF4455" w:rsidR="00581AD2">
        <w:rPr>
          <w:szCs w:val="22"/>
        </w:rPr>
        <w:t xml:space="preserve">along </w:t>
      </w:r>
      <w:r w:rsidRPr="00AF4455" w:rsidR="0003068A">
        <w:rPr>
          <w:szCs w:val="22"/>
        </w:rPr>
        <w:t>w</w:t>
      </w:r>
      <w:r w:rsidRPr="00AF4455" w:rsidR="00CE76AC">
        <w:rPr>
          <w:szCs w:val="22"/>
        </w:rPr>
        <w:t xml:space="preserve">ith </w:t>
      </w:r>
      <w:r w:rsidRPr="00AF4455" w:rsidR="00581AD2">
        <w:rPr>
          <w:szCs w:val="22"/>
        </w:rPr>
        <w:t xml:space="preserve">the channels the </w:t>
      </w:r>
      <w:r w:rsidR="00D1562A">
        <w:rPr>
          <w:szCs w:val="22"/>
        </w:rPr>
        <w:t>operator serving the community</w:t>
      </w:r>
      <w:r w:rsidRPr="00AF4455" w:rsidR="00D1562A">
        <w:rPr>
          <w:szCs w:val="22"/>
        </w:rPr>
        <w:t xml:space="preserve"> </w:t>
      </w:r>
      <w:r w:rsidRPr="00AF4455" w:rsidR="00581AD2">
        <w:rPr>
          <w:szCs w:val="22"/>
        </w:rPr>
        <w:t>offered</w:t>
      </w:r>
      <w:r w:rsidRPr="00AF4455" w:rsidR="00CE76AC">
        <w:rPr>
          <w:szCs w:val="22"/>
        </w:rPr>
        <w:t xml:space="preserve"> without incurring a separate lease charge.</w:t>
      </w:r>
      <w:bookmarkStart w:id="27" w:name="_Hlk483035948"/>
    </w:p>
    <w:p w:rsidR="002574C3" w:rsidRPr="001D11C2" w:rsidP="00D13BC0" w14:paraId="2A1C21E9" w14:textId="5A9523BC">
      <w:pPr>
        <w:pStyle w:val="Paranum0"/>
        <w:widowControl/>
        <w:numPr>
          <w:ilvl w:val="0"/>
          <w:numId w:val="12"/>
        </w:numPr>
        <w:tabs>
          <w:tab w:val="clear" w:pos="1080"/>
        </w:tabs>
        <w:suppressAutoHyphens/>
        <w:spacing w:after="240"/>
        <w:jc w:val="left"/>
        <w:rPr>
          <w:szCs w:val="22"/>
        </w:rPr>
      </w:pPr>
      <w:r>
        <w:rPr>
          <w:i/>
          <w:szCs w:val="22"/>
        </w:rPr>
        <w:t>M</w:t>
      </w:r>
      <w:r w:rsidRPr="00E353D9" w:rsidR="001D11C2">
        <w:rPr>
          <w:i/>
          <w:szCs w:val="22"/>
        </w:rPr>
        <w:t xml:space="preserve">onthly </w:t>
      </w:r>
      <w:r>
        <w:rPr>
          <w:i/>
          <w:szCs w:val="22"/>
        </w:rPr>
        <w:t>price</w:t>
      </w:r>
      <w:r w:rsidRPr="00E353D9" w:rsidR="001D11C2">
        <w:rPr>
          <w:i/>
          <w:szCs w:val="22"/>
        </w:rPr>
        <w:t xml:space="preserve"> for </w:t>
      </w:r>
      <w:r>
        <w:rPr>
          <w:i/>
          <w:szCs w:val="22"/>
        </w:rPr>
        <w:t>basic service</w:t>
      </w:r>
      <w:r w:rsidR="0061486E">
        <w:rPr>
          <w:i/>
          <w:szCs w:val="22"/>
        </w:rPr>
        <w:t xml:space="preserve">. </w:t>
      </w:r>
      <w:r w:rsidR="009C4AB4">
        <w:t xml:space="preserve"> </w:t>
      </w:r>
      <w:r w:rsidR="00470796">
        <w:t>B</w:t>
      </w:r>
      <w:r w:rsidR="009C4AB4">
        <w:t>a</w:t>
      </w:r>
      <w:r w:rsidRPr="00AE3B4F" w:rsidR="009C4AB4">
        <w:t>sic service</w:t>
      </w:r>
      <w:r w:rsidR="009C4AB4">
        <w:t xml:space="preserve"> </w:t>
      </w:r>
      <w:r w:rsidR="00470796">
        <w:t>consists of</w:t>
      </w:r>
      <w:r w:rsidR="009C4AB4">
        <w:t xml:space="preserve"> local</w:t>
      </w:r>
      <w:r w:rsidRPr="00AE3B4F" w:rsidR="009C4AB4">
        <w:t xml:space="preserve"> broadcast stations entitled to carriage under the Cable Act</w:t>
      </w:r>
      <w:r w:rsidR="009C4AB4">
        <w:t>;</w:t>
      </w:r>
      <w:r w:rsidRPr="00AE3B4F" w:rsidR="009C4AB4">
        <w:t xml:space="preserve"> public, educational</w:t>
      </w:r>
      <w:r w:rsidR="00AD3030">
        <w:t>,</w:t>
      </w:r>
      <w:r w:rsidRPr="00AE3B4F" w:rsidR="009C4AB4">
        <w:t xml:space="preserve"> and governmental access channels </w:t>
      </w:r>
      <w:r w:rsidR="00930022">
        <w:t xml:space="preserve">that </w:t>
      </w:r>
      <w:r w:rsidR="009C4AB4">
        <w:t>the LFA</w:t>
      </w:r>
      <w:r w:rsidRPr="00AE3B4F" w:rsidR="009C4AB4">
        <w:t xml:space="preserve"> require</w:t>
      </w:r>
      <w:r w:rsidR="00AD3030">
        <w:t>s</w:t>
      </w:r>
      <w:r w:rsidR="009C4AB4">
        <w:t>; and other channels the operator chooses to add</w:t>
      </w:r>
      <w:r w:rsidRPr="00AE3B4F" w:rsidR="009C4AB4">
        <w:t>.</w:t>
      </w:r>
      <w:r>
        <w:rPr>
          <w:rStyle w:val="FootnoteReference"/>
        </w:rPr>
        <w:footnoteReference w:id="33"/>
      </w:r>
      <w:bookmarkEnd w:id="27"/>
    </w:p>
    <w:p w:rsidR="00470796" w:rsidRPr="001D11C2" w:rsidP="004E16D7" w14:paraId="5ECAD7E6" w14:textId="33BFBF33">
      <w:pPr>
        <w:pStyle w:val="Paranum0"/>
        <w:numPr>
          <w:ilvl w:val="0"/>
          <w:numId w:val="12"/>
        </w:numPr>
        <w:tabs>
          <w:tab w:val="clear" w:pos="1080"/>
        </w:tabs>
        <w:suppressAutoHyphens/>
        <w:spacing w:after="120"/>
        <w:jc w:val="left"/>
        <w:rPr>
          <w:szCs w:val="22"/>
        </w:rPr>
      </w:pPr>
      <w:r>
        <w:rPr>
          <w:i/>
          <w:szCs w:val="22"/>
        </w:rPr>
        <w:t>M</w:t>
      </w:r>
      <w:r w:rsidRPr="00E353D9">
        <w:rPr>
          <w:i/>
          <w:szCs w:val="22"/>
        </w:rPr>
        <w:t xml:space="preserve">onthly </w:t>
      </w:r>
      <w:r>
        <w:rPr>
          <w:i/>
          <w:szCs w:val="22"/>
        </w:rPr>
        <w:t>price</w:t>
      </w:r>
      <w:r w:rsidRPr="00E353D9">
        <w:rPr>
          <w:i/>
          <w:szCs w:val="22"/>
        </w:rPr>
        <w:t xml:space="preserve"> for </w:t>
      </w:r>
      <w:r>
        <w:rPr>
          <w:i/>
          <w:szCs w:val="22"/>
        </w:rPr>
        <w:t>expanded basic service</w:t>
      </w:r>
      <w:r w:rsidRPr="00E353D9">
        <w:rPr>
          <w:i/>
          <w:szCs w:val="22"/>
        </w:rPr>
        <w:t>.</w:t>
      </w:r>
      <w:r w:rsidRPr="001D11C2">
        <w:rPr>
          <w:szCs w:val="22"/>
        </w:rPr>
        <w:t xml:space="preserve">  </w:t>
      </w:r>
      <w:r>
        <w:t>E</w:t>
      </w:r>
      <w:r>
        <w:rPr>
          <w:szCs w:val="22"/>
        </w:rPr>
        <w:t>xpanded basic service consists of basic service channels plus the next most highly subscribed tier of channels, generally the tier that includes the most popular national cable networks.</w:t>
      </w:r>
    </w:p>
    <w:p w:rsidR="001D11C2" w:rsidRPr="001D11C2" w:rsidP="004E16D7" w14:paraId="3012ACA3" w14:textId="1322EE67">
      <w:pPr>
        <w:pStyle w:val="Paranum0"/>
        <w:numPr>
          <w:ilvl w:val="0"/>
          <w:numId w:val="12"/>
        </w:numPr>
        <w:tabs>
          <w:tab w:val="clear" w:pos="1080"/>
        </w:tabs>
        <w:suppressAutoHyphens/>
        <w:spacing w:after="120"/>
        <w:jc w:val="left"/>
        <w:rPr>
          <w:szCs w:val="22"/>
        </w:rPr>
      </w:pPr>
      <w:r>
        <w:rPr>
          <w:i/>
          <w:szCs w:val="22"/>
        </w:rPr>
        <w:t>M</w:t>
      </w:r>
      <w:r w:rsidRPr="00E353D9">
        <w:rPr>
          <w:i/>
          <w:szCs w:val="22"/>
        </w:rPr>
        <w:t xml:space="preserve">onthly </w:t>
      </w:r>
      <w:r>
        <w:rPr>
          <w:i/>
          <w:szCs w:val="22"/>
        </w:rPr>
        <w:t>price</w:t>
      </w:r>
      <w:r w:rsidRPr="00E353D9">
        <w:rPr>
          <w:i/>
          <w:szCs w:val="22"/>
        </w:rPr>
        <w:t xml:space="preserve"> for </w:t>
      </w:r>
      <w:r>
        <w:rPr>
          <w:i/>
          <w:szCs w:val="22"/>
        </w:rPr>
        <w:t>the next most popular service</w:t>
      </w:r>
      <w:r w:rsidRPr="00E353D9">
        <w:rPr>
          <w:i/>
          <w:szCs w:val="22"/>
        </w:rPr>
        <w:t>.</w:t>
      </w:r>
      <w:r w:rsidRPr="001D11C2">
        <w:rPr>
          <w:szCs w:val="22"/>
        </w:rPr>
        <w:t xml:space="preserve">  </w:t>
      </w:r>
      <w:r w:rsidR="00C9118C">
        <w:rPr>
          <w:szCs w:val="22"/>
        </w:rPr>
        <w:t xml:space="preserve">The next most popular service </w:t>
      </w:r>
      <w:r w:rsidR="00AD3030">
        <w:rPr>
          <w:szCs w:val="22"/>
        </w:rPr>
        <w:t>is</w:t>
      </w:r>
      <w:r w:rsidR="00C9118C">
        <w:rPr>
          <w:szCs w:val="22"/>
        </w:rPr>
        <w:t xml:space="preserve"> the most highly subscribed service after expanded basic service.  </w:t>
      </w:r>
      <w:r w:rsidR="005D3037">
        <w:rPr>
          <w:szCs w:val="22"/>
        </w:rPr>
        <w:t>It</w:t>
      </w:r>
      <w:r w:rsidR="00C9118C">
        <w:rPr>
          <w:szCs w:val="22"/>
        </w:rPr>
        <w:t xml:space="preserve"> generally consists of the channels offered with expanded basic service plus at least seven addition video channels</w:t>
      </w:r>
      <w:r>
        <w:rPr>
          <w:szCs w:val="22"/>
        </w:rPr>
        <w:t>.</w:t>
      </w:r>
      <w:r w:rsidR="00BD1CAB">
        <w:rPr>
          <w:szCs w:val="22"/>
        </w:rPr>
        <w:t xml:space="preserve">  These additional channels could offer any </w:t>
      </w:r>
      <w:r w:rsidR="00DB6466">
        <w:rPr>
          <w:szCs w:val="22"/>
        </w:rPr>
        <w:t xml:space="preserve">type of </w:t>
      </w:r>
      <w:r w:rsidR="00BD1CAB">
        <w:rPr>
          <w:szCs w:val="22"/>
        </w:rPr>
        <w:t>content</w:t>
      </w:r>
      <w:r w:rsidR="00930022">
        <w:rPr>
          <w:szCs w:val="22"/>
        </w:rPr>
        <w:t>,</w:t>
      </w:r>
      <w:r w:rsidR="00BD1CAB">
        <w:rPr>
          <w:szCs w:val="22"/>
        </w:rPr>
        <w:t xml:space="preserve"> for example</w:t>
      </w:r>
      <w:r w:rsidR="00DB6466">
        <w:rPr>
          <w:szCs w:val="22"/>
        </w:rPr>
        <w:t>,</w:t>
      </w:r>
      <w:r w:rsidR="00BD1CAB">
        <w:rPr>
          <w:szCs w:val="22"/>
        </w:rPr>
        <w:t xml:space="preserve"> general entertainment, sports, </w:t>
      </w:r>
      <w:r w:rsidR="00930022">
        <w:rPr>
          <w:szCs w:val="22"/>
        </w:rPr>
        <w:t xml:space="preserve">or </w:t>
      </w:r>
      <w:r w:rsidR="00BD1CAB">
        <w:rPr>
          <w:szCs w:val="22"/>
        </w:rPr>
        <w:t>Spanish-language programming</w:t>
      </w:r>
      <w:r w:rsidR="004736EC">
        <w:rPr>
          <w:szCs w:val="22"/>
        </w:rPr>
        <w:t>.</w:t>
      </w:r>
    </w:p>
    <w:p w:rsidR="001D11C2" w:rsidRPr="00325DD1" w:rsidP="004E16D7" w14:paraId="5A6451CB" w14:textId="665A454E">
      <w:pPr>
        <w:pStyle w:val="Paranum0"/>
        <w:numPr>
          <w:ilvl w:val="0"/>
          <w:numId w:val="12"/>
        </w:numPr>
        <w:tabs>
          <w:tab w:val="clear" w:pos="1080"/>
        </w:tabs>
        <w:suppressAutoHyphens/>
        <w:spacing w:after="120"/>
        <w:jc w:val="left"/>
        <w:rPr>
          <w:szCs w:val="22"/>
        </w:rPr>
      </w:pPr>
      <w:r w:rsidRPr="00325DD1">
        <w:rPr>
          <w:i/>
          <w:szCs w:val="22"/>
        </w:rPr>
        <w:t>M</w:t>
      </w:r>
      <w:r w:rsidRPr="00325DD1">
        <w:rPr>
          <w:i/>
          <w:szCs w:val="22"/>
        </w:rPr>
        <w:t xml:space="preserve">onthly charge </w:t>
      </w:r>
      <w:r w:rsidRPr="00325DD1">
        <w:rPr>
          <w:i/>
          <w:szCs w:val="22"/>
        </w:rPr>
        <w:t xml:space="preserve">to lease </w:t>
      </w:r>
      <w:r w:rsidRPr="00325DD1">
        <w:rPr>
          <w:i/>
          <w:szCs w:val="22"/>
        </w:rPr>
        <w:t>equipment.</w:t>
      </w:r>
      <w:r w:rsidRPr="00325DD1">
        <w:rPr>
          <w:szCs w:val="22"/>
        </w:rPr>
        <w:t xml:space="preserve">  </w:t>
      </w:r>
      <w:r w:rsidR="007E38EB">
        <w:rPr>
          <w:szCs w:val="22"/>
        </w:rPr>
        <w:t>S</w:t>
      </w:r>
      <w:r w:rsidRPr="00325DD1">
        <w:rPr>
          <w:szCs w:val="22"/>
        </w:rPr>
        <w:t xml:space="preserve">ubscribers </w:t>
      </w:r>
      <w:r w:rsidRPr="00325DD1">
        <w:rPr>
          <w:szCs w:val="22"/>
        </w:rPr>
        <w:t xml:space="preserve">may incur </w:t>
      </w:r>
      <w:r w:rsidR="007E38EB">
        <w:rPr>
          <w:szCs w:val="22"/>
        </w:rPr>
        <w:t xml:space="preserve">a separate monthly charge </w:t>
      </w:r>
      <w:r w:rsidRPr="00325DD1">
        <w:rPr>
          <w:szCs w:val="22"/>
        </w:rPr>
        <w:t>to lease customer premises equipment</w:t>
      </w:r>
      <w:r w:rsidR="00AF4455">
        <w:rPr>
          <w:szCs w:val="22"/>
        </w:rPr>
        <w:t xml:space="preserve"> such as a</w:t>
      </w:r>
      <w:r w:rsidR="00325DD1">
        <w:rPr>
          <w:szCs w:val="22"/>
        </w:rPr>
        <w:t xml:space="preserve"> cable signal converter</w:t>
      </w:r>
      <w:r w:rsidR="007E38EB">
        <w:rPr>
          <w:szCs w:val="22"/>
        </w:rPr>
        <w:t xml:space="preserve"> </w:t>
      </w:r>
      <w:r w:rsidR="002543FD">
        <w:rPr>
          <w:szCs w:val="22"/>
        </w:rPr>
        <w:t xml:space="preserve">box </w:t>
      </w:r>
      <w:r w:rsidR="007E38EB">
        <w:rPr>
          <w:szCs w:val="22"/>
        </w:rPr>
        <w:t xml:space="preserve">and </w:t>
      </w:r>
      <w:r w:rsidR="004577DD">
        <w:rPr>
          <w:szCs w:val="22"/>
        </w:rPr>
        <w:t>remote-</w:t>
      </w:r>
      <w:r w:rsidR="007E38EB">
        <w:rPr>
          <w:szCs w:val="22"/>
        </w:rPr>
        <w:t>control unit</w:t>
      </w:r>
      <w:r w:rsidR="00325DD1">
        <w:rPr>
          <w:szCs w:val="22"/>
        </w:rPr>
        <w:t xml:space="preserve">, cable card, or other </w:t>
      </w:r>
      <w:r w:rsidR="002543FD">
        <w:rPr>
          <w:szCs w:val="22"/>
        </w:rPr>
        <w:t xml:space="preserve">equipment necessary </w:t>
      </w:r>
      <w:r w:rsidR="00325DD1">
        <w:rPr>
          <w:szCs w:val="22"/>
        </w:rPr>
        <w:t>to access programming</w:t>
      </w:r>
      <w:r w:rsidR="00AD3030">
        <w:rPr>
          <w:szCs w:val="22"/>
        </w:rPr>
        <w:t>.</w:t>
      </w:r>
      <w:r w:rsidR="002543FD">
        <w:rPr>
          <w:szCs w:val="22"/>
        </w:rPr>
        <w:t xml:space="preserve"> </w:t>
      </w:r>
      <w:r w:rsidR="007E38EB">
        <w:rPr>
          <w:szCs w:val="22"/>
        </w:rPr>
        <w:t xml:space="preserve"> </w:t>
      </w:r>
      <w:r w:rsidR="002543FD">
        <w:rPr>
          <w:szCs w:val="22"/>
        </w:rPr>
        <w:t>W</w:t>
      </w:r>
      <w:r w:rsidR="007E38EB">
        <w:rPr>
          <w:szCs w:val="22"/>
        </w:rPr>
        <w:t xml:space="preserve">e collect data on </w:t>
      </w:r>
      <w:r w:rsidR="002543FD">
        <w:rPr>
          <w:szCs w:val="22"/>
        </w:rPr>
        <w:t xml:space="preserve">such </w:t>
      </w:r>
      <w:r w:rsidR="007E38EB">
        <w:rPr>
          <w:szCs w:val="22"/>
        </w:rPr>
        <w:t>charges</w:t>
      </w:r>
      <w:r w:rsidR="002543FD">
        <w:rPr>
          <w:szCs w:val="22"/>
        </w:rPr>
        <w:t xml:space="preserve"> to the extent that respondents charge a separate monthly fee to lease such equipment</w:t>
      </w:r>
      <w:r w:rsidRPr="00325DD1">
        <w:rPr>
          <w:szCs w:val="22"/>
        </w:rPr>
        <w:t xml:space="preserve">.  </w:t>
      </w:r>
      <w:r w:rsidR="00E12AC6">
        <w:rPr>
          <w:szCs w:val="22"/>
        </w:rPr>
        <w:t>Specifically, w</w:t>
      </w:r>
      <w:r w:rsidR="007E38EB">
        <w:rPr>
          <w:szCs w:val="22"/>
        </w:rPr>
        <w:t>e asked</w:t>
      </w:r>
      <w:r w:rsidRPr="00325DD1">
        <w:rPr>
          <w:szCs w:val="22"/>
        </w:rPr>
        <w:t xml:space="preserve"> </w:t>
      </w:r>
      <w:r w:rsidR="007E38EB">
        <w:rPr>
          <w:szCs w:val="22"/>
        </w:rPr>
        <w:t xml:space="preserve">the </w:t>
      </w:r>
      <w:r w:rsidRPr="00325DD1">
        <w:rPr>
          <w:szCs w:val="22"/>
        </w:rPr>
        <w:t xml:space="preserve">survey respondents </w:t>
      </w:r>
      <w:r w:rsidR="00325DD1">
        <w:rPr>
          <w:szCs w:val="22"/>
        </w:rPr>
        <w:t xml:space="preserve">to </w:t>
      </w:r>
      <w:r w:rsidRPr="00325DD1">
        <w:rPr>
          <w:szCs w:val="22"/>
        </w:rPr>
        <w:t xml:space="preserve">report the price of the most commonly leased equipment </w:t>
      </w:r>
      <w:r w:rsidR="007E38EB">
        <w:rPr>
          <w:szCs w:val="22"/>
        </w:rPr>
        <w:t xml:space="preserve">at each </w:t>
      </w:r>
      <w:r w:rsidR="00AD3030">
        <w:rPr>
          <w:szCs w:val="22"/>
        </w:rPr>
        <w:t xml:space="preserve">service </w:t>
      </w:r>
      <w:r w:rsidR="007E38EB">
        <w:rPr>
          <w:szCs w:val="22"/>
        </w:rPr>
        <w:t>level</w:t>
      </w:r>
      <w:r w:rsidR="005D3037">
        <w:rPr>
          <w:szCs w:val="22"/>
        </w:rPr>
        <w:t xml:space="preserve"> </w:t>
      </w:r>
      <w:r w:rsidRPr="00325DD1">
        <w:rPr>
          <w:szCs w:val="22"/>
        </w:rPr>
        <w:t>(</w:t>
      </w:r>
      <w:r w:rsidR="005D3037">
        <w:rPr>
          <w:szCs w:val="22"/>
        </w:rPr>
        <w:t>b</w:t>
      </w:r>
      <w:r w:rsidRPr="00325DD1">
        <w:rPr>
          <w:szCs w:val="22"/>
        </w:rPr>
        <w:t>asic service, expanded basic se</w:t>
      </w:r>
      <w:r w:rsidRPr="00325DD1" w:rsidR="00325DD1">
        <w:rPr>
          <w:szCs w:val="22"/>
        </w:rPr>
        <w:t xml:space="preserve">rvice, and </w:t>
      </w:r>
      <w:r w:rsidR="00AD3030">
        <w:rPr>
          <w:szCs w:val="22"/>
        </w:rPr>
        <w:t xml:space="preserve">the </w:t>
      </w:r>
      <w:r w:rsidRPr="00325DD1" w:rsidR="00325DD1">
        <w:rPr>
          <w:szCs w:val="22"/>
        </w:rPr>
        <w:t>next most popular service)</w:t>
      </w:r>
      <w:r w:rsidR="005D3037">
        <w:rPr>
          <w:szCs w:val="22"/>
        </w:rPr>
        <w:t xml:space="preserve"> unless </w:t>
      </w:r>
      <w:r w:rsidR="00E12AC6">
        <w:rPr>
          <w:szCs w:val="22"/>
        </w:rPr>
        <w:t xml:space="preserve">the </w:t>
      </w:r>
      <w:r w:rsidR="005D3037">
        <w:rPr>
          <w:szCs w:val="22"/>
        </w:rPr>
        <w:t>equipment was included at no extra charge</w:t>
      </w:r>
      <w:r w:rsidR="007E38EB">
        <w:rPr>
          <w:szCs w:val="22"/>
        </w:rPr>
        <w:t xml:space="preserve"> or </w:t>
      </w:r>
      <w:r w:rsidR="00AD3030">
        <w:rPr>
          <w:szCs w:val="22"/>
        </w:rPr>
        <w:t xml:space="preserve">was </w:t>
      </w:r>
      <w:r w:rsidR="00E12AC6">
        <w:rPr>
          <w:szCs w:val="22"/>
        </w:rPr>
        <w:t xml:space="preserve">not </w:t>
      </w:r>
      <w:r w:rsidR="007E38EB">
        <w:rPr>
          <w:szCs w:val="22"/>
        </w:rPr>
        <w:t xml:space="preserve">necessary to view </w:t>
      </w:r>
      <w:r w:rsidR="00843855">
        <w:rPr>
          <w:szCs w:val="22"/>
        </w:rPr>
        <w:t xml:space="preserve">all </w:t>
      </w:r>
      <w:r w:rsidR="007E38EB">
        <w:rPr>
          <w:szCs w:val="22"/>
        </w:rPr>
        <w:t>of the channels offered with the service</w:t>
      </w:r>
      <w:r w:rsidRPr="00325DD1" w:rsidR="00325DD1">
        <w:rPr>
          <w:szCs w:val="22"/>
        </w:rPr>
        <w:t>.</w:t>
      </w:r>
    </w:p>
    <w:p w:rsidR="001D11C2" w:rsidRPr="001D11C2" w:rsidP="004E16D7" w14:paraId="55A2BE6C" w14:textId="06F0480D">
      <w:pPr>
        <w:pStyle w:val="Paranum0"/>
        <w:numPr>
          <w:ilvl w:val="0"/>
          <w:numId w:val="12"/>
        </w:numPr>
        <w:tabs>
          <w:tab w:val="clear" w:pos="1080"/>
        </w:tabs>
        <w:suppressAutoHyphens/>
        <w:spacing w:after="120"/>
        <w:jc w:val="left"/>
        <w:rPr>
          <w:szCs w:val="22"/>
        </w:rPr>
      </w:pPr>
      <w:r>
        <w:rPr>
          <w:i/>
          <w:szCs w:val="22"/>
        </w:rPr>
        <w:t>N</w:t>
      </w:r>
      <w:r w:rsidRPr="00AF4455">
        <w:rPr>
          <w:i/>
          <w:szCs w:val="22"/>
        </w:rPr>
        <w:t>umber of channels.</w:t>
      </w:r>
      <w:r w:rsidRPr="001D11C2">
        <w:rPr>
          <w:szCs w:val="22"/>
        </w:rPr>
        <w:t xml:space="preserve">  </w:t>
      </w:r>
      <w:r>
        <w:rPr>
          <w:szCs w:val="22"/>
        </w:rPr>
        <w:t>The number of video channels (excluding audio only channels) in the service’s channel</w:t>
      </w:r>
      <w:r w:rsidRPr="001D11C2">
        <w:rPr>
          <w:szCs w:val="22"/>
        </w:rPr>
        <w:t xml:space="preserve"> lineup.</w:t>
      </w:r>
    </w:p>
    <w:p w:rsidR="00507477" w:rsidRPr="00860C6C" w:rsidP="004E16D7" w14:paraId="2D3DF0C4" w14:textId="3641DFEE">
      <w:pPr>
        <w:pStyle w:val="Paranum0"/>
        <w:numPr>
          <w:ilvl w:val="0"/>
          <w:numId w:val="12"/>
        </w:numPr>
        <w:tabs>
          <w:tab w:val="clear" w:pos="1080"/>
          <w:tab w:val="num" w:pos="1440"/>
        </w:tabs>
        <w:suppressAutoHyphens/>
        <w:spacing w:after="240"/>
        <w:jc w:val="left"/>
        <w:rPr>
          <w:b/>
        </w:rPr>
      </w:pPr>
      <w:r w:rsidRPr="00AF4455">
        <w:rPr>
          <w:i/>
          <w:szCs w:val="22"/>
        </w:rPr>
        <w:t>Monthly price</w:t>
      </w:r>
      <w:r w:rsidRPr="00AF4455" w:rsidR="001D11C2">
        <w:rPr>
          <w:i/>
          <w:szCs w:val="22"/>
        </w:rPr>
        <w:t xml:space="preserve"> per channel.</w:t>
      </w:r>
      <w:r w:rsidRPr="001D11C2" w:rsidR="001D11C2">
        <w:rPr>
          <w:szCs w:val="22"/>
        </w:rPr>
        <w:t xml:space="preserve">  </w:t>
      </w:r>
      <w:r w:rsidRPr="00E13370" w:rsidR="00E13370">
        <w:rPr>
          <w:szCs w:val="22"/>
        </w:rPr>
        <w:t xml:space="preserve">Price per channel </w:t>
      </w:r>
      <w:r w:rsidR="00E13370">
        <w:rPr>
          <w:szCs w:val="22"/>
        </w:rPr>
        <w:t>equals</w:t>
      </w:r>
      <w:r w:rsidRPr="00E13370" w:rsidR="00E13370">
        <w:rPr>
          <w:szCs w:val="22"/>
        </w:rPr>
        <w:t xml:space="preserve"> </w:t>
      </w:r>
      <w:r w:rsidR="00E13370">
        <w:rPr>
          <w:szCs w:val="22"/>
        </w:rPr>
        <w:t xml:space="preserve">the </w:t>
      </w:r>
      <w:r w:rsidRPr="00E13370" w:rsidR="00E13370">
        <w:rPr>
          <w:szCs w:val="22"/>
        </w:rPr>
        <w:t>price</w:t>
      </w:r>
      <w:r w:rsidR="00E13370">
        <w:rPr>
          <w:szCs w:val="22"/>
        </w:rPr>
        <w:t xml:space="preserve"> of</w:t>
      </w:r>
      <w:r w:rsidR="00E12AC6">
        <w:rPr>
          <w:szCs w:val="22"/>
        </w:rPr>
        <w:t xml:space="preserve"> the</w:t>
      </w:r>
      <w:r w:rsidR="00E13370">
        <w:rPr>
          <w:szCs w:val="22"/>
        </w:rPr>
        <w:t xml:space="preserve"> service</w:t>
      </w:r>
      <w:r w:rsidRPr="00E13370" w:rsidR="00E13370">
        <w:rPr>
          <w:szCs w:val="22"/>
        </w:rPr>
        <w:t xml:space="preserve"> divided by the number of channels the service offers</w:t>
      </w:r>
      <w:r w:rsidR="00AD3030">
        <w:rPr>
          <w:szCs w:val="22"/>
        </w:rPr>
        <w:t>.</w:t>
      </w:r>
      <w:r w:rsidRPr="00AD3030" w:rsidR="00AD3030">
        <w:rPr>
          <w:szCs w:val="22"/>
        </w:rPr>
        <w:t xml:space="preserve"> </w:t>
      </w:r>
      <w:r w:rsidR="00AD3030">
        <w:rPr>
          <w:szCs w:val="22"/>
        </w:rPr>
        <w:t xml:space="preserve"> If equipment is necessary to view all channels in the service’s channel lineup and is not included in the service price, the charge to lease equipment is added to the price component of price per channel.</w:t>
      </w:r>
      <w:r w:rsidRPr="00E13370" w:rsidR="00E13370">
        <w:rPr>
          <w:szCs w:val="22"/>
        </w:rPr>
        <w:t xml:space="preserve"> </w:t>
      </w:r>
      <w:r w:rsidR="00E12AC6">
        <w:rPr>
          <w:szCs w:val="22"/>
        </w:rPr>
        <w:t xml:space="preserve"> </w:t>
      </w:r>
      <w:r w:rsidR="00AD3030">
        <w:rPr>
          <w:szCs w:val="22"/>
        </w:rPr>
        <w:t>Price per channel</w:t>
      </w:r>
      <w:r w:rsidRPr="00E13370" w:rsidR="00AD3030">
        <w:rPr>
          <w:szCs w:val="22"/>
        </w:rPr>
        <w:t xml:space="preserve"> </w:t>
      </w:r>
      <w:r w:rsidRPr="00E13370" w:rsidR="00E13370">
        <w:rPr>
          <w:szCs w:val="22"/>
        </w:rPr>
        <w:t>is a proxy for quality adjusted price</w:t>
      </w:r>
      <w:r w:rsidR="00AD3030">
        <w:rPr>
          <w:szCs w:val="22"/>
        </w:rPr>
        <w:t xml:space="preserve"> and</w:t>
      </w:r>
      <w:r w:rsidRPr="00E13370" w:rsidR="00E13370">
        <w:rPr>
          <w:szCs w:val="22"/>
        </w:rPr>
        <w:t xml:space="preserve"> declin</w:t>
      </w:r>
      <w:r w:rsidR="00AD3030">
        <w:rPr>
          <w:szCs w:val="22"/>
        </w:rPr>
        <w:t>es</w:t>
      </w:r>
      <w:r w:rsidRPr="00E13370" w:rsidR="00E13370">
        <w:rPr>
          <w:szCs w:val="22"/>
        </w:rPr>
        <w:t xml:space="preserve"> as the </w:t>
      </w:r>
      <w:r w:rsidR="00AD3030">
        <w:rPr>
          <w:szCs w:val="22"/>
        </w:rPr>
        <w:t>number</w:t>
      </w:r>
      <w:r w:rsidRPr="00E13370" w:rsidR="00AD3030">
        <w:rPr>
          <w:szCs w:val="22"/>
        </w:rPr>
        <w:t xml:space="preserve"> </w:t>
      </w:r>
      <w:r w:rsidRPr="00E13370" w:rsidR="00E13370">
        <w:rPr>
          <w:szCs w:val="22"/>
        </w:rPr>
        <w:t>of channels increases</w:t>
      </w:r>
      <w:r w:rsidR="004736EC">
        <w:rPr>
          <w:szCs w:val="22"/>
        </w:rPr>
        <w:t>, all else</w:t>
      </w:r>
      <w:r w:rsidR="00D1562A">
        <w:rPr>
          <w:szCs w:val="22"/>
        </w:rPr>
        <w:t xml:space="preserve"> being</w:t>
      </w:r>
      <w:r w:rsidR="004736EC">
        <w:rPr>
          <w:szCs w:val="22"/>
        </w:rPr>
        <w:t xml:space="preserve"> equal</w:t>
      </w:r>
      <w:r w:rsidRPr="00E13370" w:rsidR="00E13370">
        <w:rPr>
          <w:szCs w:val="22"/>
        </w:rPr>
        <w:t xml:space="preserve">.  </w:t>
      </w:r>
    </w:p>
    <w:p w:rsidR="00507477" w:rsidRPr="00022BF7" w:rsidP="004E16D7" w14:paraId="3C4A6B5E" w14:textId="1C61DBD9">
      <w:pPr>
        <w:pStyle w:val="Paranum0"/>
        <w:numPr>
          <w:ilvl w:val="1"/>
          <w:numId w:val="40"/>
        </w:numPr>
        <w:suppressAutoHyphens/>
        <w:spacing w:after="120"/>
        <w:jc w:val="left"/>
        <w:rPr>
          <w:b/>
        </w:rPr>
      </w:pPr>
      <w:r>
        <w:rPr>
          <w:b/>
          <w:szCs w:val="22"/>
        </w:rPr>
        <w:t>Survey Accuracy and Reliability</w:t>
      </w:r>
    </w:p>
    <w:p w:rsidR="00C65EBE" w:rsidRPr="00D13BC0" w:rsidP="003E7B35" w14:paraId="65771837" w14:textId="51059F87">
      <w:pPr>
        <w:pStyle w:val="Paranum0"/>
        <w:numPr>
          <w:ilvl w:val="0"/>
          <w:numId w:val="12"/>
        </w:numPr>
        <w:tabs>
          <w:tab w:val="clear" w:pos="1080"/>
          <w:tab w:val="num" w:pos="1440"/>
        </w:tabs>
        <w:suppressAutoHyphens/>
        <w:spacing w:after="240"/>
        <w:jc w:val="left"/>
        <w:rPr>
          <w:b/>
          <w:caps/>
          <w:szCs w:val="22"/>
        </w:rPr>
      </w:pPr>
      <w:r w:rsidRPr="00404654">
        <w:rPr>
          <w:szCs w:val="22"/>
        </w:rPr>
        <w:t xml:space="preserve"> </w:t>
      </w:r>
      <w:r w:rsidRPr="00404654" w:rsidR="00507477">
        <w:rPr>
          <w:szCs w:val="22"/>
        </w:rPr>
        <w:t xml:space="preserve">The </w:t>
      </w:r>
      <w:r w:rsidR="00CC4022">
        <w:rPr>
          <w:szCs w:val="22"/>
        </w:rPr>
        <w:t>data and analysis presented in this</w:t>
      </w:r>
      <w:r w:rsidRPr="00404654" w:rsidR="00507477">
        <w:rPr>
          <w:szCs w:val="22"/>
        </w:rPr>
        <w:t xml:space="preserve"> Report </w:t>
      </w:r>
      <w:r w:rsidR="00CC4022">
        <w:rPr>
          <w:szCs w:val="22"/>
        </w:rPr>
        <w:t xml:space="preserve">is consistent with </w:t>
      </w:r>
      <w:r w:rsidRPr="00404654" w:rsidR="00507477">
        <w:rPr>
          <w:szCs w:val="22"/>
        </w:rPr>
        <w:t xml:space="preserve">the Commission’s </w:t>
      </w:r>
      <w:r w:rsidR="00CC4022">
        <w:rPr>
          <w:szCs w:val="22"/>
        </w:rPr>
        <w:t xml:space="preserve">information </w:t>
      </w:r>
      <w:r w:rsidRPr="00404654" w:rsidR="00507477">
        <w:rPr>
          <w:szCs w:val="22"/>
        </w:rPr>
        <w:t>quality</w:t>
      </w:r>
      <w:r w:rsidRPr="00207DB7" w:rsidR="00207DB7">
        <w:t xml:space="preserve"> </w:t>
      </w:r>
      <w:r w:rsidRPr="00207DB7" w:rsidR="00207DB7">
        <w:rPr>
          <w:szCs w:val="22"/>
        </w:rPr>
        <w:t>guidelines</w:t>
      </w:r>
      <w:r w:rsidRPr="00404654" w:rsidR="00507477">
        <w:rPr>
          <w:szCs w:val="22"/>
        </w:rPr>
        <w:t>.</w:t>
      </w:r>
      <w:r>
        <w:rPr>
          <w:rStyle w:val="FootnoteReference"/>
          <w:szCs w:val="22"/>
        </w:rPr>
        <w:footnoteReference w:id="34"/>
      </w:r>
      <w:r w:rsidRPr="00404654" w:rsidR="00507477">
        <w:rPr>
          <w:szCs w:val="22"/>
        </w:rPr>
        <w:t xml:space="preserve">  </w:t>
      </w:r>
      <w:r w:rsidR="00CC4022">
        <w:rPr>
          <w:szCs w:val="22"/>
        </w:rPr>
        <w:t>Consistent with prior reports, w</w:t>
      </w:r>
      <w:r w:rsidRPr="00404654">
        <w:rPr>
          <w:szCs w:val="22"/>
        </w:rPr>
        <w:t>e t</w:t>
      </w:r>
      <w:r w:rsidR="00207DB7">
        <w:rPr>
          <w:szCs w:val="22"/>
        </w:rPr>
        <w:t>ook</w:t>
      </w:r>
      <w:r w:rsidRPr="00404654">
        <w:rPr>
          <w:szCs w:val="22"/>
        </w:rPr>
        <w:t xml:space="preserve"> steps to ensure the accuracy and reliability of the </w:t>
      </w:r>
      <w:r w:rsidR="00404654">
        <w:rPr>
          <w:szCs w:val="22"/>
        </w:rPr>
        <w:t xml:space="preserve">survey </w:t>
      </w:r>
      <w:r w:rsidRPr="00404654">
        <w:rPr>
          <w:szCs w:val="22"/>
        </w:rPr>
        <w:t xml:space="preserve">data.  </w:t>
      </w:r>
      <w:r w:rsidR="009E3882">
        <w:rPr>
          <w:szCs w:val="22"/>
        </w:rPr>
        <w:t>W</w:t>
      </w:r>
      <w:r w:rsidRPr="00404654">
        <w:rPr>
          <w:szCs w:val="22"/>
        </w:rPr>
        <w:t>e provide</w:t>
      </w:r>
      <w:r w:rsidR="00D1562A">
        <w:rPr>
          <w:szCs w:val="22"/>
        </w:rPr>
        <w:t>d</w:t>
      </w:r>
      <w:r w:rsidRPr="00404654">
        <w:rPr>
          <w:szCs w:val="22"/>
        </w:rPr>
        <w:t xml:space="preserve"> the questionnaires to respondents to complete and submit on the Commission’s </w:t>
      </w:r>
      <w:r w:rsidRPr="00404654" w:rsidR="006F4A0A">
        <w:rPr>
          <w:szCs w:val="22"/>
        </w:rPr>
        <w:t>web</w:t>
      </w:r>
      <w:r w:rsidRPr="00404654">
        <w:rPr>
          <w:szCs w:val="22"/>
        </w:rPr>
        <w:t xml:space="preserve">site.  Many </w:t>
      </w:r>
      <w:r w:rsidRPr="00404654" w:rsidR="00507477">
        <w:rPr>
          <w:szCs w:val="22"/>
        </w:rPr>
        <w:t xml:space="preserve">survey </w:t>
      </w:r>
      <w:r w:rsidRPr="00404654">
        <w:rPr>
          <w:szCs w:val="22"/>
        </w:rPr>
        <w:t>questions have built-in checks for reasonableness, which prompt</w:t>
      </w:r>
      <w:r w:rsidR="00D1562A">
        <w:rPr>
          <w:szCs w:val="22"/>
        </w:rPr>
        <w:t>ed</w:t>
      </w:r>
      <w:r w:rsidRPr="00404654">
        <w:rPr>
          <w:szCs w:val="22"/>
        </w:rPr>
        <w:t xml:space="preserve"> the respondents to re-check their answers as they </w:t>
      </w:r>
      <w:r w:rsidR="00D1562A">
        <w:rPr>
          <w:szCs w:val="22"/>
        </w:rPr>
        <w:t>we</w:t>
      </w:r>
      <w:r w:rsidRPr="00404654" w:rsidR="00D1562A">
        <w:rPr>
          <w:szCs w:val="22"/>
        </w:rPr>
        <w:t xml:space="preserve">re </w:t>
      </w:r>
      <w:r w:rsidRPr="00404654">
        <w:rPr>
          <w:szCs w:val="22"/>
        </w:rPr>
        <w:t xml:space="preserve">completing the survey if those answers </w:t>
      </w:r>
      <w:r w:rsidRPr="00404654" w:rsidR="00D1562A">
        <w:rPr>
          <w:szCs w:val="22"/>
        </w:rPr>
        <w:t>f</w:t>
      </w:r>
      <w:r w:rsidR="00D1562A">
        <w:rPr>
          <w:szCs w:val="22"/>
        </w:rPr>
        <w:t>e</w:t>
      </w:r>
      <w:r w:rsidRPr="00404654" w:rsidR="00D1562A">
        <w:rPr>
          <w:szCs w:val="22"/>
        </w:rPr>
        <w:t xml:space="preserve">ll </w:t>
      </w:r>
      <w:r w:rsidRPr="00404654">
        <w:rPr>
          <w:szCs w:val="22"/>
        </w:rPr>
        <w:t xml:space="preserve">outside of a predetermined “range of reasonableness” based on our experience with prior surveys.  After receiving </w:t>
      </w:r>
      <w:r w:rsidR="00CC4022">
        <w:rPr>
          <w:szCs w:val="22"/>
        </w:rPr>
        <w:t xml:space="preserve">the submitted </w:t>
      </w:r>
      <w:r w:rsidRPr="00404654">
        <w:rPr>
          <w:szCs w:val="22"/>
        </w:rPr>
        <w:t>surveys, we examine</w:t>
      </w:r>
      <w:r w:rsidR="00D1562A">
        <w:rPr>
          <w:szCs w:val="22"/>
        </w:rPr>
        <w:t>d</w:t>
      </w:r>
      <w:r w:rsidRPr="00404654">
        <w:rPr>
          <w:szCs w:val="22"/>
        </w:rPr>
        <w:t xml:space="preserve"> responses using a computer program designed to identify apparent inaccuracies.  </w:t>
      </w:r>
      <w:r w:rsidRPr="00404654" w:rsidR="00E21CA4">
        <w:rPr>
          <w:szCs w:val="22"/>
        </w:rPr>
        <w:t>If</w:t>
      </w:r>
      <w:r w:rsidRPr="00404654">
        <w:rPr>
          <w:szCs w:val="22"/>
        </w:rPr>
        <w:t xml:space="preserve"> a response </w:t>
      </w:r>
      <w:r w:rsidRPr="00404654" w:rsidR="00D1562A">
        <w:rPr>
          <w:szCs w:val="22"/>
        </w:rPr>
        <w:t>l</w:t>
      </w:r>
      <w:r w:rsidR="00D1562A">
        <w:rPr>
          <w:szCs w:val="22"/>
        </w:rPr>
        <w:t>ay</w:t>
      </w:r>
      <w:r w:rsidRPr="00404654" w:rsidR="00D1562A">
        <w:rPr>
          <w:szCs w:val="22"/>
        </w:rPr>
        <w:t xml:space="preserve"> </w:t>
      </w:r>
      <w:r w:rsidRPr="00404654">
        <w:rPr>
          <w:szCs w:val="22"/>
        </w:rPr>
        <w:t xml:space="preserve">outside of its statistically expected range or </w:t>
      </w:r>
      <w:r w:rsidR="00D1562A">
        <w:rPr>
          <w:szCs w:val="22"/>
        </w:rPr>
        <w:t>was</w:t>
      </w:r>
      <w:r w:rsidRPr="00404654" w:rsidR="00D1562A">
        <w:rPr>
          <w:szCs w:val="22"/>
        </w:rPr>
        <w:t xml:space="preserve"> </w:t>
      </w:r>
      <w:r w:rsidRPr="00404654">
        <w:rPr>
          <w:szCs w:val="22"/>
        </w:rPr>
        <w:t xml:space="preserve">inconsistent with the answers to other questions </w:t>
      </w:r>
      <w:r w:rsidR="00265118">
        <w:rPr>
          <w:szCs w:val="22"/>
        </w:rPr>
        <w:t>o</w:t>
      </w:r>
      <w:r w:rsidRPr="00404654">
        <w:rPr>
          <w:szCs w:val="22"/>
        </w:rPr>
        <w:t xml:space="preserve">n the questionnaire, the </w:t>
      </w:r>
      <w:r w:rsidR="00502D4D">
        <w:rPr>
          <w:szCs w:val="22"/>
        </w:rPr>
        <w:t>p</w:t>
      </w:r>
      <w:r w:rsidRPr="00404654">
        <w:rPr>
          <w:szCs w:val="22"/>
        </w:rPr>
        <w:t xml:space="preserve">rogram </w:t>
      </w:r>
      <w:r w:rsidRPr="00404654" w:rsidR="00D1562A">
        <w:rPr>
          <w:szCs w:val="22"/>
        </w:rPr>
        <w:t>flag</w:t>
      </w:r>
      <w:r w:rsidR="00A070FA">
        <w:rPr>
          <w:szCs w:val="22"/>
        </w:rPr>
        <w:t>g</w:t>
      </w:r>
      <w:r w:rsidR="00D1562A">
        <w:rPr>
          <w:szCs w:val="22"/>
        </w:rPr>
        <w:t>ed</w:t>
      </w:r>
      <w:r w:rsidRPr="00404654" w:rsidR="00D1562A">
        <w:rPr>
          <w:szCs w:val="22"/>
        </w:rPr>
        <w:t xml:space="preserve"> </w:t>
      </w:r>
      <w:r w:rsidRPr="00404654">
        <w:rPr>
          <w:szCs w:val="22"/>
        </w:rPr>
        <w:t>that response</w:t>
      </w:r>
      <w:r w:rsidR="00CC4022">
        <w:rPr>
          <w:szCs w:val="22"/>
        </w:rPr>
        <w:t xml:space="preserve"> for further review</w:t>
      </w:r>
      <w:r w:rsidR="009E3882">
        <w:rPr>
          <w:szCs w:val="22"/>
        </w:rPr>
        <w:t>.</w:t>
      </w:r>
      <w:r w:rsidRPr="00404654">
        <w:rPr>
          <w:szCs w:val="22"/>
        </w:rPr>
        <w:t xml:space="preserve"> </w:t>
      </w:r>
      <w:r w:rsidR="009E3882">
        <w:rPr>
          <w:szCs w:val="22"/>
        </w:rPr>
        <w:t xml:space="preserve"> W</w:t>
      </w:r>
      <w:r w:rsidRPr="00404654">
        <w:rPr>
          <w:szCs w:val="22"/>
        </w:rPr>
        <w:t xml:space="preserve">e </w:t>
      </w:r>
      <w:r w:rsidR="009E3882">
        <w:rPr>
          <w:szCs w:val="22"/>
        </w:rPr>
        <w:t xml:space="preserve">then </w:t>
      </w:r>
      <w:r w:rsidRPr="00404654">
        <w:rPr>
          <w:szCs w:val="22"/>
        </w:rPr>
        <w:t>contact</w:t>
      </w:r>
      <w:r w:rsidR="00D1562A">
        <w:rPr>
          <w:szCs w:val="22"/>
        </w:rPr>
        <w:t>ed</w:t>
      </w:r>
      <w:r w:rsidRPr="00404654">
        <w:rPr>
          <w:szCs w:val="22"/>
        </w:rPr>
        <w:t xml:space="preserve"> </w:t>
      </w:r>
      <w:r w:rsidR="00502D4D">
        <w:rPr>
          <w:szCs w:val="22"/>
        </w:rPr>
        <w:t>and ask</w:t>
      </w:r>
      <w:r w:rsidR="00D1562A">
        <w:rPr>
          <w:szCs w:val="22"/>
        </w:rPr>
        <w:t>ed</w:t>
      </w:r>
      <w:r w:rsidR="00502D4D">
        <w:rPr>
          <w:szCs w:val="22"/>
        </w:rPr>
        <w:t xml:space="preserve"> </w:t>
      </w:r>
      <w:r w:rsidRPr="00404654">
        <w:rPr>
          <w:szCs w:val="22"/>
        </w:rPr>
        <w:t xml:space="preserve">the cable operator to </w:t>
      </w:r>
      <w:r w:rsidR="00CC4022">
        <w:rPr>
          <w:szCs w:val="22"/>
        </w:rPr>
        <w:t>review</w:t>
      </w:r>
      <w:r w:rsidRPr="00404654">
        <w:rPr>
          <w:szCs w:val="22"/>
        </w:rPr>
        <w:t xml:space="preserve"> the response and make </w:t>
      </w:r>
      <w:r w:rsidR="00CC4022">
        <w:rPr>
          <w:szCs w:val="22"/>
        </w:rPr>
        <w:t xml:space="preserve">any </w:t>
      </w:r>
      <w:r w:rsidRPr="00404654">
        <w:rPr>
          <w:szCs w:val="22"/>
        </w:rPr>
        <w:t xml:space="preserve">corrections </w:t>
      </w:r>
      <w:r w:rsidR="00CC4022">
        <w:rPr>
          <w:szCs w:val="22"/>
        </w:rPr>
        <w:t>necessary</w:t>
      </w:r>
      <w:r w:rsidRPr="00404654">
        <w:rPr>
          <w:szCs w:val="22"/>
        </w:rPr>
        <w:t>.</w:t>
      </w:r>
      <w:bookmarkStart w:id="28" w:name="_Toc384990872"/>
      <w:bookmarkStart w:id="29" w:name="_Toc384991977"/>
      <w:bookmarkStart w:id="30" w:name="_Toc384992813"/>
      <w:bookmarkStart w:id="31" w:name="_Toc456873883"/>
      <w:bookmarkStart w:id="32" w:name="_Toc456874095"/>
      <w:bookmarkStart w:id="33" w:name="_Toc202234556"/>
      <w:bookmarkStart w:id="34" w:name="_Toc235506577"/>
      <w:bookmarkStart w:id="35" w:name="_Toc235591776"/>
      <w:bookmarkStart w:id="36" w:name="_Toc248805861"/>
      <w:r w:rsidR="00207DB7">
        <w:rPr>
          <w:szCs w:val="22"/>
        </w:rPr>
        <w:t xml:space="preserve">  The</w:t>
      </w:r>
      <w:r w:rsidR="00502D4D">
        <w:rPr>
          <w:szCs w:val="22"/>
        </w:rPr>
        <w:t xml:space="preserve"> </w:t>
      </w:r>
      <w:r w:rsidR="00167658">
        <w:rPr>
          <w:szCs w:val="22"/>
        </w:rPr>
        <w:t xml:space="preserve">Survey </w:t>
      </w:r>
      <w:r w:rsidR="00207DB7">
        <w:rPr>
          <w:szCs w:val="22"/>
        </w:rPr>
        <w:t xml:space="preserve">Methodology Appendix contains more </w:t>
      </w:r>
      <w:r w:rsidR="00502D4D">
        <w:rPr>
          <w:szCs w:val="22"/>
        </w:rPr>
        <w:t>detail</w:t>
      </w:r>
      <w:r w:rsidR="00207DB7">
        <w:rPr>
          <w:szCs w:val="22"/>
        </w:rPr>
        <w:t xml:space="preserve"> on our </w:t>
      </w:r>
      <w:r w:rsidR="00502D4D">
        <w:rPr>
          <w:szCs w:val="22"/>
        </w:rPr>
        <w:t>data validation</w:t>
      </w:r>
      <w:r w:rsidR="00207DB7">
        <w:rPr>
          <w:szCs w:val="22"/>
        </w:rPr>
        <w:t xml:space="preserve"> process.</w:t>
      </w:r>
    </w:p>
    <w:p w:rsidR="00D13BC0" w:rsidRPr="00404654" w:rsidP="00D13BC0" w14:paraId="61F1D35E" w14:textId="38EA50C8">
      <w:pPr>
        <w:pStyle w:val="Paranum0"/>
        <w:tabs>
          <w:tab w:val="clear" w:pos="1080"/>
        </w:tabs>
        <w:suppressAutoHyphens/>
        <w:spacing w:after="240"/>
        <w:jc w:val="left"/>
        <w:rPr>
          <w:b/>
          <w:caps/>
          <w:szCs w:val="22"/>
        </w:rPr>
      </w:pPr>
    </w:p>
    <w:p w:rsidR="00167D5D" w:rsidRPr="00167D5D" w:rsidP="003E7B35" w14:paraId="24E8D464" w14:textId="082DED1C">
      <w:pPr>
        <w:pStyle w:val="Heading1"/>
        <w:tabs>
          <w:tab w:val="left" w:pos="1440"/>
        </w:tabs>
        <w:spacing w:before="240"/>
        <w:rPr>
          <w:rFonts w:ascii="Times New Roman" w:hAnsi="Times New Roman"/>
          <w:szCs w:val="22"/>
        </w:rPr>
      </w:pPr>
      <w:r w:rsidRPr="00167D5D">
        <w:rPr>
          <w:rFonts w:ascii="Times New Roman" w:hAnsi="Times New Roman"/>
          <w:szCs w:val="22"/>
        </w:rPr>
        <w:t>survey Results</w:t>
      </w:r>
      <w:bookmarkEnd w:id="28"/>
      <w:bookmarkEnd w:id="29"/>
      <w:bookmarkEnd w:id="30"/>
      <w:bookmarkEnd w:id="31"/>
      <w:bookmarkEnd w:id="32"/>
    </w:p>
    <w:p w:rsidR="00167D5D" w:rsidRPr="00167D5D" w:rsidP="004E16D7" w14:paraId="1328D513" w14:textId="3E37B2F1">
      <w:pPr>
        <w:pStyle w:val="Paranum0"/>
        <w:numPr>
          <w:ilvl w:val="0"/>
          <w:numId w:val="12"/>
        </w:numPr>
        <w:tabs>
          <w:tab w:val="clear" w:pos="1080"/>
          <w:tab w:val="num" w:pos="1440"/>
        </w:tabs>
        <w:suppressAutoHyphens/>
        <w:spacing w:after="240"/>
        <w:jc w:val="left"/>
        <w:rPr>
          <w:b/>
        </w:rPr>
      </w:pPr>
      <w:bookmarkEnd w:id="33"/>
      <w:bookmarkEnd w:id="34"/>
      <w:bookmarkEnd w:id="35"/>
      <w:bookmarkEnd w:id="36"/>
      <w:r>
        <w:t xml:space="preserve">Tables in this section report results </w:t>
      </w:r>
      <w:r w:rsidR="00BA6B07">
        <w:t xml:space="preserve">from our survey of </w:t>
      </w:r>
      <w:r w:rsidR="009F6704">
        <w:t xml:space="preserve">cable operators in </w:t>
      </w:r>
      <w:r w:rsidR="00BA6B07">
        <w:t>communities</w:t>
      </w:r>
      <w:r w:rsidR="009F6704">
        <w:t xml:space="preserve"> nationwide</w:t>
      </w:r>
      <w:r w:rsidR="00C70B27">
        <w:t>, as well as other publicly sourced data</w:t>
      </w:r>
      <w:r w:rsidR="00BA6B07">
        <w:t xml:space="preserve">.  </w:t>
      </w:r>
      <w:r w:rsidR="009F6704">
        <w:t>R</w:t>
      </w:r>
      <w:r w:rsidR="00BA6B07">
        <w:t xml:space="preserve">esults are presented for the full sample, </w:t>
      </w:r>
      <w:r w:rsidR="00B67E5E">
        <w:t xml:space="preserve">which are further broken down into </w:t>
      </w:r>
      <w:r w:rsidR="00CE3838">
        <w:t>non</w:t>
      </w:r>
      <w:r w:rsidR="000E2C1C">
        <w:t xml:space="preserve">-competitive and effective competition </w:t>
      </w:r>
      <w:r w:rsidR="00BA6B07">
        <w:t>sample group</w:t>
      </w:r>
      <w:r w:rsidR="007E38EB">
        <w:t>s</w:t>
      </w:r>
      <w:r w:rsidR="00BA6B07">
        <w:t xml:space="preserve">, and </w:t>
      </w:r>
      <w:r w:rsidR="007E38EB">
        <w:t xml:space="preserve">the </w:t>
      </w:r>
      <w:r w:rsidR="00BA6B07">
        <w:t>effective competition subgroup</w:t>
      </w:r>
      <w:r w:rsidR="007E38EB">
        <w:t>s</w:t>
      </w:r>
      <w:r w:rsidR="00BA6B07">
        <w:t>.</w:t>
      </w:r>
      <w:r>
        <w:t xml:space="preserve">  </w:t>
      </w:r>
      <w:r w:rsidR="00B67E5E">
        <w:t xml:space="preserve">The </w:t>
      </w:r>
      <w:r w:rsidR="002357B9">
        <w:t>sample</w:t>
      </w:r>
      <w:r w:rsidR="00D1562A">
        <w:t xml:space="preserve"> of 800 communities</w:t>
      </w:r>
      <w:r w:rsidR="002357B9">
        <w:t xml:space="preserve"> for the</w:t>
      </w:r>
      <w:r w:rsidR="00B67E5E">
        <w:t xml:space="preserve"> survey </w:t>
      </w:r>
      <w:r w:rsidR="002357B9">
        <w:t>was drawn from the universe of</w:t>
      </w:r>
      <w:r w:rsidR="00BA6B07">
        <w:t xml:space="preserve"> </w:t>
      </w:r>
      <w:r w:rsidRPr="00167D5D">
        <w:t>33,</w:t>
      </w:r>
      <w:r>
        <w:t>600</w:t>
      </w:r>
      <w:r w:rsidRPr="00167D5D">
        <w:t xml:space="preserve"> </w:t>
      </w:r>
      <w:r w:rsidR="007E38EB">
        <w:t xml:space="preserve">cable </w:t>
      </w:r>
      <w:r w:rsidRPr="00167D5D">
        <w:t>communities</w:t>
      </w:r>
      <w:r w:rsidR="00B67E5E">
        <w:t xml:space="preserve"> of which</w:t>
      </w:r>
      <w:r w:rsidR="00A16952">
        <w:t xml:space="preserve"> </w:t>
      </w:r>
      <w:r w:rsidR="00B4298B">
        <w:t>23,031</w:t>
      </w:r>
      <w:r w:rsidR="00B67E5E">
        <w:t xml:space="preserve"> </w:t>
      </w:r>
      <w:r w:rsidR="00B4298B">
        <w:t xml:space="preserve">communities </w:t>
      </w:r>
      <w:r w:rsidR="00CB78FC">
        <w:t>did</w:t>
      </w:r>
      <w:r w:rsidR="00B67E5E">
        <w:t xml:space="preserve"> not have a </w:t>
      </w:r>
      <w:r w:rsidR="00B4298B">
        <w:t>finding of effective competition</w:t>
      </w:r>
      <w:r>
        <w:t xml:space="preserve"> </w:t>
      </w:r>
      <w:r w:rsidRPr="00167D5D" w:rsidR="00D722E7">
        <w:rPr>
          <w:szCs w:val="22"/>
        </w:rPr>
        <w:t>(noncompetitive group)</w:t>
      </w:r>
      <w:r w:rsidR="00A16952">
        <w:rPr>
          <w:szCs w:val="22"/>
        </w:rPr>
        <w:t xml:space="preserve"> </w:t>
      </w:r>
      <w:r w:rsidR="00B67E5E">
        <w:rPr>
          <w:szCs w:val="22"/>
        </w:rPr>
        <w:t>and</w:t>
      </w:r>
      <w:r w:rsidRPr="00625176" w:rsidR="007E38EB">
        <w:rPr>
          <w:szCs w:val="22"/>
        </w:rPr>
        <w:t xml:space="preserve"> </w:t>
      </w:r>
      <w:r w:rsidRPr="00625176" w:rsidR="00B4298B">
        <w:rPr>
          <w:szCs w:val="22"/>
        </w:rPr>
        <w:t xml:space="preserve">account for </w:t>
      </w:r>
      <w:r w:rsidR="00B4298B">
        <w:rPr>
          <w:szCs w:val="22"/>
        </w:rPr>
        <w:t>53</w:t>
      </w:r>
      <w:r w:rsidRPr="00625176" w:rsidR="00B4298B">
        <w:rPr>
          <w:szCs w:val="22"/>
        </w:rPr>
        <w:t xml:space="preserve"> percent of </w:t>
      </w:r>
      <w:r w:rsidR="00CB78FC">
        <w:rPr>
          <w:szCs w:val="22"/>
        </w:rPr>
        <w:t xml:space="preserve">total </w:t>
      </w:r>
      <w:r w:rsidRPr="00625176" w:rsidR="00B4298B">
        <w:rPr>
          <w:szCs w:val="22"/>
        </w:rPr>
        <w:t>cable subscribers</w:t>
      </w:r>
      <w:r w:rsidR="00B4298B">
        <w:rPr>
          <w:szCs w:val="22"/>
        </w:rPr>
        <w:t xml:space="preserve"> nationwide</w:t>
      </w:r>
      <w:r w:rsidR="00A16952">
        <w:rPr>
          <w:szCs w:val="22"/>
        </w:rPr>
        <w:t>.</w:t>
      </w:r>
      <w:r w:rsidR="00CB78FC">
        <w:rPr>
          <w:szCs w:val="22"/>
        </w:rPr>
        <w:t xml:space="preserve"> </w:t>
      </w:r>
      <w:r w:rsidR="00A16952">
        <w:rPr>
          <w:szCs w:val="22"/>
        </w:rPr>
        <w:t>T</w:t>
      </w:r>
      <w:r w:rsidR="00B67E5E">
        <w:rPr>
          <w:szCs w:val="22"/>
        </w:rPr>
        <w:t>he remaining</w:t>
      </w:r>
      <w:r w:rsidR="00B4298B">
        <w:rPr>
          <w:szCs w:val="22"/>
        </w:rPr>
        <w:t xml:space="preserve"> </w:t>
      </w:r>
      <w:r w:rsidRPr="00167D5D">
        <w:t>10,5</w:t>
      </w:r>
      <w:r w:rsidR="00853BF1">
        <w:t>69</w:t>
      </w:r>
      <w:r w:rsidRPr="00167D5D">
        <w:t xml:space="preserve"> </w:t>
      </w:r>
      <w:r w:rsidR="00B4298B">
        <w:t>communities</w:t>
      </w:r>
      <w:r w:rsidRPr="00167D5D">
        <w:t xml:space="preserve"> </w:t>
      </w:r>
      <w:r w:rsidR="00A840A2">
        <w:t>had</w:t>
      </w:r>
      <w:r w:rsidR="00B67E5E">
        <w:t xml:space="preserve"> a</w:t>
      </w:r>
      <w:r w:rsidRPr="00167D5D" w:rsidR="00B67E5E">
        <w:t xml:space="preserve"> </w:t>
      </w:r>
      <w:r w:rsidRPr="00167D5D">
        <w:t>finding of effective competition</w:t>
      </w:r>
      <w:r w:rsidR="00B4298B">
        <w:t xml:space="preserve"> </w:t>
      </w:r>
      <w:r w:rsidRPr="00167D5D" w:rsidR="00BA6B07">
        <w:rPr>
          <w:szCs w:val="22"/>
        </w:rPr>
        <w:t>(</w:t>
      </w:r>
      <w:r w:rsidR="00BA6B07">
        <w:rPr>
          <w:szCs w:val="22"/>
        </w:rPr>
        <w:t>effective competition group</w:t>
      </w:r>
      <w:r w:rsidRPr="00167D5D" w:rsidR="00BA6B07">
        <w:rPr>
          <w:szCs w:val="22"/>
        </w:rPr>
        <w:t>)</w:t>
      </w:r>
      <w:r w:rsidR="00D1562A">
        <w:rPr>
          <w:szCs w:val="22"/>
        </w:rPr>
        <w:t xml:space="preserve"> </w:t>
      </w:r>
      <w:r w:rsidR="00B67E5E">
        <w:rPr>
          <w:szCs w:val="22"/>
        </w:rPr>
        <w:t>and</w:t>
      </w:r>
      <w:r w:rsidR="007E38EB">
        <w:rPr>
          <w:szCs w:val="22"/>
        </w:rPr>
        <w:t xml:space="preserve"> </w:t>
      </w:r>
      <w:r w:rsidR="00BA6B07">
        <w:rPr>
          <w:szCs w:val="22"/>
        </w:rPr>
        <w:t>account</w:t>
      </w:r>
      <w:r w:rsidRPr="00B4298B" w:rsidR="00B4298B">
        <w:rPr>
          <w:szCs w:val="22"/>
        </w:rPr>
        <w:t xml:space="preserve"> </w:t>
      </w:r>
      <w:r w:rsidRPr="00625176" w:rsidR="00B4298B">
        <w:rPr>
          <w:szCs w:val="22"/>
        </w:rPr>
        <w:t xml:space="preserve">for 47 percent of </w:t>
      </w:r>
      <w:r w:rsidR="00CB78FC">
        <w:rPr>
          <w:szCs w:val="22"/>
        </w:rPr>
        <w:t xml:space="preserve">all </w:t>
      </w:r>
      <w:r w:rsidRPr="00625176" w:rsidR="00B4298B">
        <w:rPr>
          <w:szCs w:val="22"/>
        </w:rPr>
        <w:t>cable subscribers</w:t>
      </w:r>
      <w:r w:rsidR="00B4298B">
        <w:rPr>
          <w:szCs w:val="22"/>
        </w:rPr>
        <w:t xml:space="preserve"> nationwide</w:t>
      </w:r>
      <w:r w:rsidR="00272303">
        <w:t>.</w:t>
      </w:r>
      <w:r w:rsidR="00BA6B07">
        <w:t xml:space="preserve">  </w:t>
      </w:r>
      <w:r w:rsidR="007E38EB">
        <w:t xml:space="preserve">In </w:t>
      </w:r>
      <w:r w:rsidR="00BA6B07">
        <w:t>the effective competition group</w:t>
      </w:r>
      <w:r w:rsidR="003724CE">
        <w:t>, t</w:t>
      </w:r>
      <w:r w:rsidR="00E96E23">
        <w:rPr>
          <w:szCs w:val="22"/>
        </w:rPr>
        <w:t xml:space="preserve">he DBS subgroup </w:t>
      </w:r>
      <w:r w:rsidR="009F6704">
        <w:rPr>
          <w:szCs w:val="22"/>
        </w:rPr>
        <w:t>accounted for</w:t>
      </w:r>
      <w:r w:rsidR="00895F5A">
        <w:rPr>
          <w:szCs w:val="22"/>
        </w:rPr>
        <w:t xml:space="preserve"> </w:t>
      </w:r>
      <w:r w:rsidR="00E96E23">
        <w:rPr>
          <w:szCs w:val="22"/>
        </w:rPr>
        <w:t>7,639 of the</w:t>
      </w:r>
      <w:r w:rsidR="003724CE">
        <w:rPr>
          <w:szCs w:val="22"/>
        </w:rPr>
        <w:t xml:space="preserve"> 10,569 </w:t>
      </w:r>
      <w:r w:rsidR="009F6704">
        <w:rPr>
          <w:szCs w:val="22"/>
        </w:rPr>
        <w:t xml:space="preserve">effective competition </w:t>
      </w:r>
      <w:r w:rsidR="00E96E23">
        <w:rPr>
          <w:szCs w:val="22"/>
        </w:rPr>
        <w:t xml:space="preserve">communities and 33 percent of cable subscribers nationwide.  </w:t>
      </w:r>
      <w:r w:rsidR="00FA32FC">
        <w:t>D</w:t>
      </w:r>
      <w:r w:rsidRPr="00625176" w:rsidR="00272303">
        <w:rPr>
          <w:szCs w:val="22"/>
        </w:rPr>
        <w:t>BS market share was</w:t>
      </w:r>
      <w:r w:rsidR="00E96E23">
        <w:rPr>
          <w:szCs w:val="22"/>
        </w:rPr>
        <w:t xml:space="preserve"> and remains</w:t>
      </w:r>
      <w:r w:rsidRPr="00625176" w:rsidR="00272303">
        <w:rPr>
          <w:szCs w:val="22"/>
        </w:rPr>
        <w:t xml:space="preserve"> the basis for most findings of effective competition</w:t>
      </w:r>
      <w:r w:rsidR="00272303">
        <w:rPr>
          <w:szCs w:val="22"/>
        </w:rPr>
        <w:t>.</w:t>
      </w:r>
      <w:r w:rsidR="00E96E23">
        <w:rPr>
          <w:szCs w:val="22"/>
        </w:rPr>
        <w:t xml:space="preserve">  I</w:t>
      </w:r>
      <w:r>
        <w:rPr>
          <w:szCs w:val="22"/>
        </w:rPr>
        <w:t>ncumbent and rival</w:t>
      </w:r>
      <w:r w:rsidR="003724CE">
        <w:rPr>
          <w:szCs w:val="22"/>
        </w:rPr>
        <w:t xml:space="preserve"> operators</w:t>
      </w:r>
      <w:r>
        <w:rPr>
          <w:szCs w:val="22"/>
        </w:rPr>
        <w:t xml:space="preserve"> in the</w:t>
      </w:r>
      <w:r w:rsidRPr="00625176" w:rsidR="00625176">
        <w:rPr>
          <w:szCs w:val="22"/>
        </w:rPr>
        <w:t xml:space="preserve"> cable overbuild </w:t>
      </w:r>
      <w:r w:rsidR="00B57E71">
        <w:rPr>
          <w:szCs w:val="22"/>
        </w:rPr>
        <w:t xml:space="preserve">competition </w:t>
      </w:r>
      <w:r w:rsidRPr="00625176" w:rsidR="00625176">
        <w:rPr>
          <w:szCs w:val="22"/>
        </w:rPr>
        <w:t>subgroup</w:t>
      </w:r>
      <w:r>
        <w:rPr>
          <w:szCs w:val="22"/>
        </w:rPr>
        <w:t xml:space="preserve"> </w:t>
      </w:r>
      <w:r w:rsidR="00E96E23">
        <w:rPr>
          <w:szCs w:val="22"/>
        </w:rPr>
        <w:t>accounted for</w:t>
      </w:r>
      <w:r>
        <w:rPr>
          <w:szCs w:val="22"/>
        </w:rPr>
        <w:t xml:space="preserve"> 1,309 communities and </w:t>
      </w:r>
      <w:r w:rsidR="00B57E71">
        <w:rPr>
          <w:szCs w:val="22"/>
        </w:rPr>
        <w:t>11</w:t>
      </w:r>
      <w:r>
        <w:rPr>
          <w:szCs w:val="22"/>
        </w:rPr>
        <w:t xml:space="preserve"> percent of cable subscribers.  The </w:t>
      </w:r>
      <w:r w:rsidR="00B57E71">
        <w:rPr>
          <w:szCs w:val="22"/>
        </w:rPr>
        <w:t>subgroup</w:t>
      </w:r>
      <w:r w:rsidR="00EA318C">
        <w:rPr>
          <w:szCs w:val="22"/>
        </w:rPr>
        <w:t>s</w:t>
      </w:r>
      <w:r w:rsidR="00B57E71">
        <w:rPr>
          <w:szCs w:val="22"/>
        </w:rPr>
        <w:t xml:space="preserve"> of </w:t>
      </w:r>
      <w:r>
        <w:rPr>
          <w:szCs w:val="22"/>
        </w:rPr>
        <w:t xml:space="preserve">wireless </w:t>
      </w:r>
      <w:r w:rsidR="0069445A">
        <w:rPr>
          <w:szCs w:val="22"/>
        </w:rPr>
        <w:t xml:space="preserve">video </w:t>
      </w:r>
      <w:r>
        <w:rPr>
          <w:szCs w:val="22"/>
        </w:rPr>
        <w:t xml:space="preserve">competition and low </w:t>
      </w:r>
      <w:r w:rsidR="00B57E71">
        <w:rPr>
          <w:szCs w:val="22"/>
        </w:rPr>
        <w:t xml:space="preserve">market </w:t>
      </w:r>
      <w:r>
        <w:rPr>
          <w:szCs w:val="22"/>
        </w:rPr>
        <w:t xml:space="preserve">penetration </w:t>
      </w:r>
      <w:r w:rsidR="0069445A">
        <w:rPr>
          <w:szCs w:val="22"/>
        </w:rPr>
        <w:t>findings</w:t>
      </w:r>
      <w:r>
        <w:rPr>
          <w:szCs w:val="22"/>
        </w:rPr>
        <w:t xml:space="preserve"> </w:t>
      </w:r>
      <w:r w:rsidR="00E96E23">
        <w:rPr>
          <w:szCs w:val="22"/>
        </w:rPr>
        <w:t>accounted for</w:t>
      </w:r>
      <w:r>
        <w:rPr>
          <w:szCs w:val="22"/>
        </w:rPr>
        <w:t xml:space="preserve"> 1,621 communities and </w:t>
      </w:r>
      <w:r w:rsidR="000C69C4">
        <w:rPr>
          <w:szCs w:val="22"/>
        </w:rPr>
        <w:t xml:space="preserve">3 </w:t>
      </w:r>
      <w:r w:rsidRPr="00625176" w:rsidR="00625176">
        <w:rPr>
          <w:szCs w:val="22"/>
        </w:rPr>
        <w:t xml:space="preserve">percent </w:t>
      </w:r>
      <w:r>
        <w:rPr>
          <w:szCs w:val="22"/>
        </w:rPr>
        <w:t>of cable subscribers.</w:t>
      </w:r>
      <w:bookmarkStart w:id="37" w:name="_Toc384990873"/>
      <w:bookmarkStart w:id="38" w:name="_Toc384991978"/>
      <w:bookmarkStart w:id="39" w:name="_Toc384992814"/>
      <w:r w:rsidR="00E96E23">
        <w:rPr>
          <w:szCs w:val="22"/>
        </w:rPr>
        <w:t xml:space="preserve">  </w:t>
      </w:r>
      <w:r w:rsidR="00EA318C">
        <w:rPr>
          <w:szCs w:val="22"/>
        </w:rPr>
        <w:t>Attachment 1 provides m</w:t>
      </w:r>
      <w:r w:rsidR="00BA6B07">
        <w:rPr>
          <w:szCs w:val="22"/>
        </w:rPr>
        <w:t xml:space="preserve">ore detail on </w:t>
      </w:r>
      <w:r w:rsidR="00E96E23">
        <w:rPr>
          <w:szCs w:val="22"/>
        </w:rPr>
        <w:t xml:space="preserve">the </w:t>
      </w:r>
      <w:r w:rsidR="00BA6B07">
        <w:rPr>
          <w:szCs w:val="22"/>
        </w:rPr>
        <w:t>sample.</w:t>
      </w:r>
      <w:bookmarkStart w:id="40" w:name="_Hlk483071121"/>
    </w:p>
    <w:p w:rsidR="00167D5D" w:rsidRPr="00167D5D" w:rsidP="00EE4D37" w14:paraId="2082FE17" w14:textId="0523B0D2">
      <w:pPr>
        <w:pStyle w:val="Heading2"/>
      </w:pPr>
      <w:bookmarkStart w:id="41" w:name="_Toc456873884"/>
      <w:bookmarkStart w:id="42" w:name="_Toc456874096"/>
      <w:r w:rsidRPr="00167D5D">
        <w:t>Cable Programming Services</w:t>
      </w:r>
      <w:bookmarkEnd w:id="37"/>
      <w:bookmarkEnd w:id="38"/>
      <w:bookmarkEnd w:id="39"/>
      <w:bookmarkEnd w:id="41"/>
      <w:bookmarkEnd w:id="42"/>
    </w:p>
    <w:p w:rsidR="00167D5D" w:rsidP="004E16D7" w14:paraId="5C5A7712" w14:textId="4EAE9BCE">
      <w:pPr>
        <w:pStyle w:val="Paranum0"/>
        <w:numPr>
          <w:ilvl w:val="0"/>
          <w:numId w:val="12"/>
        </w:numPr>
        <w:tabs>
          <w:tab w:val="clear" w:pos="1080"/>
          <w:tab w:val="num" w:pos="1440"/>
        </w:tabs>
        <w:suppressAutoHyphens/>
        <w:spacing w:after="240"/>
        <w:jc w:val="left"/>
        <w:rPr>
          <w:szCs w:val="22"/>
        </w:rPr>
      </w:pPr>
      <w:bookmarkEnd w:id="40"/>
      <w:r w:rsidRPr="00167D5D">
        <w:rPr>
          <w:szCs w:val="22"/>
        </w:rPr>
        <w:t xml:space="preserve">Table 1 reports the average price of basic service, expanded basic service, and the next most popular </w:t>
      </w:r>
      <w:r w:rsidR="00207DB7">
        <w:rPr>
          <w:szCs w:val="22"/>
        </w:rPr>
        <w:t>programming service as of</w:t>
      </w:r>
      <w:r w:rsidRPr="00167D5D">
        <w:rPr>
          <w:szCs w:val="22"/>
        </w:rPr>
        <w:t xml:space="preserve"> January 1, </w:t>
      </w:r>
      <w:r w:rsidR="008634B3">
        <w:rPr>
          <w:szCs w:val="22"/>
        </w:rPr>
        <w:t>2016</w:t>
      </w:r>
      <w:r w:rsidRPr="00167D5D">
        <w:rPr>
          <w:szCs w:val="22"/>
        </w:rPr>
        <w:t>.</w:t>
      </w:r>
      <w:r>
        <w:rPr>
          <w:rStyle w:val="FootnoteReference"/>
          <w:szCs w:val="22"/>
        </w:rPr>
        <w:footnoteReference w:id="35"/>
      </w:r>
      <w:r w:rsidRPr="00167D5D">
        <w:rPr>
          <w:szCs w:val="22"/>
        </w:rPr>
        <w:t xml:space="preserve">  It also reports percent</w:t>
      </w:r>
      <w:r w:rsidR="006C5822">
        <w:rPr>
          <w:szCs w:val="22"/>
        </w:rPr>
        <w:t xml:space="preserve"> </w:t>
      </w:r>
      <w:r w:rsidRPr="00167D5D">
        <w:rPr>
          <w:szCs w:val="22"/>
        </w:rPr>
        <w:t>change</w:t>
      </w:r>
      <w:r w:rsidR="007E38EB">
        <w:rPr>
          <w:szCs w:val="22"/>
        </w:rPr>
        <w:t>s in these prices</w:t>
      </w:r>
      <w:r w:rsidR="006C5822">
        <w:rPr>
          <w:szCs w:val="22"/>
        </w:rPr>
        <w:t xml:space="preserve"> </w:t>
      </w:r>
      <w:r w:rsidR="007E38EB">
        <w:rPr>
          <w:szCs w:val="22"/>
        </w:rPr>
        <w:t>over</w:t>
      </w:r>
      <w:r w:rsidR="006C5822">
        <w:rPr>
          <w:szCs w:val="22"/>
        </w:rPr>
        <w:t xml:space="preserve"> the</w:t>
      </w:r>
      <w:r w:rsidRPr="00167D5D">
        <w:rPr>
          <w:szCs w:val="22"/>
        </w:rPr>
        <w:t xml:space="preserve"> </w:t>
      </w:r>
      <w:r w:rsidR="009C497D">
        <w:rPr>
          <w:szCs w:val="22"/>
        </w:rPr>
        <w:t>12-month</w:t>
      </w:r>
      <w:r w:rsidR="007E38EB">
        <w:rPr>
          <w:szCs w:val="22"/>
        </w:rPr>
        <w:t xml:space="preserve"> </w:t>
      </w:r>
      <w:r w:rsidR="004C2A01">
        <w:rPr>
          <w:szCs w:val="22"/>
        </w:rPr>
        <w:t>period</w:t>
      </w:r>
      <w:r w:rsidRPr="00167D5D" w:rsidR="004C2A01">
        <w:rPr>
          <w:szCs w:val="22"/>
        </w:rPr>
        <w:t xml:space="preserve"> </w:t>
      </w:r>
      <w:r w:rsidRPr="00167D5D">
        <w:rPr>
          <w:szCs w:val="22"/>
        </w:rPr>
        <w:t xml:space="preserve">ending January 1, </w:t>
      </w:r>
      <w:r w:rsidR="008634B3">
        <w:rPr>
          <w:szCs w:val="22"/>
        </w:rPr>
        <w:t>2016</w:t>
      </w:r>
      <w:r w:rsidRPr="00167D5D">
        <w:rPr>
          <w:szCs w:val="22"/>
        </w:rPr>
        <w:t xml:space="preserve"> </w:t>
      </w:r>
      <w:r w:rsidR="00D722E7">
        <w:rPr>
          <w:szCs w:val="22"/>
        </w:rPr>
        <w:t>for the full sample</w:t>
      </w:r>
      <w:r w:rsidR="006C5822">
        <w:rPr>
          <w:szCs w:val="22"/>
        </w:rPr>
        <w:t xml:space="preserve">, the noncompetitive group, </w:t>
      </w:r>
      <w:r w:rsidR="000700B3">
        <w:rPr>
          <w:szCs w:val="22"/>
        </w:rPr>
        <w:t>and</w:t>
      </w:r>
      <w:r w:rsidR="00265118">
        <w:rPr>
          <w:szCs w:val="22"/>
        </w:rPr>
        <w:t xml:space="preserve"> the</w:t>
      </w:r>
      <w:r w:rsidR="000700B3">
        <w:rPr>
          <w:szCs w:val="22"/>
        </w:rPr>
        <w:t xml:space="preserve"> </w:t>
      </w:r>
      <w:r w:rsidR="006C5822">
        <w:rPr>
          <w:szCs w:val="22"/>
        </w:rPr>
        <w:t>effective</w:t>
      </w:r>
      <w:r w:rsidR="00D1562A">
        <w:rPr>
          <w:szCs w:val="22"/>
        </w:rPr>
        <w:t xml:space="preserve"> competition</w:t>
      </w:r>
      <w:r w:rsidR="006C5822">
        <w:rPr>
          <w:szCs w:val="22"/>
        </w:rPr>
        <w:t xml:space="preserve"> group and subgroups of</w:t>
      </w:r>
      <w:r w:rsidR="003724CE">
        <w:rPr>
          <w:szCs w:val="22"/>
        </w:rPr>
        <w:t xml:space="preserve"> </w:t>
      </w:r>
      <w:r w:rsidRPr="00167D5D">
        <w:rPr>
          <w:szCs w:val="22"/>
        </w:rPr>
        <w:t xml:space="preserve">communities. </w:t>
      </w:r>
      <w:r w:rsidR="000B72B4">
        <w:rPr>
          <w:szCs w:val="22"/>
        </w:rPr>
        <w:t xml:space="preserve"> </w:t>
      </w:r>
      <w:r w:rsidR="001A0F6D">
        <w:rPr>
          <w:szCs w:val="22"/>
        </w:rPr>
        <w:t>In the full sample</w:t>
      </w:r>
      <w:r w:rsidRPr="00167D5D">
        <w:rPr>
          <w:szCs w:val="22"/>
        </w:rPr>
        <w:t xml:space="preserve">, </w:t>
      </w:r>
      <w:r w:rsidR="009A2836">
        <w:rPr>
          <w:szCs w:val="22"/>
        </w:rPr>
        <w:t xml:space="preserve">each annual change in price was statistically significant.  </w:t>
      </w:r>
      <w:r w:rsidR="002A5670">
        <w:rPr>
          <w:szCs w:val="22"/>
        </w:rPr>
        <w:t>The p</w:t>
      </w:r>
      <w:r w:rsidR="00265118">
        <w:rPr>
          <w:szCs w:val="22"/>
        </w:rPr>
        <w:t>rice</w:t>
      </w:r>
      <w:r w:rsidR="00E65138">
        <w:rPr>
          <w:szCs w:val="22"/>
        </w:rPr>
        <w:t xml:space="preserve"> </w:t>
      </w:r>
      <w:r w:rsidR="000A57F7">
        <w:rPr>
          <w:szCs w:val="22"/>
        </w:rPr>
        <w:t>average</w:t>
      </w:r>
      <w:r w:rsidR="00265118">
        <w:rPr>
          <w:szCs w:val="22"/>
        </w:rPr>
        <w:t>d</w:t>
      </w:r>
      <w:r w:rsidR="00E65138">
        <w:rPr>
          <w:szCs w:val="22"/>
        </w:rPr>
        <w:t xml:space="preserve"> </w:t>
      </w:r>
      <w:r w:rsidRPr="00167D5D">
        <w:rPr>
          <w:szCs w:val="22"/>
        </w:rPr>
        <w:t>$2</w:t>
      </w:r>
      <w:r w:rsidR="00B47988">
        <w:rPr>
          <w:szCs w:val="22"/>
        </w:rPr>
        <w:t>5</w:t>
      </w:r>
      <w:r w:rsidRPr="00167D5D">
        <w:rPr>
          <w:szCs w:val="22"/>
        </w:rPr>
        <w:t>.</w:t>
      </w:r>
      <w:r w:rsidR="00B47988">
        <w:rPr>
          <w:szCs w:val="22"/>
        </w:rPr>
        <w:t>4</w:t>
      </w:r>
      <w:r w:rsidR="00111CBA">
        <w:rPr>
          <w:szCs w:val="22"/>
        </w:rPr>
        <w:t>0</w:t>
      </w:r>
      <w:r w:rsidRPr="00167D5D">
        <w:rPr>
          <w:szCs w:val="22"/>
        </w:rPr>
        <w:t xml:space="preserve"> </w:t>
      </w:r>
      <w:r w:rsidR="000A57F7">
        <w:rPr>
          <w:szCs w:val="22"/>
        </w:rPr>
        <w:t xml:space="preserve">for </w:t>
      </w:r>
      <w:r w:rsidR="00CC2DDE">
        <w:rPr>
          <w:szCs w:val="22"/>
        </w:rPr>
        <w:t xml:space="preserve">the </w:t>
      </w:r>
      <w:r w:rsidR="000A57F7">
        <w:rPr>
          <w:szCs w:val="22"/>
        </w:rPr>
        <w:t xml:space="preserve">basic service </w:t>
      </w:r>
      <w:r w:rsidRPr="00167D5D">
        <w:rPr>
          <w:szCs w:val="22"/>
        </w:rPr>
        <w:t>(</w:t>
      </w:r>
      <w:r w:rsidR="00B47988">
        <w:rPr>
          <w:szCs w:val="22"/>
        </w:rPr>
        <w:t>4.</w:t>
      </w:r>
      <w:r w:rsidR="00111CBA">
        <w:rPr>
          <w:szCs w:val="22"/>
        </w:rPr>
        <w:t>4</w:t>
      </w:r>
      <w:r w:rsidRPr="00167D5D">
        <w:rPr>
          <w:szCs w:val="22"/>
        </w:rPr>
        <w:t xml:space="preserve"> percent increase), $</w:t>
      </w:r>
      <w:r w:rsidR="00B47988">
        <w:rPr>
          <w:szCs w:val="22"/>
        </w:rPr>
        <w:t>71.3</w:t>
      </w:r>
      <w:r w:rsidR="00111CBA">
        <w:rPr>
          <w:szCs w:val="22"/>
        </w:rPr>
        <w:t>7</w:t>
      </w:r>
      <w:r w:rsidRPr="00167D5D">
        <w:rPr>
          <w:szCs w:val="22"/>
        </w:rPr>
        <w:t xml:space="preserve"> for expanded basic</w:t>
      </w:r>
      <w:r w:rsidR="006F4A0A">
        <w:rPr>
          <w:szCs w:val="22"/>
        </w:rPr>
        <w:t xml:space="preserve"> </w:t>
      </w:r>
      <w:r w:rsidRPr="00167D5D">
        <w:rPr>
          <w:szCs w:val="22"/>
        </w:rPr>
        <w:t>(</w:t>
      </w:r>
      <w:r w:rsidR="00B47988">
        <w:rPr>
          <w:szCs w:val="22"/>
        </w:rPr>
        <w:t>3.4</w:t>
      </w:r>
      <w:r w:rsidRPr="00167D5D">
        <w:rPr>
          <w:szCs w:val="22"/>
        </w:rPr>
        <w:t xml:space="preserve"> percent increase)</w:t>
      </w:r>
      <w:r w:rsidR="000A57F7">
        <w:rPr>
          <w:szCs w:val="22"/>
        </w:rPr>
        <w:t>,</w:t>
      </w:r>
      <w:r w:rsidRPr="00167D5D">
        <w:rPr>
          <w:szCs w:val="22"/>
        </w:rPr>
        <w:t xml:space="preserve"> and $8</w:t>
      </w:r>
      <w:r w:rsidR="00B47988">
        <w:rPr>
          <w:szCs w:val="22"/>
        </w:rPr>
        <w:t>4</w:t>
      </w:r>
      <w:r w:rsidRPr="00167D5D">
        <w:rPr>
          <w:szCs w:val="22"/>
        </w:rPr>
        <w:t>.</w:t>
      </w:r>
      <w:r w:rsidR="00B47988">
        <w:rPr>
          <w:szCs w:val="22"/>
        </w:rPr>
        <w:t>91</w:t>
      </w:r>
      <w:r w:rsidRPr="00167D5D">
        <w:rPr>
          <w:szCs w:val="22"/>
        </w:rPr>
        <w:t xml:space="preserve"> for the next most popular service (</w:t>
      </w:r>
      <w:r w:rsidR="00B47988">
        <w:rPr>
          <w:szCs w:val="22"/>
        </w:rPr>
        <w:t>3.5</w:t>
      </w:r>
      <w:r w:rsidRPr="00167D5D">
        <w:rPr>
          <w:szCs w:val="22"/>
        </w:rPr>
        <w:t xml:space="preserve"> percent increase).</w:t>
      </w:r>
    </w:p>
    <w:tbl>
      <w:tblPr>
        <w:tblW w:w="5000" w:type="pct"/>
        <w:tblInd w:w="0" w:type="dxa"/>
        <w:tblLayout w:type="fixed"/>
        <w:tblCellMar>
          <w:top w:w="0" w:type="dxa"/>
          <w:left w:w="108" w:type="dxa"/>
          <w:bottom w:w="0" w:type="dxa"/>
          <w:right w:w="108" w:type="dxa"/>
        </w:tblCellMar>
        <w:tblLook w:val="04A0"/>
      </w:tblPr>
      <w:tblGrid>
        <w:gridCol w:w="1604"/>
        <w:gridCol w:w="897"/>
        <w:gridCol w:w="1258"/>
        <w:gridCol w:w="1351"/>
        <w:gridCol w:w="801"/>
        <w:gridCol w:w="767"/>
        <w:gridCol w:w="767"/>
        <w:gridCol w:w="767"/>
        <w:gridCol w:w="1118"/>
      </w:tblGrid>
      <w:tr w14:paraId="549C83B6" w14:textId="77777777" w:rsidTr="00E12B46">
        <w:tblPrEx>
          <w:tblW w:w="5000" w:type="pct"/>
          <w:tblInd w:w="0" w:type="dxa"/>
          <w:tblLayout w:type="fixed"/>
          <w:tblCellMar>
            <w:top w:w="0" w:type="dxa"/>
            <w:left w:w="108" w:type="dxa"/>
            <w:bottom w:w="0" w:type="dxa"/>
            <w:right w:w="108" w:type="dxa"/>
          </w:tblCellMar>
          <w:tblLook w:val="04A0"/>
        </w:tblPrEx>
        <w:trPr>
          <w:trHeight w:val="1210"/>
        </w:trPr>
        <w:tc>
          <w:tcPr>
            <w:tcW w:w="5000" w:type="pct"/>
            <w:gridSpan w:val="9"/>
            <w:tcBorders>
              <w:top w:val="single" w:sz="12" w:space="0" w:color="auto"/>
              <w:left w:val="single" w:sz="12" w:space="0" w:color="auto"/>
              <w:right w:val="single" w:sz="12" w:space="0" w:color="auto"/>
            </w:tcBorders>
            <w:shd w:val="clear" w:color="auto" w:fill="auto"/>
            <w:noWrap/>
            <w:vAlign w:val="center"/>
            <w:hideMark/>
          </w:tcPr>
          <w:p w:rsidR="002D16CC" w:rsidRPr="002F6AC6" w:rsidP="004E16D7" w14:paraId="6688BEC1" w14:textId="77777777">
            <w:pPr>
              <w:widowControl/>
              <w:suppressAutoHyphens/>
              <w:jc w:val="center"/>
              <w:rPr>
                <w:rStyle w:val="DefaultParagraphFont"/>
                <w:b/>
                <w:bCs/>
                <w:snapToGrid/>
                <w:kern w:val="0"/>
                <w:sz w:val="22"/>
                <w:szCs w:val="22"/>
                <w:lang w:val="en-US" w:eastAsia="en-US" w:bidi="ar-SA"/>
              </w:rPr>
            </w:pPr>
            <w:r w:rsidRPr="002F6AC6">
              <w:rPr>
                <w:b/>
                <w:bCs/>
                <w:snapToGrid/>
                <w:kern w:val="0"/>
                <w:sz w:val="22"/>
                <w:szCs w:val="22"/>
                <w:lang w:val="en-US" w:eastAsia="en-US" w:bidi="ar-SA"/>
              </w:rPr>
              <w:t>Table 1</w:t>
            </w:r>
          </w:p>
          <w:p w:rsidR="002D16CC" w:rsidRPr="002F6AC6" w:rsidP="004E16D7" w14:paraId="270ACD9A" w14:textId="77777777">
            <w:pPr>
              <w:widowControl/>
              <w:suppressAutoHyphens/>
              <w:jc w:val="center"/>
              <w:rPr>
                <w:rStyle w:val="DefaultParagraphFont"/>
                <w:b/>
                <w:bCs/>
                <w:snapToGrid/>
                <w:kern w:val="0"/>
                <w:sz w:val="22"/>
                <w:szCs w:val="22"/>
                <w:lang w:val="en-US" w:eastAsia="en-US" w:bidi="ar-SA"/>
              </w:rPr>
            </w:pPr>
            <w:r w:rsidRPr="002F6AC6">
              <w:rPr>
                <w:b/>
                <w:bCs/>
                <w:snapToGrid/>
                <w:kern w:val="0"/>
                <w:sz w:val="22"/>
                <w:szCs w:val="22"/>
                <w:lang w:val="en-US" w:eastAsia="en-US" w:bidi="ar-SA"/>
              </w:rPr>
              <w:t>Monthly Price of Programming</w:t>
            </w:r>
          </w:p>
          <w:p w:rsidR="002D16CC" w:rsidRPr="00D9260E" w:rsidP="004E16D7" w14:paraId="647E5E77" w14:textId="48543CA0">
            <w:pPr>
              <w:widowControl/>
              <w:suppressAutoHyphens/>
              <w:jc w:val="center"/>
              <w:rPr>
                <w:rStyle w:val="DefaultParagraphFont"/>
                <w:snapToGrid/>
                <w:kern w:val="0"/>
                <w:sz w:val="22"/>
                <w:szCs w:val="22"/>
                <w:lang w:val="en-US" w:eastAsia="en-US" w:bidi="ar-SA"/>
              </w:rPr>
            </w:pPr>
            <w:r>
              <w:rPr>
                <w:snapToGrid/>
                <w:kern w:val="0"/>
                <w:sz w:val="22"/>
                <w:szCs w:val="22"/>
                <w:lang w:val="en-US" w:eastAsia="en-US" w:bidi="ar-SA"/>
              </w:rPr>
              <w:t>b</w:t>
            </w:r>
            <w:r w:rsidRPr="00D9260E">
              <w:rPr>
                <w:snapToGrid/>
                <w:kern w:val="0"/>
                <w:sz w:val="22"/>
                <w:szCs w:val="22"/>
                <w:lang w:val="en-US" w:eastAsia="en-US" w:bidi="ar-SA"/>
              </w:rPr>
              <w:t xml:space="preserve">y </w:t>
            </w:r>
            <w:r w:rsidRPr="00D9260E">
              <w:rPr>
                <w:snapToGrid/>
                <w:kern w:val="0"/>
                <w:sz w:val="22"/>
                <w:szCs w:val="22"/>
                <w:lang w:val="en-US" w:eastAsia="en-US" w:bidi="ar-SA"/>
              </w:rPr>
              <w:t>Status of Effective Competition</w:t>
            </w:r>
          </w:p>
          <w:p w:rsidR="002D16CC" w:rsidRPr="002F6AC6" w:rsidP="004E16D7" w14:paraId="1596C8A8" w14:textId="5EFAED0C">
            <w:pPr>
              <w:widowControl w:val="0"/>
              <w:suppressAutoHyphens/>
              <w:jc w:val="center"/>
              <w:rPr>
                <w:rStyle w:val="DefaultParagraphFont"/>
                <w:b/>
                <w:bCs/>
                <w:snapToGrid/>
                <w:kern w:val="0"/>
                <w:sz w:val="22"/>
                <w:szCs w:val="22"/>
                <w:lang w:val="en-US" w:eastAsia="en-US" w:bidi="ar-SA"/>
              </w:rPr>
            </w:pPr>
            <w:r w:rsidRPr="00C2591A">
              <w:rPr>
                <w:snapToGrid/>
                <w:kern w:val="0"/>
                <w:sz w:val="22"/>
                <w:szCs w:val="22"/>
                <w:lang w:val="en-US" w:eastAsia="en-US" w:bidi="ar-SA"/>
              </w:rPr>
              <w:t>January 1, 2016</w:t>
            </w:r>
          </w:p>
        </w:tc>
      </w:tr>
      <w:tr w14:paraId="1D69CC8C" w14:textId="77777777" w:rsidTr="00E12B46">
        <w:tblPrEx>
          <w:tblW w:w="5000" w:type="pct"/>
          <w:tblInd w:w="0" w:type="dxa"/>
          <w:tblLayout w:type="fixed"/>
          <w:tblCellMar>
            <w:top w:w="0" w:type="dxa"/>
            <w:left w:w="108" w:type="dxa"/>
            <w:bottom w:w="0" w:type="dxa"/>
            <w:right w:w="108" w:type="dxa"/>
          </w:tblCellMar>
          <w:tblLook w:val="04A0"/>
        </w:tblPrEx>
        <w:trPr>
          <w:trHeight w:hRule="exact" w:val="390"/>
        </w:trPr>
        <w:tc>
          <w:tcPr>
            <w:tcW w:w="860"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52591" w:rsidRPr="00DA17CD" w:rsidP="004E16D7" w14:paraId="67FC42FD"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Cable</w:t>
            </w:r>
          </w:p>
          <w:p w:rsidR="00C2591A" w:rsidRPr="00DA17CD" w:rsidP="004E16D7" w14:paraId="53A2DB1F"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 xml:space="preserve"> Service</w:t>
            </w:r>
          </w:p>
        </w:tc>
        <w:tc>
          <w:tcPr>
            <w:tcW w:w="481" w:type="pct"/>
            <w:vMerge w:val="restart"/>
            <w:tcBorders>
              <w:top w:val="single" w:sz="12" w:space="0" w:color="auto"/>
              <w:left w:val="single" w:sz="4" w:space="0" w:color="auto"/>
              <w:bottom w:val="nil"/>
              <w:right w:val="single" w:sz="4" w:space="0" w:color="auto"/>
            </w:tcBorders>
            <w:shd w:val="clear" w:color="auto" w:fill="auto"/>
            <w:vAlign w:val="center"/>
            <w:hideMark/>
          </w:tcPr>
          <w:p w:rsidR="00C2591A" w:rsidRPr="00E12B46" w:rsidP="004E16D7" w14:paraId="29BD0DBA" w14:textId="2F4615CC">
            <w:pPr>
              <w:widowControl/>
              <w:suppressAutoHyphens/>
              <w:jc w:val="center"/>
              <w:rPr>
                <w:rStyle w:val="DefaultParagraphFont"/>
                <w:b/>
                <w:bCs/>
                <w:snapToGrid/>
                <w:kern w:val="0"/>
                <w:sz w:val="20"/>
                <w:lang w:val="en-US" w:eastAsia="en-US" w:bidi="ar-SA"/>
              </w:rPr>
            </w:pPr>
            <w:r w:rsidRPr="00E12B46">
              <w:rPr>
                <w:b/>
                <w:bCs/>
                <w:snapToGrid/>
                <w:kern w:val="0"/>
                <w:sz w:val="20"/>
                <w:lang w:val="en-US" w:eastAsia="en-US" w:bidi="ar-SA"/>
              </w:rPr>
              <w:t>Full Sample</w:t>
            </w:r>
          </w:p>
        </w:tc>
        <w:tc>
          <w:tcPr>
            <w:tcW w:w="674" w:type="pct"/>
            <w:vMerge w:val="restart"/>
            <w:tcBorders>
              <w:top w:val="single" w:sz="12" w:space="0" w:color="auto"/>
              <w:left w:val="single" w:sz="4" w:space="0" w:color="auto"/>
              <w:bottom w:val="nil"/>
              <w:right w:val="single" w:sz="4" w:space="0" w:color="auto"/>
            </w:tcBorders>
            <w:shd w:val="clear" w:color="auto" w:fill="auto"/>
            <w:vAlign w:val="center"/>
            <w:hideMark/>
          </w:tcPr>
          <w:p w:rsidR="00052591" w:rsidRPr="00E12B46" w:rsidP="004E16D7" w14:paraId="54C46DC3" w14:textId="62EB5ABB">
            <w:pPr>
              <w:widowControl/>
              <w:suppressAutoHyphens/>
              <w:jc w:val="center"/>
              <w:rPr>
                <w:rStyle w:val="DefaultParagraphFont"/>
                <w:b/>
                <w:bCs/>
                <w:snapToGrid/>
                <w:kern w:val="0"/>
                <w:sz w:val="20"/>
                <w:lang w:val="en-US" w:eastAsia="en-US" w:bidi="ar-SA"/>
              </w:rPr>
            </w:pPr>
            <w:r w:rsidRPr="00E12B46">
              <w:rPr>
                <w:b/>
                <w:bCs/>
                <w:snapToGrid/>
                <w:kern w:val="0"/>
                <w:sz w:val="20"/>
                <w:lang w:val="en-US" w:eastAsia="en-US" w:bidi="ar-SA"/>
              </w:rPr>
              <w:t>Non</w:t>
            </w:r>
            <w:r w:rsidRPr="00E12B46" w:rsidR="00882388">
              <w:rPr>
                <w:b/>
                <w:bCs/>
                <w:snapToGrid/>
                <w:kern w:val="0"/>
                <w:sz w:val="20"/>
                <w:lang w:val="en-US" w:eastAsia="en-US" w:bidi="ar-SA"/>
              </w:rPr>
              <w:t>-</w:t>
            </w:r>
          </w:p>
          <w:p w:rsidR="00C2591A" w:rsidRPr="00E12B46" w:rsidP="004E16D7" w14:paraId="0EB3BFD7" w14:textId="77777777">
            <w:pPr>
              <w:widowControl/>
              <w:suppressAutoHyphens/>
              <w:jc w:val="center"/>
              <w:rPr>
                <w:rStyle w:val="DefaultParagraphFont"/>
                <w:b/>
                <w:bCs/>
                <w:snapToGrid/>
                <w:kern w:val="0"/>
                <w:sz w:val="20"/>
                <w:lang w:val="en-US" w:eastAsia="en-US" w:bidi="ar-SA"/>
              </w:rPr>
            </w:pPr>
            <w:r w:rsidRPr="00E12B46">
              <w:rPr>
                <w:b/>
                <w:bCs/>
                <w:snapToGrid/>
                <w:kern w:val="0"/>
                <w:sz w:val="20"/>
                <w:lang w:val="en-US" w:eastAsia="en-US" w:bidi="ar-SA"/>
              </w:rPr>
              <w:t>c</w:t>
            </w:r>
            <w:r w:rsidRPr="00E12B46" w:rsidR="00052591">
              <w:rPr>
                <w:b/>
                <w:bCs/>
                <w:snapToGrid/>
                <w:kern w:val="0"/>
                <w:sz w:val="20"/>
                <w:lang w:val="en-US" w:eastAsia="en-US" w:bidi="ar-SA"/>
              </w:rPr>
              <w:t xml:space="preserve">ompetitive </w:t>
            </w:r>
            <w:r w:rsidRPr="00E12B46">
              <w:rPr>
                <w:b/>
                <w:bCs/>
                <w:snapToGrid/>
                <w:kern w:val="0"/>
                <w:sz w:val="20"/>
                <w:lang w:val="en-US" w:eastAsia="en-US" w:bidi="ar-SA"/>
              </w:rPr>
              <w:t>Group</w:t>
            </w:r>
          </w:p>
        </w:tc>
        <w:tc>
          <w:tcPr>
            <w:tcW w:w="72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2591A" w:rsidRPr="00E12B46" w:rsidP="004E16D7" w14:paraId="20D34119" w14:textId="77777777">
            <w:pPr>
              <w:widowControl/>
              <w:suppressAutoHyphens/>
              <w:jc w:val="center"/>
              <w:rPr>
                <w:rStyle w:val="DefaultParagraphFont"/>
                <w:b/>
                <w:bCs/>
                <w:snapToGrid/>
                <w:kern w:val="0"/>
                <w:sz w:val="20"/>
                <w:lang w:val="en-US" w:eastAsia="en-US" w:bidi="ar-SA"/>
              </w:rPr>
            </w:pPr>
            <w:r w:rsidRPr="00E12B46">
              <w:rPr>
                <w:b/>
                <w:bCs/>
                <w:snapToGrid/>
                <w:kern w:val="0"/>
                <w:sz w:val="20"/>
                <w:lang w:val="en-US" w:eastAsia="en-US" w:bidi="ar-SA"/>
              </w:rPr>
              <w:t>Effective Competition Group</w:t>
            </w:r>
          </w:p>
        </w:tc>
        <w:tc>
          <w:tcPr>
            <w:tcW w:w="2260" w:type="pct"/>
            <w:gridSpan w:val="5"/>
            <w:tcBorders>
              <w:top w:val="single" w:sz="12" w:space="0" w:color="auto"/>
              <w:left w:val="nil"/>
              <w:bottom w:val="single" w:sz="4" w:space="0" w:color="auto"/>
              <w:right w:val="single" w:sz="12" w:space="0" w:color="auto"/>
            </w:tcBorders>
            <w:shd w:val="clear" w:color="auto" w:fill="auto"/>
            <w:noWrap/>
            <w:vAlign w:val="bottom"/>
            <w:hideMark/>
          </w:tcPr>
          <w:p w:rsidR="00C2591A" w:rsidRPr="00DA17CD" w:rsidP="004E16D7" w14:paraId="63751314"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Effective Competition Subgroups</w:t>
            </w:r>
          </w:p>
        </w:tc>
      </w:tr>
      <w:tr w14:paraId="68D58114" w14:textId="77777777" w:rsidTr="00E12B46">
        <w:tblPrEx>
          <w:tblW w:w="5000" w:type="pct"/>
          <w:tblInd w:w="0" w:type="dxa"/>
          <w:tblLayout w:type="fixed"/>
          <w:tblCellMar>
            <w:top w:w="0" w:type="dxa"/>
            <w:left w:w="108" w:type="dxa"/>
            <w:bottom w:w="0" w:type="dxa"/>
            <w:right w:w="108" w:type="dxa"/>
          </w:tblCellMar>
          <w:tblLook w:val="04A0"/>
        </w:tblPrEx>
        <w:trPr>
          <w:trHeight w:hRule="exact" w:val="523"/>
        </w:trPr>
        <w:tc>
          <w:tcPr>
            <w:tcW w:w="860" w:type="pct"/>
            <w:vMerge/>
            <w:tcBorders>
              <w:top w:val="nil"/>
              <w:left w:val="single" w:sz="12" w:space="0" w:color="auto"/>
              <w:bottom w:val="single" w:sz="4" w:space="0" w:color="auto"/>
              <w:right w:val="single" w:sz="4" w:space="0" w:color="auto"/>
            </w:tcBorders>
            <w:vAlign w:val="center"/>
            <w:hideMark/>
          </w:tcPr>
          <w:p w:rsidR="00C2591A" w:rsidRPr="00C2591A" w:rsidP="004E16D7" w14:paraId="7ED8C802" w14:textId="77777777">
            <w:pPr>
              <w:widowControl/>
              <w:suppressAutoHyphens/>
              <w:rPr>
                <w:rStyle w:val="DefaultParagraphFont"/>
                <w:b/>
                <w:bCs/>
                <w:snapToGrid/>
                <w:kern w:val="0"/>
                <w:sz w:val="20"/>
                <w:lang w:val="en-US" w:eastAsia="en-US" w:bidi="ar-SA"/>
              </w:rPr>
            </w:pPr>
          </w:p>
        </w:tc>
        <w:tc>
          <w:tcPr>
            <w:tcW w:w="481" w:type="pct"/>
            <w:vMerge/>
            <w:tcBorders>
              <w:top w:val="nil"/>
              <w:left w:val="single" w:sz="4" w:space="0" w:color="auto"/>
              <w:bottom w:val="nil"/>
              <w:right w:val="single" w:sz="4" w:space="0" w:color="auto"/>
            </w:tcBorders>
            <w:vAlign w:val="center"/>
            <w:hideMark/>
          </w:tcPr>
          <w:p w:rsidR="00C2591A" w:rsidRPr="00C2591A" w:rsidP="004E16D7" w14:paraId="5D7DFAEC" w14:textId="77777777">
            <w:pPr>
              <w:widowControl/>
              <w:suppressAutoHyphens/>
              <w:rPr>
                <w:rStyle w:val="DefaultParagraphFont"/>
                <w:b/>
                <w:bCs/>
                <w:snapToGrid/>
                <w:kern w:val="0"/>
                <w:sz w:val="20"/>
                <w:lang w:val="en-US" w:eastAsia="en-US" w:bidi="ar-SA"/>
              </w:rPr>
            </w:pPr>
          </w:p>
        </w:tc>
        <w:tc>
          <w:tcPr>
            <w:tcW w:w="674" w:type="pct"/>
            <w:vMerge/>
            <w:tcBorders>
              <w:top w:val="nil"/>
              <w:left w:val="single" w:sz="4" w:space="0" w:color="auto"/>
              <w:bottom w:val="nil"/>
              <w:right w:val="single" w:sz="4" w:space="0" w:color="auto"/>
            </w:tcBorders>
            <w:vAlign w:val="center"/>
            <w:hideMark/>
          </w:tcPr>
          <w:p w:rsidR="00C2591A" w:rsidRPr="00C2591A" w:rsidP="004E16D7" w14:paraId="451015DD" w14:textId="77777777">
            <w:pPr>
              <w:widowControl/>
              <w:suppressAutoHyphens/>
              <w:rPr>
                <w:rStyle w:val="DefaultParagraphFont"/>
                <w:b/>
                <w:bCs/>
                <w:snapToGrid/>
                <w:kern w:val="0"/>
                <w:sz w:val="20"/>
                <w:lang w:val="en-US" w:eastAsia="en-US" w:bidi="ar-SA"/>
              </w:rPr>
            </w:pPr>
          </w:p>
        </w:tc>
        <w:tc>
          <w:tcPr>
            <w:tcW w:w="724" w:type="pct"/>
            <w:vMerge/>
            <w:tcBorders>
              <w:top w:val="nil"/>
              <w:left w:val="single" w:sz="4" w:space="0" w:color="auto"/>
              <w:bottom w:val="single" w:sz="4" w:space="0" w:color="auto"/>
              <w:right w:val="single" w:sz="4" w:space="0" w:color="auto"/>
            </w:tcBorders>
            <w:vAlign w:val="center"/>
            <w:hideMark/>
          </w:tcPr>
          <w:p w:rsidR="00C2591A" w:rsidRPr="00C2591A" w:rsidP="004E16D7" w14:paraId="152388DE" w14:textId="77777777">
            <w:pPr>
              <w:widowControl/>
              <w:suppressAutoHyphens/>
              <w:rPr>
                <w:rStyle w:val="DefaultParagraphFont"/>
                <w:b/>
                <w:bCs/>
                <w:snapToGrid/>
                <w:kern w:val="0"/>
                <w:sz w:val="20"/>
                <w:lang w:val="en-US" w:eastAsia="en-US" w:bidi="ar-SA"/>
              </w:rPr>
            </w:pPr>
          </w:p>
        </w:tc>
        <w:tc>
          <w:tcPr>
            <w:tcW w:w="1251" w:type="pct"/>
            <w:gridSpan w:val="3"/>
            <w:tcBorders>
              <w:top w:val="single" w:sz="4" w:space="0" w:color="auto"/>
              <w:left w:val="nil"/>
              <w:bottom w:val="single" w:sz="4" w:space="0" w:color="auto"/>
              <w:right w:val="single" w:sz="4" w:space="0" w:color="000000"/>
            </w:tcBorders>
            <w:shd w:val="clear" w:color="auto" w:fill="auto"/>
            <w:vAlign w:val="bottom"/>
            <w:hideMark/>
          </w:tcPr>
          <w:p w:rsidR="00052591" w:rsidRPr="00DA17CD" w:rsidP="004E16D7" w14:paraId="0F466E5D"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Second Cable</w:t>
            </w:r>
          </w:p>
          <w:p w:rsidR="00C2591A" w:rsidRPr="00DA17CD" w:rsidP="004E16D7" w14:paraId="1C04A4BA"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 xml:space="preserve"> Operator Overbuild</w:t>
            </w:r>
          </w:p>
        </w:tc>
        <w:tc>
          <w:tcPr>
            <w:tcW w:w="411" w:type="pct"/>
            <w:vMerge w:val="restart"/>
            <w:tcBorders>
              <w:top w:val="nil"/>
              <w:left w:val="single" w:sz="4" w:space="0" w:color="auto"/>
              <w:bottom w:val="nil"/>
              <w:right w:val="single" w:sz="4" w:space="0" w:color="auto"/>
            </w:tcBorders>
            <w:shd w:val="clear" w:color="auto" w:fill="auto"/>
            <w:noWrap/>
            <w:vAlign w:val="center"/>
            <w:hideMark/>
          </w:tcPr>
          <w:p w:rsidR="00C2591A" w:rsidRPr="00DA17CD" w:rsidP="004E16D7" w14:paraId="79303D39"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DBS</w:t>
            </w:r>
          </w:p>
        </w:tc>
        <w:tc>
          <w:tcPr>
            <w:tcW w:w="598" w:type="pct"/>
            <w:vMerge w:val="restart"/>
            <w:tcBorders>
              <w:top w:val="nil"/>
              <w:left w:val="single" w:sz="4" w:space="0" w:color="auto"/>
              <w:bottom w:val="nil"/>
              <w:right w:val="single" w:sz="12" w:space="0" w:color="auto"/>
            </w:tcBorders>
            <w:shd w:val="clear" w:color="auto" w:fill="auto"/>
            <w:vAlign w:val="center"/>
            <w:hideMark/>
          </w:tcPr>
          <w:p w:rsidR="00C2591A" w:rsidRPr="00E12B46" w:rsidP="004E16D7" w14:paraId="4AA9A2C0" w14:textId="1F95055C">
            <w:pPr>
              <w:widowControl/>
              <w:suppressAutoHyphens/>
              <w:jc w:val="center"/>
              <w:rPr>
                <w:rStyle w:val="DefaultParagraphFont"/>
                <w:b/>
                <w:bCs/>
                <w:snapToGrid/>
                <w:kern w:val="0"/>
                <w:sz w:val="18"/>
                <w:szCs w:val="18"/>
                <w:lang w:val="en-US" w:eastAsia="en-US" w:bidi="ar-SA"/>
              </w:rPr>
            </w:pPr>
            <w:r w:rsidRPr="00E12B46">
              <w:rPr>
                <w:b/>
                <w:bCs/>
                <w:snapToGrid/>
                <w:kern w:val="0"/>
                <w:sz w:val="18"/>
                <w:szCs w:val="18"/>
                <w:lang w:val="en-US" w:eastAsia="en-US" w:bidi="ar-SA"/>
              </w:rPr>
              <w:t>Wireless</w:t>
            </w:r>
            <w:r w:rsidRPr="00E12B46" w:rsidR="00052591">
              <w:rPr>
                <w:b/>
                <w:bCs/>
                <w:snapToGrid/>
                <w:kern w:val="0"/>
                <w:sz w:val="18"/>
                <w:szCs w:val="18"/>
                <w:lang w:val="en-US" w:eastAsia="en-US" w:bidi="ar-SA"/>
              </w:rPr>
              <w:t xml:space="preserve"> </w:t>
            </w:r>
            <w:r w:rsidRPr="00E12B46" w:rsidR="00DA17CD">
              <w:rPr>
                <w:b/>
                <w:bCs/>
                <w:snapToGrid/>
                <w:kern w:val="0"/>
                <w:sz w:val="18"/>
                <w:szCs w:val="18"/>
                <w:lang w:val="en-US" w:eastAsia="en-US" w:bidi="ar-SA"/>
              </w:rPr>
              <w:t>and</w:t>
            </w:r>
            <w:r w:rsidRPr="00E12B46">
              <w:rPr>
                <w:b/>
                <w:bCs/>
                <w:snapToGrid/>
                <w:kern w:val="0"/>
                <w:sz w:val="18"/>
                <w:szCs w:val="18"/>
                <w:lang w:val="en-US" w:eastAsia="en-US" w:bidi="ar-SA"/>
              </w:rPr>
              <w:t xml:space="preserve"> Low</w:t>
            </w:r>
            <w:r w:rsidRPr="00E12B46" w:rsidR="00052591">
              <w:rPr>
                <w:b/>
                <w:bCs/>
                <w:snapToGrid/>
                <w:kern w:val="0"/>
                <w:sz w:val="18"/>
                <w:szCs w:val="18"/>
                <w:lang w:val="en-US" w:eastAsia="en-US" w:bidi="ar-SA"/>
              </w:rPr>
              <w:t xml:space="preserve"> </w:t>
            </w:r>
            <w:r w:rsidRPr="00E12B46">
              <w:rPr>
                <w:b/>
                <w:bCs/>
                <w:snapToGrid/>
                <w:kern w:val="0"/>
                <w:sz w:val="18"/>
                <w:szCs w:val="18"/>
                <w:lang w:val="en-US" w:eastAsia="en-US" w:bidi="ar-SA"/>
              </w:rPr>
              <w:t>Pen</w:t>
            </w:r>
            <w:r w:rsidRPr="00E12B46" w:rsidR="00DA17CD">
              <w:rPr>
                <w:b/>
                <w:bCs/>
                <w:snapToGrid/>
                <w:kern w:val="0"/>
                <w:sz w:val="18"/>
                <w:szCs w:val="18"/>
                <w:lang w:val="en-US" w:eastAsia="en-US" w:bidi="ar-SA"/>
              </w:rPr>
              <w:t>etration</w:t>
            </w:r>
            <w:r w:rsidRPr="00E12B46" w:rsidR="004301C0">
              <w:rPr>
                <w:b/>
                <w:bCs/>
                <w:snapToGrid/>
                <w:kern w:val="0"/>
                <w:sz w:val="18"/>
                <w:szCs w:val="18"/>
                <w:lang w:val="en-US" w:eastAsia="en-US" w:bidi="ar-SA"/>
              </w:rPr>
              <w:t xml:space="preserve"> Test</w:t>
            </w:r>
          </w:p>
        </w:tc>
      </w:tr>
      <w:tr w14:paraId="62E5FD7A" w14:textId="77777777" w:rsidTr="00E12B46">
        <w:tblPrEx>
          <w:tblW w:w="5000" w:type="pct"/>
          <w:tblInd w:w="0" w:type="dxa"/>
          <w:tblLayout w:type="fixed"/>
          <w:tblCellMar>
            <w:top w:w="0" w:type="dxa"/>
            <w:left w:w="108" w:type="dxa"/>
            <w:bottom w:w="0" w:type="dxa"/>
            <w:right w:w="108" w:type="dxa"/>
          </w:tblCellMar>
          <w:tblLook w:val="04A0"/>
        </w:tblPrEx>
        <w:trPr>
          <w:trHeight w:hRule="exact" w:val="518"/>
        </w:trPr>
        <w:tc>
          <w:tcPr>
            <w:tcW w:w="860" w:type="pct"/>
            <w:vMerge/>
            <w:tcBorders>
              <w:top w:val="nil"/>
              <w:left w:val="single" w:sz="12" w:space="0" w:color="auto"/>
              <w:bottom w:val="single" w:sz="4" w:space="0" w:color="auto"/>
              <w:right w:val="single" w:sz="4" w:space="0" w:color="auto"/>
            </w:tcBorders>
            <w:vAlign w:val="center"/>
            <w:hideMark/>
          </w:tcPr>
          <w:p w:rsidR="00C2591A" w:rsidRPr="00C2591A" w:rsidP="004E16D7" w14:paraId="61C5DA98" w14:textId="77777777">
            <w:pPr>
              <w:widowControl/>
              <w:suppressAutoHyphens/>
              <w:rPr>
                <w:rStyle w:val="DefaultParagraphFont"/>
                <w:b/>
                <w:bCs/>
                <w:snapToGrid/>
                <w:kern w:val="0"/>
                <w:sz w:val="20"/>
                <w:lang w:val="en-US" w:eastAsia="en-US" w:bidi="ar-SA"/>
              </w:rPr>
            </w:pPr>
          </w:p>
        </w:tc>
        <w:tc>
          <w:tcPr>
            <w:tcW w:w="481" w:type="pct"/>
            <w:vMerge/>
            <w:tcBorders>
              <w:top w:val="nil"/>
              <w:left w:val="single" w:sz="4" w:space="0" w:color="auto"/>
              <w:bottom w:val="nil"/>
              <w:right w:val="single" w:sz="4" w:space="0" w:color="auto"/>
            </w:tcBorders>
            <w:vAlign w:val="center"/>
            <w:hideMark/>
          </w:tcPr>
          <w:p w:rsidR="00C2591A" w:rsidRPr="00C2591A" w:rsidP="004E16D7" w14:paraId="7E5FDC7F" w14:textId="77777777">
            <w:pPr>
              <w:widowControl/>
              <w:suppressAutoHyphens/>
              <w:rPr>
                <w:rStyle w:val="DefaultParagraphFont"/>
                <w:b/>
                <w:bCs/>
                <w:snapToGrid/>
                <w:kern w:val="0"/>
                <w:sz w:val="20"/>
                <w:lang w:val="en-US" w:eastAsia="en-US" w:bidi="ar-SA"/>
              </w:rPr>
            </w:pPr>
          </w:p>
        </w:tc>
        <w:tc>
          <w:tcPr>
            <w:tcW w:w="674" w:type="pct"/>
            <w:vMerge/>
            <w:tcBorders>
              <w:top w:val="nil"/>
              <w:left w:val="single" w:sz="4" w:space="0" w:color="auto"/>
              <w:bottom w:val="nil"/>
              <w:right w:val="single" w:sz="4" w:space="0" w:color="auto"/>
            </w:tcBorders>
            <w:vAlign w:val="center"/>
            <w:hideMark/>
          </w:tcPr>
          <w:p w:rsidR="00C2591A" w:rsidRPr="00C2591A" w:rsidP="004E16D7" w14:paraId="3E9AE7D4" w14:textId="77777777">
            <w:pPr>
              <w:widowControl/>
              <w:suppressAutoHyphens/>
              <w:rPr>
                <w:rStyle w:val="DefaultParagraphFont"/>
                <w:b/>
                <w:bCs/>
                <w:snapToGrid/>
                <w:kern w:val="0"/>
                <w:sz w:val="20"/>
                <w:lang w:val="en-US" w:eastAsia="en-US" w:bidi="ar-SA"/>
              </w:rPr>
            </w:pPr>
          </w:p>
        </w:tc>
        <w:tc>
          <w:tcPr>
            <w:tcW w:w="724" w:type="pct"/>
            <w:vMerge/>
            <w:tcBorders>
              <w:top w:val="nil"/>
              <w:left w:val="single" w:sz="4" w:space="0" w:color="auto"/>
              <w:bottom w:val="single" w:sz="4" w:space="0" w:color="auto"/>
              <w:right w:val="single" w:sz="4" w:space="0" w:color="auto"/>
            </w:tcBorders>
            <w:vAlign w:val="center"/>
            <w:hideMark/>
          </w:tcPr>
          <w:p w:rsidR="00C2591A" w:rsidRPr="00C2591A" w:rsidP="004E16D7" w14:paraId="57BC74E0" w14:textId="77777777">
            <w:pPr>
              <w:widowControl/>
              <w:suppressAutoHyphens/>
              <w:rPr>
                <w:rStyle w:val="DefaultParagraphFont"/>
                <w:b/>
                <w:bCs/>
                <w:snapToGrid/>
                <w:kern w:val="0"/>
                <w:sz w:val="20"/>
                <w:lang w:val="en-US" w:eastAsia="en-US" w:bidi="ar-SA"/>
              </w:rPr>
            </w:pPr>
          </w:p>
        </w:tc>
        <w:tc>
          <w:tcPr>
            <w:tcW w:w="429" w:type="pct"/>
            <w:tcBorders>
              <w:top w:val="nil"/>
              <w:left w:val="nil"/>
              <w:bottom w:val="nil"/>
              <w:right w:val="single" w:sz="4" w:space="0" w:color="auto"/>
            </w:tcBorders>
            <w:shd w:val="clear" w:color="auto" w:fill="auto"/>
            <w:vAlign w:val="center"/>
            <w:hideMark/>
          </w:tcPr>
          <w:p w:rsidR="00C2591A" w:rsidRPr="00DA17CD" w:rsidP="004E16D7" w14:paraId="73DC8C70"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Incum</w:t>
            </w:r>
            <w:r w:rsidRPr="00DA17CD" w:rsidR="00472935">
              <w:rPr>
                <w:b/>
                <w:bCs/>
                <w:snapToGrid/>
                <w:kern w:val="0"/>
                <w:sz w:val="20"/>
                <w:lang w:val="en-US" w:eastAsia="en-US" w:bidi="ar-SA"/>
              </w:rPr>
              <w:t>b</w:t>
            </w:r>
            <w:r w:rsidRPr="00DA17CD">
              <w:rPr>
                <w:b/>
                <w:bCs/>
                <w:snapToGrid/>
                <w:kern w:val="0"/>
                <w:sz w:val="20"/>
                <w:lang w:val="en-US" w:eastAsia="en-US" w:bidi="ar-SA"/>
              </w:rPr>
              <w:t>ent</w:t>
            </w:r>
          </w:p>
        </w:tc>
        <w:tc>
          <w:tcPr>
            <w:tcW w:w="411" w:type="pct"/>
            <w:tcBorders>
              <w:top w:val="nil"/>
              <w:left w:val="nil"/>
              <w:bottom w:val="nil"/>
              <w:right w:val="single" w:sz="4" w:space="0" w:color="auto"/>
            </w:tcBorders>
            <w:shd w:val="clear" w:color="auto" w:fill="auto"/>
            <w:noWrap/>
            <w:vAlign w:val="center"/>
            <w:hideMark/>
          </w:tcPr>
          <w:p w:rsidR="00C2591A" w:rsidRPr="00DA17CD" w:rsidP="004E16D7" w14:paraId="6F04A76F"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Rival</w:t>
            </w:r>
          </w:p>
        </w:tc>
        <w:tc>
          <w:tcPr>
            <w:tcW w:w="411" w:type="pct"/>
            <w:tcBorders>
              <w:top w:val="nil"/>
              <w:left w:val="nil"/>
              <w:bottom w:val="nil"/>
              <w:right w:val="single" w:sz="4" w:space="0" w:color="auto"/>
            </w:tcBorders>
            <w:shd w:val="clear" w:color="auto" w:fill="auto"/>
            <w:noWrap/>
            <w:vAlign w:val="center"/>
            <w:hideMark/>
          </w:tcPr>
          <w:p w:rsidR="00C2591A" w:rsidRPr="00DA17CD" w:rsidP="004E16D7" w14:paraId="20984C2E" w14:textId="77777777">
            <w:pPr>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Both</w:t>
            </w:r>
          </w:p>
        </w:tc>
        <w:tc>
          <w:tcPr>
            <w:tcW w:w="411" w:type="pct"/>
            <w:vMerge/>
            <w:tcBorders>
              <w:top w:val="nil"/>
              <w:left w:val="single" w:sz="4" w:space="0" w:color="auto"/>
              <w:bottom w:val="nil"/>
              <w:right w:val="single" w:sz="4" w:space="0" w:color="auto"/>
            </w:tcBorders>
            <w:vAlign w:val="center"/>
            <w:hideMark/>
          </w:tcPr>
          <w:p w:rsidR="00C2591A" w:rsidRPr="00DA17CD" w:rsidP="004E16D7" w14:paraId="0DAF481F" w14:textId="77777777">
            <w:pPr>
              <w:widowControl/>
              <w:suppressAutoHyphens/>
              <w:rPr>
                <w:rStyle w:val="DefaultParagraphFont"/>
                <w:b/>
                <w:bCs/>
                <w:snapToGrid/>
                <w:kern w:val="0"/>
                <w:sz w:val="20"/>
                <w:lang w:val="en-US" w:eastAsia="en-US" w:bidi="ar-SA"/>
              </w:rPr>
            </w:pPr>
          </w:p>
        </w:tc>
        <w:tc>
          <w:tcPr>
            <w:tcW w:w="598" w:type="pct"/>
            <w:vMerge/>
            <w:tcBorders>
              <w:top w:val="nil"/>
              <w:left w:val="single" w:sz="4" w:space="0" w:color="auto"/>
              <w:bottom w:val="nil"/>
              <w:right w:val="single" w:sz="12" w:space="0" w:color="auto"/>
            </w:tcBorders>
            <w:vAlign w:val="center"/>
            <w:hideMark/>
          </w:tcPr>
          <w:p w:rsidR="00C2591A" w:rsidRPr="00DA17CD" w:rsidP="004E16D7" w14:paraId="186E84B6" w14:textId="77777777">
            <w:pPr>
              <w:widowControl/>
              <w:suppressAutoHyphens/>
              <w:rPr>
                <w:rStyle w:val="DefaultParagraphFont"/>
                <w:b/>
                <w:bCs/>
                <w:snapToGrid/>
                <w:kern w:val="0"/>
                <w:sz w:val="20"/>
                <w:lang w:val="en-US" w:eastAsia="en-US" w:bidi="ar-SA"/>
              </w:rPr>
            </w:pPr>
          </w:p>
        </w:tc>
      </w:tr>
      <w:tr w14:paraId="5E3EBB7B" w14:textId="77777777" w:rsidTr="00E12B46">
        <w:tblPrEx>
          <w:tblW w:w="5000" w:type="pct"/>
          <w:tblInd w:w="0" w:type="dxa"/>
          <w:tblLayout w:type="fixed"/>
          <w:tblCellMar>
            <w:top w:w="0" w:type="dxa"/>
            <w:left w:w="108" w:type="dxa"/>
            <w:bottom w:w="0" w:type="dxa"/>
            <w:right w:w="108" w:type="dxa"/>
          </w:tblCellMar>
          <w:tblLook w:val="04A0"/>
        </w:tblPrEx>
        <w:trPr>
          <w:trHeight w:hRule="exact" w:val="432"/>
        </w:trPr>
        <w:tc>
          <w:tcPr>
            <w:tcW w:w="860" w:type="pct"/>
            <w:tcBorders>
              <w:top w:val="single" w:sz="4" w:space="0" w:color="auto"/>
              <w:left w:val="single" w:sz="12" w:space="0" w:color="auto"/>
              <w:bottom w:val="nil"/>
              <w:right w:val="single" w:sz="4" w:space="0" w:color="auto"/>
            </w:tcBorders>
            <w:shd w:val="clear" w:color="auto" w:fill="auto"/>
            <w:noWrap/>
            <w:vAlign w:val="bottom"/>
            <w:hideMark/>
          </w:tcPr>
          <w:p w:rsidR="00C82B63" w:rsidRPr="00E12B46" w:rsidP="004E16D7" w14:paraId="2C3A167A" w14:textId="511EAC13">
            <w:pPr>
              <w:widowControl/>
              <w:suppressAutoHyphens/>
              <w:rPr>
                <w:rStyle w:val="DefaultParagraphFont"/>
                <w:b/>
                <w:bCs/>
                <w:snapToGrid/>
                <w:kern w:val="0"/>
                <w:sz w:val="20"/>
                <w:lang w:val="en-US" w:eastAsia="en-US" w:bidi="ar-SA"/>
              </w:rPr>
            </w:pPr>
            <w:r w:rsidRPr="00E12B46">
              <w:rPr>
                <w:b/>
                <w:bCs/>
                <w:snapToGrid/>
                <w:kern w:val="0"/>
                <w:sz w:val="20"/>
                <w:lang w:val="en-US" w:eastAsia="en-US" w:bidi="ar-SA"/>
              </w:rPr>
              <w:t>Basic</w:t>
            </w:r>
          </w:p>
        </w:tc>
        <w:tc>
          <w:tcPr>
            <w:tcW w:w="481" w:type="pct"/>
            <w:tcBorders>
              <w:top w:val="single" w:sz="4" w:space="0" w:color="auto"/>
              <w:left w:val="nil"/>
              <w:bottom w:val="nil"/>
              <w:right w:val="single" w:sz="4" w:space="0" w:color="auto"/>
            </w:tcBorders>
            <w:shd w:val="clear" w:color="auto" w:fill="auto"/>
            <w:noWrap/>
            <w:vAlign w:val="bottom"/>
            <w:hideMark/>
          </w:tcPr>
          <w:p w:rsidR="00C82B63" w:rsidRPr="00C2591A" w:rsidP="004E16D7" w14:paraId="4B7D020A" w14:textId="32FB4FFF">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$25.40</w:t>
            </w:r>
          </w:p>
        </w:tc>
        <w:tc>
          <w:tcPr>
            <w:tcW w:w="674" w:type="pct"/>
            <w:tcBorders>
              <w:top w:val="single" w:sz="4" w:space="0" w:color="auto"/>
              <w:left w:val="nil"/>
              <w:bottom w:val="nil"/>
              <w:right w:val="nil"/>
            </w:tcBorders>
            <w:shd w:val="clear" w:color="auto" w:fill="auto"/>
            <w:noWrap/>
            <w:vAlign w:val="bottom"/>
            <w:hideMark/>
          </w:tcPr>
          <w:p w:rsidR="00C82B63" w:rsidRPr="00C2591A" w:rsidP="004E16D7" w14:paraId="15C40A8F" w14:textId="6E38BE9A">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$25.78</w:t>
            </w:r>
          </w:p>
        </w:tc>
        <w:tc>
          <w:tcPr>
            <w:tcW w:w="724" w:type="pct"/>
            <w:tcBorders>
              <w:top w:val="single" w:sz="4" w:space="0" w:color="auto"/>
              <w:left w:val="single" w:sz="4" w:space="0" w:color="auto"/>
              <w:bottom w:val="nil"/>
              <w:right w:val="single" w:sz="4" w:space="0" w:color="auto"/>
            </w:tcBorders>
            <w:shd w:val="clear" w:color="auto" w:fill="auto"/>
            <w:noWrap/>
            <w:vAlign w:val="bottom"/>
            <w:hideMark/>
          </w:tcPr>
          <w:p w:rsidR="00C82B63" w:rsidRPr="00C2591A" w:rsidP="004E16D7" w14:paraId="1CD5CA05" w14:textId="11F51967">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$24.98</w:t>
            </w:r>
          </w:p>
        </w:tc>
        <w:tc>
          <w:tcPr>
            <w:tcW w:w="429" w:type="pct"/>
            <w:tcBorders>
              <w:top w:val="single" w:sz="4" w:space="0" w:color="auto"/>
              <w:left w:val="nil"/>
              <w:bottom w:val="nil"/>
              <w:right w:val="single" w:sz="4" w:space="0" w:color="auto"/>
            </w:tcBorders>
            <w:shd w:val="clear" w:color="auto" w:fill="auto"/>
            <w:noWrap/>
            <w:vAlign w:val="bottom"/>
            <w:hideMark/>
          </w:tcPr>
          <w:p w:rsidR="00C82B63" w:rsidRPr="00DA17CD" w:rsidP="004E16D7" w14:paraId="50B3F2E3" w14:textId="02DC36D9">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$23.81</w:t>
            </w:r>
          </w:p>
        </w:tc>
        <w:tc>
          <w:tcPr>
            <w:tcW w:w="411" w:type="pct"/>
            <w:tcBorders>
              <w:top w:val="single" w:sz="4" w:space="0" w:color="auto"/>
              <w:left w:val="nil"/>
              <w:bottom w:val="nil"/>
              <w:right w:val="single" w:sz="4" w:space="0" w:color="auto"/>
            </w:tcBorders>
            <w:shd w:val="clear" w:color="auto" w:fill="auto"/>
            <w:noWrap/>
            <w:vAlign w:val="bottom"/>
            <w:hideMark/>
          </w:tcPr>
          <w:p w:rsidR="00C82B63" w:rsidRPr="00DA17CD" w:rsidP="004E16D7" w14:paraId="2279DCD6" w14:textId="5530DFAC">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$23.91</w:t>
            </w:r>
          </w:p>
        </w:tc>
        <w:tc>
          <w:tcPr>
            <w:tcW w:w="411" w:type="pct"/>
            <w:tcBorders>
              <w:top w:val="single" w:sz="4" w:space="0" w:color="auto"/>
              <w:left w:val="nil"/>
              <w:bottom w:val="nil"/>
              <w:right w:val="single" w:sz="4" w:space="0" w:color="auto"/>
            </w:tcBorders>
            <w:shd w:val="clear" w:color="auto" w:fill="auto"/>
            <w:noWrap/>
            <w:vAlign w:val="bottom"/>
            <w:hideMark/>
          </w:tcPr>
          <w:p w:rsidR="00C82B63" w:rsidRPr="00DA17CD" w:rsidP="004E16D7" w14:paraId="3819C693" w14:textId="4F01B635">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$23.82</w:t>
            </w:r>
          </w:p>
        </w:tc>
        <w:tc>
          <w:tcPr>
            <w:tcW w:w="411" w:type="pct"/>
            <w:tcBorders>
              <w:top w:val="single" w:sz="4" w:space="0" w:color="auto"/>
              <w:left w:val="nil"/>
              <w:bottom w:val="nil"/>
              <w:right w:val="single" w:sz="4" w:space="0" w:color="auto"/>
            </w:tcBorders>
            <w:shd w:val="clear" w:color="auto" w:fill="auto"/>
            <w:noWrap/>
            <w:vAlign w:val="bottom"/>
            <w:hideMark/>
          </w:tcPr>
          <w:p w:rsidR="00C82B63" w:rsidRPr="00DA17CD" w:rsidP="004E16D7" w14:paraId="4FE3BE28" w14:textId="0FB7EF3E">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$25.27</w:t>
            </w:r>
          </w:p>
        </w:tc>
        <w:tc>
          <w:tcPr>
            <w:tcW w:w="598" w:type="pct"/>
            <w:tcBorders>
              <w:top w:val="single" w:sz="4" w:space="0" w:color="auto"/>
              <w:left w:val="nil"/>
              <w:bottom w:val="nil"/>
              <w:right w:val="single" w:sz="12" w:space="0" w:color="auto"/>
            </w:tcBorders>
            <w:shd w:val="clear" w:color="auto" w:fill="auto"/>
            <w:noWrap/>
            <w:vAlign w:val="bottom"/>
            <w:hideMark/>
          </w:tcPr>
          <w:p w:rsidR="00C82B63" w:rsidRPr="00DA17CD" w:rsidP="004E16D7" w14:paraId="6F02ECAE" w14:textId="1E61C4CA">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$25.96</w:t>
            </w:r>
          </w:p>
        </w:tc>
      </w:tr>
      <w:tr w14:paraId="6560C667"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860" w:type="pct"/>
            <w:tcBorders>
              <w:top w:val="nil"/>
              <w:left w:val="single" w:sz="12" w:space="0" w:color="auto"/>
              <w:bottom w:val="single" w:sz="4" w:space="0" w:color="auto"/>
              <w:right w:val="single" w:sz="4" w:space="0" w:color="auto"/>
            </w:tcBorders>
            <w:shd w:val="clear" w:color="auto" w:fill="auto"/>
            <w:noWrap/>
            <w:vAlign w:val="bottom"/>
            <w:hideMark/>
          </w:tcPr>
          <w:p w:rsidR="00C82B63" w:rsidRPr="00C2591A" w:rsidP="004E16D7" w14:paraId="27AB49A8" w14:textId="77777777">
            <w:pPr>
              <w:widowControl/>
              <w:suppressAutoHyphens/>
              <w:rPr>
                <w:rStyle w:val="DefaultParagraphFont"/>
                <w:snapToGrid/>
                <w:kern w:val="0"/>
                <w:sz w:val="20"/>
                <w:lang w:val="en-US" w:eastAsia="en-US" w:bidi="ar-SA"/>
              </w:rPr>
            </w:pPr>
            <w:r>
              <w:rPr>
                <w:snapToGrid/>
                <w:kern w:val="0"/>
                <w:sz w:val="20"/>
                <w:lang w:val="en-US" w:eastAsia="en-US" w:bidi="ar-SA"/>
              </w:rPr>
              <w:t>Annual</w:t>
            </w:r>
            <w:r w:rsidRPr="00C2591A">
              <w:rPr>
                <w:snapToGrid/>
                <w:kern w:val="0"/>
                <w:sz w:val="20"/>
                <w:lang w:val="en-US" w:eastAsia="en-US" w:bidi="ar-SA"/>
              </w:rPr>
              <w:t xml:space="preserve"> change</w:t>
            </w:r>
          </w:p>
        </w:tc>
        <w:tc>
          <w:tcPr>
            <w:tcW w:w="48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7135820D" w14:textId="27C733C1">
            <w:pPr>
              <w:widowControl/>
              <w:suppressAutoHyphens/>
              <w:jc w:val="center"/>
              <w:rPr>
                <w:rStyle w:val="DefaultParagraphFont"/>
                <w:snapToGrid/>
                <w:kern w:val="0"/>
                <w:sz w:val="20"/>
                <w:lang w:val="en-US" w:eastAsia="en-US" w:bidi="ar-SA"/>
              </w:rPr>
            </w:pPr>
            <w:r>
              <w:rPr>
                <w:snapToGrid w:val="0"/>
                <w:kern w:val="28"/>
                <w:sz w:val="20"/>
                <w:lang w:val="en-US" w:eastAsia="en-US" w:bidi="ar-SA"/>
              </w:rPr>
              <w:t>4.4%*</w:t>
            </w:r>
          </w:p>
        </w:tc>
        <w:tc>
          <w:tcPr>
            <w:tcW w:w="674"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2CCB2CA0" w14:textId="201939B3">
            <w:pPr>
              <w:widowControl/>
              <w:suppressAutoHyphens/>
              <w:jc w:val="center"/>
              <w:rPr>
                <w:rStyle w:val="DefaultParagraphFont"/>
                <w:snapToGrid/>
                <w:kern w:val="0"/>
                <w:sz w:val="20"/>
                <w:lang w:val="en-US" w:eastAsia="en-US" w:bidi="ar-SA"/>
              </w:rPr>
            </w:pPr>
            <w:r>
              <w:rPr>
                <w:snapToGrid w:val="0"/>
                <w:kern w:val="28"/>
                <w:sz w:val="20"/>
                <w:lang w:val="en-US" w:eastAsia="en-US" w:bidi="ar-SA"/>
              </w:rPr>
              <w:t>4.5%</w:t>
            </w:r>
          </w:p>
        </w:tc>
        <w:tc>
          <w:tcPr>
            <w:tcW w:w="724"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097BD25E" w14:textId="02C73F8E">
            <w:pPr>
              <w:widowControl/>
              <w:suppressAutoHyphens/>
              <w:jc w:val="center"/>
              <w:rPr>
                <w:rStyle w:val="DefaultParagraphFont"/>
                <w:snapToGrid/>
                <w:kern w:val="0"/>
                <w:sz w:val="20"/>
                <w:lang w:val="en-US" w:eastAsia="en-US" w:bidi="ar-SA"/>
              </w:rPr>
            </w:pPr>
            <w:r>
              <w:rPr>
                <w:snapToGrid w:val="0"/>
                <w:kern w:val="28"/>
                <w:sz w:val="20"/>
                <w:lang w:val="en-US" w:eastAsia="en-US" w:bidi="ar-SA"/>
              </w:rPr>
              <w:t>4.3%*</w:t>
            </w:r>
          </w:p>
        </w:tc>
        <w:tc>
          <w:tcPr>
            <w:tcW w:w="429"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6E420443" w14:textId="30DDCE8E">
            <w:pPr>
              <w:widowControl/>
              <w:suppressAutoHyphens/>
              <w:jc w:val="center"/>
              <w:rPr>
                <w:rStyle w:val="DefaultParagraphFont"/>
                <w:snapToGrid/>
                <w:kern w:val="0"/>
                <w:sz w:val="20"/>
                <w:lang w:val="en-US" w:eastAsia="en-US" w:bidi="ar-SA"/>
              </w:rPr>
            </w:pPr>
            <w:r>
              <w:rPr>
                <w:snapToGrid w:val="0"/>
                <w:kern w:val="28"/>
                <w:sz w:val="20"/>
                <w:lang w:val="en-US" w:eastAsia="en-US" w:bidi="ar-SA"/>
              </w:rPr>
              <w:t>3.1%</w:t>
            </w:r>
          </w:p>
        </w:tc>
        <w:tc>
          <w:tcPr>
            <w:tcW w:w="41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75AA6D4E" w14:textId="4849D842">
            <w:pPr>
              <w:widowControl/>
              <w:suppressAutoHyphens/>
              <w:jc w:val="center"/>
              <w:rPr>
                <w:rStyle w:val="DefaultParagraphFont"/>
                <w:snapToGrid/>
                <w:kern w:val="0"/>
                <w:sz w:val="20"/>
                <w:lang w:val="en-US" w:eastAsia="en-US" w:bidi="ar-SA"/>
              </w:rPr>
            </w:pPr>
            <w:r>
              <w:rPr>
                <w:snapToGrid w:val="0"/>
                <w:kern w:val="28"/>
                <w:sz w:val="20"/>
                <w:lang w:val="en-US" w:eastAsia="en-US" w:bidi="ar-SA"/>
              </w:rPr>
              <w:t>7.3%</w:t>
            </w:r>
          </w:p>
        </w:tc>
        <w:tc>
          <w:tcPr>
            <w:tcW w:w="41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263049FD" w14:textId="53FA2F12">
            <w:pPr>
              <w:widowControl/>
              <w:suppressAutoHyphens/>
              <w:jc w:val="center"/>
              <w:rPr>
                <w:rStyle w:val="DefaultParagraphFont"/>
                <w:snapToGrid/>
                <w:kern w:val="0"/>
                <w:sz w:val="20"/>
                <w:lang w:val="en-US" w:eastAsia="en-US" w:bidi="ar-SA"/>
              </w:rPr>
            </w:pPr>
            <w:r>
              <w:rPr>
                <w:snapToGrid w:val="0"/>
                <w:kern w:val="28"/>
                <w:sz w:val="20"/>
                <w:lang w:val="en-US" w:eastAsia="en-US" w:bidi="ar-SA"/>
              </w:rPr>
              <w:t>3.7%</w:t>
            </w:r>
          </w:p>
        </w:tc>
        <w:tc>
          <w:tcPr>
            <w:tcW w:w="41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2593441B" w14:textId="3FECB03D">
            <w:pPr>
              <w:widowControl/>
              <w:suppressAutoHyphens/>
              <w:jc w:val="center"/>
              <w:rPr>
                <w:rStyle w:val="DefaultParagraphFont"/>
                <w:snapToGrid/>
                <w:kern w:val="0"/>
                <w:sz w:val="20"/>
                <w:lang w:val="en-US" w:eastAsia="en-US" w:bidi="ar-SA"/>
              </w:rPr>
            </w:pPr>
            <w:r>
              <w:rPr>
                <w:snapToGrid w:val="0"/>
                <w:kern w:val="28"/>
                <w:sz w:val="20"/>
                <w:lang w:val="en-US" w:eastAsia="en-US" w:bidi="ar-SA"/>
              </w:rPr>
              <w:t>4.5%</w:t>
            </w:r>
          </w:p>
        </w:tc>
        <w:tc>
          <w:tcPr>
            <w:tcW w:w="598" w:type="pct"/>
            <w:tcBorders>
              <w:top w:val="nil"/>
              <w:left w:val="nil"/>
              <w:bottom w:val="single" w:sz="4" w:space="0" w:color="auto"/>
              <w:right w:val="single" w:sz="12" w:space="0" w:color="auto"/>
            </w:tcBorders>
            <w:shd w:val="clear" w:color="auto" w:fill="auto"/>
            <w:noWrap/>
            <w:vAlign w:val="bottom"/>
            <w:hideMark/>
          </w:tcPr>
          <w:p w:rsidR="00C82B63" w:rsidRPr="00C2591A" w:rsidP="004E16D7" w14:paraId="1DA88771" w14:textId="7631E0CF">
            <w:pPr>
              <w:widowControl/>
              <w:suppressAutoHyphens/>
              <w:jc w:val="center"/>
              <w:rPr>
                <w:rStyle w:val="DefaultParagraphFont"/>
                <w:snapToGrid/>
                <w:kern w:val="0"/>
                <w:sz w:val="20"/>
                <w:lang w:val="en-US" w:eastAsia="en-US" w:bidi="ar-SA"/>
              </w:rPr>
            </w:pPr>
            <w:r>
              <w:rPr>
                <w:snapToGrid w:val="0"/>
                <w:kern w:val="28"/>
                <w:sz w:val="20"/>
                <w:lang w:val="en-US" w:eastAsia="en-US" w:bidi="ar-SA"/>
              </w:rPr>
              <w:t>3.8%</w:t>
            </w:r>
          </w:p>
        </w:tc>
      </w:tr>
      <w:tr w14:paraId="4154F874" w14:textId="77777777" w:rsidTr="00E12B46">
        <w:tblPrEx>
          <w:tblW w:w="5000" w:type="pct"/>
          <w:tblInd w:w="0" w:type="dxa"/>
          <w:tblLayout w:type="fixed"/>
          <w:tblCellMar>
            <w:top w:w="0" w:type="dxa"/>
            <w:left w:w="108" w:type="dxa"/>
            <w:bottom w:w="0" w:type="dxa"/>
            <w:right w:w="108" w:type="dxa"/>
          </w:tblCellMar>
          <w:tblLook w:val="04A0"/>
        </w:tblPrEx>
        <w:trPr>
          <w:trHeight w:hRule="exact" w:val="432"/>
        </w:trPr>
        <w:tc>
          <w:tcPr>
            <w:tcW w:w="860" w:type="pct"/>
            <w:tcBorders>
              <w:top w:val="nil"/>
              <w:left w:val="single" w:sz="12" w:space="0" w:color="auto"/>
              <w:bottom w:val="nil"/>
              <w:right w:val="single" w:sz="4" w:space="0" w:color="auto"/>
            </w:tcBorders>
            <w:shd w:val="clear" w:color="auto" w:fill="auto"/>
            <w:vAlign w:val="bottom"/>
            <w:hideMark/>
          </w:tcPr>
          <w:p w:rsidR="00C82B63" w:rsidRPr="00E12B46" w:rsidP="004E16D7" w14:paraId="4CA83AC7" w14:textId="77777777">
            <w:pPr>
              <w:widowControl/>
              <w:suppressAutoHyphens/>
              <w:rPr>
                <w:rStyle w:val="DefaultParagraphFont"/>
                <w:b/>
                <w:bCs/>
                <w:snapToGrid/>
                <w:kern w:val="0"/>
                <w:sz w:val="20"/>
                <w:lang w:val="en-US" w:eastAsia="en-US" w:bidi="ar-SA"/>
              </w:rPr>
            </w:pPr>
            <w:r w:rsidRPr="00E12B46">
              <w:rPr>
                <w:b/>
                <w:bCs/>
                <w:snapToGrid/>
                <w:kern w:val="0"/>
                <w:sz w:val="20"/>
                <w:lang w:val="en-US" w:eastAsia="en-US" w:bidi="ar-SA"/>
              </w:rPr>
              <w:t>Expanded basic</w:t>
            </w:r>
          </w:p>
        </w:tc>
        <w:tc>
          <w:tcPr>
            <w:tcW w:w="481" w:type="pct"/>
            <w:tcBorders>
              <w:top w:val="nil"/>
              <w:left w:val="nil"/>
              <w:bottom w:val="nil"/>
              <w:right w:val="single" w:sz="4" w:space="0" w:color="auto"/>
            </w:tcBorders>
            <w:shd w:val="clear" w:color="auto" w:fill="auto"/>
            <w:noWrap/>
            <w:vAlign w:val="bottom"/>
            <w:hideMark/>
          </w:tcPr>
          <w:p w:rsidR="00C82B63" w:rsidRPr="00C2591A" w:rsidP="004E16D7" w14:paraId="6CE3CA91" w14:textId="728A5E6E">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$71.37</w:t>
            </w:r>
          </w:p>
        </w:tc>
        <w:tc>
          <w:tcPr>
            <w:tcW w:w="674" w:type="pct"/>
            <w:tcBorders>
              <w:top w:val="nil"/>
              <w:left w:val="nil"/>
              <w:bottom w:val="nil"/>
              <w:right w:val="nil"/>
            </w:tcBorders>
            <w:shd w:val="clear" w:color="auto" w:fill="auto"/>
            <w:noWrap/>
            <w:vAlign w:val="bottom"/>
            <w:hideMark/>
          </w:tcPr>
          <w:p w:rsidR="00C82B63" w:rsidRPr="00C2591A" w:rsidP="004E16D7" w14:paraId="79DF1A8D" w14:textId="41559E44">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$69.80</w:t>
            </w:r>
          </w:p>
        </w:tc>
        <w:tc>
          <w:tcPr>
            <w:tcW w:w="724" w:type="pct"/>
            <w:tcBorders>
              <w:top w:val="nil"/>
              <w:left w:val="single" w:sz="4" w:space="0" w:color="auto"/>
              <w:bottom w:val="nil"/>
              <w:right w:val="single" w:sz="4" w:space="0" w:color="auto"/>
            </w:tcBorders>
            <w:shd w:val="clear" w:color="auto" w:fill="auto"/>
            <w:noWrap/>
            <w:vAlign w:val="bottom"/>
            <w:hideMark/>
          </w:tcPr>
          <w:p w:rsidR="00C82B63" w:rsidRPr="00C2591A" w:rsidP="004E16D7" w14:paraId="7F0A996A" w14:textId="0CA57DBC">
            <w:pPr>
              <w:widowControl/>
              <w:suppressAutoHyphens/>
              <w:jc w:val="center"/>
              <w:rPr>
                <w:rStyle w:val="DefaultParagraphFont"/>
                <w:b/>
                <w:bCs/>
                <w:snapToGrid/>
                <w:kern w:val="0"/>
                <w:sz w:val="20"/>
                <w:lang w:val="en-US" w:eastAsia="en-US" w:bidi="ar-SA"/>
              </w:rPr>
            </w:pPr>
            <w:bookmarkStart w:id="43" w:name="_Hlk480213983"/>
            <w:r>
              <w:rPr>
                <w:b/>
                <w:bCs/>
                <w:snapToGrid w:val="0"/>
                <w:kern w:val="28"/>
                <w:sz w:val="20"/>
                <w:lang w:val="en-US" w:eastAsia="en-US" w:bidi="ar-SA"/>
              </w:rPr>
              <w:t>$73.08</w:t>
            </w:r>
            <w:bookmarkEnd w:id="43"/>
          </w:p>
        </w:tc>
        <w:tc>
          <w:tcPr>
            <w:tcW w:w="429" w:type="pct"/>
            <w:tcBorders>
              <w:top w:val="nil"/>
              <w:left w:val="nil"/>
              <w:bottom w:val="nil"/>
              <w:right w:val="single" w:sz="4" w:space="0" w:color="auto"/>
            </w:tcBorders>
            <w:shd w:val="clear" w:color="auto" w:fill="auto"/>
            <w:noWrap/>
            <w:vAlign w:val="bottom"/>
            <w:hideMark/>
          </w:tcPr>
          <w:p w:rsidR="00C82B63" w:rsidRPr="00C2591A" w:rsidP="004E16D7" w14:paraId="54AC83FF" w14:textId="43D53F68">
            <w:pPr>
              <w:widowControl/>
              <w:suppressAutoHyphens/>
              <w:jc w:val="center"/>
              <w:rPr>
                <w:rStyle w:val="DefaultParagraphFont"/>
                <w:b/>
                <w:bCs/>
                <w:snapToGrid/>
                <w:kern w:val="0"/>
                <w:sz w:val="20"/>
                <w:lang w:val="en-US" w:eastAsia="en-US" w:bidi="ar-SA"/>
              </w:rPr>
            </w:pPr>
            <w:bookmarkStart w:id="44" w:name="_Hlk480265175"/>
            <w:r>
              <w:rPr>
                <w:b/>
                <w:bCs/>
                <w:snapToGrid w:val="0"/>
                <w:kern w:val="28"/>
                <w:sz w:val="20"/>
                <w:lang w:val="en-US" w:eastAsia="en-US" w:bidi="ar-SA"/>
              </w:rPr>
              <w:t>$72.16</w:t>
            </w:r>
            <w:bookmarkEnd w:id="44"/>
          </w:p>
        </w:tc>
        <w:tc>
          <w:tcPr>
            <w:tcW w:w="411" w:type="pct"/>
            <w:tcBorders>
              <w:top w:val="nil"/>
              <w:left w:val="nil"/>
              <w:bottom w:val="nil"/>
              <w:right w:val="single" w:sz="4" w:space="0" w:color="auto"/>
            </w:tcBorders>
            <w:shd w:val="clear" w:color="auto" w:fill="auto"/>
            <w:noWrap/>
            <w:vAlign w:val="bottom"/>
            <w:hideMark/>
          </w:tcPr>
          <w:p w:rsidR="00C82B63" w:rsidRPr="00C2591A" w:rsidP="004E16D7" w14:paraId="7950BDA7" w14:textId="66EE55C4">
            <w:pPr>
              <w:widowControl/>
              <w:suppressAutoHyphens/>
              <w:jc w:val="center"/>
              <w:rPr>
                <w:rStyle w:val="DefaultParagraphFont"/>
                <w:b/>
                <w:bCs/>
                <w:snapToGrid/>
                <w:kern w:val="0"/>
                <w:sz w:val="20"/>
                <w:lang w:val="en-US" w:eastAsia="en-US" w:bidi="ar-SA"/>
              </w:rPr>
            </w:pPr>
            <w:bookmarkStart w:id="45" w:name="_Hlk480265258"/>
            <w:r>
              <w:rPr>
                <w:b/>
                <w:bCs/>
                <w:snapToGrid w:val="0"/>
                <w:kern w:val="28"/>
                <w:sz w:val="20"/>
                <w:lang w:val="en-US" w:eastAsia="en-US" w:bidi="ar-SA"/>
              </w:rPr>
              <w:t>$65.60</w:t>
            </w:r>
            <w:bookmarkEnd w:id="45"/>
          </w:p>
        </w:tc>
        <w:tc>
          <w:tcPr>
            <w:tcW w:w="411" w:type="pct"/>
            <w:tcBorders>
              <w:top w:val="nil"/>
              <w:left w:val="nil"/>
              <w:bottom w:val="nil"/>
              <w:right w:val="single" w:sz="4" w:space="0" w:color="auto"/>
            </w:tcBorders>
            <w:shd w:val="clear" w:color="auto" w:fill="auto"/>
            <w:noWrap/>
            <w:vAlign w:val="bottom"/>
            <w:hideMark/>
          </w:tcPr>
          <w:p w:rsidR="00C82B63" w:rsidRPr="00C2591A" w:rsidP="004E16D7" w14:paraId="29889EB7" w14:textId="605D2A00">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$71.14</w:t>
            </w:r>
          </w:p>
        </w:tc>
        <w:tc>
          <w:tcPr>
            <w:tcW w:w="411" w:type="pct"/>
            <w:tcBorders>
              <w:top w:val="nil"/>
              <w:left w:val="nil"/>
              <w:bottom w:val="nil"/>
              <w:right w:val="single" w:sz="4" w:space="0" w:color="auto"/>
            </w:tcBorders>
            <w:shd w:val="clear" w:color="auto" w:fill="auto"/>
            <w:noWrap/>
            <w:vAlign w:val="bottom"/>
            <w:hideMark/>
          </w:tcPr>
          <w:p w:rsidR="00C82B63" w:rsidRPr="00C2591A" w:rsidP="004E16D7" w14:paraId="793D8D72" w14:textId="71212E1E">
            <w:pPr>
              <w:widowControl/>
              <w:suppressAutoHyphens/>
              <w:jc w:val="center"/>
              <w:rPr>
                <w:rStyle w:val="DefaultParagraphFont"/>
                <w:b/>
                <w:bCs/>
                <w:snapToGrid/>
                <w:kern w:val="0"/>
                <w:sz w:val="20"/>
                <w:lang w:val="en-US" w:eastAsia="en-US" w:bidi="ar-SA"/>
              </w:rPr>
            </w:pPr>
            <w:bookmarkStart w:id="46" w:name="_Hlk480265339"/>
            <w:r>
              <w:rPr>
                <w:b/>
                <w:bCs/>
                <w:snapToGrid w:val="0"/>
                <w:kern w:val="28"/>
                <w:sz w:val="20"/>
                <w:lang w:val="en-US" w:eastAsia="en-US" w:bidi="ar-SA"/>
              </w:rPr>
              <w:t>$73.73</w:t>
            </w:r>
            <w:bookmarkEnd w:id="46"/>
          </w:p>
        </w:tc>
        <w:tc>
          <w:tcPr>
            <w:tcW w:w="598" w:type="pct"/>
            <w:tcBorders>
              <w:top w:val="nil"/>
              <w:left w:val="nil"/>
              <w:bottom w:val="nil"/>
              <w:right w:val="single" w:sz="12" w:space="0" w:color="auto"/>
            </w:tcBorders>
            <w:shd w:val="clear" w:color="auto" w:fill="auto"/>
            <w:noWrap/>
            <w:vAlign w:val="bottom"/>
            <w:hideMark/>
          </w:tcPr>
          <w:p w:rsidR="00C82B63" w:rsidRPr="00C2591A" w:rsidP="004E16D7" w14:paraId="49684CBE" w14:textId="20F33939">
            <w:pPr>
              <w:widowControl/>
              <w:suppressAutoHyphens/>
              <w:jc w:val="center"/>
              <w:rPr>
                <w:rStyle w:val="DefaultParagraphFont"/>
                <w:b/>
                <w:bCs/>
                <w:snapToGrid/>
                <w:kern w:val="0"/>
                <w:sz w:val="20"/>
                <w:lang w:val="en-US" w:eastAsia="en-US" w:bidi="ar-SA"/>
              </w:rPr>
            </w:pPr>
            <w:bookmarkStart w:id="47" w:name="_Hlk480265602"/>
            <w:r>
              <w:rPr>
                <w:b/>
                <w:bCs/>
                <w:snapToGrid w:val="0"/>
                <w:kern w:val="28"/>
                <w:sz w:val="20"/>
                <w:lang w:val="en-US" w:eastAsia="en-US" w:bidi="ar-SA"/>
              </w:rPr>
              <w:t>$73.02</w:t>
            </w:r>
            <w:bookmarkEnd w:id="47"/>
          </w:p>
        </w:tc>
      </w:tr>
      <w:tr w14:paraId="3F4734E0"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860" w:type="pct"/>
            <w:tcBorders>
              <w:top w:val="nil"/>
              <w:left w:val="single" w:sz="12" w:space="0" w:color="auto"/>
              <w:bottom w:val="single" w:sz="4" w:space="0" w:color="auto"/>
              <w:right w:val="single" w:sz="4" w:space="0" w:color="auto"/>
            </w:tcBorders>
            <w:shd w:val="clear" w:color="auto" w:fill="auto"/>
            <w:noWrap/>
            <w:vAlign w:val="bottom"/>
            <w:hideMark/>
          </w:tcPr>
          <w:p w:rsidR="00C82B63" w:rsidRPr="00C2591A" w:rsidP="004E16D7" w14:paraId="73CC5567" w14:textId="77777777">
            <w:pPr>
              <w:widowControl/>
              <w:suppressAutoHyphens/>
              <w:rPr>
                <w:rStyle w:val="DefaultParagraphFont"/>
                <w:snapToGrid/>
                <w:kern w:val="0"/>
                <w:sz w:val="20"/>
                <w:lang w:val="en-US" w:eastAsia="en-US" w:bidi="ar-SA"/>
              </w:rPr>
            </w:pPr>
            <w:r>
              <w:rPr>
                <w:snapToGrid/>
                <w:kern w:val="0"/>
                <w:sz w:val="20"/>
                <w:lang w:val="en-US" w:eastAsia="en-US" w:bidi="ar-SA"/>
              </w:rPr>
              <w:t>Annual</w:t>
            </w:r>
            <w:r w:rsidRPr="00C2591A">
              <w:rPr>
                <w:snapToGrid/>
                <w:kern w:val="0"/>
                <w:sz w:val="20"/>
                <w:lang w:val="en-US" w:eastAsia="en-US" w:bidi="ar-SA"/>
              </w:rPr>
              <w:t xml:space="preserve"> change</w:t>
            </w:r>
          </w:p>
        </w:tc>
        <w:tc>
          <w:tcPr>
            <w:tcW w:w="48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00F53367" w14:textId="2DE71128">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c>
          <w:tcPr>
            <w:tcW w:w="674"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59C1A7F2" w14:textId="1489F005">
            <w:pPr>
              <w:widowControl/>
              <w:suppressAutoHyphens/>
              <w:jc w:val="center"/>
              <w:rPr>
                <w:rStyle w:val="DefaultParagraphFont"/>
                <w:snapToGrid/>
                <w:kern w:val="0"/>
                <w:sz w:val="20"/>
                <w:lang w:val="en-US" w:eastAsia="en-US" w:bidi="ar-SA"/>
              </w:rPr>
            </w:pPr>
            <w:r>
              <w:rPr>
                <w:snapToGrid w:val="0"/>
                <w:kern w:val="28"/>
                <w:sz w:val="20"/>
                <w:lang w:val="en-US" w:eastAsia="en-US" w:bidi="ar-SA"/>
              </w:rPr>
              <w:t>3.5%*</w:t>
            </w:r>
          </w:p>
        </w:tc>
        <w:tc>
          <w:tcPr>
            <w:tcW w:w="724"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7554CB39" w14:textId="0AC9A40C">
            <w:pPr>
              <w:widowControl/>
              <w:suppressAutoHyphens/>
              <w:jc w:val="center"/>
              <w:rPr>
                <w:rStyle w:val="DefaultParagraphFont"/>
                <w:snapToGrid/>
                <w:kern w:val="0"/>
                <w:sz w:val="20"/>
                <w:lang w:val="en-US" w:eastAsia="en-US" w:bidi="ar-SA"/>
              </w:rPr>
            </w:pPr>
            <w:r>
              <w:rPr>
                <w:snapToGrid w:val="0"/>
                <w:kern w:val="28"/>
                <w:sz w:val="20"/>
                <w:lang w:val="en-US" w:eastAsia="en-US" w:bidi="ar-SA"/>
              </w:rPr>
              <w:t>3.3%*</w:t>
            </w:r>
          </w:p>
        </w:tc>
        <w:tc>
          <w:tcPr>
            <w:tcW w:w="429"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51054CFB" w14:textId="74A7049F">
            <w:pPr>
              <w:widowControl/>
              <w:suppressAutoHyphens/>
              <w:jc w:val="center"/>
              <w:rPr>
                <w:rStyle w:val="DefaultParagraphFont"/>
                <w:snapToGrid/>
                <w:kern w:val="0"/>
                <w:sz w:val="20"/>
                <w:lang w:val="en-US" w:eastAsia="en-US" w:bidi="ar-SA"/>
              </w:rPr>
            </w:pPr>
            <w:r>
              <w:rPr>
                <w:snapToGrid w:val="0"/>
                <w:kern w:val="28"/>
                <w:sz w:val="20"/>
                <w:lang w:val="en-US" w:eastAsia="en-US" w:bidi="ar-SA"/>
              </w:rPr>
              <w:t>2.7%*</w:t>
            </w:r>
          </w:p>
        </w:tc>
        <w:tc>
          <w:tcPr>
            <w:tcW w:w="41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53671C03" w14:textId="466944AB">
            <w:pPr>
              <w:widowControl/>
              <w:suppressAutoHyphens/>
              <w:jc w:val="center"/>
              <w:rPr>
                <w:rStyle w:val="DefaultParagraphFont"/>
                <w:snapToGrid/>
                <w:kern w:val="0"/>
                <w:sz w:val="20"/>
                <w:lang w:val="en-US" w:eastAsia="en-US" w:bidi="ar-SA"/>
              </w:rPr>
            </w:pPr>
            <w:r>
              <w:rPr>
                <w:snapToGrid w:val="0"/>
                <w:kern w:val="28"/>
                <w:sz w:val="20"/>
                <w:lang w:val="en-US" w:eastAsia="en-US" w:bidi="ar-SA"/>
              </w:rPr>
              <w:t>6.3%*</w:t>
            </w:r>
          </w:p>
        </w:tc>
        <w:tc>
          <w:tcPr>
            <w:tcW w:w="41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35AA8F55" w14:textId="4F7C262B">
            <w:pPr>
              <w:widowControl/>
              <w:suppressAutoHyphens/>
              <w:jc w:val="center"/>
              <w:rPr>
                <w:rStyle w:val="DefaultParagraphFont"/>
                <w:snapToGrid/>
                <w:kern w:val="0"/>
                <w:sz w:val="20"/>
                <w:lang w:val="en-US" w:eastAsia="en-US" w:bidi="ar-SA"/>
              </w:rPr>
            </w:pPr>
            <w:r>
              <w:rPr>
                <w:snapToGrid w:val="0"/>
                <w:kern w:val="28"/>
                <w:sz w:val="20"/>
                <w:lang w:val="en-US" w:eastAsia="en-US" w:bidi="ar-SA"/>
              </w:rPr>
              <w:t>3.2%*</w:t>
            </w:r>
          </w:p>
        </w:tc>
        <w:tc>
          <w:tcPr>
            <w:tcW w:w="411" w:type="pct"/>
            <w:tcBorders>
              <w:top w:val="nil"/>
              <w:left w:val="nil"/>
              <w:bottom w:val="single" w:sz="4" w:space="0" w:color="auto"/>
              <w:right w:val="single" w:sz="4" w:space="0" w:color="auto"/>
            </w:tcBorders>
            <w:shd w:val="clear" w:color="auto" w:fill="auto"/>
            <w:noWrap/>
            <w:vAlign w:val="bottom"/>
            <w:hideMark/>
          </w:tcPr>
          <w:p w:rsidR="00C82B63" w:rsidRPr="00C2591A" w:rsidP="004E16D7" w14:paraId="6B498D76" w14:textId="68D1157D">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c>
          <w:tcPr>
            <w:tcW w:w="598" w:type="pct"/>
            <w:tcBorders>
              <w:top w:val="nil"/>
              <w:left w:val="nil"/>
              <w:bottom w:val="single" w:sz="4" w:space="0" w:color="auto"/>
              <w:right w:val="single" w:sz="12" w:space="0" w:color="auto"/>
            </w:tcBorders>
            <w:shd w:val="clear" w:color="auto" w:fill="auto"/>
            <w:noWrap/>
            <w:vAlign w:val="bottom"/>
            <w:hideMark/>
          </w:tcPr>
          <w:p w:rsidR="00C82B63" w:rsidRPr="00C2591A" w:rsidP="004E16D7" w14:paraId="7FC4E30C" w14:textId="38323C65">
            <w:pPr>
              <w:widowControl/>
              <w:suppressAutoHyphens/>
              <w:jc w:val="center"/>
              <w:rPr>
                <w:rStyle w:val="DefaultParagraphFont"/>
                <w:snapToGrid/>
                <w:kern w:val="0"/>
                <w:sz w:val="20"/>
                <w:lang w:val="en-US" w:eastAsia="en-US" w:bidi="ar-SA"/>
              </w:rPr>
            </w:pPr>
            <w:r>
              <w:rPr>
                <w:snapToGrid w:val="0"/>
                <w:kern w:val="28"/>
                <w:sz w:val="20"/>
                <w:lang w:val="en-US" w:eastAsia="en-US" w:bidi="ar-SA"/>
              </w:rPr>
              <w:t>2.5%</w:t>
            </w:r>
          </w:p>
        </w:tc>
      </w:tr>
      <w:tr w14:paraId="1F201854" w14:textId="77777777" w:rsidTr="00E12B46">
        <w:tblPrEx>
          <w:tblW w:w="5000" w:type="pct"/>
          <w:tblInd w:w="0" w:type="dxa"/>
          <w:tblLayout w:type="fixed"/>
          <w:tblCellMar>
            <w:top w:w="0" w:type="dxa"/>
            <w:left w:w="108" w:type="dxa"/>
            <w:bottom w:w="0" w:type="dxa"/>
            <w:right w:w="108" w:type="dxa"/>
          </w:tblCellMar>
          <w:tblLook w:val="04A0"/>
        </w:tblPrEx>
        <w:trPr>
          <w:trHeight w:hRule="exact" w:val="432"/>
        </w:trPr>
        <w:tc>
          <w:tcPr>
            <w:tcW w:w="860" w:type="pct"/>
            <w:tcBorders>
              <w:top w:val="nil"/>
              <w:left w:val="single" w:sz="12" w:space="0" w:color="auto"/>
              <w:bottom w:val="nil"/>
              <w:right w:val="single" w:sz="4" w:space="0" w:color="auto"/>
            </w:tcBorders>
            <w:shd w:val="clear" w:color="auto" w:fill="auto"/>
            <w:vAlign w:val="bottom"/>
            <w:hideMark/>
          </w:tcPr>
          <w:p w:rsidR="00C82B63" w:rsidRPr="00E12B46" w:rsidP="004E16D7" w14:paraId="29C45669" w14:textId="77777777">
            <w:pPr>
              <w:widowControl/>
              <w:suppressAutoHyphens/>
              <w:rPr>
                <w:rStyle w:val="DefaultParagraphFont"/>
                <w:b/>
                <w:bCs/>
                <w:snapToGrid/>
                <w:kern w:val="0"/>
                <w:sz w:val="19"/>
                <w:szCs w:val="19"/>
                <w:lang w:val="en-US" w:eastAsia="en-US" w:bidi="ar-SA"/>
              </w:rPr>
            </w:pPr>
            <w:r w:rsidRPr="00E12B46">
              <w:rPr>
                <w:b/>
                <w:bCs/>
                <w:snapToGrid/>
                <w:kern w:val="0"/>
                <w:sz w:val="19"/>
                <w:szCs w:val="19"/>
                <w:lang w:val="en-US" w:eastAsia="en-US" w:bidi="ar-SA"/>
              </w:rPr>
              <w:t>Next most popular</w:t>
            </w:r>
          </w:p>
        </w:tc>
        <w:tc>
          <w:tcPr>
            <w:tcW w:w="481" w:type="pct"/>
            <w:tcBorders>
              <w:top w:val="nil"/>
              <w:left w:val="nil"/>
              <w:bottom w:val="nil"/>
              <w:right w:val="single" w:sz="4" w:space="0" w:color="auto"/>
            </w:tcBorders>
            <w:shd w:val="clear" w:color="auto" w:fill="auto"/>
            <w:noWrap/>
            <w:vAlign w:val="bottom"/>
            <w:hideMark/>
          </w:tcPr>
          <w:p w:rsidR="00C82B63" w:rsidRPr="00C2591A" w:rsidP="004E16D7" w14:paraId="6C33B63C" w14:textId="7A43BC50">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$84.91</w:t>
            </w:r>
          </w:p>
        </w:tc>
        <w:tc>
          <w:tcPr>
            <w:tcW w:w="674" w:type="pct"/>
            <w:tcBorders>
              <w:top w:val="nil"/>
              <w:left w:val="nil"/>
              <w:bottom w:val="nil"/>
              <w:right w:val="nil"/>
            </w:tcBorders>
            <w:shd w:val="clear" w:color="auto" w:fill="auto"/>
            <w:noWrap/>
            <w:vAlign w:val="bottom"/>
            <w:hideMark/>
          </w:tcPr>
          <w:p w:rsidR="00C82B63" w:rsidRPr="00C2591A" w:rsidP="004E16D7" w14:paraId="16E30F90" w14:textId="139C5029">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$84.96</w:t>
            </w:r>
          </w:p>
        </w:tc>
        <w:tc>
          <w:tcPr>
            <w:tcW w:w="724" w:type="pct"/>
            <w:tcBorders>
              <w:top w:val="nil"/>
              <w:left w:val="single" w:sz="4" w:space="0" w:color="auto"/>
              <w:bottom w:val="nil"/>
              <w:right w:val="single" w:sz="4" w:space="0" w:color="auto"/>
            </w:tcBorders>
            <w:shd w:val="clear" w:color="auto" w:fill="auto"/>
            <w:noWrap/>
            <w:vAlign w:val="bottom"/>
            <w:hideMark/>
          </w:tcPr>
          <w:p w:rsidR="00C82B63" w:rsidRPr="00C2591A" w:rsidP="004E16D7" w14:paraId="1FD8D338" w14:textId="6EBBFB8D">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$84.85</w:t>
            </w:r>
          </w:p>
        </w:tc>
        <w:tc>
          <w:tcPr>
            <w:tcW w:w="429" w:type="pct"/>
            <w:tcBorders>
              <w:top w:val="nil"/>
              <w:left w:val="nil"/>
              <w:bottom w:val="nil"/>
              <w:right w:val="single" w:sz="4" w:space="0" w:color="auto"/>
            </w:tcBorders>
            <w:shd w:val="clear" w:color="auto" w:fill="auto"/>
            <w:noWrap/>
            <w:vAlign w:val="bottom"/>
            <w:hideMark/>
          </w:tcPr>
          <w:p w:rsidR="00C82B63" w:rsidRPr="00C2591A" w:rsidP="004E16D7" w14:paraId="5C2BBEE5" w14:textId="3CAE3514">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$81.98</w:t>
            </w:r>
          </w:p>
        </w:tc>
        <w:tc>
          <w:tcPr>
            <w:tcW w:w="411" w:type="pct"/>
            <w:tcBorders>
              <w:top w:val="nil"/>
              <w:left w:val="nil"/>
              <w:bottom w:val="nil"/>
              <w:right w:val="single" w:sz="4" w:space="0" w:color="auto"/>
            </w:tcBorders>
            <w:shd w:val="clear" w:color="auto" w:fill="auto"/>
            <w:noWrap/>
            <w:vAlign w:val="bottom"/>
            <w:hideMark/>
          </w:tcPr>
          <w:p w:rsidR="00C82B63" w:rsidRPr="00C2591A" w:rsidP="004E16D7" w14:paraId="15472FD6" w14:textId="023706A1">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$92.30</w:t>
            </w:r>
          </w:p>
        </w:tc>
        <w:tc>
          <w:tcPr>
            <w:tcW w:w="411" w:type="pct"/>
            <w:tcBorders>
              <w:top w:val="nil"/>
              <w:left w:val="nil"/>
              <w:bottom w:val="nil"/>
              <w:right w:val="single" w:sz="4" w:space="0" w:color="auto"/>
            </w:tcBorders>
            <w:shd w:val="clear" w:color="auto" w:fill="auto"/>
            <w:noWrap/>
            <w:vAlign w:val="bottom"/>
            <w:hideMark/>
          </w:tcPr>
          <w:p w:rsidR="00C82B63" w:rsidRPr="00C2591A" w:rsidP="004E16D7" w14:paraId="6702D3A5" w14:textId="1405F11C">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$83.58</w:t>
            </w:r>
          </w:p>
        </w:tc>
        <w:tc>
          <w:tcPr>
            <w:tcW w:w="411" w:type="pct"/>
            <w:tcBorders>
              <w:top w:val="nil"/>
              <w:left w:val="nil"/>
              <w:bottom w:val="nil"/>
              <w:right w:val="single" w:sz="4" w:space="0" w:color="auto"/>
            </w:tcBorders>
            <w:shd w:val="clear" w:color="auto" w:fill="auto"/>
            <w:noWrap/>
            <w:vAlign w:val="bottom"/>
            <w:hideMark/>
          </w:tcPr>
          <w:p w:rsidR="00C82B63" w:rsidRPr="00C2591A" w:rsidP="004E16D7" w14:paraId="727E55E7" w14:textId="42FF6F81">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$85.23</w:t>
            </w:r>
          </w:p>
        </w:tc>
        <w:tc>
          <w:tcPr>
            <w:tcW w:w="598" w:type="pct"/>
            <w:tcBorders>
              <w:top w:val="nil"/>
              <w:left w:val="nil"/>
              <w:bottom w:val="nil"/>
              <w:right w:val="single" w:sz="12" w:space="0" w:color="auto"/>
            </w:tcBorders>
            <w:shd w:val="clear" w:color="auto" w:fill="auto"/>
            <w:noWrap/>
            <w:vAlign w:val="bottom"/>
            <w:hideMark/>
          </w:tcPr>
          <w:p w:rsidR="00C82B63" w:rsidRPr="00C2591A" w:rsidP="004E16D7" w14:paraId="73B26D82" w14:textId="5C657869">
            <w:pPr>
              <w:widowControl/>
              <w:suppressAutoHyphens/>
              <w:jc w:val="center"/>
              <w:rPr>
                <w:rStyle w:val="DefaultParagraphFont"/>
                <w:b/>
                <w:bCs/>
                <w:snapToGrid/>
                <w:kern w:val="0"/>
                <w:sz w:val="20"/>
                <w:lang w:val="en-US" w:eastAsia="en-US" w:bidi="ar-SA"/>
              </w:rPr>
            </w:pPr>
            <w:r>
              <w:rPr>
                <w:b/>
                <w:bCs/>
                <w:snapToGrid w:val="0"/>
                <w:kern w:val="28"/>
                <w:sz w:val="20"/>
                <w:lang w:val="en-US" w:eastAsia="en-US" w:bidi="ar-SA"/>
              </w:rPr>
              <w:t>$85.30</w:t>
            </w:r>
          </w:p>
        </w:tc>
      </w:tr>
      <w:tr w14:paraId="71C9F6BF"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860" w:type="pct"/>
            <w:tcBorders>
              <w:top w:val="nil"/>
              <w:left w:val="single" w:sz="12" w:space="0" w:color="auto"/>
              <w:bottom w:val="single" w:sz="12" w:space="0" w:color="auto"/>
              <w:right w:val="single" w:sz="4" w:space="0" w:color="auto"/>
            </w:tcBorders>
            <w:shd w:val="clear" w:color="auto" w:fill="auto"/>
            <w:noWrap/>
            <w:vAlign w:val="bottom"/>
            <w:hideMark/>
          </w:tcPr>
          <w:p w:rsidR="00C82B63" w:rsidRPr="00C2591A" w:rsidP="004E16D7" w14:paraId="2D520AFC" w14:textId="77777777">
            <w:pPr>
              <w:widowControl/>
              <w:suppressAutoHyphens/>
              <w:rPr>
                <w:rStyle w:val="DefaultParagraphFont"/>
                <w:snapToGrid/>
                <w:kern w:val="0"/>
                <w:sz w:val="20"/>
                <w:lang w:val="en-US" w:eastAsia="en-US" w:bidi="ar-SA"/>
              </w:rPr>
            </w:pPr>
            <w:r>
              <w:rPr>
                <w:snapToGrid/>
                <w:kern w:val="0"/>
                <w:sz w:val="20"/>
                <w:lang w:val="en-US" w:eastAsia="en-US" w:bidi="ar-SA"/>
              </w:rPr>
              <w:t>Annual</w:t>
            </w:r>
            <w:r w:rsidRPr="00C2591A">
              <w:rPr>
                <w:snapToGrid/>
                <w:kern w:val="0"/>
                <w:sz w:val="20"/>
                <w:lang w:val="en-US" w:eastAsia="en-US" w:bidi="ar-SA"/>
              </w:rPr>
              <w:t xml:space="preserve"> change</w:t>
            </w:r>
          </w:p>
        </w:tc>
        <w:tc>
          <w:tcPr>
            <w:tcW w:w="481"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3F7C2F6D" w14:textId="3BC93819">
            <w:pPr>
              <w:widowControl/>
              <w:suppressAutoHyphens/>
              <w:jc w:val="center"/>
              <w:rPr>
                <w:rStyle w:val="DefaultParagraphFont"/>
                <w:snapToGrid/>
                <w:kern w:val="0"/>
                <w:sz w:val="20"/>
                <w:lang w:val="en-US" w:eastAsia="en-US" w:bidi="ar-SA"/>
              </w:rPr>
            </w:pPr>
            <w:r>
              <w:rPr>
                <w:snapToGrid w:val="0"/>
                <w:kern w:val="28"/>
                <w:sz w:val="20"/>
                <w:lang w:val="en-US" w:eastAsia="en-US" w:bidi="ar-SA"/>
              </w:rPr>
              <w:t>3.5%*</w:t>
            </w:r>
          </w:p>
        </w:tc>
        <w:tc>
          <w:tcPr>
            <w:tcW w:w="674"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1A344630" w14:textId="3179FCC3">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c>
          <w:tcPr>
            <w:tcW w:w="724"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62754DE4" w14:textId="2FE28AF9">
            <w:pPr>
              <w:widowControl/>
              <w:suppressAutoHyphens/>
              <w:jc w:val="center"/>
              <w:rPr>
                <w:rStyle w:val="DefaultParagraphFont"/>
                <w:snapToGrid/>
                <w:kern w:val="0"/>
                <w:sz w:val="20"/>
                <w:lang w:val="en-US" w:eastAsia="en-US" w:bidi="ar-SA"/>
              </w:rPr>
            </w:pPr>
            <w:r>
              <w:rPr>
                <w:snapToGrid w:val="0"/>
                <w:kern w:val="28"/>
                <w:sz w:val="20"/>
                <w:lang w:val="en-US" w:eastAsia="en-US" w:bidi="ar-SA"/>
              </w:rPr>
              <w:t>3.7%*</w:t>
            </w:r>
          </w:p>
        </w:tc>
        <w:tc>
          <w:tcPr>
            <w:tcW w:w="429"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493A1558" w14:textId="20FA4CE6">
            <w:pPr>
              <w:widowControl/>
              <w:suppressAutoHyphens/>
              <w:jc w:val="center"/>
              <w:rPr>
                <w:rStyle w:val="DefaultParagraphFont"/>
                <w:snapToGrid/>
                <w:kern w:val="0"/>
                <w:sz w:val="20"/>
                <w:lang w:val="en-US" w:eastAsia="en-US" w:bidi="ar-SA"/>
              </w:rPr>
            </w:pPr>
            <w:r>
              <w:rPr>
                <w:snapToGrid w:val="0"/>
                <w:kern w:val="28"/>
                <w:sz w:val="20"/>
                <w:lang w:val="en-US" w:eastAsia="en-US" w:bidi="ar-SA"/>
              </w:rPr>
              <w:t>3.2%*</w:t>
            </w:r>
          </w:p>
        </w:tc>
        <w:tc>
          <w:tcPr>
            <w:tcW w:w="411"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5451B1ED" w14:textId="3D64D03F">
            <w:pPr>
              <w:widowControl/>
              <w:suppressAutoHyphens/>
              <w:jc w:val="center"/>
              <w:rPr>
                <w:rStyle w:val="DefaultParagraphFont"/>
                <w:snapToGrid/>
                <w:kern w:val="0"/>
                <w:sz w:val="20"/>
                <w:lang w:val="en-US" w:eastAsia="en-US" w:bidi="ar-SA"/>
              </w:rPr>
            </w:pPr>
            <w:r>
              <w:rPr>
                <w:snapToGrid w:val="0"/>
                <w:kern w:val="28"/>
                <w:sz w:val="20"/>
                <w:lang w:val="en-US" w:eastAsia="en-US" w:bidi="ar-SA"/>
              </w:rPr>
              <w:t>5.2%</w:t>
            </w:r>
          </w:p>
        </w:tc>
        <w:tc>
          <w:tcPr>
            <w:tcW w:w="411"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5D23AC95" w14:textId="5F95DFAB">
            <w:pPr>
              <w:widowControl/>
              <w:suppressAutoHyphens/>
              <w:jc w:val="center"/>
              <w:rPr>
                <w:rStyle w:val="DefaultParagraphFont"/>
                <w:snapToGrid/>
                <w:kern w:val="0"/>
                <w:sz w:val="20"/>
                <w:lang w:val="en-US" w:eastAsia="en-US" w:bidi="ar-SA"/>
              </w:rPr>
            </w:pPr>
            <w:r>
              <w:rPr>
                <w:snapToGrid w:val="0"/>
                <w:kern w:val="28"/>
                <w:sz w:val="20"/>
                <w:lang w:val="en-US" w:eastAsia="en-US" w:bidi="ar-SA"/>
              </w:rPr>
              <w:t>3.6%*</w:t>
            </w:r>
          </w:p>
        </w:tc>
        <w:tc>
          <w:tcPr>
            <w:tcW w:w="411" w:type="pct"/>
            <w:tcBorders>
              <w:top w:val="nil"/>
              <w:left w:val="nil"/>
              <w:bottom w:val="single" w:sz="12" w:space="0" w:color="auto"/>
              <w:right w:val="single" w:sz="4" w:space="0" w:color="auto"/>
            </w:tcBorders>
            <w:shd w:val="clear" w:color="auto" w:fill="auto"/>
            <w:noWrap/>
            <w:vAlign w:val="bottom"/>
            <w:hideMark/>
          </w:tcPr>
          <w:p w:rsidR="00C82B63" w:rsidRPr="00C2591A" w:rsidP="004E16D7" w14:paraId="3CA0C804" w14:textId="13B29AB6">
            <w:pPr>
              <w:widowControl/>
              <w:suppressAutoHyphens/>
              <w:jc w:val="center"/>
              <w:rPr>
                <w:rStyle w:val="DefaultParagraphFont"/>
                <w:snapToGrid/>
                <w:kern w:val="0"/>
                <w:sz w:val="20"/>
                <w:lang w:val="en-US" w:eastAsia="en-US" w:bidi="ar-SA"/>
              </w:rPr>
            </w:pPr>
            <w:r>
              <w:rPr>
                <w:snapToGrid w:val="0"/>
                <w:kern w:val="28"/>
                <w:sz w:val="20"/>
                <w:lang w:val="en-US" w:eastAsia="en-US" w:bidi="ar-SA"/>
              </w:rPr>
              <w:t>3.8%*</w:t>
            </w:r>
          </w:p>
        </w:tc>
        <w:tc>
          <w:tcPr>
            <w:tcW w:w="598" w:type="pct"/>
            <w:tcBorders>
              <w:top w:val="nil"/>
              <w:left w:val="nil"/>
              <w:bottom w:val="single" w:sz="12" w:space="0" w:color="auto"/>
              <w:right w:val="single" w:sz="12" w:space="0" w:color="auto"/>
            </w:tcBorders>
            <w:shd w:val="clear" w:color="auto" w:fill="auto"/>
            <w:noWrap/>
            <w:vAlign w:val="bottom"/>
            <w:hideMark/>
          </w:tcPr>
          <w:p w:rsidR="00C82B63" w:rsidRPr="00C2591A" w:rsidP="004E16D7" w14:paraId="7F260CE7" w14:textId="45E5E7B2">
            <w:pPr>
              <w:widowControl/>
              <w:suppressAutoHyphens/>
              <w:jc w:val="center"/>
              <w:rPr>
                <w:rStyle w:val="DefaultParagraphFont"/>
                <w:snapToGrid/>
                <w:kern w:val="0"/>
                <w:sz w:val="20"/>
                <w:lang w:val="en-US" w:eastAsia="en-US" w:bidi="ar-SA"/>
              </w:rPr>
            </w:pPr>
            <w:r>
              <w:rPr>
                <w:snapToGrid w:val="0"/>
                <w:kern w:val="28"/>
                <w:sz w:val="20"/>
                <w:lang w:val="en-US" w:eastAsia="en-US" w:bidi="ar-SA"/>
              </w:rPr>
              <w:t>2.4%</w:t>
            </w:r>
          </w:p>
        </w:tc>
      </w:tr>
      <w:tr w14:paraId="20D8F4F4" w14:textId="77777777" w:rsidTr="00E12B46">
        <w:tblPrEx>
          <w:tblW w:w="5000" w:type="pct"/>
          <w:tblInd w:w="0" w:type="dxa"/>
          <w:tblLayout w:type="fixed"/>
          <w:tblCellMar>
            <w:top w:w="0" w:type="dxa"/>
            <w:left w:w="108" w:type="dxa"/>
            <w:bottom w:w="0" w:type="dxa"/>
            <w:right w:w="108" w:type="dxa"/>
          </w:tblCellMar>
          <w:tblLook w:val="04A0"/>
        </w:tblPrEx>
        <w:trPr>
          <w:trHeight w:hRule="exact" w:val="354"/>
        </w:trPr>
        <w:tc>
          <w:tcPr>
            <w:tcW w:w="5000" w:type="pct"/>
            <w:gridSpan w:val="9"/>
            <w:tcBorders>
              <w:top w:val="single" w:sz="12" w:space="0" w:color="auto"/>
              <w:left w:val="nil"/>
              <w:bottom w:val="nil"/>
              <w:right w:val="nil"/>
            </w:tcBorders>
            <w:shd w:val="clear" w:color="auto" w:fill="auto"/>
            <w:noWrap/>
            <w:vAlign w:val="bottom"/>
            <w:hideMark/>
          </w:tcPr>
          <w:p w:rsidR="001B0131" w:rsidRPr="00E12B46" w:rsidP="004E16D7" w14:paraId="6C0BEEE7" w14:textId="1B9C147E">
            <w:pPr>
              <w:widowControl/>
              <w:suppressAutoHyphens/>
              <w:rPr>
                <w:rStyle w:val="DefaultParagraphFont"/>
                <w:snapToGrid/>
                <w:kern w:val="0"/>
                <w:sz w:val="20"/>
                <w:lang w:val="en-US" w:eastAsia="en-US" w:bidi="ar-SA"/>
              </w:rPr>
            </w:pPr>
            <w:r w:rsidRPr="00E12B46">
              <w:rPr>
                <w:snapToGrid/>
                <w:kern w:val="0"/>
                <w:sz w:val="20"/>
                <w:lang w:val="en-US" w:eastAsia="en-US" w:bidi="ar-SA"/>
              </w:rPr>
              <w:t xml:space="preserve">Source: </w:t>
            </w:r>
            <w:r w:rsidR="00921DD1">
              <w:rPr>
                <w:snapToGrid/>
                <w:kern w:val="0"/>
                <w:sz w:val="20"/>
                <w:lang w:val="en-US" w:eastAsia="en-US" w:bidi="ar-SA"/>
              </w:rPr>
              <w:t xml:space="preserve"> </w:t>
            </w:r>
            <w:r w:rsidRPr="00E12B46">
              <w:rPr>
                <w:snapToGrid/>
                <w:kern w:val="0"/>
                <w:sz w:val="20"/>
                <w:lang w:val="en-US" w:eastAsia="en-US" w:bidi="ar-SA"/>
              </w:rPr>
              <w:t xml:space="preserve">Attachment 2. </w:t>
            </w:r>
            <w:r w:rsidRPr="00E12B46" w:rsidR="0001139B">
              <w:rPr>
                <w:snapToGrid/>
                <w:kern w:val="0"/>
                <w:sz w:val="20"/>
                <w:lang w:val="en-US" w:eastAsia="en-US" w:bidi="ar-SA"/>
              </w:rPr>
              <w:t xml:space="preserve"> </w:t>
            </w:r>
            <w:r w:rsidRPr="00E12B46">
              <w:rPr>
                <w:snapToGrid/>
                <w:kern w:val="0"/>
                <w:sz w:val="20"/>
                <w:lang w:val="en-US" w:eastAsia="en-US" w:bidi="ar-SA"/>
              </w:rPr>
              <w:t>*</w:t>
            </w:r>
            <w:r w:rsidRPr="00E12B46" w:rsidR="00824F05">
              <w:rPr>
                <w:snapToGrid/>
                <w:kern w:val="0"/>
                <w:sz w:val="20"/>
                <w:lang w:val="en-US" w:eastAsia="en-US" w:bidi="ar-SA"/>
              </w:rPr>
              <w:t>Indicates a</w:t>
            </w:r>
            <w:r w:rsidRPr="00E12B46" w:rsidR="00782D9D">
              <w:rPr>
                <w:snapToGrid/>
                <w:kern w:val="0"/>
                <w:sz w:val="20"/>
                <w:lang w:val="en-US" w:eastAsia="en-US" w:bidi="ar-SA"/>
              </w:rPr>
              <w:t>nnual</w:t>
            </w:r>
            <w:r w:rsidRPr="00E12B46">
              <w:rPr>
                <w:snapToGrid/>
                <w:kern w:val="0"/>
                <w:sz w:val="20"/>
                <w:lang w:val="en-US" w:eastAsia="en-US" w:bidi="ar-SA"/>
              </w:rPr>
              <w:t xml:space="preserve"> change is statistically significant at the 95% confidence level.</w:t>
            </w:r>
          </w:p>
        </w:tc>
      </w:tr>
    </w:tbl>
    <w:p w:rsidR="0080186F" w:rsidP="0080186F" w14:paraId="53ACDD04" w14:textId="77777777">
      <w:pPr>
        <w:pStyle w:val="Paranum0"/>
        <w:widowControl/>
        <w:tabs>
          <w:tab w:val="clear" w:pos="1080"/>
        </w:tabs>
        <w:suppressAutoHyphens/>
        <w:spacing w:after="240"/>
        <w:ind w:left="720" w:firstLine="0"/>
        <w:jc w:val="left"/>
        <w:rPr>
          <w:szCs w:val="22"/>
        </w:rPr>
      </w:pPr>
    </w:p>
    <w:p w:rsidR="00B01548" w:rsidRPr="00D71AC6" w:rsidP="00D71AC6" w14:paraId="18056991" w14:textId="5744A047">
      <w:pPr>
        <w:pStyle w:val="Paranum0"/>
        <w:widowControl/>
        <w:numPr>
          <w:ilvl w:val="0"/>
          <w:numId w:val="12"/>
        </w:numPr>
        <w:tabs>
          <w:tab w:val="clear" w:pos="1080"/>
          <w:tab w:val="num" w:pos="1440"/>
        </w:tabs>
        <w:suppressAutoHyphens/>
        <w:spacing w:after="240"/>
        <w:jc w:val="left"/>
        <w:rPr>
          <w:szCs w:val="22"/>
        </w:rPr>
      </w:pPr>
      <w:r w:rsidRPr="00A070FA">
        <w:rPr>
          <w:szCs w:val="22"/>
        </w:rPr>
        <w:t>Table 2 reports the average price per channel</w:t>
      </w:r>
      <w:r w:rsidRPr="00A070FA" w:rsidR="0046159B">
        <w:rPr>
          <w:szCs w:val="22"/>
        </w:rPr>
        <w:t xml:space="preserve"> by service as of</w:t>
      </w:r>
      <w:r w:rsidRPr="00A070FA" w:rsidR="006E36AB">
        <w:rPr>
          <w:szCs w:val="22"/>
        </w:rPr>
        <w:t xml:space="preserve"> January 1, 2016</w:t>
      </w:r>
      <w:r w:rsidRPr="0036528A" w:rsidR="00310DFC">
        <w:rPr>
          <w:szCs w:val="22"/>
        </w:rPr>
        <w:t>.</w:t>
      </w:r>
      <w:r w:rsidRPr="0036528A" w:rsidR="0046159B">
        <w:rPr>
          <w:szCs w:val="22"/>
        </w:rPr>
        <w:t xml:space="preserve">  For</w:t>
      </w:r>
      <w:r w:rsidRPr="00C2658A" w:rsidR="006F4A0A">
        <w:rPr>
          <w:szCs w:val="22"/>
        </w:rPr>
        <w:t xml:space="preserve"> the full sample</w:t>
      </w:r>
      <w:r w:rsidRPr="005420EC">
        <w:rPr>
          <w:szCs w:val="22"/>
        </w:rPr>
        <w:t xml:space="preserve">, </w:t>
      </w:r>
      <w:r w:rsidRPr="005420EC" w:rsidR="00D9260E">
        <w:rPr>
          <w:szCs w:val="22"/>
        </w:rPr>
        <w:t xml:space="preserve">average </w:t>
      </w:r>
      <w:r w:rsidRPr="00846502">
        <w:rPr>
          <w:szCs w:val="22"/>
        </w:rPr>
        <w:t xml:space="preserve">price per channel </w:t>
      </w:r>
      <w:r w:rsidRPr="00846502" w:rsidR="0046159B">
        <w:rPr>
          <w:szCs w:val="22"/>
        </w:rPr>
        <w:t xml:space="preserve">showed </w:t>
      </w:r>
      <w:r w:rsidRPr="00846502" w:rsidR="00D9260E">
        <w:rPr>
          <w:szCs w:val="22"/>
        </w:rPr>
        <w:t>increase</w:t>
      </w:r>
      <w:r w:rsidRPr="00846502" w:rsidR="0046159B">
        <w:rPr>
          <w:szCs w:val="22"/>
        </w:rPr>
        <w:t>s</w:t>
      </w:r>
      <w:r w:rsidRPr="009A5CEA" w:rsidR="003D4D9C">
        <w:rPr>
          <w:szCs w:val="22"/>
        </w:rPr>
        <w:t xml:space="preserve"> rang</w:t>
      </w:r>
      <w:r w:rsidRPr="000C06BA" w:rsidR="0046159B">
        <w:rPr>
          <w:szCs w:val="22"/>
        </w:rPr>
        <w:t>ing</w:t>
      </w:r>
      <w:r w:rsidRPr="000C06BA" w:rsidR="003D4D9C">
        <w:rPr>
          <w:szCs w:val="22"/>
        </w:rPr>
        <w:t xml:space="preserve"> from</w:t>
      </w:r>
      <w:r w:rsidRPr="00185025" w:rsidR="00E90FE5">
        <w:rPr>
          <w:szCs w:val="22"/>
        </w:rPr>
        <w:t xml:space="preserve"> </w:t>
      </w:r>
      <w:r w:rsidRPr="00B046A7" w:rsidR="00D9260E">
        <w:rPr>
          <w:szCs w:val="22"/>
        </w:rPr>
        <w:t>1.</w:t>
      </w:r>
      <w:r w:rsidRPr="00B046A7" w:rsidR="009852C4">
        <w:rPr>
          <w:szCs w:val="22"/>
        </w:rPr>
        <w:t>0</w:t>
      </w:r>
      <w:r w:rsidRPr="00B046A7" w:rsidR="00D9260E">
        <w:rPr>
          <w:szCs w:val="22"/>
        </w:rPr>
        <w:t xml:space="preserve"> percent to 2.</w:t>
      </w:r>
      <w:r w:rsidRPr="00B606AB" w:rsidR="009852C4">
        <w:rPr>
          <w:szCs w:val="22"/>
        </w:rPr>
        <w:t>3</w:t>
      </w:r>
      <w:r w:rsidRPr="00B606AB" w:rsidR="00ED0632">
        <w:rPr>
          <w:szCs w:val="22"/>
        </w:rPr>
        <w:t xml:space="preserve"> </w:t>
      </w:r>
      <w:r w:rsidRPr="00B606AB" w:rsidR="00D9260E">
        <w:rPr>
          <w:szCs w:val="22"/>
        </w:rPr>
        <w:t>percent</w:t>
      </w:r>
      <w:r w:rsidRPr="00F8016F" w:rsidR="0046159B">
        <w:rPr>
          <w:szCs w:val="22"/>
        </w:rPr>
        <w:t>, none of which</w:t>
      </w:r>
      <w:r w:rsidRPr="004E4E55" w:rsidR="00852A42">
        <w:rPr>
          <w:szCs w:val="22"/>
        </w:rPr>
        <w:t xml:space="preserve"> were statistically significant</w:t>
      </w:r>
      <w:r w:rsidRPr="004E4E55" w:rsidR="00F26D39">
        <w:rPr>
          <w:szCs w:val="22"/>
        </w:rPr>
        <w:t xml:space="preserve">.  This </w:t>
      </w:r>
      <w:r w:rsidRPr="00D65ED7" w:rsidR="00852A42">
        <w:rPr>
          <w:szCs w:val="22"/>
        </w:rPr>
        <w:t>contrast</w:t>
      </w:r>
      <w:r w:rsidRPr="00714515" w:rsidR="00B71235">
        <w:rPr>
          <w:szCs w:val="22"/>
        </w:rPr>
        <w:t>s the</w:t>
      </w:r>
      <w:r w:rsidRPr="00714515" w:rsidR="00852A42">
        <w:rPr>
          <w:szCs w:val="22"/>
        </w:rPr>
        <w:t xml:space="preserve"> annual </w:t>
      </w:r>
      <w:r w:rsidRPr="00A070FA" w:rsidR="00F26D39">
        <w:rPr>
          <w:szCs w:val="22"/>
        </w:rPr>
        <w:t xml:space="preserve">price </w:t>
      </w:r>
      <w:r w:rsidRPr="00A070FA" w:rsidR="00852A42">
        <w:rPr>
          <w:szCs w:val="22"/>
        </w:rPr>
        <w:t>increase</w:t>
      </w:r>
      <w:r w:rsidRPr="00A070FA" w:rsidR="0046159B">
        <w:rPr>
          <w:szCs w:val="22"/>
        </w:rPr>
        <w:t>s</w:t>
      </w:r>
      <w:r w:rsidRPr="00A070FA" w:rsidR="00852A42">
        <w:rPr>
          <w:szCs w:val="22"/>
        </w:rPr>
        <w:t xml:space="preserve"> in programming</w:t>
      </w:r>
      <w:r w:rsidRPr="00A070FA" w:rsidR="0046159B">
        <w:rPr>
          <w:szCs w:val="22"/>
        </w:rPr>
        <w:t xml:space="preserve"> (shown in Table 1)</w:t>
      </w:r>
      <w:r w:rsidRPr="00A070FA" w:rsidR="004C2A01">
        <w:rPr>
          <w:szCs w:val="22"/>
        </w:rPr>
        <w:t>,</w:t>
      </w:r>
      <w:r w:rsidRPr="00A070FA" w:rsidR="00852A42">
        <w:rPr>
          <w:szCs w:val="22"/>
        </w:rPr>
        <w:t xml:space="preserve"> </w:t>
      </w:r>
      <w:r w:rsidRPr="00A070FA" w:rsidR="0046159B">
        <w:rPr>
          <w:szCs w:val="22"/>
        </w:rPr>
        <w:t>which all showed</w:t>
      </w:r>
      <w:r w:rsidRPr="00A070FA" w:rsidR="00A746FC">
        <w:rPr>
          <w:szCs w:val="22"/>
        </w:rPr>
        <w:t xml:space="preserve"> </w:t>
      </w:r>
      <w:r w:rsidRPr="00A070FA" w:rsidR="00487B1D">
        <w:rPr>
          <w:szCs w:val="22"/>
        </w:rPr>
        <w:t xml:space="preserve">statistically </w:t>
      </w:r>
      <w:r w:rsidRPr="00A070FA" w:rsidR="00A746FC">
        <w:rPr>
          <w:szCs w:val="22"/>
        </w:rPr>
        <w:t>significant</w:t>
      </w:r>
      <w:r w:rsidRPr="00A070FA" w:rsidR="0046159B">
        <w:rPr>
          <w:szCs w:val="22"/>
        </w:rPr>
        <w:t xml:space="preserve"> increases</w:t>
      </w:r>
      <w:r w:rsidRPr="00A070FA" w:rsidR="00E90FE5">
        <w:rPr>
          <w:szCs w:val="22"/>
        </w:rPr>
        <w:t xml:space="preserve">. </w:t>
      </w:r>
      <w:r w:rsidRPr="00A070FA" w:rsidR="00A746FC">
        <w:rPr>
          <w:szCs w:val="22"/>
        </w:rPr>
        <w:t xml:space="preserve"> </w:t>
      </w:r>
      <w:r w:rsidRPr="00A070FA" w:rsidR="0046159B">
        <w:rPr>
          <w:szCs w:val="22"/>
        </w:rPr>
        <w:t>A</w:t>
      </w:r>
      <w:r w:rsidRPr="00A070FA" w:rsidR="006F4A0A">
        <w:rPr>
          <w:szCs w:val="22"/>
        </w:rPr>
        <w:t xml:space="preserve">verage </w:t>
      </w:r>
      <w:r w:rsidRPr="00A070FA">
        <w:rPr>
          <w:szCs w:val="22"/>
        </w:rPr>
        <w:t>price per channel</w:t>
      </w:r>
      <w:r w:rsidRPr="00A070FA" w:rsidR="00A746FC">
        <w:rPr>
          <w:szCs w:val="22"/>
        </w:rPr>
        <w:t xml:space="preserve"> </w:t>
      </w:r>
      <w:r w:rsidRPr="00A070FA" w:rsidR="0046159B">
        <w:rPr>
          <w:szCs w:val="22"/>
        </w:rPr>
        <w:t>for</w:t>
      </w:r>
      <w:r w:rsidRPr="00A070FA" w:rsidR="00A746FC">
        <w:rPr>
          <w:szCs w:val="22"/>
        </w:rPr>
        <w:t xml:space="preserve"> the full sample</w:t>
      </w:r>
      <w:r w:rsidRPr="00A070FA">
        <w:rPr>
          <w:szCs w:val="22"/>
        </w:rPr>
        <w:t xml:space="preserve"> </w:t>
      </w:r>
      <w:r w:rsidRPr="00A070FA" w:rsidR="006F4A0A">
        <w:rPr>
          <w:szCs w:val="22"/>
        </w:rPr>
        <w:t xml:space="preserve">was </w:t>
      </w:r>
      <w:r w:rsidRPr="00A070FA" w:rsidR="00ED268A">
        <w:rPr>
          <w:szCs w:val="22"/>
        </w:rPr>
        <w:t>6</w:t>
      </w:r>
      <w:r w:rsidRPr="00A070FA" w:rsidR="009852C4">
        <w:rPr>
          <w:szCs w:val="22"/>
        </w:rPr>
        <w:t>3</w:t>
      </w:r>
      <w:r w:rsidRPr="00A070FA" w:rsidR="00ED268A">
        <w:rPr>
          <w:szCs w:val="22"/>
        </w:rPr>
        <w:t xml:space="preserve"> cents</w:t>
      </w:r>
      <w:r w:rsidRPr="00A070FA" w:rsidR="00B71235">
        <w:rPr>
          <w:szCs w:val="22"/>
        </w:rPr>
        <w:t xml:space="preserve"> per channel</w:t>
      </w:r>
      <w:r w:rsidRPr="00A070FA">
        <w:rPr>
          <w:szCs w:val="22"/>
        </w:rPr>
        <w:t xml:space="preserve"> for basic cable service</w:t>
      </w:r>
      <w:r w:rsidRPr="00A070FA" w:rsidR="00B71235">
        <w:rPr>
          <w:szCs w:val="22"/>
        </w:rPr>
        <w:t>,</w:t>
      </w:r>
      <w:r w:rsidRPr="00A070FA">
        <w:rPr>
          <w:szCs w:val="22"/>
        </w:rPr>
        <w:t xml:space="preserve"> </w:t>
      </w:r>
      <w:r w:rsidRPr="00A070FA" w:rsidR="00ED268A">
        <w:rPr>
          <w:szCs w:val="22"/>
        </w:rPr>
        <w:t>4</w:t>
      </w:r>
      <w:r w:rsidRPr="00A070FA" w:rsidR="009852C4">
        <w:rPr>
          <w:szCs w:val="22"/>
        </w:rPr>
        <w:t>7</w:t>
      </w:r>
      <w:r w:rsidRPr="00A070FA" w:rsidR="00ED268A">
        <w:rPr>
          <w:szCs w:val="22"/>
        </w:rPr>
        <w:t xml:space="preserve"> cents</w:t>
      </w:r>
      <w:r w:rsidRPr="00A070FA">
        <w:rPr>
          <w:szCs w:val="22"/>
        </w:rPr>
        <w:t xml:space="preserve"> </w:t>
      </w:r>
      <w:r w:rsidRPr="00A070FA" w:rsidR="003D4D9C">
        <w:rPr>
          <w:szCs w:val="22"/>
        </w:rPr>
        <w:t xml:space="preserve">per channel </w:t>
      </w:r>
      <w:r w:rsidRPr="00A070FA">
        <w:rPr>
          <w:szCs w:val="22"/>
        </w:rPr>
        <w:t>for expanded basic service</w:t>
      </w:r>
      <w:r w:rsidRPr="00A070FA" w:rsidR="00B71235">
        <w:rPr>
          <w:szCs w:val="22"/>
        </w:rPr>
        <w:t>,</w:t>
      </w:r>
      <w:r w:rsidRPr="00A070FA" w:rsidR="003D4D9C">
        <w:rPr>
          <w:szCs w:val="22"/>
        </w:rPr>
        <w:t xml:space="preserve"> and</w:t>
      </w:r>
      <w:r w:rsidRPr="00A070FA">
        <w:rPr>
          <w:szCs w:val="22"/>
        </w:rPr>
        <w:t xml:space="preserve"> </w:t>
      </w:r>
      <w:r w:rsidRPr="00A070FA" w:rsidR="00ED0632">
        <w:rPr>
          <w:szCs w:val="22"/>
        </w:rPr>
        <w:t xml:space="preserve">38 </w:t>
      </w:r>
      <w:r w:rsidRPr="00A070FA" w:rsidR="00ED268A">
        <w:rPr>
          <w:szCs w:val="22"/>
        </w:rPr>
        <w:t>cents</w:t>
      </w:r>
      <w:r w:rsidRPr="00A070FA">
        <w:rPr>
          <w:szCs w:val="22"/>
        </w:rPr>
        <w:t xml:space="preserve"> </w:t>
      </w:r>
      <w:r w:rsidRPr="00A070FA" w:rsidR="003D4D9C">
        <w:rPr>
          <w:szCs w:val="22"/>
        </w:rPr>
        <w:t xml:space="preserve">per channel </w:t>
      </w:r>
      <w:r w:rsidRPr="00A070FA">
        <w:rPr>
          <w:szCs w:val="22"/>
        </w:rPr>
        <w:t>for the next most popular cable service</w:t>
      </w:r>
      <w:r w:rsidRPr="00A070FA" w:rsidR="00595129">
        <w:rPr>
          <w:szCs w:val="22"/>
        </w:rPr>
        <w:t>.</w:t>
      </w:r>
    </w:p>
    <w:tbl>
      <w:tblPr>
        <w:tblW w:w="5192" w:type="pct"/>
        <w:tblInd w:w="0" w:type="dxa"/>
        <w:tblLayout w:type="fixed"/>
        <w:tblCellMar>
          <w:top w:w="0" w:type="dxa"/>
          <w:left w:w="108" w:type="dxa"/>
          <w:bottom w:w="0" w:type="dxa"/>
          <w:right w:w="108" w:type="dxa"/>
        </w:tblCellMar>
        <w:tblLook w:val="04A0"/>
      </w:tblPr>
      <w:tblGrid>
        <w:gridCol w:w="1948"/>
        <w:gridCol w:w="918"/>
        <w:gridCol w:w="1170"/>
        <w:gridCol w:w="1259"/>
        <w:gridCol w:w="851"/>
        <w:gridCol w:w="744"/>
        <w:gridCol w:w="845"/>
        <w:gridCol w:w="744"/>
        <w:gridCol w:w="1209"/>
      </w:tblGrid>
      <w:tr w14:paraId="72D00C2E" w14:textId="77777777" w:rsidTr="00BB6A72">
        <w:tblPrEx>
          <w:tblW w:w="5192" w:type="pct"/>
          <w:tblInd w:w="0" w:type="dxa"/>
          <w:tblLayout w:type="fixed"/>
          <w:tblCellMar>
            <w:top w:w="0" w:type="dxa"/>
            <w:left w:w="108" w:type="dxa"/>
            <w:bottom w:w="0" w:type="dxa"/>
            <w:right w:w="108" w:type="dxa"/>
          </w:tblCellMar>
          <w:tblLook w:val="04A0"/>
        </w:tblPrEx>
        <w:trPr>
          <w:trHeight w:hRule="exact" w:val="1210"/>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B01548" w:rsidRPr="00B10203" w:rsidP="00B01548" w14:paraId="147FBA08" w14:textId="77777777">
            <w:pPr>
              <w:keepLines/>
              <w:widowControl/>
              <w:suppressAutoHyphens/>
              <w:jc w:val="center"/>
              <w:rPr>
                <w:rStyle w:val="DefaultParagraphFont"/>
                <w:b/>
                <w:bCs/>
                <w:snapToGrid/>
                <w:kern w:val="0"/>
                <w:sz w:val="22"/>
                <w:szCs w:val="22"/>
                <w:lang w:val="en-US" w:eastAsia="en-US" w:bidi="ar-SA"/>
              </w:rPr>
            </w:pPr>
            <w:r w:rsidRPr="00B10203">
              <w:rPr>
                <w:b/>
                <w:bCs/>
                <w:snapToGrid/>
                <w:kern w:val="0"/>
                <w:sz w:val="22"/>
                <w:szCs w:val="22"/>
                <w:lang w:val="en-US" w:eastAsia="en-US" w:bidi="ar-SA"/>
              </w:rPr>
              <w:t>Table 2</w:t>
            </w:r>
          </w:p>
          <w:p w:rsidR="00B01548" w:rsidRPr="00B10203" w:rsidP="00B01548" w14:paraId="03107F0E" w14:textId="77777777">
            <w:pPr>
              <w:keepLines/>
              <w:widowControl/>
              <w:suppressAutoHyphens/>
              <w:jc w:val="center"/>
              <w:rPr>
                <w:rStyle w:val="DefaultParagraphFont"/>
                <w:b/>
                <w:bCs/>
                <w:snapToGrid/>
                <w:kern w:val="0"/>
                <w:sz w:val="22"/>
                <w:szCs w:val="22"/>
                <w:lang w:val="en-US" w:eastAsia="en-US" w:bidi="ar-SA"/>
              </w:rPr>
            </w:pPr>
            <w:r w:rsidRPr="00B10203">
              <w:rPr>
                <w:b/>
                <w:bCs/>
                <w:snapToGrid/>
                <w:kern w:val="0"/>
                <w:sz w:val="22"/>
                <w:szCs w:val="22"/>
                <w:lang w:val="en-US" w:eastAsia="en-US" w:bidi="ar-SA"/>
              </w:rPr>
              <w:t>Average Price per Channel</w:t>
            </w:r>
          </w:p>
          <w:p w:rsidR="00B01548" w:rsidRPr="00B10203" w:rsidP="00B01548" w14:paraId="2AE6EDC4" w14:textId="77777777">
            <w:pPr>
              <w:keepLines/>
              <w:widowControl/>
              <w:suppressAutoHyphens/>
              <w:jc w:val="center"/>
              <w:rPr>
                <w:rStyle w:val="DefaultParagraphFont"/>
                <w:snapToGrid/>
                <w:kern w:val="0"/>
                <w:sz w:val="22"/>
                <w:szCs w:val="22"/>
                <w:lang w:val="en-US" w:eastAsia="en-US" w:bidi="ar-SA"/>
              </w:rPr>
            </w:pPr>
            <w:r>
              <w:rPr>
                <w:snapToGrid/>
                <w:kern w:val="0"/>
                <w:sz w:val="22"/>
                <w:szCs w:val="22"/>
                <w:lang w:val="en-US" w:eastAsia="en-US" w:bidi="ar-SA"/>
              </w:rPr>
              <w:t>b</w:t>
            </w:r>
            <w:r w:rsidRPr="00B10203">
              <w:rPr>
                <w:snapToGrid/>
                <w:kern w:val="0"/>
                <w:sz w:val="22"/>
                <w:szCs w:val="22"/>
                <w:lang w:val="en-US" w:eastAsia="en-US" w:bidi="ar-SA"/>
              </w:rPr>
              <w:t>y Status of Effective Competition</w:t>
            </w:r>
          </w:p>
          <w:p w:rsidR="00B01548" w:rsidRPr="00DA17CD" w:rsidP="00B01548" w14:paraId="1D4ECB0A" w14:textId="783C3C16">
            <w:pPr>
              <w:keepLines/>
              <w:widowControl/>
              <w:suppressAutoHyphens/>
              <w:jc w:val="center"/>
              <w:rPr>
                <w:rStyle w:val="DefaultParagraphFont"/>
                <w:b/>
                <w:bCs/>
                <w:snapToGrid/>
                <w:kern w:val="0"/>
                <w:sz w:val="20"/>
                <w:lang w:val="en-US" w:eastAsia="en-US" w:bidi="ar-SA"/>
              </w:rPr>
            </w:pPr>
            <w:r w:rsidRPr="00B10203">
              <w:rPr>
                <w:snapToGrid/>
                <w:kern w:val="0"/>
                <w:sz w:val="22"/>
                <w:szCs w:val="22"/>
                <w:lang w:val="en-US" w:eastAsia="en-US" w:bidi="ar-SA"/>
              </w:rPr>
              <w:t>January 1, 2016</w:t>
            </w:r>
          </w:p>
        </w:tc>
      </w:tr>
      <w:tr w14:paraId="08FC8884" w14:textId="77777777" w:rsidTr="00E12B46">
        <w:tblPrEx>
          <w:tblW w:w="5192" w:type="pct"/>
          <w:tblInd w:w="0" w:type="dxa"/>
          <w:tblLayout w:type="fixed"/>
          <w:tblCellMar>
            <w:top w:w="0" w:type="dxa"/>
            <w:left w:w="108" w:type="dxa"/>
            <w:bottom w:w="0" w:type="dxa"/>
            <w:right w:w="108" w:type="dxa"/>
          </w:tblCellMar>
          <w:tblLook w:val="04A0"/>
        </w:tblPrEx>
        <w:trPr>
          <w:trHeight w:hRule="exact" w:val="496"/>
        </w:trPr>
        <w:tc>
          <w:tcPr>
            <w:tcW w:w="1005"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882388" w:rsidP="00BB6A72" w14:paraId="578A03D6"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 xml:space="preserve">Cable </w:t>
            </w:r>
          </w:p>
          <w:p w:rsidR="00DA17CD" w:rsidRPr="00DA17CD" w:rsidP="00BB6A72" w14:paraId="53AE9422" w14:textId="64C21BC1">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Service</w:t>
            </w:r>
          </w:p>
        </w:tc>
        <w:tc>
          <w:tcPr>
            <w:tcW w:w="474"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A17CD" w:rsidRPr="00DA17CD" w:rsidP="00BB6A72" w14:paraId="6B75CEC4" w14:textId="581C00F8">
            <w:pPr>
              <w:keepLines/>
              <w:widowControl/>
              <w:suppressAutoHyphens/>
              <w:jc w:val="center"/>
              <w:rPr>
                <w:rStyle w:val="DefaultParagraphFont"/>
                <w:b/>
                <w:bCs/>
                <w:snapToGrid/>
                <w:kern w:val="0"/>
                <w:sz w:val="20"/>
                <w:lang w:val="en-US" w:eastAsia="en-US" w:bidi="ar-SA"/>
              </w:rPr>
            </w:pPr>
            <w:r>
              <w:rPr>
                <w:b/>
                <w:bCs/>
                <w:snapToGrid/>
                <w:kern w:val="0"/>
                <w:sz w:val="20"/>
                <w:lang w:val="en-US" w:eastAsia="en-US" w:bidi="ar-SA"/>
              </w:rPr>
              <w:t>Full Sample</w:t>
            </w:r>
          </w:p>
        </w:tc>
        <w:tc>
          <w:tcPr>
            <w:tcW w:w="604"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82388" w:rsidRPr="00E12B46" w:rsidP="00BB6A72" w14:paraId="05AFB45A" w14:textId="77777777">
            <w:pPr>
              <w:keepLines/>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Non</w:t>
            </w:r>
            <w:r w:rsidRPr="00E12B46">
              <w:rPr>
                <w:b/>
                <w:bCs/>
                <w:snapToGrid/>
                <w:kern w:val="0"/>
                <w:sz w:val="19"/>
                <w:szCs w:val="19"/>
                <w:lang w:val="en-US" w:eastAsia="en-US" w:bidi="ar-SA"/>
              </w:rPr>
              <w:t>-</w:t>
            </w:r>
          </w:p>
          <w:p w:rsidR="00DA17CD" w:rsidRPr="00E12B46" w:rsidP="00BB6A72" w14:paraId="218A1D0E" w14:textId="5E1736C1">
            <w:pPr>
              <w:keepLines/>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c</w:t>
            </w:r>
            <w:r w:rsidRPr="00E12B46">
              <w:rPr>
                <w:b/>
                <w:bCs/>
                <w:snapToGrid/>
                <w:kern w:val="0"/>
                <w:sz w:val="19"/>
                <w:szCs w:val="19"/>
                <w:lang w:val="en-US" w:eastAsia="en-US" w:bidi="ar-SA"/>
              </w:rPr>
              <w:t>ompe</w:t>
            </w:r>
            <w:r w:rsidRPr="00E12B46" w:rsidR="00882388">
              <w:rPr>
                <w:b/>
                <w:bCs/>
                <w:snapToGrid/>
                <w:kern w:val="0"/>
                <w:sz w:val="19"/>
                <w:szCs w:val="19"/>
                <w:lang w:val="en-US" w:eastAsia="en-US" w:bidi="ar-SA"/>
              </w:rPr>
              <w:t>ti</w:t>
            </w:r>
            <w:r w:rsidRPr="00E12B46">
              <w:rPr>
                <w:b/>
                <w:bCs/>
                <w:snapToGrid/>
                <w:kern w:val="0"/>
                <w:sz w:val="19"/>
                <w:szCs w:val="19"/>
                <w:lang w:val="en-US" w:eastAsia="en-US" w:bidi="ar-SA"/>
              </w:rPr>
              <w:t>tive Group</w:t>
            </w:r>
          </w:p>
        </w:tc>
        <w:tc>
          <w:tcPr>
            <w:tcW w:w="650"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A17CD" w:rsidRPr="00E12B46" w:rsidP="00BB6A72" w14:paraId="4A8972A2" w14:textId="77777777">
            <w:pPr>
              <w:keepLines/>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Effective Competition Group</w:t>
            </w:r>
          </w:p>
        </w:tc>
        <w:tc>
          <w:tcPr>
            <w:tcW w:w="2267" w:type="pct"/>
            <w:gridSpan w:val="5"/>
            <w:tcBorders>
              <w:top w:val="single" w:sz="12" w:space="0" w:color="auto"/>
              <w:left w:val="nil"/>
              <w:bottom w:val="single" w:sz="4" w:space="0" w:color="auto"/>
              <w:right w:val="single" w:sz="12" w:space="0" w:color="auto"/>
            </w:tcBorders>
            <w:shd w:val="clear" w:color="auto" w:fill="auto"/>
            <w:noWrap/>
            <w:vAlign w:val="center"/>
            <w:hideMark/>
          </w:tcPr>
          <w:p w:rsidR="00DA17CD" w:rsidRPr="00DA17CD" w:rsidP="00BB6A72" w14:paraId="15FF94CF"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Effective Competition Subgroups</w:t>
            </w:r>
          </w:p>
        </w:tc>
      </w:tr>
      <w:tr w14:paraId="6D8B8A27" w14:textId="77777777" w:rsidTr="00E12B46">
        <w:tblPrEx>
          <w:tblW w:w="5192" w:type="pct"/>
          <w:tblInd w:w="0" w:type="dxa"/>
          <w:tblLayout w:type="fixed"/>
          <w:tblCellMar>
            <w:top w:w="0" w:type="dxa"/>
            <w:left w:w="108" w:type="dxa"/>
            <w:bottom w:w="0" w:type="dxa"/>
            <w:right w:w="108" w:type="dxa"/>
          </w:tblCellMar>
          <w:tblLook w:val="04A0"/>
        </w:tblPrEx>
        <w:trPr>
          <w:trHeight w:hRule="exact" w:val="604"/>
        </w:trPr>
        <w:tc>
          <w:tcPr>
            <w:tcW w:w="1005" w:type="pct"/>
            <w:vMerge/>
            <w:tcBorders>
              <w:top w:val="nil"/>
              <w:left w:val="single" w:sz="12" w:space="0" w:color="auto"/>
              <w:bottom w:val="single" w:sz="4" w:space="0" w:color="auto"/>
              <w:right w:val="single" w:sz="4" w:space="0" w:color="auto"/>
            </w:tcBorders>
            <w:vAlign w:val="center"/>
            <w:hideMark/>
          </w:tcPr>
          <w:p w:rsidR="00DA17CD" w:rsidRPr="00DA17CD" w:rsidP="00BB6A72" w14:paraId="5B0DF616" w14:textId="40A69020">
            <w:pPr>
              <w:keepLines/>
              <w:widowControl/>
              <w:suppressAutoHyphens/>
              <w:rPr>
                <w:rStyle w:val="DefaultParagraphFont"/>
                <w:b/>
                <w:bCs/>
                <w:snapToGrid/>
                <w:kern w:val="0"/>
                <w:sz w:val="20"/>
                <w:lang w:val="en-US" w:eastAsia="en-US" w:bidi="ar-SA"/>
              </w:rPr>
            </w:pPr>
          </w:p>
        </w:tc>
        <w:tc>
          <w:tcPr>
            <w:tcW w:w="474" w:type="pct"/>
            <w:vMerge/>
            <w:tcBorders>
              <w:top w:val="nil"/>
              <w:left w:val="single" w:sz="4" w:space="0" w:color="auto"/>
              <w:bottom w:val="single" w:sz="4" w:space="0" w:color="000000"/>
              <w:right w:val="single" w:sz="4" w:space="0" w:color="auto"/>
            </w:tcBorders>
            <w:vAlign w:val="center"/>
            <w:hideMark/>
          </w:tcPr>
          <w:p w:rsidR="00DA17CD" w:rsidRPr="00DA17CD" w:rsidP="00BB6A72" w14:paraId="41A6846E" w14:textId="77777777">
            <w:pPr>
              <w:keepLines/>
              <w:widowControl/>
              <w:suppressAutoHyphens/>
              <w:rPr>
                <w:rStyle w:val="DefaultParagraphFont"/>
                <w:b/>
                <w:bCs/>
                <w:snapToGrid/>
                <w:kern w:val="0"/>
                <w:sz w:val="20"/>
                <w:lang w:val="en-US" w:eastAsia="en-US" w:bidi="ar-SA"/>
              </w:rPr>
            </w:pPr>
          </w:p>
        </w:tc>
        <w:tc>
          <w:tcPr>
            <w:tcW w:w="604" w:type="pct"/>
            <w:vMerge/>
            <w:tcBorders>
              <w:top w:val="nil"/>
              <w:left w:val="single" w:sz="4" w:space="0" w:color="auto"/>
              <w:bottom w:val="single" w:sz="4" w:space="0" w:color="000000"/>
              <w:right w:val="single" w:sz="4" w:space="0" w:color="auto"/>
            </w:tcBorders>
            <w:vAlign w:val="center"/>
            <w:hideMark/>
          </w:tcPr>
          <w:p w:rsidR="00DA17CD" w:rsidRPr="00DA17CD" w:rsidP="00BB6A72" w14:paraId="2C335305" w14:textId="77777777">
            <w:pPr>
              <w:keepLines/>
              <w:widowControl/>
              <w:suppressAutoHyphens/>
              <w:rPr>
                <w:rStyle w:val="DefaultParagraphFont"/>
                <w:b/>
                <w:bCs/>
                <w:snapToGrid/>
                <w:kern w:val="0"/>
                <w:sz w:val="20"/>
                <w:lang w:val="en-US" w:eastAsia="en-US" w:bidi="ar-SA"/>
              </w:rPr>
            </w:pPr>
          </w:p>
        </w:tc>
        <w:tc>
          <w:tcPr>
            <w:tcW w:w="650" w:type="pct"/>
            <w:vMerge/>
            <w:tcBorders>
              <w:top w:val="nil"/>
              <w:left w:val="single" w:sz="4" w:space="0" w:color="auto"/>
              <w:bottom w:val="single" w:sz="4" w:space="0" w:color="000000"/>
              <w:right w:val="single" w:sz="4" w:space="0" w:color="auto"/>
            </w:tcBorders>
            <w:vAlign w:val="center"/>
            <w:hideMark/>
          </w:tcPr>
          <w:p w:rsidR="00DA17CD" w:rsidRPr="00DA17CD" w:rsidP="00BB6A72" w14:paraId="48049F3D" w14:textId="77777777">
            <w:pPr>
              <w:keepLines/>
              <w:widowControl/>
              <w:suppressAutoHyphens/>
              <w:rPr>
                <w:rStyle w:val="DefaultParagraphFont"/>
                <w:b/>
                <w:bCs/>
                <w:snapToGrid/>
                <w:kern w:val="0"/>
                <w:sz w:val="20"/>
                <w:lang w:val="en-US" w:eastAsia="en-US" w:bidi="ar-SA"/>
              </w:rPr>
            </w:pPr>
          </w:p>
        </w:tc>
        <w:tc>
          <w:tcPr>
            <w:tcW w:w="1259" w:type="pct"/>
            <w:gridSpan w:val="3"/>
            <w:tcBorders>
              <w:top w:val="single" w:sz="4" w:space="0" w:color="auto"/>
              <w:left w:val="nil"/>
              <w:bottom w:val="single" w:sz="4" w:space="0" w:color="auto"/>
              <w:right w:val="single" w:sz="4" w:space="0" w:color="000000"/>
            </w:tcBorders>
            <w:shd w:val="clear" w:color="auto" w:fill="auto"/>
            <w:vAlign w:val="center"/>
            <w:hideMark/>
          </w:tcPr>
          <w:p w:rsidR="00DA17CD" w:rsidRPr="00D9260E" w:rsidP="00BB6A72" w14:paraId="745DB861"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Second Cable</w:t>
            </w:r>
          </w:p>
          <w:p w:rsidR="00DA17CD" w:rsidRPr="00DA17CD" w:rsidP="00BB6A72" w14:paraId="4A775D8B"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 xml:space="preserve"> Operator Overbuild</w:t>
            </w:r>
          </w:p>
        </w:tc>
        <w:tc>
          <w:tcPr>
            <w:tcW w:w="3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17CD" w:rsidRPr="00DA17CD" w:rsidP="00BB6A72" w14:paraId="604C8485"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DBS</w:t>
            </w:r>
          </w:p>
        </w:tc>
        <w:tc>
          <w:tcPr>
            <w:tcW w:w="624" w:type="pct"/>
            <w:vMerge w:val="restart"/>
            <w:tcBorders>
              <w:top w:val="nil"/>
              <w:left w:val="single" w:sz="4" w:space="0" w:color="auto"/>
              <w:bottom w:val="single" w:sz="4" w:space="0" w:color="000000"/>
              <w:right w:val="single" w:sz="12" w:space="0" w:color="auto"/>
            </w:tcBorders>
            <w:shd w:val="clear" w:color="auto" w:fill="auto"/>
            <w:vAlign w:val="center"/>
            <w:hideMark/>
          </w:tcPr>
          <w:p w:rsidR="00DA17CD" w:rsidRPr="00E12B46" w:rsidP="00BB6A72" w14:paraId="7284D926" w14:textId="77777777">
            <w:pPr>
              <w:keepLines/>
              <w:widowControl/>
              <w:suppressAutoHyphens/>
              <w:jc w:val="center"/>
              <w:rPr>
                <w:rStyle w:val="DefaultParagraphFont"/>
                <w:b/>
                <w:bCs/>
                <w:snapToGrid/>
                <w:kern w:val="0"/>
                <w:sz w:val="18"/>
                <w:szCs w:val="18"/>
                <w:lang w:val="en-US" w:eastAsia="en-US" w:bidi="ar-SA"/>
              </w:rPr>
            </w:pPr>
            <w:r w:rsidRPr="00E12B46">
              <w:rPr>
                <w:b/>
                <w:bCs/>
                <w:snapToGrid/>
                <w:kern w:val="0"/>
                <w:sz w:val="18"/>
                <w:szCs w:val="18"/>
                <w:lang w:val="en-US" w:eastAsia="en-US" w:bidi="ar-SA"/>
              </w:rPr>
              <w:t>Wireless and Low Penetration Test</w:t>
            </w:r>
          </w:p>
        </w:tc>
      </w:tr>
      <w:tr w14:paraId="6F6C9747" w14:textId="77777777" w:rsidTr="00E12B46">
        <w:tblPrEx>
          <w:tblW w:w="5192" w:type="pct"/>
          <w:tblInd w:w="0" w:type="dxa"/>
          <w:tblLayout w:type="fixed"/>
          <w:tblCellMar>
            <w:top w:w="0" w:type="dxa"/>
            <w:left w:w="108" w:type="dxa"/>
            <w:bottom w:w="0" w:type="dxa"/>
            <w:right w:w="108" w:type="dxa"/>
          </w:tblCellMar>
          <w:tblLook w:val="04A0"/>
        </w:tblPrEx>
        <w:trPr>
          <w:trHeight w:hRule="exact" w:val="532"/>
        </w:trPr>
        <w:tc>
          <w:tcPr>
            <w:tcW w:w="1005" w:type="pct"/>
            <w:vMerge/>
            <w:tcBorders>
              <w:top w:val="nil"/>
              <w:left w:val="single" w:sz="12" w:space="0" w:color="auto"/>
              <w:bottom w:val="single" w:sz="4" w:space="0" w:color="auto"/>
              <w:right w:val="single" w:sz="4" w:space="0" w:color="auto"/>
            </w:tcBorders>
            <w:vAlign w:val="center"/>
            <w:hideMark/>
          </w:tcPr>
          <w:p w:rsidR="00DA17CD" w:rsidRPr="00DA17CD" w:rsidP="00BB6A72" w14:paraId="1D3FE40B" w14:textId="77777777">
            <w:pPr>
              <w:keepLines/>
              <w:widowControl/>
              <w:suppressAutoHyphens/>
              <w:rPr>
                <w:rStyle w:val="DefaultParagraphFont"/>
                <w:b/>
                <w:bCs/>
                <w:snapToGrid/>
                <w:kern w:val="0"/>
                <w:sz w:val="20"/>
                <w:lang w:val="en-US" w:eastAsia="en-US" w:bidi="ar-SA"/>
              </w:rPr>
            </w:pPr>
          </w:p>
        </w:tc>
        <w:tc>
          <w:tcPr>
            <w:tcW w:w="474" w:type="pct"/>
            <w:vMerge/>
            <w:tcBorders>
              <w:top w:val="nil"/>
              <w:left w:val="single" w:sz="4" w:space="0" w:color="auto"/>
              <w:bottom w:val="single" w:sz="4" w:space="0" w:color="000000"/>
              <w:right w:val="single" w:sz="4" w:space="0" w:color="auto"/>
            </w:tcBorders>
            <w:vAlign w:val="center"/>
            <w:hideMark/>
          </w:tcPr>
          <w:p w:rsidR="00DA17CD" w:rsidRPr="00DA17CD" w:rsidP="00BB6A72" w14:paraId="371C46CC" w14:textId="77777777">
            <w:pPr>
              <w:keepLines/>
              <w:widowControl/>
              <w:suppressAutoHyphens/>
              <w:rPr>
                <w:rStyle w:val="DefaultParagraphFont"/>
                <w:b/>
                <w:bCs/>
                <w:snapToGrid/>
                <w:kern w:val="0"/>
                <w:sz w:val="20"/>
                <w:lang w:val="en-US" w:eastAsia="en-US" w:bidi="ar-SA"/>
              </w:rPr>
            </w:pPr>
          </w:p>
        </w:tc>
        <w:tc>
          <w:tcPr>
            <w:tcW w:w="604" w:type="pct"/>
            <w:vMerge/>
            <w:tcBorders>
              <w:top w:val="nil"/>
              <w:left w:val="single" w:sz="4" w:space="0" w:color="auto"/>
              <w:bottom w:val="single" w:sz="4" w:space="0" w:color="000000"/>
              <w:right w:val="single" w:sz="4" w:space="0" w:color="auto"/>
            </w:tcBorders>
            <w:vAlign w:val="center"/>
            <w:hideMark/>
          </w:tcPr>
          <w:p w:rsidR="00DA17CD" w:rsidRPr="00DA17CD" w:rsidP="00BB6A72" w14:paraId="52D4E0EA" w14:textId="77777777">
            <w:pPr>
              <w:keepLines/>
              <w:widowControl/>
              <w:suppressAutoHyphens/>
              <w:rPr>
                <w:rStyle w:val="DefaultParagraphFont"/>
                <w:b/>
                <w:bCs/>
                <w:snapToGrid/>
                <w:kern w:val="0"/>
                <w:sz w:val="20"/>
                <w:lang w:val="en-US" w:eastAsia="en-US" w:bidi="ar-SA"/>
              </w:rPr>
            </w:pPr>
          </w:p>
        </w:tc>
        <w:tc>
          <w:tcPr>
            <w:tcW w:w="650" w:type="pct"/>
            <w:vMerge/>
            <w:tcBorders>
              <w:top w:val="nil"/>
              <w:left w:val="single" w:sz="4" w:space="0" w:color="auto"/>
              <w:bottom w:val="single" w:sz="4" w:space="0" w:color="000000"/>
              <w:right w:val="single" w:sz="4" w:space="0" w:color="auto"/>
            </w:tcBorders>
            <w:vAlign w:val="center"/>
            <w:hideMark/>
          </w:tcPr>
          <w:p w:rsidR="00DA17CD" w:rsidRPr="00DA17CD" w:rsidP="00BB6A72" w14:paraId="4BC564EC" w14:textId="77777777">
            <w:pPr>
              <w:keepLines/>
              <w:widowControl/>
              <w:suppressAutoHyphens/>
              <w:rPr>
                <w:rStyle w:val="DefaultParagraphFont"/>
                <w:b/>
                <w:bCs/>
                <w:snapToGrid/>
                <w:kern w:val="0"/>
                <w:sz w:val="20"/>
                <w:lang w:val="en-US" w:eastAsia="en-US" w:bidi="ar-SA"/>
              </w:rPr>
            </w:pPr>
          </w:p>
        </w:tc>
        <w:tc>
          <w:tcPr>
            <w:tcW w:w="439" w:type="pct"/>
            <w:tcBorders>
              <w:top w:val="single" w:sz="4" w:space="0" w:color="auto"/>
              <w:left w:val="nil"/>
              <w:bottom w:val="single" w:sz="4" w:space="0" w:color="auto"/>
              <w:right w:val="single" w:sz="8" w:space="0" w:color="auto"/>
            </w:tcBorders>
            <w:shd w:val="clear" w:color="auto" w:fill="auto"/>
            <w:vAlign w:val="center"/>
            <w:hideMark/>
          </w:tcPr>
          <w:p w:rsidR="00DA17CD" w:rsidRPr="00DA17CD" w:rsidP="00BB6A72" w14:paraId="6EBD8B7F"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Incumbent</w:t>
            </w:r>
          </w:p>
        </w:tc>
        <w:tc>
          <w:tcPr>
            <w:tcW w:w="38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17CD" w:rsidRPr="00DA17CD" w:rsidP="00BB6A72" w14:paraId="789D7833"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Rival</w:t>
            </w:r>
          </w:p>
        </w:tc>
        <w:tc>
          <w:tcPr>
            <w:tcW w:w="43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17CD" w:rsidRPr="00DA17CD" w:rsidP="00BB6A72" w14:paraId="4C19407A" w14:textId="77777777">
            <w:pPr>
              <w:keepLines/>
              <w:widowControl/>
              <w:suppressAutoHyphens/>
              <w:jc w:val="center"/>
              <w:rPr>
                <w:rStyle w:val="DefaultParagraphFont"/>
                <w:b/>
                <w:bCs/>
                <w:snapToGrid/>
                <w:kern w:val="0"/>
                <w:sz w:val="20"/>
                <w:lang w:val="en-US" w:eastAsia="en-US" w:bidi="ar-SA"/>
              </w:rPr>
            </w:pPr>
            <w:r w:rsidRPr="00DA17CD">
              <w:rPr>
                <w:b/>
                <w:bCs/>
                <w:snapToGrid/>
                <w:kern w:val="0"/>
                <w:sz w:val="20"/>
                <w:lang w:val="en-US" w:eastAsia="en-US" w:bidi="ar-SA"/>
              </w:rPr>
              <w:t>Both</w:t>
            </w:r>
          </w:p>
        </w:tc>
        <w:tc>
          <w:tcPr>
            <w:tcW w:w="384" w:type="pct"/>
            <w:vMerge/>
            <w:tcBorders>
              <w:top w:val="nil"/>
              <w:left w:val="single" w:sz="4" w:space="0" w:color="auto"/>
              <w:bottom w:val="single" w:sz="4" w:space="0" w:color="000000"/>
              <w:right w:val="single" w:sz="4" w:space="0" w:color="auto"/>
            </w:tcBorders>
            <w:vAlign w:val="center"/>
            <w:hideMark/>
          </w:tcPr>
          <w:p w:rsidR="00DA17CD" w:rsidRPr="00DA17CD" w:rsidP="00BB6A72" w14:paraId="7FCB5D36" w14:textId="77777777">
            <w:pPr>
              <w:keepLines/>
              <w:widowControl/>
              <w:suppressAutoHyphens/>
              <w:rPr>
                <w:rStyle w:val="DefaultParagraphFont"/>
                <w:b/>
                <w:bCs/>
                <w:snapToGrid/>
                <w:kern w:val="0"/>
                <w:sz w:val="20"/>
                <w:lang w:val="en-US" w:eastAsia="en-US" w:bidi="ar-SA"/>
              </w:rPr>
            </w:pPr>
          </w:p>
        </w:tc>
        <w:tc>
          <w:tcPr>
            <w:tcW w:w="624" w:type="pct"/>
            <w:vMerge/>
            <w:tcBorders>
              <w:top w:val="nil"/>
              <w:left w:val="single" w:sz="4" w:space="0" w:color="auto"/>
              <w:bottom w:val="single" w:sz="4" w:space="0" w:color="000000"/>
              <w:right w:val="single" w:sz="12" w:space="0" w:color="auto"/>
            </w:tcBorders>
            <w:vAlign w:val="center"/>
            <w:hideMark/>
          </w:tcPr>
          <w:p w:rsidR="00DA17CD" w:rsidRPr="00DA17CD" w:rsidP="00BB6A72" w14:paraId="37C3D91A" w14:textId="77777777">
            <w:pPr>
              <w:keepLines/>
              <w:widowControl/>
              <w:suppressAutoHyphens/>
              <w:rPr>
                <w:rStyle w:val="DefaultParagraphFont"/>
                <w:b/>
                <w:bCs/>
                <w:snapToGrid/>
                <w:kern w:val="0"/>
                <w:sz w:val="20"/>
                <w:lang w:val="en-US" w:eastAsia="en-US" w:bidi="ar-SA"/>
              </w:rPr>
            </w:pPr>
          </w:p>
        </w:tc>
      </w:tr>
      <w:tr w14:paraId="746B5E86" w14:textId="77777777" w:rsidTr="00E12B46">
        <w:tblPrEx>
          <w:tblW w:w="5192" w:type="pct"/>
          <w:tblInd w:w="0" w:type="dxa"/>
          <w:tblLayout w:type="fixed"/>
          <w:tblCellMar>
            <w:top w:w="0" w:type="dxa"/>
            <w:left w:w="108" w:type="dxa"/>
            <w:bottom w:w="0" w:type="dxa"/>
            <w:right w:w="108" w:type="dxa"/>
          </w:tblCellMar>
          <w:tblLook w:val="04A0"/>
        </w:tblPrEx>
        <w:trPr>
          <w:trHeight w:hRule="exact" w:val="454"/>
        </w:trPr>
        <w:tc>
          <w:tcPr>
            <w:tcW w:w="1005" w:type="pct"/>
            <w:tcBorders>
              <w:top w:val="single" w:sz="4" w:space="0" w:color="auto"/>
              <w:left w:val="single" w:sz="12" w:space="0" w:color="auto"/>
              <w:bottom w:val="nil"/>
              <w:right w:val="single" w:sz="4" w:space="0" w:color="auto"/>
            </w:tcBorders>
            <w:shd w:val="clear" w:color="auto" w:fill="auto"/>
            <w:noWrap/>
            <w:vAlign w:val="bottom"/>
            <w:hideMark/>
          </w:tcPr>
          <w:p w:rsidR="009852C4" w:rsidRPr="00DA17CD" w:rsidP="00BB6A72" w14:paraId="33F48105" w14:textId="77777777">
            <w:pPr>
              <w:keepLines/>
              <w:widowControl/>
              <w:suppressAutoHyphens/>
              <w:rPr>
                <w:rStyle w:val="DefaultParagraphFont"/>
                <w:b/>
                <w:bCs/>
                <w:snapToGrid/>
                <w:kern w:val="0"/>
                <w:sz w:val="20"/>
                <w:lang w:val="en-US" w:eastAsia="en-US" w:bidi="ar-SA"/>
              </w:rPr>
            </w:pPr>
            <w:r w:rsidRPr="00DA17CD">
              <w:rPr>
                <w:b/>
                <w:bCs/>
                <w:snapToGrid/>
                <w:kern w:val="0"/>
                <w:sz w:val="20"/>
                <w:lang w:val="en-US" w:eastAsia="en-US" w:bidi="ar-SA"/>
              </w:rPr>
              <w:t>Basic</w:t>
            </w:r>
          </w:p>
        </w:tc>
        <w:tc>
          <w:tcPr>
            <w:tcW w:w="474" w:type="pct"/>
            <w:tcBorders>
              <w:top w:val="single" w:sz="4" w:space="0" w:color="auto"/>
              <w:left w:val="single" w:sz="4" w:space="0" w:color="auto"/>
              <w:bottom w:val="nil"/>
              <w:right w:val="single" w:sz="4" w:space="0" w:color="auto"/>
            </w:tcBorders>
            <w:shd w:val="clear" w:color="auto" w:fill="auto"/>
            <w:noWrap/>
            <w:vAlign w:val="bottom"/>
            <w:hideMark/>
          </w:tcPr>
          <w:p w:rsidR="009852C4" w:rsidRPr="00B93792" w:rsidP="00BB6A72" w14:paraId="46066AF7" w14:textId="3B9C6E4B">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$0.63</w:t>
            </w:r>
          </w:p>
        </w:tc>
        <w:tc>
          <w:tcPr>
            <w:tcW w:w="604" w:type="pct"/>
            <w:tcBorders>
              <w:top w:val="single" w:sz="4" w:space="0" w:color="auto"/>
              <w:left w:val="nil"/>
              <w:bottom w:val="nil"/>
              <w:right w:val="single" w:sz="4" w:space="0" w:color="auto"/>
            </w:tcBorders>
            <w:shd w:val="clear" w:color="auto" w:fill="auto"/>
            <w:noWrap/>
            <w:vAlign w:val="bottom"/>
            <w:hideMark/>
          </w:tcPr>
          <w:p w:rsidR="009852C4" w:rsidRPr="00B93792" w:rsidP="00BB6A72" w14:paraId="7F4270E0" w14:textId="7B400776">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$0.73</w:t>
            </w:r>
          </w:p>
        </w:tc>
        <w:tc>
          <w:tcPr>
            <w:tcW w:w="650" w:type="pct"/>
            <w:tcBorders>
              <w:top w:val="single" w:sz="4" w:space="0" w:color="auto"/>
              <w:left w:val="nil"/>
              <w:bottom w:val="nil"/>
              <w:right w:val="single" w:sz="4" w:space="0" w:color="auto"/>
            </w:tcBorders>
            <w:shd w:val="clear" w:color="auto" w:fill="auto"/>
            <w:noWrap/>
            <w:vAlign w:val="bottom"/>
            <w:hideMark/>
          </w:tcPr>
          <w:p w:rsidR="009852C4" w:rsidRPr="00B93792" w:rsidP="00BB6A72" w14:paraId="32F137D6" w14:textId="626B405D">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$0.52</w:t>
            </w:r>
          </w:p>
        </w:tc>
        <w:tc>
          <w:tcPr>
            <w:tcW w:w="439" w:type="pct"/>
            <w:tcBorders>
              <w:top w:val="single" w:sz="4" w:space="0" w:color="auto"/>
              <w:left w:val="nil"/>
              <w:bottom w:val="nil"/>
              <w:right w:val="single" w:sz="4" w:space="0" w:color="auto"/>
            </w:tcBorders>
            <w:shd w:val="clear" w:color="auto" w:fill="auto"/>
            <w:noWrap/>
            <w:vAlign w:val="bottom"/>
            <w:hideMark/>
          </w:tcPr>
          <w:p w:rsidR="009852C4" w:rsidRPr="00B93792" w:rsidP="00BB6A72" w14:paraId="6AF7ED53" w14:textId="47910B6C">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$0.44</w:t>
            </w:r>
          </w:p>
        </w:tc>
        <w:tc>
          <w:tcPr>
            <w:tcW w:w="384" w:type="pct"/>
            <w:tcBorders>
              <w:top w:val="single" w:sz="4" w:space="0" w:color="auto"/>
              <w:left w:val="nil"/>
              <w:bottom w:val="nil"/>
              <w:right w:val="single" w:sz="4" w:space="0" w:color="auto"/>
            </w:tcBorders>
            <w:shd w:val="clear" w:color="auto" w:fill="auto"/>
            <w:noWrap/>
            <w:vAlign w:val="bottom"/>
            <w:hideMark/>
          </w:tcPr>
          <w:p w:rsidR="009852C4" w:rsidRPr="00B93792" w:rsidP="00BB6A72" w14:paraId="44586829" w14:textId="22700DB2">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$0.79</w:t>
            </w:r>
          </w:p>
        </w:tc>
        <w:tc>
          <w:tcPr>
            <w:tcW w:w="436" w:type="pct"/>
            <w:tcBorders>
              <w:top w:val="single" w:sz="4" w:space="0" w:color="auto"/>
              <w:left w:val="nil"/>
              <w:bottom w:val="nil"/>
              <w:right w:val="single" w:sz="4" w:space="0" w:color="auto"/>
            </w:tcBorders>
            <w:shd w:val="clear" w:color="auto" w:fill="auto"/>
            <w:noWrap/>
            <w:vAlign w:val="bottom"/>
            <w:hideMark/>
          </w:tcPr>
          <w:p w:rsidR="009852C4" w:rsidRPr="00B93792" w:rsidP="00BB6A72" w14:paraId="0EA0D306" w14:textId="3FCA28E0">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$0.50</w:t>
            </w:r>
          </w:p>
        </w:tc>
        <w:tc>
          <w:tcPr>
            <w:tcW w:w="384" w:type="pct"/>
            <w:tcBorders>
              <w:top w:val="single" w:sz="4" w:space="0" w:color="auto"/>
              <w:left w:val="nil"/>
              <w:bottom w:val="nil"/>
              <w:right w:val="single" w:sz="4" w:space="0" w:color="auto"/>
            </w:tcBorders>
            <w:shd w:val="clear" w:color="auto" w:fill="auto"/>
            <w:noWrap/>
            <w:vAlign w:val="bottom"/>
            <w:hideMark/>
          </w:tcPr>
          <w:p w:rsidR="009852C4" w:rsidRPr="00B93792" w:rsidP="00BB6A72" w14:paraId="4ACC56C2" w14:textId="498EF097">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$0.52</w:t>
            </w:r>
          </w:p>
        </w:tc>
        <w:tc>
          <w:tcPr>
            <w:tcW w:w="624" w:type="pct"/>
            <w:tcBorders>
              <w:top w:val="single" w:sz="4" w:space="0" w:color="auto"/>
              <w:left w:val="nil"/>
              <w:bottom w:val="nil"/>
              <w:right w:val="single" w:sz="12" w:space="0" w:color="auto"/>
            </w:tcBorders>
            <w:shd w:val="clear" w:color="auto" w:fill="auto"/>
            <w:noWrap/>
            <w:vAlign w:val="bottom"/>
            <w:hideMark/>
          </w:tcPr>
          <w:p w:rsidR="009852C4" w:rsidRPr="00B93792" w:rsidP="00BB6A72" w14:paraId="1C29388E" w14:textId="0BB0BB2F">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$0.57</w:t>
            </w:r>
          </w:p>
        </w:tc>
      </w:tr>
      <w:tr w14:paraId="440DA423" w14:textId="77777777" w:rsidTr="00E12B46">
        <w:tblPrEx>
          <w:tblW w:w="5192" w:type="pct"/>
          <w:tblInd w:w="0" w:type="dxa"/>
          <w:tblLayout w:type="fixed"/>
          <w:tblCellMar>
            <w:top w:w="0" w:type="dxa"/>
            <w:left w:w="108" w:type="dxa"/>
            <w:bottom w:w="0" w:type="dxa"/>
            <w:right w:w="108" w:type="dxa"/>
          </w:tblCellMar>
          <w:tblLook w:val="04A0"/>
        </w:tblPrEx>
        <w:trPr>
          <w:trHeight w:hRule="exact" w:val="346"/>
        </w:trPr>
        <w:tc>
          <w:tcPr>
            <w:tcW w:w="1005" w:type="pct"/>
            <w:tcBorders>
              <w:top w:val="nil"/>
              <w:left w:val="single" w:sz="12" w:space="0" w:color="auto"/>
              <w:bottom w:val="single" w:sz="4" w:space="0" w:color="auto"/>
              <w:right w:val="single" w:sz="4" w:space="0" w:color="auto"/>
            </w:tcBorders>
            <w:shd w:val="clear" w:color="auto" w:fill="auto"/>
            <w:noWrap/>
            <w:vAlign w:val="bottom"/>
            <w:hideMark/>
          </w:tcPr>
          <w:p w:rsidR="009852C4" w:rsidRPr="00DA17CD" w:rsidP="00BB6A72" w14:paraId="56162AB2" w14:textId="77777777">
            <w:pPr>
              <w:keepLines/>
              <w:widowControl/>
              <w:suppressAutoHyphens/>
              <w:rPr>
                <w:rStyle w:val="DefaultParagraphFont"/>
                <w:snapToGrid/>
                <w:kern w:val="0"/>
                <w:sz w:val="20"/>
                <w:lang w:val="en-US" w:eastAsia="en-US" w:bidi="ar-SA"/>
              </w:rPr>
            </w:pPr>
            <w:r w:rsidRPr="00DA17CD">
              <w:rPr>
                <w:snapToGrid/>
                <w:kern w:val="0"/>
                <w:sz w:val="20"/>
                <w:lang w:val="en-US" w:eastAsia="en-US" w:bidi="ar-SA"/>
              </w:rPr>
              <w:t>Annual change</w:t>
            </w:r>
          </w:p>
        </w:tc>
        <w:tc>
          <w:tcPr>
            <w:tcW w:w="474" w:type="pct"/>
            <w:tcBorders>
              <w:top w:val="nil"/>
              <w:left w:val="single" w:sz="4" w:space="0" w:color="auto"/>
              <w:bottom w:val="single" w:sz="4" w:space="0" w:color="auto"/>
              <w:right w:val="single" w:sz="4" w:space="0" w:color="auto"/>
            </w:tcBorders>
            <w:shd w:val="clear" w:color="auto" w:fill="auto"/>
            <w:noWrap/>
            <w:vAlign w:val="bottom"/>
            <w:hideMark/>
          </w:tcPr>
          <w:p w:rsidR="009852C4" w:rsidRPr="00B93792" w:rsidP="00BB6A72" w14:paraId="2B70DDC9" w14:textId="1609A3E3">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1.0%</w:t>
            </w:r>
          </w:p>
        </w:tc>
        <w:tc>
          <w:tcPr>
            <w:tcW w:w="604"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23F929CF" w14:textId="0AE0FC95">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0.1%</w:t>
            </w:r>
          </w:p>
        </w:tc>
        <w:tc>
          <w:tcPr>
            <w:tcW w:w="650"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28C5B01C" w14:textId="74468DAF">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2.0%</w:t>
            </w:r>
          </w:p>
        </w:tc>
        <w:tc>
          <w:tcPr>
            <w:tcW w:w="439"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4301E7B5" w14:textId="51B65D32">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-3.2%</w:t>
            </w:r>
          </w:p>
        </w:tc>
        <w:tc>
          <w:tcPr>
            <w:tcW w:w="384"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3B22D3CF" w14:textId="5C223349">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6.2%</w:t>
            </w:r>
          </w:p>
        </w:tc>
        <w:tc>
          <w:tcPr>
            <w:tcW w:w="436"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422489DC" w14:textId="2716557B">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-0.9%</w:t>
            </w:r>
          </w:p>
        </w:tc>
        <w:tc>
          <w:tcPr>
            <w:tcW w:w="384"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0EC998B6" w14:textId="1EDA20FC">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3.1%</w:t>
            </w:r>
          </w:p>
        </w:tc>
        <w:tc>
          <w:tcPr>
            <w:tcW w:w="624" w:type="pct"/>
            <w:tcBorders>
              <w:top w:val="nil"/>
              <w:left w:val="nil"/>
              <w:bottom w:val="single" w:sz="4" w:space="0" w:color="auto"/>
              <w:right w:val="single" w:sz="12" w:space="0" w:color="auto"/>
            </w:tcBorders>
            <w:shd w:val="clear" w:color="auto" w:fill="auto"/>
            <w:noWrap/>
            <w:vAlign w:val="bottom"/>
            <w:hideMark/>
          </w:tcPr>
          <w:p w:rsidR="009852C4" w:rsidRPr="00B93792" w:rsidP="00BB6A72" w14:paraId="66F44526" w14:textId="31301A19">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1.0%</w:t>
            </w:r>
          </w:p>
        </w:tc>
      </w:tr>
      <w:tr w14:paraId="7DC72D77" w14:textId="77777777" w:rsidTr="00E12B46">
        <w:tblPrEx>
          <w:tblW w:w="5192" w:type="pct"/>
          <w:tblInd w:w="0" w:type="dxa"/>
          <w:tblLayout w:type="fixed"/>
          <w:tblCellMar>
            <w:top w:w="0" w:type="dxa"/>
            <w:left w:w="108" w:type="dxa"/>
            <w:bottom w:w="0" w:type="dxa"/>
            <w:right w:w="108" w:type="dxa"/>
          </w:tblCellMar>
          <w:tblLook w:val="04A0"/>
        </w:tblPrEx>
        <w:trPr>
          <w:trHeight w:hRule="exact" w:val="454"/>
        </w:trPr>
        <w:tc>
          <w:tcPr>
            <w:tcW w:w="1005" w:type="pct"/>
            <w:tcBorders>
              <w:top w:val="nil"/>
              <w:left w:val="single" w:sz="12" w:space="0" w:color="auto"/>
              <w:bottom w:val="nil"/>
              <w:right w:val="single" w:sz="4" w:space="0" w:color="auto"/>
            </w:tcBorders>
            <w:shd w:val="clear" w:color="auto" w:fill="auto"/>
            <w:vAlign w:val="bottom"/>
            <w:hideMark/>
          </w:tcPr>
          <w:p w:rsidR="009852C4" w:rsidRPr="00DA17CD" w:rsidP="00BB6A72" w14:paraId="5A5EAAAE" w14:textId="77777777">
            <w:pPr>
              <w:keepLines/>
              <w:widowControl/>
              <w:suppressAutoHyphens/>
              <w:rPr>
                <w:rStyle w:val="DefaultParagraphFont"/>
                <w:b/>
                <w:bCs/>
                <w:snapToGrid/>
                <w:kern w:val="0"/>
                <w:sz w:val="20"/>
                <w:lang w:val="en-US" w:eastAsia="en-US" w:bidi="ar-SA"/>
              </w:rPr>
            </w:pPr>
            <w:r w:rsidRPr="00DA17CD">
              <w:rPr>
                <w:b/>
                <w:bCs/>
                <w:snapToGrid/>
                <w:kern w:val="0"/>
                <w:sz w:val="20"/>
                <w:lang w:val="en-US" w:eastAsia="en-US" w:bidi="ar-SA"/>
              </w:rPr>
              <w:t>Expanded basic</w:t>
            </w:r>
          </w:p>
        </w:tc>
        <w:tc>
          <w:tcPr>
            <w:tcW w:w="474" w:type="pct"/>
            <w:tcBorders>
              <w:top w:val="nil"/>
              <w:left w:val="single" w:sz="4" w:space="0" w:color="auto"/>
              <w:bottom w:val="nil"/>
              <w:right w:val="single" w:sz="4" w:space="0" w:color="auto"/>
            </w:tcBorders>
            <w:shd w:val="clear" w:color="auto" w:fill="auto"/>
            <w:noWrap/>
            <w:vAlign w:val="bottom"/>
            <w:hideMark/>
          </w:tcPr>
          <w:p w:rsidR="009852C4" w:rsidRPr="00B93792" w:rsidP="00BB6A72" w14:paraId="7CC6B87D" w14:textId="1D65ED8D">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$0.47</w:t>
            </w:r>
          </w:p>
        </w:tc>
        <w:tc>
          <w:tcPr>
            <w:tcW w:w="604" w:type="pct"/>
            <w:tcBorders>
              <w:top w:val="nil"/>
              <w:left w:val="nil"/>
              <w:bottom w:val="nil"/>
              <w:right w:val="single" w:sz="4" w:space="0" w:color="auto"/>
            </w:tcBorders>
            <w:shd w:val="clear" w:color="auto" w:fill="auto"/>
            <w:noWrap/>
            <w:vAlign w:val="bottom"/>
            <w:hideMark/>
          </w:tcPr>
          <w:p w:rsidR="009852C4" w:rsidRPr="00B93792" w:rsidP="00BB6A72" w14:paraId="6EA08719" w14:textId="6A57041A">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$0.51</w:t>
            </w:r>
          </w:p>
        </w:tc>
        <w:tc>
          <w:tcPr>
            <w:tcW w:w="650" w:type="pct"/>
            <w:tcBorders>
              <w:top w:val="nil"/>
              <w:left w:val="nil"/>
              <w:bottom w:val="nil"/>
              <w:right w:val="single" w:sz="4" w:space="0" w:color="auto"/>
            </w:tcBorders>
            <w:shd w:val="clear" w:color="auto" w:fill="auto"/>
            <w:noWrap/>
            <w:vAlign w:val="bottom"/>
            <w:hideMark/>
          </w:tcPr>
          <w:p w:rsidR="009852C4" w:rsidRPr="00B93792" w:rsidP="00BB6A72" w14:paraId="1F6BB54F" w14:textId="27453708">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$0.42</w:t>
            </w:r>
          </w:p>
        </w:tc>
        <w:tc>
          <w:tcPr>
            <w:tcW w:w="439" w:type="pct"/>
            <w:tcBorders>
              <w:top w:val="nil"/>
              <w:left w:val="nil"/>
              <w:bottom w:val="nil"/>
              <w:right w:val="single" w:sz="4" w:space="0" w:color="auto"/>
            </w:tcBorders>
            <w:shd w:val="clear" w:color="auto" w:fill="auto"/>
            <w:noWrap/>
            <w:vAlign w:val="bottom"/>
            <w:hideMark/>
          </w:tcPr>
          <w:p w:rsidR="009852C4" w:rsidRPr="00B93792" w:rsidP="00BB6A72" w14:paraId="0217487B" w14:textId="255D02BA">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$0.40</w:t>
            </w:r>
          </w:p>
        </w:tc>
        <w:tc>
          <w:tcPr>
            <w:tcW w:w="384" w:type="pct"/>
            <w:tcBorders>
              <w:top w:val="nil"/>
              <w:left w:val="nil"/>
              <w:bottom w:val="nil"/>
              <w:right w:val="single" w:sz="4" w:space="0" w:color="auto"/>
            </w:tcBorders>
            <w:shd w:val="clear" w:color="auto" w:fill="auto"/>
            <w:noWrap/>
            <w:vAlign w:val="bottom"/>
            <w:hideMark/>
          </w:tcPr>
          <w:p w:rsidR="009852C4" w:rsidRPr="00B93792" w:rsidP="00BB6A72" w14:paraId="524453AD" w14:textId="7C3E64B8">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$0.44</w:t>
            </w:r>
          </w:p>
        </w:tc>
        <w:tc>
          <w:tcPr>
            <w:tcW w:w="436" w:type="pct"/>
            <w:tcBorders>
              <w:top w:val="nil"/>
              <w:left w:val="nil"/>
              <w:bottom w:val="nil"/>
              <w:right w:val="single" w:sz="4" w:space="0" w:color="auto"/>
            </w:tcBorders>
            <w:shd w:val="clear" w:color="auto" w:fill="auto"/>
            <w:noWrap/>
            <w:vAlign w:val="bottom"/>
            <w:hideMark/>
          </w:tcPr>
          <w:p w:rsidR="009852C4" w:rsidRPr="00B93792" w:rsidP="00BB6A72" w14:paraId="224AE825" w14:textId="00AAEE2B">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$0.41</w:t>
            </w:r>
          </w:p>
        </w:tc>
        <w:tc>
          <w:tcPr>
            <w:tcW w:w="384" w:type="pct"/>
            <w:tcBorders>
              <w:top w:val="nil"/>
              <w:left w:val="nil"/>
              <w:bottom w:val="nil"/>
              <w:right w:val="single" w:sz="4" w:space="0" w:color="auto"/>
            </w:tcBorders>
            <w:shd w:val="clear" w:color="auto" w:fill="auto"/>
            <w:noWrap/>
            <w:vAlign w:val="bottom"/>
            <w:hideMark/>
          </w:tcPr>
          <w:p w:rsidR="009852C4" w:rsidRPr="00B93792" w:rsidP="00BB6A72" w14:paraId="2EB8AB2F" w14:textId="387F9CE5">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$0.42</w:t>
            </w:r>
          </w:p>
        </w:tc>
        <w:tc>
          <w:tcPr>
            <w:tcW w:w="624" w:type="pct"/>
            <w:tcBorders>
              <w:top w:val="nil"/>
              <w:left w:val="nil"/>
              <w:bottom w:val="nil"/>
              <w:right w:val="single" w:sz="12" w:space="0" w:color="auto"/>
            </w:tcBorders>
            <w:shd w:val="clear" w:color="auto" w:fill="auto"/>
            <w:noWrap/>
            <w:vAlign w:val="bottom"/>
            <w:hideMark/>
          </w:tcPr>
          <w:p w:rsidR="009852C4" w:rsidRPr="00B93792" w:rsidP="00BB6A72" w14:paraId="7D8BF872" w14:textId="12B2DCA8">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$0.43</w:t>
            </w:r>
          </w:p>
        </w:tc>
      </w:tr>
      <w:tr w14:paraId="7946DAC5" w14:textId="77777777" w:rsidTr="00E12B46">
        <w:tblPrEx>
          <w:tblW w:w="5192" w:type="pct"/>
          <w:tblInd w:w="0" w:type="dxa"/>
          <w:tblLayout w:type="fixed"/>
          <w:tblCellMar>
            <w:top w:w="0" w:type="dxa"/>
            <w:left w:w="108" w:type="dxa"/>
            <w:bottom w:w="0" w:type="dxa"/>
            <w:right w:w="108" w:type="dxa"/>
          </w:tblCellMar>
          <w:tblLook w:val="04A0"/>
        </w:tblPrEx>
        <w:trPr>
          <w:trHeight w:hRule="exact" w:val="346"/>
        </w:trPr>
        <w:tc>
          <w:tcPr>
            <w:tcW w:w="1005" w:type="pct"/>
            <w:tcBorders>
              <w:top w:val="nil"/>
              <w:left w:val="single" w:sz="12" w:space="0" w:color="auto"/>
              <w:bottom w:val="single" w:sz="4" w:space="0" w:color="auto"/>
              <w:right w:val="single" w:sz="4" w:space="0" w:color="auto"/>
            </w:tcBorders>
            <w:shd w:val="clear" w:color="auto" w:fill="auto"/>
            <w:noWrap/>
            <w:vAlign w:val="bottom"/>
            <w:hideMark/>
          </w:tcPr>
          <w:p w:rsidR="009852C4" w:rsidRPr="00DA17CD" w:rsidP="00BB6A72" w14:paraId="5D281867" w14:textId="77777777">
            <w:pPr>
              <w:keepLines/>
              <w:widowControl/>
              <w:suppressAutoHyphens/>
              <w:rPr>
                <w:rStyle w:val="DefaultParagraphFont"/>
                <w:snapToGrid/>
                <w:kern w:val="0"/>
                <w:sz w:val="20"/>
                <w:lang w:val="en-US" w:eastAsia="en-US" w:bidi="ar-SA"/>
              </w:rPr>
            </w:pPr>
            <w:r w:rsidRPr="00DA17CD">
              <w:rPr>
                <w:snapToGrid/>
                <w:kern w:val="0"/>
                <w:sz w:val="20"/>
                <w:lang w:val="en-US" w:eastAsia="en-US" w:bidi="ar-SA"/>
              </w:rPr>
              <w:t>Annual change</w:t>
            </w:r>
          </w:p>
        </w:tc>
        <w:tc>
          <w:tcPr>
            <w:tcW w:w="474" w:type="pct"/>
            <w:tcBorders>
              <w:top w:val="nil"/>
              <w:left w:val="single" w:sz="4" w:space="0" w:color="auto"/>
              <w:bottom w:val="single" w:sz="4" w:space="0" w:color="auto"/>
              <w:right w:val="single" w:sz="4" w:space="0" w:color="auto"/>
            </w:tcBorders>
            <w:shd w:val="clear" w:color="auto" w:fill="auto"/>
            <w:noWrap/>
            <w:vAlign w:val="bottom"/>
            <w:hideMark/>
          </w:tcPr>
          <w:p w:rsidR="009852C4" w:rsidRPr="00B93792" w:rsidP="00BB6A72" w14:paraId="663D1017" w14:textId="72C7C157">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2.1%</w:t>
            </w:r>
          </w:p>
        </w:tc>
        <w:tc>
          <w:tcPr>
            <w:tcW w:w="604"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4F9F390B" w14:textId="74511C2A">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2.2%</w:t>
            </w:r>
          </w:p>
        </w:tc>
        <w:tc>
          <w:tcPr>
            <w:tcW w:w="650"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2A5C2A0C" w14:textId="66B2774F">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1.8%</w:t>
            </w:r>
          </w:p>
        </w:tc>
        <w:tc>
          <w:tcPr>
            <w:tcW w:w="439"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2CC5DA0A" w14:textId="6797FBDF">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-1.9%</w:t>
            </w:r>
          </w:p>
        </w:tc>
        <w:tc>
          <w:tcPr>
            <w:tcW w:w="384"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3D4A76A4" w14:textId="4CA6829C">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6.0%</w:t>
            </w:r>
          </w:p>
        </w:tc>
        <w:tc>
          <w:tcPr>
            <w:tcW w:w="436"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6CB65694" w14:textId="2AED8A64">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-0.6%</w:t>
            </w:r>
          </w:p>
        </w:tc>
        <w:tc>
          <w:tcPr>
            <w:tcW w:w="384" w:type="pct"/>
            <w:tcBorders>
              <w:top w:val="nil"/>
              <w:left w:val="nil"/>
              <w:bottom w:val="single" w:sz="4" w:space="0" w:color="auto"/>
              <w:right w:val="single" w:sz="4" w:space="0" w:color="auto"/>
            </w:tcBorders>
            <w:shd w:val="clear" w:color="auto" w:fill="auto"/>
            <w:noWrap/>
            <w:vAlign w:val="bottom"/>
            <w:hideMark/>
          </w:tcPr>
          <w:p w:rsidR="009852C4" w:rsidRPr="00B93792" w:rsidP="00BB6A72" w14:paraId="2A246646" w14:textId="75E2F17F">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2.7%</w:t>
            </w:r>
          </w:p>
        </w:tc>
        <w:tc>
          <w:tcPr>
            <w:tcW w:w="624" w:type="pct"/>
            <w:tcBorders>
              <w:top w:val="nil"/>
              <w:left w:val="nil"/>
              <w:bottom w:val="single" w:sz="4" w:space="0" w:color="auto"/>
              <w:right w:val="single" w:sz="12" w:space="0" w:color="auto"/>
            </w:tcBorders>
            <w:shd w:val="clear" w:color="auto" w:fill="auto"/>
            <w:noWrap/>
            <w:vAlign w:val="bottom"/>
            <w:hideMark/>
          </w:tcPr>
          <w:p w:rsidR="009852C4" w:rsidRPr="00B93792" w:rsidP="00BB6A72" w14:paraId="517464AB" w14:textId="1E5786CE">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0.3%</w:t>
            </w:r>
          </w:p>
        </w:tc>
      </w:tr>
      <w:tr w14:paraId="2ECFA69B" w14:textId="77777777" w:rsidTr="00E12B46">
        <w:tblPrEx>
          <w:tblW w:w="5192" w:type="pct"/>
          <w:tblInd w:w="0" w:type="dxa"/>
          <w:tblLayout w:type="fixed"/>
          <w:tblCellMar>
            <w:top w:w="0" w:type="dxa"/>
            <w:left w:w="108" w:type="dxa"/>
            <w:bottom w:w="0" w:type="dxa"/>
            <w:right w:w="108" w:type="dxa"/>
          </w:tblCellMar>
          <w:tblLook w:val="04A0"/>
        </w:tblPrEx>
        <w:trPr>
          <w:trHeight w:hRule="exact" w:val="454"/>
        </w:trPr>
        <w:tc>
          <w:tcPr>
            <w:tcW w:w="1005" w:type="pct"/>
            <w:tcBorders>
              <w:top w:val="nil"/>
              <w:left w:val="single" w:sz="12" w:space="0" w:color="auto"/>
              <w:bottom w:val="nil"/>
              <w:right w:val="single" w:sz="4" w:space="0" w:color="auto"/>
            </w:tcBorders>
            <w:shd w:val="clear" w:color="auto" w:fill="auto"/>
            <w:vAlign w:val="bottom"/>
            <w:hideMark/>
          </w:tcPr>
          <w:p w:rsidR="009852C4" w:rsidRPr="00DA17CD" w:rsidP="00BB6A72" w14:paraId="2E43B1ED" w14:textId="77777777">
            <w:pPr>
              <w:keepLines/>
              <w:widowControl/>
              <w:suppressAutoHyphens/>
              <w:rPr>
                <w:rStyle w:val="DefaultParagraphFont"/>
                <w:b/>
                <w:bCs/>
                <w:snapToGrid/>
                <w:kern w:val="0"/>
                <w:sz w:val="20"/>
                <w:lang w:val="en-US" w:eastAsia="en-US" w:bidi="ar-SA"/>
              </w:rPr>
            </w:pPr>
            <w:r w:rsidRPr="00DA17CD">
              <w:rPr>
                <w:b/>
                <w:bCs/>
                <w:snapToGrid/>
                <w:kern w:val="0"/>
                <w:sz w:val="20"/>
                <w:lang w:val="en-US" w:eastAsia="en-US" w:bidi="ar-SA"/>
              </w:rPr>
              <w:t>Next most popular</w:t>
            </w:r>
          </w:p>
        </w:tc>
        <w:tc>
          <w:tcPr>
            <w:tcW w:w="474" w:type="pct"/>
            <w:tcBorders>
              <w:top w:val="nil"/>
              <w:left w:val="single" w:sz="4" w:space="0" w:color="auto"/>
              <w:bottom w:val="nil"/>
              <w:right w:val="single" w:sz="4" w:space="0" w:color="auto"/>
            </w:tcBorders>
            <w:shd w:val="clear" w:color="auto" w:fill="auto"/>
            <w:noWrap/>
            <w:vAlign w:val="bottom"/>
            <w:hideMark/>
          </w:tcPr>
          <w:p w:rsidR="009852C4" w:rsidRPr="00B93792" w:rsidP="00BB6A72" w14:paraId="760D9C66" w14:textId="1EDB5572">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$0.38</w:t>
            </w:r>
          </w:p>
        </w:tc>
        <w:tc>
          <w:tcPr>
            <w:tcW w:w="604" w:type="pct"/>
            <w:tcBorders>
              <w:top w:val="nil"/>
              <w:left w:val="nil"/>
              <w:bottom w:val="nil"/>
              <w:right w:val="single" w:sz="4" w:space="0" w:color="auto"/>
            </w:tcBorders>
            <w:shd w:val="clear" w:color="auto" w:fill="auto"/>
            <w:noWrap/>
            <w:vAlign w:val="bottom"/>
            <w:hideMark/>
          </w:tcPr>
          <w:p w:rsidR="009852C4" w:rsidRPr="00B93792" w:rsidP="00BB6A72" w14:paraId="0335E3F4" w14:textId="5F69AA43">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$0.41</w:t>
            </w:r>
          </w:p>
        </w:tc>
        <w:tc>
          <w:tcPr>
            <w:tcW w:w="650" w:type="pct"/>
            <w:tcBorders>
              <w:top w:val="nil"/>
              <w:left w:val="nil"/>
              <w:bottom w:val="nil"/>
              <w:right w:val="single" w:sz="4" w:space="0" w:color="auto"/>
            </w:tcBorders>
            <w:shd w:val="clear" w:color="auto" w:fill="auto"/>
            <w:noWrap/>
            <w:vAlign w:val="bottom"/>
            <w:hideMark/>
          </w:tcPr>
          <w:p w:rsidR="009852C4" w:rsidRPr="00B93792" w:rsidP="00BB6A72" w14:paraId="4576B486" w14:textId="73B5C0DA">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$0.35</w:t>
            </w:r>
          </w:p>
        </w:tc>
        <w:tc>
          <w:tcPr>
            <w:tcW w:w="439" w:type="pct"/>
            <w:tcBorders>
              <w:top w:val="nil"/>
              <w:left w:val="nil"/>
              <w:bottom w:val="nil"/>
              <w:right w:val="single" w:sz="4" w:space="0" w:color="auto"/>
            </w:tcBorders>
            <w:shd w:val="clear" w:color="auto" w:fill="auto"/>
            <w:noWrap/>
            <w:vAlign w:val="bottom"/>
            <w:hideMark/>
          </w:tcPr>
          <w:p w:rsidR="009852C4" w:rsidRPr="00B93792" w:rsidP="00BB6A72" w14:paraId="75F84AF3" w14:textId="1EB45658">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$0.33</w:t>
            </w:r>
          </w:p>
        </w:tc>
        <w:tc>
          <w:tcPr>
            <w:tcW w:w="384" w:type="pct"/>
            <w:tcBorders>
              <w:top w:val="nil"/>
              <w:left w:val="nil"/>
              <w:bottom w:val="nil"/>
              <w:right w:val="single" w:sz="4" w:space="0" w:color="auto"/>
            </w:tcBorders>
            <w:shd w:val="clear" w:color="auto" w:fill="auto"/>
            <w:noWrap/>
            <w:vAlign w:val="bottom"/>
            <w:hideMark/>
          </w:tcPr>
          <w:p w:rsidR="009852C4" w:rsidRPr="00B93792" w:rsidP="00BB6A72" w14:paraId="51604E0D" w14:textId="07613E39">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$0.37</w:t>
            </w:r>
          </w:p>
        </w:tc>
        <w:tc>
          <w:tcPr>
            <w:tcW w:w="436" w:type="pct"/>
            <w:tcBorders>
              <w:top w:val="nil"/>
              <w:left w:val="nil"/>
              <w:bottom w:val="nil"/>
              <w:right w:val="single" w:sz="4" w:space="0" w:color="auto"/>
            </w:tcBorders>
            <w:shd w:val="clear" w:color="auto" w:fill="auto"/>
            <w:noWrap/>
            <w:vAlign w:val="bottom"/>
            <w:hideMark/>
          </w:tcPr>
          <w:p w:rsidR="009852C4" w:rsidRPr="00B93792" w:rsidP="00BB6A72" w14:paraId="769F39A3" w14:textId="389CB26D">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$0.34</w:t>
            </w:r>
          </w:p>
        </w:tc>
        <w:tc>
          <w:tcPr>
            <w:tcW w:w="384" w:type="pct"/>
            <w:tcBorders>
              <w:top w:val="nil"/>
              <w:left w:val="nil"/>
              <w:bottom w:val="nil"/>
              <w:right w:val="single" w:sz="4" w:space="0" w:color="auto"/>
            </w:tcBorders>
            <w:shd w:val="clear" w:color="auto" w:fill="auto"/>
            <w:noWrap/>
            <w:vAlign w:val="bottom"/>
            <w:hideMark/>
          </w:tcPr>
          <w:p w:rsidR="009852C4" w:rsidRPr="00B93792" w:rsidP="00BB6A72" w14:paraId="55731827" w14:textId="6E75CF65">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$0.35</w:t>
            </w:r>
          </w:p>
        </w:tc>
        <w:tc>
          <w:tcPr>
            <w:tcW w:w="624" w:type="pct"/>
            <w:tcBorders>
              <w:top w:val="nil"/>
              <w:left w:val="nil"/>
              <w:bottom w:val="nil"/>
              <w:right w:val="single" w:sz="12" w:space="0" w:color="auto"/>
            </w:tcBorders>
            <w:shd w:val="clear" w:color="auto" w:fill="auto"/>
            <w:noWrap/>
            <w:vAlign w:val="bottom"/>
            <w:hideMark/>
          </w:tcPr>
          <w:p w:rsidR="009852C4" w:rsidRPr="00B93792" w:rsidP="00BB6A72" w14:paraId="3B726669" w14:textId="38A240B1">
            <w:pPr>
              <w:keepLines/>
              <w:widowControl w:val="0"/>
              <w:suppressAutoHyphens/>
              <w:jc w:val="center"/>
              <w:rPr>
                <w:rStyle w:val="DefaultParagraphFont"/>
                <w:b/>
                <w:snapToGrid w:val="0"/>
                <w:kern w:val="28"/>
                <w:sz w:val="20"/>
                <w:lang w:val="en-US" w:eastAsia="en-US" w:bidi="ar-SA"/>
              </w:rPr>
            </w:pPr>
            <w:r w:rsidRPr="00A46F4A">
              <w:rPr>
                <w:b/>
                <w:bCs/>
                <w:snapToGrid w:val="0"/>
                <w:kern w:val="28"/>
                <w:sz w:val="20"/>
                <w:lang w:val="en-US" w:eastAsia="en-US" w:bidi="ar-SA"/>
              </w:rPr>
              <w:t>$0.35</w:t>
            </w:r>
          </w:p>
        </w:tc>
      </w:tr>
      <w:tr w14:paraId="061AEC7D" w14:textId="77777777" w:rsidTr="00E12B46">
        <w:tblPrEx>
          <w:tblW w:w="5192" w:type="pct"/>
          <w:tblInd w:w="0" w:type="dxa"/>
          <w:tblLayout w:type="fixed"/>
          <w:tblCellMar>
            <w:top w:w="0" w:type="dxa"/>
            <w:left w:w="108" w:type="dxa"/>
            <w:bottom w:w="0" w:type="dxa"/>
            <w:right w:w="108" w:type="dxa"/>
          </w:tblCellMar>
          <w:tblLook w:val="04A0"/>
        </w:tblPrEx>
        <w:trPr>
          <w:trHeight w:hRule="exact" w:val="346"/>
        </w:trPr>
        <w:tc>
          <w:tcPr>
            <w:tcW w:w="1005" w:type="pct"/>
            <w:tcBorders>
              <w:top w:val="nil"/>
              <w:left w:val="single" w:sz="12" w:space="0" w:color="auto"/>
              <w:bottom w:val="single" w:sz="12" w:space="0" w:color="auto"/>
              <w:right w:val="single" w:sz="4" w:space="0" w:color="auto"/>
            </w:tcBorders>
            <w:shd w:val="clear" w:color="auto" w:fill="auto"/>
            <w:noWrap/>
            <w:vAlign w:val="bottom"/>
            <w:hideMark/>
          </w:tcPr>
          <w:p w:rsidR="009852C4" w:rsidRPr="00DA17CD" w:rsidP="00BB6A72" w14:paraId="6F3767B1" w14:textId="77777777">
            <w:pPr>
              <w:keepLines/>
              <w:widowControl/>
              <w:suppressAutoHyphens/>
              <w:rPr>
                <w:rStyle w:val="DefaultParagraphFont"/>
                <w:snapToGrid/>
                <w:kern w:val="0"/>
                <w:sz w:val="20"/>
                <w:lang w:val="en-US" w:eastAsia="en-US" w:bidi="ar-SA"/>
              </w:rPr>
            </w:pPr>
            <w:r w:rsidRPr="00DA17CD">
              <w:rPr>
                <w:snapToGrid/>
                <w:kern w:val="0"/>
                <w:sz w:val="20"/>
                <w:lang w:val="en-US" w:eastAsia="en-US" w:bidi="ar-SA"/>
              </w:rPr>
              <w:t>Annual change</w:t>
            </w:r>
          </w:p>
        </w:tc>
        <w:tc>
          <w:tcPr>
            <w:tcW w:w="474" w:type="pct"/>
            <w:tcBorders>
              <w:top w:val="nil"/>
              <w:left w:val="single" w:sz="4" w:space="0" w:color="auto"/>
              <w:bottom w:val="single" w:sz="12" w:space="0" w:color="auto"/>
              <w:right w:val="single" w:sz="4" w:space="0" w:color="auto"/>
            </w:tcBorders>
            <w:shd w:val="clear" w:color="auto" w:fill="auto"/>
            <w:noWrap/>
            <w:vAlign w:val="bottom"/>
            <w:hideMark/>
          </w:tcPr>
          <w:p w:rsidR="009852C4" w:rsidRPr="00B93792" w:rsidP="00BB6A72" w14:paraId="3B91D3E8" w14:textId="43988876">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2.3%</w:t>
            </w:r>
          </w:p>
        </w:tc>
        <w:tc>
          <w:tcPr>
            <w:tcW w:w="604" w:type="pct"/>
            <w:tcBorders>
              <w:top w:val="nil"/>
              <w:left w:val="nil"/>
              <w:bottom w:val="single" w:sz="12" w:space="0" w:color="auto"/>
              <w:right w:val="single" w:sz="4" w:space="0" w:color="auto"/>
            </w:tcBorders>
            <w:shd w:val="clear" w:color="auto" w:fill="auto"/>
            <w:noWrap/>
            <w:vAlign w:val="bottom"/>
            <w:hideMark/>
          </w:tcPr>
          <w:p w:rsidR="009852C4" w:rsidRPr="00B93792" w:rsidP="00BB6A72" w14:paraId="647B469E" w14:textId="4DB7FF9E">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2.2%</w:t>
            </w:r>
          </w:p>
        </w:tc>
        <w:tc>
          <w:tcPr>
            <w:tcW w:w="650" w:type="pct"/>
            <w:tcBorders>
              <w:top w:val="nil"/>
              <w:left w:val="nil"/>
              <w:bottom w:val="single" w:sz="12" w:space="0" w:color="auto"/>
              <w:right w:val="single" w:sz="4" w:space="0" w:color="auto"/>
            </w:tcBorders>
            <w:shd w:val="clear" w:color="auto" w:fill="auto"/>
            <w:noWrap/>
            <w:vAlign w:val="bottom"/>
            <w:hideMark/>
          </w:tcPr>
          <w:p w:rsidR="009852C4" w:rsidRPr="00B93792" w:rsidP="00BB6A72" w14:paraId="68510558" w14:textId="26D627B1">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2.3%</w:t>
            </w:r>
          </w:p>
        </w:tc>
        <w:tc>
          <w:tcPr>
            <w:tcW w:w="439" w:type="pct"/>
            <w:tcBorders>
              <w:top w:val="nil"/>
              <w:left w:val="nil"/>
              <w:bottom w:val="single" w:sz="12" w:space="0" w:color="auto"/>
              <w:right w:val="single" w:sz="4" w:space="0" w:color="auto"/>
            </w:tcBorders>
            <w:shd w:val="clear" w:color="auto" w:fill="auto"/>
            <w:noWrap/>
            <w:vAlign w:val="bottom"/>
            <w:hideMark/>
          </w:tcPr>
          <w:p w:rsidR="009852C4" w:rsidRPr="00B93792" w:rsidP="00BB6A72" w14:paraId="0746FB08" w14:textId="00BD7C3C">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-0.3%</w:t>
            </w:r>
          </w:p>
        </w:tc>
        <w:tc>
          <w:tcPr>
            <w:tcW w:w="384" w:type="pct"/>
            <w:tcBorders>
              <w:top w:val="nil"/>
              <w:left w:val="nil"/>
              <w:bottom w:val="single" w:sz="12" w:space="0" w:color="auto"/>
              <w:right w:val="single" w:sz="4" w:space="0" w:color="auto"/>
            </w:tcBorders>
            <w:shd w:val="clear" w:color="auto" w:fill="auto"/>
            <w:noWrap/>
            <w:vAlign w:val="bottom"/>
            <w:hideMark/>
          </w:tcPr>
          <w:p w:rsidR="009852C4" w:rsidRPr="00B93792" w:rsidP="00BB6A72" w14:paraId="49191143" w14:textId="0053AF7D">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4.3%</w:t>
            </w:r>
          </w:p>
        </w:tc>
        <w:tc>
          <w:tcPr>
            <w:tcW w:w="436" w:type="pct"/>
            <w:tcBorders>
              <w:top w:val="nil"/>
              <w:left w:val="nil"/>
              <w:bottom w:val="single" w:sz="12" w:space="0" w:color="auto"/>
              <w:right w:val="single" w:sz="4" w:space="0" w:color="auto"/>
            </w:tcBorders>
            <w:shd w:val="clear" w:color="auto" w:fill="auto"/>
            <w:noWrap/>
            <w:vAlign w:val="bottom"/>
            <w:hideMark/>
          </w:tcPr>
          <w:p w:rsidR="009852C4" w:rsidRPr="00B93792" w:rsidP="00BB6A72" w14:paraId="61B80962" w14:textId="25800FE7">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0.5%</w:t>
            </w:r>
          </w:p>
        </w:tc>
        <w:tc>
          <w:tcPr>
            <w:tcW w:w="384" w:type="pct"/>
            <w:tcBorders>
              <w:top w:val="nil"/>
              <w:left w:val="nil"/>
              <w:bottom w:val="single" w:sz="12" w:space="0" w:color="auto"/>
              <w:right w:val="single" w:sz="4" w:space="0" w:color="auto"/>
            </w:tcBorders>
            <w:shd w:val="clear" w:color="auto" w:fill="auto"/>
            <w:noWrap/>
            <w:vAlign w:val="bottom"/>
            <w:hideMark/>
          </w:tcPr>
          <w:p w:rsidR="009852C4" w:rsidRPr="00B93792" w:rsidP="00BB6A72" w14:paraId="6C4CF0D5" w14:textId="3CEEC674">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3.1%</w:t>
            </w:r>
          </w:p>
        </w:tc>
        <w:tc>
          <w:tcPr>
            <w:tcW w:w="624" w:type="pct"/>
            <w:tcBorders>
              <w:top w:val="nil"/>
              <w:left w:val="nil"/>
              <w:bottom w:val="single" w:sz="12" w:space="0" w:color="auto"/>
              <w:right w:val="single" w:sz="12" w:space="0" w:color="auto"/>
            </w:tcBorders>
            <w:shd w:val="clear" w:color="auto" w:fill="auto"/>
            <w:noWrap/>
            <w:vAlign w:val="bottom"/>
            <w:hideMark/>
          </w:tcPr>
          <w:p w:rsidR="009852C4" w:rsidRPr="00B93792" w:rsidP="00BB6A72" w14:paraId="5EBFFB5C" w14:textId="2F4020B1">
            <w:pPr>
              <w:keepLines/>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0.7%</w:t>
            </w:r>
          </w:p>
        </w:tc>
      </w:tr>
      <w:tr w14:paraId="6160E036" w14:textId="77777777" w:rsidTr="00E12B46">
        <w:tblPrEx>
          <w:tblW w:w="5192" w:type="pct"/>
          <w:tblInd w:w="0" w:type="dxa"/>
          <w:tblLayout w:type="fixed"/>
          <w:tblCellMar>
            <w:top w:w="0" w:type="dxa"/>
            <w:left w:w="108" w:type="dxa"/>
            <w:bottom w:w="0" w:type="dxa"/>
            <w:right w:w="108" w:type="dxa"/>
          </w:tblCellMar>
          <w:tblLook w:val="04A0"/>
        </w:tblPrEx>
        <w:trPr>
          <w:trHeight w:hRule="exact" w:val="518"/>
        </w:trPr>
        <w:tc>
          <w:tcPr>
            <w:tcW w:w="5000" w:type="pct"/>
            <w:gridSpan w:val="9"/>
            <w:tcBorders>
              <w:top w:val="single" w:sz="12" w:space="0" w:color="auto"/>
              <w:left w:val="nil"/>
              <w:bottom w:val="nil"/>
              <w:right w:val="nil"/>
            </w:tcBorders>
            <w:shd w:val="clear" w:color="auto" w:fill="auto"/>
            <w:noWrap/>
            <w:vAlign w:val="bottom"/>
            <w:hideMark/>
          </w:tcPr>
          <w:p w:rsidR="00DA17CD" w:rsidRPr="00DA17CD" w:rsidP="00BB6A72" w14:paraId="51EF38BF" w14:textId="791D0802">
            <w:pPr>
              <w:keepLines/>
              <w:widowControl/>
              <w:suppressAutoHyphens/>
              <w:rPr>
                <w:rStyle w:val="DefaultParagraphFont"/>
                <w:snapToGrid/>
                <w:kern w:val="0"/>
                <w:sz w:val="20"/>
                <w:lang w:val="en-US" w:eastAsia="en-US" w:bidi="ar-SA"/>
              </w:rPr>
            </w:pPr>
            <w:r w:rsidRPr="00DA17CD">
              <w:rPr>
                <w:snapToGrid/>
                <w:kern w:val="0"/>
                <w:sz w:val="20"/>
                <w:lang w:val="en-US" w:eastAsia="en-US" w:bidi="ar-SA"/>
              </w:rPr>
              <w:t xml:space="preserve">Source: </w:t>
            </w:r>
            <w:r w:rsidR="00921DD1">
              <w:rPr>
                <w:snapToGrid/>
                <w:kern w:val="0"/>
                <w:sz w:val="20"/>
                <w:lang w:val="en-US" w:eastAsia="en-US" w:bidi="ar-SA"/>
              </w:rPr>
              <w:t xml:space="preserve"> </w:t>
            </w:r>
            <w:r w:rsidRPr="00DA17CD">
              <w:rPr>
                <w:snapToGrid/>
                <w:kern w:val="0"/>
                <w:sz w:val="20"/>
                <w:lang w:val="en-US" w:eastAsia="en-US" w:bidi="ar-SA"/>
              </w:rPr>
              <w:t xml:space="preserve">Attachment 4. </w:t>
            </w:r>
            <w:r w:rsidR="0001139B">
              <w:rPr>
                <w:snapToGrid/>
                <w:kern w:val="0"/>
                <w:sz w:val="20"/>
                <w:lang w:val="en-US" w:eastAsia="en-US" w:bidi="ar-SA"/>
              </w:rPr>
              <w:t xml:space="preserve"> </w:t>
            </w:r>
            <w:r w:rsidR="002357B9">
              <w:rPr>
                <w:snapToGrid/>
                <w:kern w:val="0"/>
                <w:sz w:val="20"/>
                <w:lang w:val="en-US" w:eastAsia="en-US" w:bidi="ar-SA"/>
              </w:rPr>
              <w:t xml:space="preserve">None of the </w:t>
            </w:r>
            <w:r w:rsidR="00473C43">
              <w:rPr>
                <w:snapToGrid/>
                <w:kern w:val="0"/>
                <w:sz w:val="20"/>
                <w:lang w:val="en-US" w:eastAsia="en-US" w:bidi="ar-SA"/>
              </w:rPr>
              <w:t xml:space="preserve">annual changes reported </w:t>
            </w:r>
            <w:r w:rsidR="002357B9">
              <w:rPr>
                <w:snapToGrid/>
                <w:kern w:val="0"/>
                <w:sz w:val="20"/>
                <w:lang w:val="en-US" w:eastAsia="en-US" w:bidi="ar-SA"/>
              </w:rPr>
              <w:t>in this table are</w:t>
            </w:r>
            <w:r w:rsidRPr="00DA17CD">
              <w:rPr>
                <w:snapToGrid/>
                <w:kern w:val="0"/>
                <w:sz w:val="20"/>
                <w:lang w:val="en-US" w:eastAsia="en-US" w:bidi="ar-SA"/>
              </w:rPr>
              <w:t xml:space="preserve"> statistically significant at the 95% confidence level.</w:t>
            </w:r>
          </w:p>
        </w:tc>
      </w:tr>
    </w:tbl>
    <w:p w:rsidR="00484F7F" w:rsidP="001B0131" w14:paraId="22119233" w14:textId="21AE958A">
      <w:pPr>
        <w:pStyle w:val="Paranum0"/>
        <w:numPr>
          <w:ilvl w:val="0"/>
          <w:numId w:val="12"/>
        </w:numPr>
        <w:tabs>
          <w:tab w:val="clear" w:pos="1080"/>
          <w:tab w:val="num" w:pos="1440"/>
        </w:tabs>
        <w:suppressAutoHyphens/>
        <w:spacing w:before="240" w:after="240"/>
        <w:jc w:val="left"/>
      </w:pPr>
      <w:r w:rsidRPr="00484F7F">
        <w:rPr>
          <w:szCs w:val="22"/>
        </w:rPr>
        <w:t xml:space="preserve">Table 3 reports price </w:t>
      </w:r>
      <w:r w:rsidRPr="00484F7F" w:rsidR="006F4A0A">
        <w:rPr>
          <w:szCs w:val="22"/>
        </w:rPr>
        <w:t>differen</w:t>
      </w:r>
      <w:r w:rsidRPr="00484F7F" w:rsidR="00E13417">
        <w:rPr>
          <w:szCs w:val="22"/>
        </w:rPr>
        <w:t>tials</w:t>
      </w:r>
      <w:r w:rsidRPr="00484F7F" w:rsidR="006F4A0A">
        <w:rPr>
          <w:szCs w:val="22"/>
        </w:rPr>
        <w:t xml:space="preserve"> </w:t>
      </w:r>
      <w:r w:rsidRPr="00484F7F" w:rsidR="00E90FE5">
        <w:rPr>
          <w:szCs w:val="22"/>
        </w:rPr>
        <w:t>between</w:t>
      </w:r>
      <w:r w:rsidRPr="00484F7F" w:rsidR="004F5CD0">
        <w:rPr>
          <w:szCs w:val="22"/>
        </w:rPr>
        <w:t xml:space="preserve"> </w:t>
      </w:r>
      <w:r w:rsidRPr="00484F7F" w:rsidR="00E13417">
        <w:rPr>
          <w:szCs w:val="22"/>
        </w:rPr>
        <w:t>the</w:t>
      </w:r>
      <w:r w:rsidRPr="00484F7F" w:rsidR="004D4E39">
        <w:rPr>
          <w:szCs w:val="22"/>
        </w:rPr>
        <w:t xml:space="preserve"> </w:t>
      </w:r>
      <w:r w:rsidRPr="00484F7F">
        <w:rPr>
          <w:szCs w:val="22"/>
        </w:rPr>
        <w:t>effective competition group</w:t>
      </w:r>
      <w:r w:rsidRPr="00484F7F" w:rsidR="004F5CD0">
        <w:rPr>
          <w:szCs w:val="22"/>
        </w:rPr>
        <w:t xml:space="preserve"> </w:t>
      </w:r>
      <w:r w:rsidRPr="00484F7F" w:rsidR="00E90FE5">
        <w:rPr>
          <w:szCs w:val="22"/>
        </w:rPr>
        <w:t>and</w:t>
      </w:r>
      <w:r w:rsidRPr="00484F7F">
        <w:rPr>
          <w:szCs w:val="22"/>
        </w:rPr>
        <w:t xml:space="preserve"> the noncompetitive group</w:t>
      </w:r>
      <w:r w:rsidRPr="00484F7F" w:rsidR="00E13417">
        <w:rPr>
          <w:szCs w:val="22"/>
        </w:rPr>
        <w:t xml:space="preserve"> by </w:t>
      </w:r>
      <w:r w:rsidR="00C70B27">
        <w:rPr>
          <w:szCs w:val="22"/>
        </w:rPr>
        <w:t xml:space="preserve">level of </w:t>
      </w:r>
      <w:r w:rsidRPr="00484F7F" w:rsidR="00E13417">
        <w:rPr>
          <w:szCs w:val="22"/>
        </w:rPr>
        <w:t>programming service as of January 1, 2016</w:t>
      </w:r>
      <w:r w:rsidRPr="00484F7F">
        <w:rPr>
          <w:szCs w:val="22"/>
        </w:rPr>
        <w:t xml:space="preserve">.  </w:t>
      </w:r>
      <w:r w:rsidRPr="00484F7F" w:rsidR="00CC1D3D">
        <w:rPr>
          <w:szCs w:val="22"/>
        </w:rPr>
        <w:t>First</w:t>
      </w:r>
      <w:r w:rsidRPr="00484F7F" w:rsidR="00263251">
        <w:rPr>
          <w:szCs w:val="22"/>
        </w:rPr>
        <w:t>,</w:t>
      </w:r>
      <w:r w:rsidRPr="00484F7F" w:rsidR="00CC1D3D">
        <w:rPr>
          <w:szCs w:val="22"/>
        </w:rPr>
        <w:t xml:space="preserve"> l</w:t>
      </w:r>
      <w:r w:rsidRPr="00484F7F" w:rsidR="00E13417">
        <w:rPr>
          <w:szCs w:val="22"/>
        </w:rPr>
        <w:t>ooking at the full sample, the</w:t>
      </w:r>
      <w:r w:rsidRPr="00484F7F" w:rsidR="00633C3B">
        <w:rPr>
          <w:szCs w:val="22"/>
        </w:rPr>
        <w:t xml:space="preserve"> basic service</w:t>
      </w:r>
      <w:r w:rsidRPr="00484F7F" w:rsidR="00E13417">
        <w:rPr>
          <w:szCs w:val="22"/>
        </w:rPr>
        <w:t xml:space="preserve"> price </w:t>
      </w:r>
      <w:bookmarkStart w:id="48" w:name="_Hlk480182803"/>
      <w:r w:rsidRPr="00484F7F" w:rsidR="00263251">
        <w:rPr>
          <w:szCs w:val="22"/>
        </w:rPr>
        <w:t xml:space="preserve">was, on average, </w:t>
      </w:r>
      <w:r w:rsidRPr="00484F7F" w:rsidR="00C13B95">
        <w:rPr>
          <w:szCs w:val="22"/>
        </w:rPr>
        <w:t>3.</w:t>
      </w:r>
      <w:r w:rsidRPr="00484F7F" w:rsidR="009852C4">
        <w:rPr>
          <w:szCs w:val="22"/>
        </w:rPr>
        <w:t>1</w:t>
      </w:r>
      <w:r w:rsidRPr="00484F7F" w:rsidR="00C13B95">
        <w:rPr>
          <w:szCs w:val="22"/>
        </w:rPr>
        <w:t xml:space="preserve"> percent</w:t>
      </w:r>
      <w:r w:rsidRPr="00484F7F">
        <w:rPr>
          <w:szCs w:val="22"/>
        </w:rPr>
        <w:t xml:space="preserve"> lower</w:t>
      </w:r>
      <w:r w:rsidRPr="00484F7F" w:rsidR="00633C3B">
        <w:rPr>
          <w:szCs w:val="22"/>
        </w:rPr>
        <w:t xml:space="preserve"> in the effective competition group</w:t>
      </w:r>
      <w:r w:rsidRPr="00484F7F" w:rsidR="00CC1D3D">
        <w:rPr>
          <w:szCs w:val="22"/>
        </w:rPr>
        <w:t xml:space="preserve"> </w:t>
      </w:r>
      <w:r w:rsidRPr="00484F7F" w:rsidR="00263251">
        <w:rPr>
          <w:szCs w:val="22"/>
        </w:rPr>
        <w:t>than in the</w:t>
      </w:r>
      <w:r w:rsidRPr="00484F7F" w:rsidR="00551360">
        <w:rPr>
          <w:szCs w:val="22"/>
        </w:rPr>
        <w:t xml:space="preserve"> </w:t>
      </w:r>
      <w:r w:rsidRPr="00484F7F">
        <w:rPr>
          <w:szCs w:val="22"/>
        </w:rPr>
        <w:t xml:space="preserve">noncompetitive </w:t>
      </w:r>
      <w:r w:rsidRPr="00484F7F" w:rsidR="00633C3B">
        <w:rPr>
          <w:szCs w:val="22"/>
        </w:rPr>
        <w:t>group</w:t>
      </w:r>
      <w:r w:rsidRPr="00484F7F" w:rsidR="00551360">
        <w:rPr>
          <w:szCs w:val="22"/>
        </w:rPr>
        <w:t xml:space="preserve">.  </w:t>
      </w:r>
      <w:r w:rsidRPr="00484F7F" w:rsidR="00633C3B">
        <w:rPr>
          <w:szCs w:val="22"/>
        </w:rPr>
        <w:t>Th</w:t>
      </w:r>
      <w:r w:rsidRPr="00484F7F" w:rsidR="00CC1D3D">
        <w:rPr>
          <w:szCs w:val="22"/>
        </w:rPr>
        <w:t>e</w:t>
      </w:r>
      <w:r w:rsidRPr="00484F7F" w:rsidR="00E13417">
        <w:rPr>
          <w:szCs w:val="22"/>
        </w:rPr>
        <w:t xml:space="preserve"> difference</w:t>
      </w:r>
      <w:r w:rsidRPr="00484F7F" w:rsidR="00263251">
        <w:rPr>
          <w:szCs w:val="22"/>
        </w:rPr>
        <w:t>, however,</w:t>
      </w:r>
      <w:r w:rsidRPr="00484F7F" w:rsidR="00E13417">
        <w:rPr>
          <w:szCs w:val="22"/>
        </w:rPr>
        <w:t xml:space="preserve"> was not statistically significant. </w:t>
      </w:r>
      <w:r w:rsidRPr="00484F7F" w:rsidR="00633C3B">
        <w:rPr>
          <w:szCs w:val="22"/>
        </w:rPr>
        <w:t xml:space="preserve"> </w:t>
      </w:r>
      <w:bookmarkEnd w:id="48"/>
      <w:r w:rsidRPr="00484F7F" w:rsidR="00EA6B49">
        <w:rPr>
          <w:szCs w:val="22"/>
        </w:rPr>
        <w:t>F</w:t>
      </w:r>
      <w:r w:rsidRPr="00484F7F" w:rsidR="00551360">
        <w:rPr>
          <w:szCs w:val="22"/>
        </w:rPr>
        <w:t xml:space="preserve">or expanded basic service, </w:t>
      </w:r>
      <w:r w:rsidRPr="00484F7F" w:rsidR="00CC1D3D">
        <w:rPr>
          <w:szCs w:val="22"/>
        </w:rPr>
        <w:t xml:space="preserve">the </w:t>
      </w:r>
      <w:r w:rsidRPr="00484F7F" w:rsidR="00633C3B">
        <w:rPr>
          <w:szCs w:val="22"/>
        </w:rPr>
        <w:t xml:space="preserve">average </w:t>
      </w:r>
      <w:r w:rsidRPr="00484F7F" w:rsidR="00551360">
        <w:rPr>
          <w:szCs w:val="22"/>
        </w:rPr>
        <w:t>price in</w:t>
      </w:r>
      <w:r w:rsidRPr="00484F7F" w:rsidR="00EA6B49">
        <w:rPr>
          <w:szCs w:val="22"/>
        </w:rPr>
        <w:t xml:space="preserve"> </w:t>
      </w:r>
      <w:r w:rsidRPr="00484F7F" w:rsidR="00551360">
        <w:rPr>
          <w:szCs w:val="22"/>
        </w:rPr>
        <w:t xml:space="preserve">effective competition </w:t>
      </w:r>
      <w:r w:rsidRPr="00484F7F" w:rsidR="00CC1D3D">
        <w:rPr>
          <w:szCs w:val="22"/>
        </w:rPr>
        <w:t>communities</w:t>
      </w:r>
      <w:r w:rsidRPr="00484F7F" w:rsidR="00633C3B">
        <w:rPr>
          <w:szCs w:val="22"/>
        </w:rPr>
        <w:t xml:space="preserve"> </w:t>
      </w:r>
      <w:r w:rsidRPr="00484F7F" w:rsidR="00E13417">
        <w:rPr>
          <w:szCs w:val="22"/>
        </w:rPr>
        <w:t>was</w:t>
      </w:r>
      <w:r w:rsidRPr="00484F7F" w:rsidR="00551360">
        <w:rPr>
          <w:szCs w:val="22"/>
        </w:rPr>
        <w:t xml:space="preserve"> </w:t>
      </w:r>
      <w:r w:rsidRPr="00484F7F" w:rsidR="00263251">
        <w:rPr>
          <w:szCs w:val="22"/>
        </w:rPr>
        <w:t xml:space="preserve">4.7 percent </w:t>
      </w:r>
      <w:r w:rsidRPr="00484F7F" w:rsidR="004F5CD0">
        <w:rPr>
          <w:szCs w:val="22"/>
        </w:rPr>
        <w:t>higher</w:t>
      </w:r>
      <w:r w:rsidRPr="00484F7F" w:rsidR="00263251">
        <w:rPr>
          <w:szCs w:val="22"/>
        </w:rPr>
        <w:t xml:space="preserve"> than in</w:t>
      </w:r>
      <w:r w:rsidRPr="00484F7F" w:rsidR="00397BB6">
        <w:rPr>
          <w:szCs w:val="22"/>
        </w:rPr>
        <w:t xml:space="preserve"> the</w:t>
      </w:r>
      <w:r w:rsidRPr="00484F7F" w:rsidR="00633C3B">
        <w:rPr>
          <w:szCs w:val="22"/>
        </w:rPr>
        <w:t xml:space="preserve"> </w:t>
      </w:r>
      <w:r w:rsidRPr="00484F7F" w:rsidR="00551360">
        <w:rPr>
          <w:szCs w:val="22"/>
        </w:rPr>
        <w:t xml:space="preserve">noncompetitive </w:t>
      </w:r>
      <w:r w:rsidRPr="00484F7F" w:rsidR="00633C3B">
        <w:rPr>
          <w:szCs w:val="22"/>
        </w:rPr>
        <w:t>group</w:t>
      </w:r>
      <w:r w:rsidRPr="00484F7F" w:rsidR="004C2A01">
        <w:rPr>
          <w:szCs w:val="22"/>
        </w:rPr>
        <w:t>, a statistically significant difference</w:t>
      </w:r>
      <w:r w:rsidRPr="00484F7F" w:rsidR="004F5CD0">
        <w:rPr>
          <w:szCs w:val="22"/>
        </w:rPr>
        <w:t>.</w:t>
      </w:r>
      <w:r w:rsidRPr="00484F7F" w:rsidR="00E86637">
        <w:rPr>
          <w:szCs w:val="22"/>
        </w:rPr>
        <w:t xml:space="preserve">  </w:t>
      </w:r>
      <w:r w:rsidRPr="00484F7F" w:rsidR="00CC1D3D">
        <w:rPr>
          <w:szCs w:val="22"/>
        </w:rPr>
        <w:t xml:space="preserve">By subgroup, </w:t>
      </w:r>
      <w:r w:rsidRPr="00484F7F" w:rsidR="00397BB6">
        <w:rPr>
          <w:szCs w:val="22"/>
        </w:rPr>
        <w:t xml:space="preserve">average </w:t>
      </w:r>
      <w:r w:rsidRPr="00484F7F" w:rsidR="00CC1D3D">
        <w:rPr>
          <w:szCs w:val="22"/>
        </w:rPr>
        <w:t xml:space="preserve">price of expanded basic service </w:t>
      </w:r>
      <w:r w:rsidRPr="00484F7F" w:rsidR="00397BB6">
        <w:rPr>
          <w:szCs w:val="22"/>
        </w:rPr>
        <w:t xml:space="preserve">was higher in each effective competition subgroup with the exception of </w:t>
      </w:r>
      <w:r w:rsidRPr="00484F7F" w:rsidR="00CC1D3D">
        <w:rPr>
          <w:szCs w:val="22"/>
        </w:rPr>
        <w:t xml:space="preserve">the </w:t>
      </w:r>
      <w:r w:rsidRPr="00484F7F" w:rsidR="00397BB6">
        <w:rPr>
          <w:szCs w:val="22"/>
        </w:rPr>
        <w:t>prices charged by rivals in cable overbuild areas, which</w:t>
      </w:r>
      <w:r w:rsidRPr="00484F7F" w:rsidR="006B3C5A">
        <w:rPr>
          <w:szCs w:val="22"/>
        </w:rPr>
        <w:t xml:space="preserve"> were, on average,</w:t>
      </w:r>
      <w:r w:rsidRPr="00484F7F" w:rsidR="00397BB6">
        <w:rPr>
          <w:szCs w:val="22"/>
        </w:rPr>
        <w:t xml:space="preserve"> 6.</w:t>
      </w:r>
      <w:r w:rsidRPr="00484F7F" w:rsidR="009852C4">
        <w:rPr>
          <w:szCs w:val="22"/>
        </w:rPr>
        <w:t>0</w:t>
      </w:r>
      <w:r w:rsidRPr="00484F7F" w:rsidR="00397BB6">
        <w:rPr>
          <w:szCs w:val="22"/>
        </w:rPr>
        <w:t xml:space="preserve"> percent lower.</w:t>
      </w:r>
      <w:r w:rsidRPr="00484F7F" w:rsidR="00B47008">
        <w:rPr>
          <w:szCs w:val="22"/>
        </w:rPr>
        <w:t xml:space="preserve">  In contrast, price per channel for e</w:t>
      </w:r>
      <w:r w:rsidRPr="00484F7F" w:rsidR="00633C3B">
        <w:rPr>
          <w:szCs w:val="22"/>
        </w:rPr>
        <w:t xml:space="preserve">xpanded basic </w:t>
      </w:r>
      <w:r w:rsidRPr="00484F7F" w:rsidR="00B47008">
        <w:rPr>
          <w:szCs w:val="22"/>
        </w:rPr>
        <w:t xml:space="preserve">service was </w:t>
      </w:r>
      <w:r w:rsidRPr="00484F7F" w:rsidR="009852C4">
        <w:rPr>
          <w:szCs w:val="22"/>
        </w:rPr>
        <w:t xml:space="preserve">18.3 </w:t>
      </w:r>
      <w:r w:rsidRPr="00484F7F" w:rsidR="00B47008">
        <w:rPr>
          <w:szCs w:val="22"/>
        </w:rPr>
        <w:t>percent lower in</w:t>
      </w:r>
      <w:r w:rsidRPr="00484F7F" w:rsidR="006B3C5A">
        <w:rPr>
          <w:szCs w:val="22"/>
        </w:rPr>
        <w:t xml:space="preserve"> effective competition communities than in</w:t>
      </w:r>
      <w:r w:rsidRPr="00484F7F" w:rsidR="00B47008">
        <w:rPr>
          <w:szCs w:val="22"/>
        </w:rPr>
        <w:t xml:space="preserve"> noncompetitive communities.  </w:t>
      </w:r>
      <w:r w:rsidRPr="00484F7F" w:rsidR="00CC1D3D">
        <w:rPr>
          <w:szCs w:val="22"/>
        </w:rPr>
        <w:t>It</w:t>
      </w:r>
      <w:r w:rsidRPr="00484F7F" w:rsidR="00B47008">
        <w:rPr>
          <w:szCs w:val="22"/>
        </w:rPr>
        <w:t xml:space="preserve"> was </w:t>
      </w:r>
      <w:r w:rsidRPr="00484F7F" w:rsidR="006B3C5A">
        <w:rPr>
          <w:szCs w:val="22"/>
        </w:rPr>
        <w:t xml:space="preserve">also </w:t>
      </w:r>
      <w:r w:rsidRPr="00484F7F" w:rsidR="00B47008">
        <w:rPr>
          <w:szCs w:val="22"/>
        </w:rPr>
        <w:t>lower in each effective competition subgroup</w:t>
      </w:r>
      <w:r w:rsidRPr="00484F7F" w:rsidR="006B3C5A">
        <w:rPr>
          <w:szCs w:val="22"/>
        </w:rPr>
        <w:t xml:space="preserve"> by a statistically significant margin</w:t>
      </w:r>
      <w:r w:rsidRPr="00484F7F" w:rsidR="00457BCA">
        <w:rPr>
          <w:b/>
          <w:szCs w:val="22"/>
        </w:rPr>
        <w:t>.</w:t>
      </w:r>
    </w:p>
    <w:p w:rsidR="00BD3A8B" w14:paraId="2809282A" w14:textId="3433F521">
      <w:r>
        <w:br w:type="page"/>
      </w:r>
    </w:p>
    <w:tbl>
      <w:tblPr>
        <w:tblW w:w="5000" w:type="pct"/>
        <w:tblInd w:w="0" w:type="dxa"/>
        <w:tblLayout w:type="fixed"/>
        <w:tblCellMar>
          <w:top w:w="0" w:type="dxa"/>
          <w:left w:w="108" w:type="dxa"/>
          <w:bottom w:w="0" w:type="dxa"/>
          <w:right w:w="108" w:type="dxa"/>
        </w:tblCellMar>
        <w:tblLook w:val="04A0"/>
      </w:tblPr>
      <w:tblGrid>
        <w:gridCol w:w="2414"/>
        <w:gridCol w:w="1351"/>
        <w:gridCol w:w="1345"/>
        <w:gridCol w:w="993"/>
        <w:gridCol w:w="993"/>
        <w:gridCol w:w="989"/>
        <w:gridCol w:w="1245"/>
      </w:tblGrid>
      <w:tr w14:paraId="42B71587" w14:textId="77777777" w:rsidTr="00BD3A8B">
        <w:tblPrEx>
          <w:tblW w:w="5000" w:type="pct"/>
          <w:tblInd w:w="0" w:type="dxa"/>
          <w:tblLayout w:type="fixed"/>
          <w:tblCellMar>
            <w:top w:w="0" w:type="dxa"/>
            <w:left w:w="108" w:type="dxa"/>
            <w:bottom w:w="0" w:type="dxa"/>
            <w:right w:w="108" w:type="dxa"/>
          </w:tblCellMar>
          <w:tblLook w:val="04A0"/>
        </w:tblPrEx>
        <w:trPr>
          <w:trHeight w:hRule="exact" w:val="1440"/>
        </w:trPr>
        <w:tc>
          <w:tcPr>
            <w:tcW w:w="5000" w:type="pct"/>
            <w:gridSpan w:val="7"/>
            <w:tcBorders>
              <w:top w:val="single" w:sz="12" w:space="0" w:color="auto"/>
              <w:left w:val="single" w:sz="12" w:space="0" w:color="auto"/>
              <w:right w:val="single" w:sz="12" w:space="0" w:color="auto"/>
            </w:tcBorders>
            <w:shd w:val="clear" w:color="auto" w:fill="auto"/>
            <w:noWrap/>
            <w:vAlign w:val="center"/>
            <w:hideMark/>
          </w:tcPr>
          <w:p w:rsidR="00B47008" w:rsidRPr="00B10203" w:rsidP="004E16D7" w14:paraId="0930D9CC" w14:textId="14E4C93F">
            <w:pPr>
              <w:widowControl/>
              <w:suppressAutoHyphens/>
              <w:jc w:val="center"/>
              <w:rPr>
                <w:rStyle w:val="DefaultParagraphFont"/>
                <w:b/>
                <w:bCs/>
                <w:snapToGrid/>
                <w:kern w:val="0"/>
                <w:sz w:val="22"/>
                <w:szCs w:val="22"/>
                <w:lang w:val="en-US" w:eastAsia="en-US" w:bidi="ar-SA"/>
              </w:rPr>
            </w:pPr>
            <w:r w:rsidRPr="00B10203">
              <w:rPr>
                <w:b/>
                <w:bCs/>
                <w:snapToGrid/>
                <w:kern w:val="0"/>
                <w:sz w:val="22"/>
                <w:szCs w:val="22"/>
                <w:lang w:val="en-US" w:eastAsia="en-US" w:bidi="ar-SA"/>
              </w:rPr>
              <w:t>Table 3</w:t>
            </w:r>
          </w:p>
          <w:p w:rsidR="00B47008" w:rsidRPr="00B10203" w:rsidP="004E16D7" w14:paraId="212F0AED" w14:textId="77777777">
            <w:pPr>
              <w:widowControl/>
              <w:suppressAutoHyphens/>
              <w:jc w:val="center"/>
              <w:rPr>
                <w:rStyle w:val="DefaultParagraphFont"/>
                <w:b/>
                <w:bCs/>
                <w:snapToGrid/>
                <w:kern w:val="0"/>
                <w:sz w:val="22"/>
                <w:szCs w:val="22"/>
                <w:lang w:val="en-US" w:eastAsia="en-US" w:bidi="ar-SA"/>
              </w:rPr>
            </w:pPr>
            <w:r w:rsidRPr="00B10203">
              <w:rPr>
                <w:b/>
                <w:bCs/>
                <w:snapToGrid/>
                <w:kern w:val="0"/>
                <w:sz w:val="22"/>
                <w:szCs w:val="22"/>
                <w:lang w:val="en-US" w:eastAsia="en-US" w:bidi="ar-SA"/>
              </w:rPr>
              <w:t>Differential in Average Price</w:t>
            </w:r>
          </w:p>
          <w:p w:rsidR="00B47008" w:rsidRPr="00B10203" w:rsidP="004E16D7" w14:paraId="24C2F406" w14:textId="77777777">
            <w:pPr>
              <w:widowControl/>
              <w:suppressAutoHyphens/>
              <w:jc w:val="center"/>
              <w:rPr>
                <w:rStyle w:val="DefaultParagraphFont"/>
                <w:snapToGrid/>
                <w:kern w:val="0"/>
                <w:sz w:val="22"/>
                <w:szCs w:val="22"/>
                <w:lang w:val="en-US" w:eastAsia="en-US" w:bidi="ar-SA"/>
              </w:rPr>
            </w:pPr>
            <w:r w:rsidRPr="00B10203">
              <w:rPr>
                <w:snapToGrid/>
                <w:kern w:val="0"/>
                <w:sz w:val="22"/>
                <w:szCs w:val="22"/>
                <w:lang w:val="en-US" w:eastAsia="en-US" w:bidi="ar-SA"/>
              </w:rPr>
              <w:t>Effective Competition Compared</w:t>
            </w:r>
          </w:p>
          <w:p w:rsidR="00B47008" w:rsidRPr="00B10203" w:rsidP="004E16D7" w14:paraId="6618606C" w14:textId="77777777">
            <w:pPr>
              <w:widowControl/>
              <w:suppressAutoHyphens/>
              <w:jc w:val="center"/>
              <w:rPr>
                <w:rStyle w:val="DefaultParagraphFont"/>
                <w:snapToGrid/>
                <w:kern w:val="0"/>
                <w:sz w:val="22"/>
                <w:szCs w:val="22"/>
                <w:lang w:val="en-US" w:eastAsia="en-US" w:bidi="ar-SA"/>
              </w:rPr>
            </w:pPr>
            <w:r w:rsidRPr="00B10203">
              <w:rPr>
                <w:snapToGrid/>
                <w:kern w:val="0"/>
                <w:sz w:val="22"/>
                <w:szCs w:val="22"/>
                <w:lang w:val="en-US" w:eastAsia="en-US" w:bidi="ar-SA"/>
              </w:rPr>
              <w:t xml:space="preserve"> to Noncompetitive Communities</w:t>
            </w:r>
          </w:p>
          <w:p w:rsidR="00B47008" w:rsidRPr="00702365" w:rsidP="004E16D7" w14:paraId="6B9EB5F3" w14:textId="5037EBB2">
            <w:pPr>
              <w:widowControl w:val="0"/>
              <w:suppressAutoHyphens/>
              <w:jc w:val="center"/>
              <w:rPr>
                <w:rStyle w:val="DefaultParagraphFont"/>
                <w:b/>
                <w:bCs/>
                <w:snapToGrid/>
                <w:kern w:val="0"/>
                <w:sz w:val="24"/>
                <w:szCs w:val="24"/>
                <w:lang w:val="en-US" w:eastAsia="en-US" w:bidi="ar-SA"/>
              </w:rPr>
            </w:pPr>
            <w:r w:rsidRPr="00B10203">
              <w:rPr>
                <w:snapToGrid/>
                <w:kern w:val="0"/>
                <w:sz w:val="22"/>
                <w:szCs w:val="22"/>
                <w:lang w:val="en-US" w:eastAsia="en-US" w:bidi="ar-SA"/>
              </w:rPr>
              <w:t>January 1, 2016</w:t>
            </w:r>
          </w:p>
        </w:tc>
      </w:tr>
      <w:tr w14:paraId="46A572CE" w14:textId="77777777" w:rsidTr="00BD3A8B">
        <w:tblPrEx>
          <w:tblW w:w="5000" w:type="pct"/>
          <w:tblInd w:w="0" w:type="dxa"/>
          <w:tblLayout w:type="fixed"/>
          <w:tblCellMar>
            <w:top w:w="0" w:type="dxa"/>
            <w:left w:w="108" w:type="dxa"/>
            <w:bottom w:w="0" w:type="dxa"/>
            <w:right w:w="108" w:type="dxa"/>
          </w:tblCellMar>
          <w:tblLook w:val="04A0"/>
        </w:tblPrEx>
        <w:trPr>
          <w:trHeight w:hRule="exact" w:val="432"/>
        </w:trPr>
        <w:tc>
          <w:tcPr>
            <w:tcW w:w="1294"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D55B54" w:rsidP="004E16D7" w14:paraId="7FEA22AD" w14:textId="77777777">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 xml:space="preserve">Cable </w:t>
            </w:r>
          </w:p>
          <w:p w:rsidR="00702365" w:rsidRPr="00702365" w:rsidP="004E16D7" w14:paraId="1DAEA507" w14:textId="54413358">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Service</w:t>
            </w:r>
          </w:p>
        </w:tc>
        <w:tc>
          <w:tcPr>
            <w:tcW w:w="724" w:type="pct"/>
            <w:vMerge w:val="restart"/>
            <w:tcBorders>
              <w:top w:val="single" w:sz="12" w:space="0" w:color="auto"/>
              <w:left w:val="single" w:sz="4" w:space="0" w:color="auto"/>
              <w:bottom w:val="nil"/>
              <w:right w:val="single" w:sz="4" w:space="0" w:color="auto"/>
            </w:tcBorders>
            <w:shd w:val="clear" w:color="auto" w:fill="auto"/>
            <w:vAlign w:val="center"/>
            <w:hideMark/>
          </w:tcPr>
          <w:p w:rsidR="00C13B95" w:rsidRPr="00BD3A8B" w:rsidP="004E16D7" w14:paraId="4FFDCFE3" w14:textId="77777777">
            <w:pPr>
              <w:widowControl/>
              <w:suppressAutoHyphens/>
              <w:jc w:val="center"/>
              <w:rPr>
                <w:rStyle w:val="DefaultParagraphFont"/>
                <w:b/>
                <w:bCs/>
                <w:snapToGrid/>
                <w:kern w:val="0"/>
                <w:sz w:val="20"/>
                <w:lang w:val="en-US" w:eastAsia="en-US" w:bidi="ar-SA"/>
              </w:rPr>
            </w:pPr>
            <w:r w:rsidRPr="00BD3A8B">
              <w:rPr>
                <w:b/>
                <w:bCs/>
                <w:snapToGrid/>
                <w:kern w:val="0"/>
                <w:sz w:val="20"/>
                <w:lang w:val="en-US" w:eastAsia="en-US" w:bidi="ar-SA"/>
              </w:rPr>
              <w:t>Effective</w:t>
            </w:r>
          </w:p>
          <w:p w:rsidR="00C13B95" w:rsidRPr="00BD3A8B" w:rsidP="004E16D7" w14:paraId="571D2934" w14:textId="4DA70A25">
            <w:pPr>
              <w:widowControl/>
              <w:suppressAutoHyphens/>
              <w:jc w:val="center"/>
              <w:rPr>
                <w:rStyle w:val="DefaultParagraphFont"/>
                <w:b/>
                <w:bCs/>
                <w:snapToGrid/>
                <w:kern w:val="0"/>
                <w:sz w:val="20"/>
                <w:lang w:val="en-US" w:eastAsia="en-US" w:bidi="ar-SA"/>
              </w:rPr>
            </w:pPr>
            <w:r w:rsidRPr="00BD3A8B">
              <w:rPr>
                <w:b/>
                <w:bCs/>
                <w:snapToGrid/>
                <w:kern w:val="0"/>
                <w:sz w:val="20"/>
                <w:lang w:val="en-US" w:eastAsia="en-US" w:bidi="ar-SA"/>
              </w:rPr>
              <w:t xml:space="preserve"> Competition </w:t>
            </w:r>
            <w:r w:rsidRPr="00BD3A8B" w:rsidR="00D55B54">
              <w:rPr>
                <w:b/>
                <w:bCs/>
                <w:snapToGrid/>
                <w:kern w:val="0"/>
                <w:sz w:val="20"/>
                <w:lang w:val="en-US" w:eastAsia="en-US" w:bidi="ar-SA"/>
              </w:rPr>
              <w:t>Group</w:t>
            </w:r>
          </w:p>
          <w:p w:rsidR="00702365" w:rsidRPr="00BD3A8B" w:rsidP="004E16D7" w14:paraId="14C2A5C1" w14:textId="77777777">
            <w:pPr>
              <w:widowControl/>
              <w:suppressAutoHyphens/>
              <w:jc w:val="center"/>
              <w:rPr>
                <w:rStyle w:val="DefaultParagraphFont"/>
                <w:b/>
                <w:bCs/>
                <w:snapToGrid/>
                <w:kern w:val="0"/>
                <w:sz w:val="20"/>
                <w:lang w:val="en-US" w:eastAsia="en-US" w:bidi="ar-SA"/>
              </w:rPr>
            </w:pPr>
            <w:r w:rsidRPr="00BD3A8B">
              <w:rPr>
                <w:b/>
                <w:bCs/>
                <w:snapToGrid/>
                <w:kern w:val="0"/>
                <w:sz w:val="20"/>
                <w:lang w:val="en-US" w:eastAsia="en-US" w:bidi="ar-SA"/>
              </w:rPr>
              <w:t xml:space="preserve"> Differential</w:t>
            </w:r>
          </w:p>
        </w:tc>
        <w:tc>
          <w:tcPr>
            <w:tcW w:w="2982" w:type="pct"/>
            <w:gridSpan w:val="5"/>
            <w:tcBorders>
              <w:top w:val="single" w:sz="12" w:space="0" w:color="auto"/>
              <w:left w:val="nil"/>
              <w:bottom w:val="single" w:sz="4" w:space="0" w:color="auto"/>
              <w:right w:val="single" w:sz="12" w:space="0" w:color="auto"/>
            </w:tcBorders>
            <w:shd w:val="clear" w:color="auto" w:fill="auto"/>
            <w:noWrap/>
            <w:vAlign w:val="center"/>
            <w:hideMark/>
          </w:tcPr>
          <w:p w:rsidR="00702365" w:rsidRPr="00702365" w:rsidP="004E16D7" w14:paraId="0A5DAC3E" w14:textId="77777777">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Differentials by Effective Competition Subgroup</w:t>
            </w:r>
          </w:p>
        </w:tc>
      </w:tr>
      <w:tr w14:paraId="104856CB" w14:textId="77777777" w:rsidTr="00BD3A8B">
        <w:tblPrEx>
          <w:tblW w:w="5000" w:type="pct"/>
          <w:tblInd w:w="0" w:type="dxa"/>
          <w:tblLayout w:type="fixed"/>
          <w:tblCellMar>
            <w:top w:w="0" w:type="dxa"/>
            <w:left w:w="108" w:type="dxa"/>
            <w:bottom w:w="0" w:type="dxa"/>
            <w:right w:w="108" w:type="dxa"/>
          </w:tblCellMar>
          <w:tblLook w:val="04A0"/>
        </w:tblPrEx>
        <w:trPr>
          <w:trHeight w:hRule="exact" w:val="518"/>
        </w:trPr>
        <w:tc>
          <w:tcPr>
            <w:tcW w:w="1294" w:type="pct"/>
            <w:vMerge/>
            <w:tcBorders>
              <w:top w:val="nil"/>
              <w:left w:val="single" w:sz="12" w:space="0" w:color="auto"/>
              <w:bottom w:val="single" w:sz="4" w:space="0" w:color="auto"/>
              <w:right w:val="single" w:sz="4" w:space="0" w:color="auto"/>
            </w:tcBorders>
            <w:vAlign w:val="center"/>
            <w:hideMark/>
          </w:tcPr>
          <w:p w:rsidR="00702365" w:rsidRPr="00702365" w:rsidP="004E16D7" w14:paraId="54323016" w14:textId="77777777">
            <w:pPr>
              <w:widowControl/>
              <w:suppressAutoHyphens/>
              <w:rPr>
                <w:rStyle w:val="DefaultParagraphFont"/>
                <w:b/>
                <w:bCs/>
                <w:snapToGrid/>
                <w:kern w:val="0"/>
                <w:sz w:val="20"/>
                <w:lang w:val="en-US" w:eastAsia="en-US" w:bidi="ar-SA"/>
              </w:rPr>
            </w:pPr>
          </w:p>
        </w:tc>
        <w:tc>
          <w:tcPr>
            <w:tcW w:w="724" w:type="pct"/>
            <w:vMerge/>
            <w:tcBorders>
              <w:top w:val="nil"/>
              <w:left w:val="single" w:sz="4" w:space="0" w:color="auto"/>
              <w:bottom w:val="nil"/>
              <w:right w:val="single" w:sz="4" w:space="0" w:color="auto"/>
            </w:tcBorders>
            <w:vAlign w:val="center"/>
            <w:hideMark/>
          </w:tcPr>
          <w:p w:rsidR="00702365" w:rsidRPr="00702365" w:rsidP="004E16D7" w14:paraId="246BA15F" w14:textId="77777777">
            <w:pPr>
              <w:widowControl/>
              <w:suppressAutoHyphens/>
              <w:rPr>
                <w:rStyle w:val="DefaultParagraphFont"/>
                <w:b/>
                <w:bCs/>
                <w:snapToGrid/>
                <w:kern w:val="0"/>
                <w:sz w:val="20"/>
                <w:lang w:val="en-US" w:eastAsia="en-US" w:bidi="ar-SA"/>
              </w:rPr>
            </w:pPr>
          </w:p>
        </w:tc>
        <w:tc>
          <w:tcPr>
            <w:tcW w:w="1785" w:type="pct"/>
            <w:gridSpan w:val="3"/>
            <w:tcBorders>
              <w:top w:val="single" w:sz="4" w:space="0" w:color="auto"/>
              <w:left w:val="nil"/>
              <w:bottom w:val="single" w:sz="4" w:space="0" w:color="auto"/>
              <w:right w:val="single" w:sz="4" w:space="0" w:color="000000"/>
            </w:tcBorders>
            <w:shd w:val="clear" w:color="auto" w:fill="auto"/>
            <w:vAlign w:val="center"/>
            <w:hideMark/>
          </w:tcPr>
          <w:p w:rsidR="00397BB6" w:rsidP="004E16D7" w14:paraId="226E6762" w14:textId="77777777">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Second Cable</w:t>
            </w:r>
          </w:p>
          <w:p w:rsidR="00702365" w:rsidRPr="00702365" w:rsidP="004E16D7" w14:paraId="25322547" w14:textId="1B33847D">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 xml:space="preserve"> Operator Overbuild</w:t>
            </w:r>
          </w:p>
        </w:tc>
        <w:tc>
          <w:tcPr>
            <w:tcW w:w="530" w:type="pct"/>
            <w:vMerge w:val="restart"/>
            <w:tcBorders>
              <w:top w:val="nil"/>
              <w:left w:val="single" w:sz="4" w:space="0" w:color="auto"/>
              <w:bottom w:val="nil"/>
              <w:right w:val="single" w:sz="4" w:space="0" w:color="auto"/>
            </w:tcBorders>
            <w:shd w:val="clear" w:color="auto" w:fill="auto"/>
            <w:noWrap/>
            <w:vAlign w:val="center"/>
            <w:hideMark/>
          </w:tcPr>
          <w:p w:rsidR="00702365" w:rsidRPr="00702365" w:rsidP="004E16D7" w14:paraId="0FCCCFFD" w14:textId="77777777">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DBS</w:t>
            </w:r>
          </w:p>
        </w:tc>
        <w:tc>
          <w:tcPr>
            <w:tcW w:w="667" w:type="pct"/>
            <w:vMerge w:val="restart"/>
            <w:tcBorders>
              <w:top w:val="nil"/>
              <w:left w:val="single" w:sz="4" w:space="0" w:color="auto"/>
              <w:bottom w:val="nil"/>
              <w:right w:val="single" w:sz="12" w:space="0" w:color="auto"/>
            </w:tcBorders>
            <w:shd w:val="clear" w:color="auto" w:fill="auto"/>
            <w:vAlign w:val="center"/>
            <w:hideMark/>
          </w:tcPr>
          <w:p w:rsidR="00702365" w:rsidRPr="00702365" w:rsidP="004E16D7" w14:paraId="3F53E36B" w14:textId="5FCEADEC">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Wireless</w:t>
            </w:r>
            <w:r w:rsidR="00C13B95">
              <w:rPr>
                <w:b/>
                <w:bCs/>
                <w:snapToGrid/>
                <w:kern w:val="0"/>
                <w:sz w:val="20"/>
                <w:lang w:val="en-US" w:eastAsia="en-US" w:bidi="ar-SA"/>
              </w:rPr>
              <w:t xml:space="preserve"> </w:t>
            </w:r>
            <w:r w:rsidR="00D55B54">
              <w:rPr>
                <w:b/>
                <w:bCs/>
                <w:snapToGrid/>
                <w:kern w:val="0"/>
                <w:sz w:val="20"/>
                <w:lang w:val="en-US" w:eastAsia="en-US" w:bidi="ar-SA"/>
              </w:rPr>
              <w:t>and</w:t>
            </w:r>
            <w:r w:rsidR="00C13B95">
              <w:rPr>
                <w:b/>
                <w:bCs/>
                <w:snapToGrid/>
                <w:kern w:val="0"/>
                <w:sz w:val="20"/>
                <w:lang w:val="en-US" w:eastAsia="en-US" w:bidi="ar-SA"/>
              </w:rPr>
              <w:t xml:space="preserve"> </w:t>
            </w:r>
            <w:r w:rsidRPr="00702365">
              <w:rPr>
                <w:b/>
                <w:bCs/>
                <w:snapToGrid/>
                <w:kern w:val="0"/>
                <w:sz w:val="20"/>
                <w:lang w:val="en-US" w:eastAsia="en-US" w:bidi="ar-SA"/>
              </w:rPr>
              <w:t>Low Penetration</w:t>
            </w:r>
          </w:p>
        </w:tc>
      </w:tr>
      <w:tr w14:paraId="3B5BBDD8" w14:textId="77777777" w:rsidTr="00BD3A8B">
        <w:tblPrEx>
          <w:tblW w:w="5000" w:type="pct"/>
          <w:tblInd w:w="0" w:type="dxa"/>
          <w:tblLayout w:type="fixed"/>
          <w:tblCellMar>
            <w:top w:w="0" w:type="dxa"/>
            <w:left w:w="108" w:type="dxa"/>
            <w:bottom w:w="0" w:type="dxa"/>
            <w:right w:w="108" w:type="dxa"/>
          </w:tblCellMar>
          <w:tblLook w:val="04A0"/>
        </w:tblPrEx>
        <w:trPr>
          <w:trHeight w:hRule="exact" w:val="346"/>
        </w:trPr>
        <w:tc>
          <w:tcPr>
            <w:tcW w:w="1294" w:type="pct"/>
            <w:vMerge/>
            <w:tcBorders>
              <w:top w:val="nil"/>
              <w:left w:val="single" w:sz="12" w:space="0" w:color="auto"/>
              <w:bottom w:val="single" w:sz="4" w:space="0" w:color="auto"/>
              <w:right w:val="single" w:sz="4" w:space="0" w:color="auto"/>
            </w:tcBorders>
            <w:vAlign w:val="center"/>
            <w:hideMark/>
          </w:tcPr>
          <w:p w:rsidR="00702365" w:rsidRPr="00702365" w:rsidP="004E16D7" w14:paraId="423651D5" w14:textId="77777777">
            <w:pPr>
              <w:widowControl/>
              <w:suppressAutoHyphens/>
              <w:rPr>
                <w:rStyle w:val="DefaultParagraphFont"/>
                <w:b/>
                <w:bCs/>
                <w:snapToGrid/>
                <w:kern w:val="0"/>
                <w:sz w:val="20"/>
                <w:lang w:val="en-US" w:eastAsia="en-US" w:bidi="ar-SA"/>
              </w:rPr>
            </w:pPr>
          </w:p>
        </w:tc>
        <w:tc>
          <w:tcPr>
            <w:tcW w:w="724" w:type="pct"/>
            <w:vMerge/>
            <w:tcBorders>
              <w:top w:val="nil"/>
              <w:left w:val="single" w:sz="4" w:space="0" w:color="auto"/>
              <w:bottom w:val="nil"/>
              <w:right w:val="single" w:sz="4" w:space="0" w:color="auto"/>
            </w:tcBorders>
            <w:vAlign w:val="center"/>
            <w:hideMark/>
          </w:tcPr>
          <w:p w:rsidR="00702365" w:rsidRPr="00702365" w:rsidP="004E16D7" w14:paraId="38EE390A" w14:textId="77777777">
            <w:pPr>
              <w:widowControl/>
              <w:suppressAutoHyphens/>
              <w:rPr>
                <w:rStyle w:val="DefaultParagraphFont"/>
                <w:b/>
                <w:bCs/>
                <w:snapToGrid/>
                <w:kern w:val="0"/>
                <w:sz w:val="20"/>
                <w:lang w:val="en-US" w:eastAsia="en-US" w:bidi="ar-SA"/>
              </w:rPr>
            </w:pPr>
          </w:p>
        </w:tc>
        <w:tc>
          <w:tcPr>
            <w:tcW w:w="721" w:type="pct"/>
            <w:tcBorders>
              <w:top w:val="nil"/>
              <w:left w:val="nil"/>
              <w:bottom w:val="nil"/>
              <w:right w:val="single" w:sz="4" w:space="0" w:color="auto"/>
            </w:tcBorders>
            <w:shd w:val="clear" w:color="auto" w:fill="auto"/>
            <w:vAlign w:val="center"/>
            <w:hideMark/>
          </w:tcPr>
          <w:p w:rsidR="00702365" w:rsidRPr="00BD3A8B" w:rsidP="004E16D7" w14:paraId="260EF440" w14:textId="5413984F">
            <w:pPr>
              <w:widowControl/>
              <w:suppressAutoHyphens/>
              <w:jc w:val="center"/>
              <w:rPr>
                <w:rStyle w:val="DefaultParagraphFont"/>
                <w:b/>
                <w:bCs/>
                <w:snapToGrid/>
                <w:kern w:val="0"/>
                <w:sz w:val="20"/>
                <w:lang w:val="en-US" w:eastAsia="en-US" w:bidi="ar-SA"/>
              </w:rPr>
            </w:pPr>
            <w:r w:rsidRPr="00BD3A8B">
              <w:rPr>
                <w:b/>
                <w:bCs/>
                <w:snapToGrid/>
                <w:kern w:val="0"/>
                <w:sz w:val="20"/>
                <w:lang w:val="en-US" w:eastAsia="en-US" w:bidi="ar-SA"/>
              </w:rPr>
              <w:t>Incumbent</w:t>
            </w:r>
          </w:p>
        </w:tc>
        <w:tc>
          <w:tcPr>
            <w:tcW w:w="532" w:type="pct"/>
            <w:tcBorders>
              <w:top w:val="nil"/>
              <w:left w:val="nil"/>
              <w:bottom w:val="nil"/>
              <w:right w:val="single" w:sz="4" w:space="0" w:color="auto"/>
            </w:tcBorders>
            <w:shd w:val="clear" w:color="auto" w:fill="auto"/>
            <w:noWrap/>
            <w:vAlign w:val="center"/>
            <w:hideMark/>
          </w:tcPr>
          <w:p w:rsidR="00702365" w:rsidRPr="00702365" w:rsidP="004E16D7" w14:paraId="26BCF6E5" w14:textId="77777777">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Rival</w:t>
            </w:r>
          </w:p>
        </w:tc>
        <w:tc>
          <w:tcPr>
            <w:tcW w:w="532" w:type="pct"/>
            <w:tcBorders>
              <w:top w:val="nil"/>
              <w:left w:val="nil"/>
              <w:bottom w:val="nil"/>
              <w:right w:val="single" w:sz="4" w:space="0" w:color="auto"/>
            </w:tcBorders>
            <w:shd w:val="clear" w:color="auto" w:fill="auto"/>
            <w:noWrap/>
            <w:vAlign w:val="center"/>
            <w:hideMark/>
          </w:tcPr>
          <w:p w:rsidR="00702365" w:rsidRPr="00702365" w:rsidP="004E16D7" w14:paraId="3A587925" w14:textId="77777777">
            <w:pPr>
              <w:widowControl/>
              <w:suppressAutoHyphens/>
              <w:jc w:val="center"/>
              <w:rPr>
                <w:rStyle w:val="DefaultParagraphFont"/>
                <w:b/>
                <w:bCs/>
                <w:snapToGrid/>
                <w:kern w:val="0"/>
                <w:sz w:val="20"/>
                <w:lang w:val="en-US" w:eastAsia="en-US" w:bidi="ar-SA"/>
              </w:rPr>
            </w:pPr>
            <w:r w:rsidRPr="00702365">
              <w:rPr>
                <w:b/>
                <w:bCs/>
                <w:snapToGrid/>
                <w:kern w:val="0"/>
                <w:sz w:val="20"/>
                <w:lang w:val="en-US" w:eastAsia="en-US" w:bidi="ar-SA"/>
              </w:rPr>
              <w:t>Both</w:t>
            </w:r>
          </w:p>
        </w:tc>
        <w:tc>
          <w:tcPr>
            <w:tcW w:w="530" w:type="pct"/>
            <w:vMerge/>
            <w:tcBorders>
              <w:top w:val="nil"/>
              <w:left w:val="single" w:sz="4" w:space="0" w:color="auto"/>
              <w:bottom w:val="nil"/>
              <w:right w:val="single" w:sz="4" w:space="0" w:color="auto"/>
            </w:tcBorders>
            <w:vAlign w:val="center"/>
            <w:hideMark/>
          </w:tcPr>
          <w:p w:rsidR="00702365" w:rsidRPr="00702365" w:rsidP="004E16D7" w14:paraId="6F2C64FE" w14:textId="77777777">
            <w:pPr>
              <w:widowControl/>
              <w:suppressAutoHyphens/>
              <w:rPr>
                <w:rStyle w:val="DefaultParagraphFont"/>
                <w:b/>
                <w:bCs/>
                <w:snapToGrid/>
                <w:kern w:val="0"/>
                <w:sz w:val="20"/>
                <w:lang w:val="en-US" w:eastAsia="en-US" w:bidi="ar-SA"/>
              </w:rPr>
            </w:pPr>
          </w:p>
        </w:tc>
        <w:tc>
          <w:tcPr>
            <w:tcW w:w="667" w:type="pct"/>
            <w:vMerge/>
            <w:tcBorders>
              <w:top w:val="nil"/>
              <w:left w:val="single" w:sz="4" w:space="0" w:color="auto"/>
              <w:bottom w:val="nil"/>
              <w:right w:val="single" w:sz="12" w:space="0" w:color="auto"/>
            </w:tcBorders>
            <w:vAlign w:val="center"/>
            <w:hideMark/>
          </w:tcPr>
          <w:p w:rsidR="00702365" w:rsidRPr="00702365" w:rsidP="004E16D7" w14:paraId="152B5B56" w14:textId="77777777">
            <w:pPr>
              <w:widowControl/>
              <w:suppressAutoHyphens/>
              <w:rPr>
                <w:rStyle w:val="DefaultParagraphFont"/>
                <w:b/>
                <w:bCs/>
                <w:snapToGrid/>
                <w:kern w:val="0"/>
                <w:sz w:val="20"/>
                <w:lang w:val="en-US" w:eastAsia="en-US" w:bidi="ar-SA"/>
              </w:rPr>
            </w:pPr>
          </w:p>
        </w:tc>
      </w:tr>
      <w:tr w14:paraId="239E9853" w14:textId="77777777" w:rsidTr="00BD3A8B">
        <w:tblPrEx>
          <w:tblW w:w="5000" w:type="pct"/>
          <w:tblInd w:w="0" w:type="dxa"/>
          <w:tblLayout w:type="fixed"/>
          <w:tblCellMar>
            <w:top w:w="0" w:type="dxa"/>
            <w:left w:w="108" w:type="dxa"/>
            <w:bottom w:w="0" w:type="dxa"/>
            <w:right w:w="108" w:type="dxa"/>
          </w:tblCellMar>
          <w:tblLook w:val="04A0"/>
        </w:tblPrEx>
        <w:trPr>
          <w:trHeight w:hRule="exact" w:val="432"/>
        </w:trPr>
        <w:tc>
          <w:tcPr>
            <w:tcW w:w="1294"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852C4" w:rsidRPr="00702365" w:rsidP="004E16D7" w14:paraId="498EEBDF" w14:textId="07DC9999">
            <w:pPr>
              <w:widowControl/>
              <w:suppressAutoHyphens/>
              <w:rPr>
                <w:rStyle w:val="DefaultParagraphFont"/>
                <w:b/>
                <w:bCs/>
                <w:snapToGrid/>
                <w:kern w:val="0"/>
                <w:sz w:val="20"/>
                <w:lang w:val="en-US" w:eastAsia="en-US" w:bidi="ar-SA"/>
              </w:rPr>
            </w:pPr>
            <w:r w:rsidRPr="00702365">
              <w:rPr>
                <w:b/>
                <w:bCs/>
                <w:snapToGrid/>
                <w:kern w:val="0"/>
                <w:sz w:val="20"/>
                <w:lang w:val="en-US" w:eastAsia="en-US" w:bidi="ar-SA"/>
              </w:rPr>
              <w:t>Basic</w:t>
            </w:r>
            <w:r w:rsidR="00D55B54">
              <w:rPr>
                <w:b/>
                <w:bCs/>
                <w:snapToGrid/>
                <w:kern w:val="0"/>
                <w:sz w:val="20"/>
                <w:lang w:val="en-US" w:eastAsia="en-US" w:bidi="ar-SA"/>
              </w:rPr>
              <w:t xml:space="preserve"> </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2C4" w:rsidRPr="00C80BBB" w:rsidP="004E16D7" w14:paraId="0AFBB324" w14:textId="34FD2C8B">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-3.1%</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rsidR="009852C4" w:rsidRPr="00C80BBB" w:rsidP="004E16D7" w14:paraId="7514197B" w14:textId="6FA29F8B">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-7.7%</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9852C4" w:rsidRPr="00C80BBB" w:rsidP="004E16D7" w14:paraId="1F2286BC" w14:textId="4CCF8989">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-7.2%</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9852C4" w:rsidRPr="00C80BBB" w:rsidP="004E16D7" w14:paraId="0A97A84D" w14:textId="50DC384A">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-7.6%</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9852C4" w:rsidRPr="00C80BBB" w:rsidP="004E16D7" w14:paraId="772048D1" w14:textId="2B6861D3">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-2.0%</w:t>
            </w:r>
          </w:p>
        </w:tc>
        <w:tc>
          <w:tcPr>
            <w:tcW w:w="667" w:type="pct"/>
            <w:tcBorders>
              <w:top w:val="single" w:sz="4" w:space="0" w:color="auto"/>
              <w:left w:val="nil"/>
              <w:bottom w:val="single" w:sz="4" w:space="0" w:color="auto"/>
              <w:right w:val="single" w:sz="12" w:space="0" w:color="auto"/>
            </w:tcBorders>
            <w:shd w:val="clear" w:color="auto" w:fill="auto"/>
            <w:noWrap/>
            <w:vAlign w:val="bottom"/>
            <w:hideMark/>
          </w:tcPr>
          <w:p w:rsidR="009852C4" w:rsidRPr="00C80BBB" w:rsidP="004E16D7" w14:paraId="2C9678A2" w14:textId="5E7DA78E">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0.7%</w:t>
            </w:r>
          </w:p>
        </w:tc>
      </w:tr>
      <w:tr w14:paraId="4BC3CB48" w14:textId="77777777" w:rsidTr="00BD3A8B">
        <w:tblPrEx>
          <w:tblW w:w="5000" w:type="pct"/>
          <w:tblInd w:w="0" w:type="dxa"/>
          <w:tblLayout w:type="fixed"/>
          <w:tblCellMar>
            <w:top w:w="0" w:type="dxa"/>
            <w:left w:w="108" w:type="dxa"/>
            <w:bottom w:w="0" w:type="dxa"/>
            <w:right w:w="108" w:type="dxa"/>
          </w:tblCellMar>
          <w:tblLook w:val="04A0"/>
        </w:tblPrEx>
        <w:trPr>
          <w:trHeight w:hRule="exact" w:val="432"/>
        </w:trPr>
        <w:tc>
          <w:tcPr>
            <w:tcW w:w="1294" w:type="pct"/>
            <w:tcBorders>
              <w:top w:val="nil"/>
              <w:left w:val="single" w:sz="12" w:space="0" w:color="auto"/>
              <w:bottom w:val="single" w:sz="4" w:space="0" w:color="auto"/>
              <w:right w:val="single" w:sz="4" w:space="0" w:color="auto"/>
            </w:tcBorders>
            <w:shd w:val="clear" w:color="auto" w:fill="auto"/>
            <w:noWrap/>
            <w:vAlign w:val="bottom"/>
            <w:hideMark/>
          </w:tcPr>
          <w:p w:rsidR="009852C4" w:rsidRPr="00702365" w:rsidP="004E16D7" w14:paraId="164667D8" w14:textId="1591CC81">
            <w:pPr>
              <w:widowControl/>
              <w:suppressAutoHyphens/>
              <w:rPr>
                <w:rStyle w:val="DefaultParagraphFont"/>
                <w:b/>
                <w:bCs/>
                <w:snapToGrid/>
                <w:kern w:val="0"/>
                <w:sz w:val="20"/>
                <w:lang w:val="en-US" w:eastAsia="en-US" w:bidi="ar-SA"/>
              </w:rPr>
            </w:pPr>
            <w:r w:rsidRPr="00702365">
              <w:rPr>
                <w:b/>
                <w:bCs/>
                <w:snapToGrid/>
                <w:kern w:val="0"/>
                <w:sz w:val="20"/>
                <w:lang w:val="en-US" w:eastAsia="en-US" w:bidi="ar-SA"/>
              </w:rPr>
              <w:t>Expanded basic</w:t>
            </w:r>
          </w:p>
        </w:tc>
        <w:tc>
          <w:tcPr>
            <w:tcW w:w="724" w:type="pct"/>
            <w:tcBorders>
              <w:top w:val="nil"/>
              <w:left w:val="single" w:sz="4" w:space="0" w:color="auto"/>
              <w:bottom w:val="single" w:sz="4" w:space="0" w:color="auto"/>
              <w:right w:val="single" w:sz="4" w:space="0" w:color="auto"/>
            </w:tcBorders>
            <w:shd w:val="clear" w:color="auto" w:fill="auto"/>
            <w:noWrap/>
            <w:vAlign w:val="bottom"/>
            <w:hideMark/>
          </w:tcPr>
          <w:p w:rsidR="009852C4" w:rsidRPr="00C80BBB" w:rsidP="004E16D7" w14:paraId="260A8C15" w14:textId="155F2325">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4.7%*</w:t>
            </w:r>
          </w:p>
        </w:tc>
        <w:tc>
          <w:tcPr>
            <w:tcW w:w="721"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7DACC775" w14:textId="7DD3F158">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3.4%*</w:t>
            </w:r>
          </w:p>
        </w:tc>
        <w:tc>
          <w:tcPr>
            <w:tcW w:w="532"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686CDECB" w14:textId="46DEB1EF">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-6.0%*</w:t>
            </w:r>
          </w:p>
        </w:tc>
        <w:tc>
          <w:tcPr>
            <w:tcW w:w="532"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33AC055D" w14:textId="685CE621">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1.9%</w:t>
            </w:r>
          </w:p>
        </w:tc>
        <w:tc>
          <w:tcPr>
            <w:tcW w:w="530"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69567EAC" w14:textId="4EF564B1">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5.6%*</w:t>
            </w:r>
          </w:p>
        </w:tc>
        <w:tc>
          <w:tcPr>
            <w:tcW w:w="667" w:type="pct"/>
            <w:tcBorders>
              <w:top w:val="nil"/>
              <w:left w:val="nil"/>
              <w:bottom w:val="single" w:sz="4" w:space="0" w:color="auto"/>
              <w:right w:val="single" w:sz="12" w:space="0" w:color="auto"/>
            </w:tcBorders>
            <w:shd w:val="clear" w:color="auto" w:fill="auto"/>
            <w:noWrap/>
            <w:vAlign w:val="bottom"/>
            <w:hideMark/>
          </w:tcPr>
          <w:p w:rsidR="009852C4" w:rsidRPr="00C80BBB" w:rsidP="004E16D7" w14:paraId="36468E09" w14:textId="3724B8F0">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4.6%*</w:t>
            </w:r>
          </w:p>
        </w:tc>
      </w:tr>
      <w:tr w14:paraId="5DBEBE8A" w14:textId="77777777" w:rsidTr="00BD3A8B">
        <w:tblPrEx>
          <w:tblW w:w="5000" w:type="pct"/>
          <w:tblInd w:w="0" w:type="dxa"/>
          <w:tblLayout w:type="fixed"/>
          <w:tblCellMar>
            <w:top w:w="0" w:type="dxa"/>
            <w:left w:w="108" w:type="dxa"/>
            <w:bottom w:w="0" w:type="dxa"/>
            <w:right w:w="108" w:type="dxa"/>
          </w:tblCellMar>
          <w:tblLook w:val="04A0"/>
        </w:tblPrEx>
        <w:trPr>
          <w:trHeight w:hRule="exact" w:val="432"/>
        </w:trPr>
        <w:tc>
          <w:tcPr>
            <w:tcW w:w="1294" w:type="pct"/>
            <w:tcBorders>
              <w:top w:val="nil"/>
              <w:left w:val="single" w:sz="12" w:space="0" w:color="auto"/>
              <w:bottom w:val="single" w:sz="4" w:space="0" w:color="auto"/>
              <w:right w:val="single" w:sz="4" w:space="0" w:color="auto"/>
            </w:tcBorders>
            <w:shd w:val="clear" w:color="auto" w:fill="auto"/>
            <w:noWrap/>
            <w:vAlign w:val="bottom"/>
            <w:hideMark/>
          </w:tcPr>
          <w:p w:rsidR="009852C4" w:rsidRPr="00702365" w:rsidP="004E16D7" w14:paraId="315A6518" w14:textId="16D7927A">
            <w:pPr>
              <w:widowControl/>
              <w:suppressAutoHyphens/>
              <w:rPr>
                <w:rStyle w:val="DefaultParagraphFont"/>
                <w:b/>
                <w:bCs/>
                <w:snapToGrid/>
                <w:kern w:val="0"/>
                <w:sz w:val="20"/>
                <w:lang w:val="en-US" w:eastAsia="en-US" w:bidi="ar-SA"/>
              </w:rPr>
            </w:pPr>
            <w:r w:rsidRPr="00702365">
              <w:rPr>
                <w:b/>
                <w:bCs/>
                <w:snapToGrid/>
                <w:kern w:val="0"/>
                <w:sz w:val="20"/>
                <w:lang w:val="en-US" w:eastAsia="en-US" w:bidi="ar-SA"/>
              </w:rPr>
              <w:t>Next most popular</w:t>
            </w:r>
          </w:p>
        </w:tc>
        <w:tc>
          <w:tcPr>
            <w:tcW w:w="724" w:type="pct"/>
            <w:tcBorders>
              <w:top w:val="nil"/>
              <w:left w:val="single" w:sz="4" w:space="0" w:color="auto"/>
              <w:bottom w:val="single" w:sz="4" w:space="0" w:color="auto"/>
              <w:right w:val="single" w:sz="4" w:space="0" w:color="auto"/>
            </w:tcBorders>
            <w:shd w:val="clear" w:color="auto" w:fill="auto"/>
            <w:noWrap/>
            <w:vAlign w:val="bottom"/>
            <w:hideMark/>
          </w:tcPr>
          <w:p w:rsidR="009852C4" w:rsidRPr="00C80BBB" w:rsidP="004E16D7" w14:paraId="73E51EAF" w14:textId="671B0A24">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-0.1%</w:t>
            </w:r>
          </w:p>
        </w:tc>
        <w:tc>
          <w:tcPr>
            <w:tcW w:w="721"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37D71F07" w14:textId="1360ED49">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-3.5%*</w:t>
            </w:r>
          </w:p>
        </w:tc>
        <w:tc>
          <w:tcPr>
            <w:tcW w:w="532"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52CE2855" w14:textId="087BB3B5">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8.6%*</w:t>
            </w:r>
          </w:p>
        </w:tc>
        <w:tc>
          <w:tcPr>
            <w:tcW w:w="532"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49EE2815" w14:textId="0CA9E459">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-1.6%</w:t>
            </w:r>
          </w:p>
        </w:tc>
        <w:tc>
          <w:tcPr>
            <w:tcW w:w="530" w:type="pct"/>
            <w:tcBorders>
              <w:top w:val="nil"/>
              <w:left w:val="nil"/>
              <w:bottom w:val="single" w:sz="4" w:space="0" w:color="auto"/>
              <w:right w:val="single" w:sz="4" w:space="0" w:color="auto"/>
            </w:tcBorders>
            <w:shd w:val="clear" w:color="auto" w:fill="auto"/>
            <w:noWrap/>
            <w:vAlign w:val="bottom"/>
            <w:hideMark/>
          </w:tcPr>
          <w:p w:rsidR="009852C4" w:rsidRPr="00C80BBB" w:rsidP="004E16D7" w14:paraId="50849A59" w14:textId="6CA9E9A5">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0.3%</w:t>
            </w:r>
          </w:p>
        </w:tc>
        <w:tc>
          <w:tcPr>
            <w:tcW w:w="667" w:type="pct"/>
            <w:tcBorders>
              <w:top w:val="nil"/>
              <w:left w:val="nil"/>
              <w:bottom w:val="single" w:sz="4" w:space="0" w:color="auto"/>
              <w:right w:val="single" w:sz="12" w:space="0" w:color="auto"/>
            </w:tcBorders>
            <w:shd w:val="clear" w:color="auto" w:fill="auto"/>
            <w:noWrap/>
            <w:vAlign w:val="bottom"/>
            <w:hideMark/>
          </w:tcPr>
          <w:p w:rsidR="009852C4" w:rsidRPr="00C80BBB" w:rsidP="004E16D7" w14:paraId="0A2237AE" w14:textId="4D754B70">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0.4%</w:t>
            </w:r>
          </w:p>
        </w:tc>
      </w:tr>
      <w:tr w14:paraId="45C7A383" w14:textId="77777777" w:rsidTr="003E7B35">
        <w:tblPrEx>
          <w:tblW w:w="5000" w:type="pct"/>
          <w:tblInd w:w="0" w:type="dxa"/>
          <w:tblLayout w:type="fixed"/>
          <w:tblCellMar>
            <w:top w:w="0" w:type="dxa"/>
            <w:left w:w="108" w:type="dxa"/>
            <w:bottom w:w="0" w:type="dxa"/>
            <w:right w:w="108" w:type="dxa"/>
          </w:tblCellMar>
          <w:tblLook w:val="04A0"/>
        </w:tblPrEx>
        <w:trPr>
          <w:trHeight w:hRule="exact" w:val="518"/>
        </w:trPr>
        <w:tc>
          <w:tcPr>
            <w:tcW w:w="1294" w:type="pct"/>
            <w:tcBorders>
              <w:top w:val="nil"/>
              <w:left w:val="single" w:sz="12" w:space="0" w:color="auto"/>
              <w:bottom w:val="single" w:sz="12" w:space="0" w:color="auto"/>
              <w:right w:val="single" w:sz="4" w:space="0" w:color="auto"/>
            </w:tcBorders>
            <w:shd w:val="clear" w:color="auto" w:fill="auto"/>
            <w:noWrap/>
            <w:vAlign w:val="bottom"/>
            <w:hideMark/>
          </w:tcPr>
          <w:p w:rsidR="009852C4" w:rsidRPr="00702365" w:rsidP="00484F7F" w14:paraId="79A0940A" w14:textId="2BA9FB21">
            <w:pPr>
              <w:widowControl/>
              <w:suppressAutoHyphens/>
              <w:rPr>
                <w:rStyle w:val="DefaultParagraphFont"/>
                <w:b/>
                <w:bCs/>
                <w:snapToGrid/>
                <w:kern w:val="0"/>
                <w:sz w:val="20"/>
                <w:lang w:val="en-US" w:eastAsia="en-US" w:bidi="ar-SA"/>
              </w:rPr>
            </w:pPr>
            <w:r>
              <w:rPr>
                <w:b/>
                <w:bCs/>
                <w:snapToGrid/>
                <w:kern w:val="0"/>
                <w:sz w:val="20"/>
                <w:lang w:val="en-US" w:eastAsia="en-US" w:bidi="ar-SA"/>
              </w:rPr>
              <w:t>Av</w:t>
            </w:r>
            <w:r w:rsidR="00BD3A8B">
              <w:rPr>
                <w:b/>
                <w:bCs/>
                <w:snapToGrid/>
                <w:kern w:val="0"/>
                <w:sz w:val="20"/>
                <w:lang w:val="en-US" w:eastAsia="en-US" w:bidi="ar-SA"/>
              </w:rPr>
              <w:t>g.</w:t>
            </w:r>
            <w:r>
              <w:rPr>
                <w:b/>
                <w:bCs/>
                <w:snapToGrid/>
                <w:kern w:val="0"/>
                <w:sz w:val="20"/>
                <w:lang w:val="en-US" w:eastAsia="en-US" w:bidi="ar-SA"/>
              </w:rPr>
              <w:t xml:space="preserve"> p</w:t>
            </w:r>
            <w:r w:rsidRPr="00702365">
              <w:rPr>
                <w:b/>
                <w:bCs/>
                <w:snapToGrid/>
                <w:kern w:val="0"/>
                <w:sz w:val="20"/>
                <w:lang w:val="en-US" w:eastAsia="en-US" w:bidi="ar-SA"/>
              </w:rPr>
              <w:t>rice per channel</w:t>
            </w:r>
            <w:r w:rsidR="00484F7F">
              <w:rPr>
                <w:b/>
                <w:bCs/>
                <w:snapToGrid/>
                <w:kern w:val="0"/>
                <w:sz w:val="20"/>
                <w:lang w:val="en-US" w:eastAsia="en-US" w:bidi="ar-SA"/>
              </w:rPr>
              <w:t xml:space="preserve"> </w:t>
            </w:r>
            <w:r w:rsidR="003E7309">
              <w:rPr>
                <w:b/>
                <w:bCs/>
                <w:snapToGrid/>
                <w:kern w:val="0"/>
                <w:sz w:val="20"/>
                <w:lang w:val="en-US" w:eastAsia="en-US" w:bidi="ar-SA"/>
              </w:rPr>
              <w:t>(Expanded Basic)</w:t>
            </w:r>
          </w:p>
        </w:tc>
        <w:tc>
          <w:tcPr>
            <w:tcW w:w="724" w:type="pct"/>
            <w:tcBorders>
              <w:top w:val="nil"/>
              <w:left w:val="single" w:sz="4" w:space="0" w:color="auto"/>
              <w:bottom w:val="single" w:sz="12" w:space="0" w:color="auto"/>
              <w:right w:val="single" w:sz="4" w:space="0" w:color="auto"/>
            </w:tcBorders>
            <w:shd w:val="clear" w:color="auto" w:fill="auto"/>
            <w:noWrap/>
            <w:vAlign w:val="bottom"/>
            <w:hideMark/>
          </w:tcPr>
          <w:p w:rsidR="009852C4" w:rsidRPr="00C80BBB" w:rsidP="004E16D7" w14:paraId="205C30A8" w14:textId="397EC8AE">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-18.3%*</w:t>
            </w:r>
          </w:p>
        </w:tc>
        <w:tc>
          <w:tcPr>
            <w:tcW w:w="721" w:type="pct"/>
            <w:tcBorders>
              <w:top w:val="nil"/>
              <w:left w:val="nil"/>
              <w:bottom w:val="single" w:sz="12" w:space="0" w:color="auto"/>
              <w:right w:val="single" w:sz="4" w:space="0" w:color="auto"/>
            </w:tcBorders>
            <w:shd w:val="clear" w:color="auto" w:fill="auto"/>
            <w:noWrap/>
            <w:vAlign w:val="bottom"/>
            <w:hideMark/>
          </w:tcPr>
          <w:p w:rsidR="009852C4" w:rsidRPr="00C80BBB" w:rsidP="004E16D7" w14:paraId="0BC35B9A" w14:textId="4FE599FF">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-21.5%*</w:t>
            </w:r>
          </w:p>
        </w:tc>
        <w:tc>
          <w:tcPr>
            <w:tcW w:w="532" w:type="pct"/>
            <w:tcBorders>
              <w:top w:val="nil"/>
              <w:left w:val="nil"/>
              <w:bottom w:val="single" w:sz="12" w:space="0" w:color="auto"/>
              <w:right w:val="single" w:sz="4" w:space="0" w:color="auto"/>
            </w:tcBorders>
            <w:shd w:val="clear" w:color="auto" w:fill="auto"/>
            <w:noWrap/>
            <w:vAlign w:val="bottom"/>
            <w:hideMark/>
          </w:tcPr>
          <w:p w:rsidR="009852C4" w:rsidRPr="00C80BBB" w:rsidP="004E16D7" w14:paraId="609DC9C2" w14:textId="36519CDC">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-14.0%*</w:t>
            </w:r>
          </w:p>
        </w:tc>
        <w:tc>
          <w:tcPr>
            <w:tcW w:w="532" w:type="pct"/>
            <w:tcBorders>
              <w:top w:val="nil"/>
              <w:left w:val="nil"/>
              <w:bottom w:val="single" w:sz="12" w:space="0" w:color="auto"/>
              <w:right w:val="single" w:sz="4" w:space="0" w:color="auto"/>
            </w:tcBorders>
            <w:shd w:val="clear" w:color="auto" w:fill="auto"/>
            <w:noWrap/>
            <w:vAlign w:val="bottom"/>
            <w:hideMark/>
          </w:tcPr>
          <w:p w:rsidR="009852C4" w:rsidRPr="00C80BBB" w:rsidP="004E16D7" w14:paraId="2051F4C4" w14:textId="73FB79DD">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-20.4%*</w:t>
            </w:r>
          </w:p>
        </w:tc>
        <w:tc>
          <w:tcPr>
            <w:tcW w:w="530" w:type="pct"/>
            <w:tcBorders>
              <w:top w:val="nil"/>
              <w:left w:val="nil"/>
              <w:bottom w:val="single" w:sz="12" w:space="0" w:color="auto"/>
              <w:right w:val="single" w:sz="4" w:space="0" w:color="auto"/>
            </w:tcBorders>
            <w:shd w:val="clear" w:color="auto" w:fill="auto"/>
            <w:noWrap/>
            <w:vAlign w:val="bottom"/>
            <w:hideMark/>
          </w:tcPr>
          <w:p w:rsidR="009852C4" w:rsidRPr="00C80BBB" w:rsidP="004E16D7" w14:paraId="0327BC27" w14:textId="117EFA3D">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-17.7%*</w:t>
            </w:r>
          </w:p>
        </w:tc>
        <w:tc>
          <w:tcPr>
            <w:tcW w:w="667" w:type="pct"/>
            <w:tcBorders>
              <w:top w:val="nil"/>
              <w:left w:val="nil"/>
              <w:bottom w:val="single" w:sz="12" w:space="0" w:color="auto"/>
              <w:right w:val="single" w:sz="12" w:space="0" w:color="auto"/>
            </w:tcBorders>
            <w:shd w:val="clear" w:color="auto" w:fill="auto"/>
            <w:noWrap/>
            <w:vAlign w:val="bottom"/>
            <w:hideMark/>
          </w:tcPr>
          <w:p w:rsidR="009852C4" w:rsidRPr="00C80BBB" w:rsidP="004E16D7" w14:paraId="2669D972" w14:textId="4F52BFD0">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-17.1%*</w:t>
            </w:r>
          </w:p>
        </w:tc>
      </w:tr>
      <w:tr w14:paraId="125056FD" w14:textId="77777777" w:rsidTr="00E12B46">
        <w:tblPrEx>
          <w:tblW w:w="5000" w:type="pct"/>
          <w:tblInd w:w="0" w:type="dxa"/>
          <w:tblLayout w:type="fixed"/>
          <w:tblCellMar>
            <w:top w:w="0" w:type="dxa"/>
            <w:left w:w="108" w:type="dxa"/>
            <w:bottom w:w="0" w:type="dxa"/>
            <w:right w:w="108" w:type="dxa"/>
          </w:tblCellMar>
          <w:tblLook w:val="04A0"/>
        </w:tblPrEx>
        <w:trPr>
          <w:trHeight w:hRule="exact" w:val="374"/>
        </w:trPr>
        <w:tc>
          <w:tcPr>
            <w:tcW w:w="5000" w:type="pct"/>
            <w:gridSpan w:val="7"/>
            <w:tcBorders>
              <w:top w:val="single" w:sz="12" w:space="0" w:color="auto"/>
              <w:left w:val="nil"/>
              <w:bottom w:val="nil"/>
              <w:right w:val="nil"/>
            </w:tcBorders>
            <w:shd w:val="clear" w:color="auto" w:fill="auto"/>
            <w:vAlign w:val="bottom"/>
            <w:hideMark/>
          </w:tcPr>
          <w:p w:rsidR="00702365" w:rsidRPr="00702365" w:rsidP="003E7309" w14:paraId="16D8B2CE" w14:textId="635D0A1C">
            <w:pPr>
              <w:widowControl/>
              <w:suppressAutoHyphens/>
              <w:rPr>
                <w:rStyle w:val="DefaultParagraphFont"/>
                <w:snapToGrid/>
                <w:kern w:val="0"/>
                <w:sz w:val="20"/>
                <w:lang w:val="en-US" w:eastAsia="en-US" w:bidi="ar-SA"/>
              </w:rPr>
            </w:pPr>
            <w:r w:rsidRPr="00702365">
              <w:rPr>
                <w:snapToGrid/>
                <w:kern w:val="0"/>
                <w:sz w:val="20"/>
                <w:lang w:val="en-US" w:eastAsia="en-US" w:bidi="ar-SA"/>
              </w:rPr>
              <w:t xml:space="preserve">Source: Attachments 2 </w:t>
            </w:r>
            <w:r w:rsidR="00B06FA5">
              <w:rPr>
                <w:snapToGrid/>
                <w:kern w:val="0"/>
                <w:sz w:val="20"/>
                <w:lang w:val="en-US" w:eastAsia="en-US" w:bidi="ar-SA"/>
              </w:rPr>
              <w:t>and</w:t>
            </w:r>
            <w:r w:rsidRPr="00702365">
              <w:rPr>
                <w:snapToGrid/>
                <w:kern w:val="0"/>
                <w:sz w:val="20"/>
                <w:lang w:val="en-US" w:eastAsia="en-US" w:bidi="ar-SA"/>
              </w:rPr>
              <w:t xml:space="preserve"> 4. </w:t>
            </w:r>
            <w:r w:rsidR="0001139B">
              <w:rPr>
                <w:snapToGrid/>
                <w:kern w:val="0"/>
                <w:sz w:val="20"/>
                <w:lang w:val="en-US" w:eastAsia="en-US" w:bidi="ar-SA"/>
              </w:rPr>
              <w:t xml:space="preserve"> </w:t>
            </w:r>
            <w:r w:rsidRPr="00702365">
              <w:rPr>
                <w:snapToGrid/>
                <w:kern w:val="0"/>
                <w:sz w:val="20"/>
                <w:lang w:val="en-US" w:eastAsia="en-US" w:bidi="ar-SA"/>
              </w:rPr>
              <w:t>*</w:t>
            </w:r>
            <w:r w:rsidR="00824F05">
              <w:rPr>
                <w:snapToGrid/>
                <w:kern w:val="0"/>
                <w:sz w:val="20"/>
                <w:lang w:val="en-US" w:eastAsia="en-US" w:bidi="ar-SA"/>
              </w:rPr>
              <w:t>Indicates t</w:t>
            </w:r>
            <w:r w:rsidRPr="00702365">
              <w:rPr>
                <w:snapToGrid/>
                <w:kern w:val="0"/>
                <w:sz w:val="20"/>
                <w:lang w:val="en-US" w:eastAsia="en-US" w:bidi="ar-SA"/>
              </w:rPr>
              <w:t>he difference is statistically significant at the 95% confidence level.</w:t>
            </w:r>
            <w:r w:rsidR="00484F7F">
              <w:rPr>
                <w:snapToGrid/>
                <w:kern w:val="0"/>
                <w:sz w:val="20"/>
                <w:lang w:val="en-US" w:eastAsia="en-US" w:bidi="ar-SA"/>
              </w:rPr>
              <w:t xml:space="preserve"> </w:t>
            </w:r>
          </w:p>
        </w:tc>
      </w:tr>
    </w:tbl>
    <w:p w:rsidR="00DA556A" w:rsidP="00DA556A" w14:paraId="0FF1CE82" w14:textId="77777777">
      <w:pPr>
        <w:pStyle w:val="Paranum0"/>
        <w:tabs>
          <w:tab w:val="clear" w:pos="1080"/>
        </w:tabs>
        <w:suppressAutoHyphens/>
        <w:spacing w:after="0"/>
        <w:ind w:left="720" w:firstLine="0"/>
        <w:jc w:val="left"/>
        <w:rPr>
          <w:szCs w:val="22"/>
        </w:rPr>
      </w:pPr>
    </w:p>
    <w:p w:rsidR="0063269D" w:rsidRPr="0063269D" w:rsidP="004E16D7" w14:paraId="5D6F312D" w14:textId="1C821DFE">
      <w:pPr>
        <w:pStyle w:val="Paranum0"/>
        <w:numPr>
          <w:ilvl w:val="0"/>
          <w:numId w:val="12"/>
        </w:numPr>
        <w:tabs>
          <w:tab w:val="clear" w:pos="1080"/>
          <w:tab w:val="num" w:pos="1440"/>
        </w:tabs>
        <w:suppressAutoHyphens/>
        <w:spacing w:after="240"/>
        <w:jc w:val="left"/>
        <w:rPr>
          <w:szCs w:val="22"/>
        </w:rPr>
      </w:pPr>
      <w:r w:rsidRPr="0063269D">
        <w:rPr>
          <w:szCs w:val="22"/>
        </w:rPr>
        <w:t>Table 4 is a historical series that reports</w:t>
      </w:r>
      <w:r w:rsidR="001C24D4">
        <w:rPr>
          <w:szCs w:val="22"/>
        </w:rPr>
        <w:t xml:space="preserve"> basic service prices; expanded basic prices, channels, and price per channel; and the next most popular service prices for the years 2005-2016.</w:t>
      </w:r>
      <w:r w:rsidR="00F51B89">
        <w:rPr>
          <w:szCs w:val="22"/>
        </w:rPr>
        <w:t xml:space="preserve"> </w:t>
      </w:r>
      <w:r w:rsidR="001C24D4">
        <w:rPr>
          <w:szCs w:val="22"/>
        </w:rPr>
        <w:t xml:space="preserve"> It also reports</w:t>
      </w:r>
      <w:r w:rsidRPr="0063269D">
        <w:rPr>
          <w:szCs w:val="22"/>
        </w:rPr>
        <w:t xml:space="preserve"> the compound average annual change in prices and channels over the </w:t>
      </w:r>
      <w:r w:rsidRPr="0063269D" w:rsidR="00C64A4C">
        <w:rPr>
          <w:szCs w:val="22"/>
        </w:rPr>
        <w:t xml:space="preserve">last </w:t>
      </w:r>
      <w:r w:rsidRPr="0063269D">
        <w:rPr>
          <w:szCs w:val="22"/>
        </w:rPr>
        <w:t xml:space="preserve">five and ten years.  </w:t>
      </w:r>
      <w:r w:rsidRPr="0063269D" w:rsidR="00A746FC">
        <w:rPr>
          <w:szCs w:val="22"/>
        </w:rPr>
        <w:t>Over</w:t>
      </w:r>
      <w:r w:rsidRPr="0063269D">
        <w:rPr>
          <w:szCs w:val="22"/>
        </w:rPr>
        <w:t xml:space="preserve"> the last five years, 201</w:t>
      </w:r>
      <w:r w:rsidRPr="0063269D" w:rsidR="00372861">
        <w:rPr>
          <w:szCs w:val="22"/>
        </w:rPr>
        <w:t>1</w:t>
      </w:r>
      <w:r w:rsidRPr="0063269D">
        <w:rPr>
          <w:szCs w:val="22"/>
        </w:rPr>
        <w:t>-</w:t>
      </w:r>
      <w:r w:rsidRPr="0063269D" w:rsidR="008634B3">
        <w:rPr>
          <w:szCs w:val="22"/>
        </w:rPr>
        <w:t>2016</w:t>
      </w:r>
      <w:r w:rsidRPr="0063269D">
        <w:rPr>
          <w:szCs w:val="22"/>
        </w:rPr>
        <w:t>, the price of basic cable grew</w:t>
      </w:r>
      <w:r w:rsidRPr="0063269D" w:rsidR="00C64A4C">
        <w:rPr>
          <w:szCs w:val="22"/>
        </w:rPr>
        <w:t xml:space="preserve"> at an average </w:t>
      </w:r>
      <w:r w:rsidRPr="0063269D">
        <w:rPr>
          <w:szCs w:val="22"/>
        </w:rPr>
        <w:t xml:space="preserve">annual </w:t>
      </w:r>
      <w:r w:rsidRPr="0063269D" w:rsidR="00C64A4C">
        <w:rPr>
          <w:szCs w:val="22"/>
        </w:rPr>
        <w:t>rate of 5.</w:t>
      </w:r>
      <w:r w:rsidR="005263EC">
        <w:rPr>
          <w:szCs w:val="22"/>
        </w:rPr>
        <w:t>6</w:t>
      </w:r>
      <w:r w:rsidRPr="0063269D" w:rsidR="00C64A4C">
        <w:rPr>
          <w:szCs w:val="22"/>
        </w:rPr>
        <w:t xml:space="preserve"> percent</w:t>
      </w:r>
      <w:r w:rsidRPr="0063269D">
        <w:rPr>
          <w:szCs w:val="22"/>
        </w:rPr>
        <w:t>,</w:t>
      </w:r>
      <w:r w:rsidRPr="0063269D">
        <w:rPr>
          <w:szCs w:val="22"/>
        </w:rPr>
        <w:t xml:space="preserve"> to $2</w:t>
      </w:r>
      <w:r w:rsidRPr="0063269D" w:rsidR="00372861">
        <w:rPr>
          <w:szCs w:val="22"/>
        </w:rPr>
        <w:t>5</w:t>
      </w:r>
      <w:r w:rsidRPr="0063269D">
        <w:rPr>
          <w:szCs w:val="22"/>
        </w:rPr>
        <w:t>.</w:t>
      </w:r>
      <w:r w:rsidRPr="0063269D" w:rsidR="00372861">
        <w:rPr>
          <w:szCs w:val="22"/>
        </w:rPr>
        <w:t>4</w:t>
      </w:r>
      <w:r w:rsidR="00111CBA">
        <w:rPr>
          <w:szCs w:val="22"/>
        </w:rPr>
        <w:t>0</w:t>
      </w:r>
      <w:r w:rsidRPr="0063269D" w:rsidR="00C64A4C">
        <w:rPr>
          <w:szCs w:val="22"/>
        </w:rPr>
        <w:t xml:space="preserve">. </w:t>
      </w:r>
      <w:r w:rsidRPr="0063269D">
        <w:rPr>
          <w:szCs w:val="22"/>
        </w:rPr>
        <w:t xml:space="preserve"> </w:t>
      </w:r>
      <w:r w:rsidRPr="0063269D">
        <w:rPr>
          <w:szCs w:val="22"/>
        </w:rPr>
        <w:t xml:space="preserve">Over </w:t>
      </w:r>
      <w:r w:rsidRPr="0063269D">
        <w:rPr>
          <w:szCs w:val="22"/>
        </w:rPr>
        <w:t>the</w:t>
      </w:r>
      <w:r w:rsidRPr="0063269D">
        <w:rPr>
          <w:szCs w:val="22"/>
        </w:rPr>
        <w:t xml:space="preserve"> 10</w:t>
      </w:r>
      <w:r w:rsidR="00F51B89">
        <w:rPr>
          <w:szCs w:val="22"/>
        </w:rPr>
        <w:t>-</w:t>
      </w:r>
      <w:r w:rsidRPr="0063269D">
        <w:rPr>
          <w:szCs w:val="22"/>
        </w:rPr>
        <w:t>year period</w:t>
      </w:r>
      <w:r w:rsidRPr="0063269D" w:rsidR="00CC1D3D">
        <w:rPr>
          <w:szCs w:val="22"/>
        </w:rPr>
        <w:t>,</w:t>
      </w:r>
      <w:r w:rsidRPr="0063269D">
        <w:rPr>
          <w:szCs w:val="22"/>
        </w:rPr>
        <w:t xml:space="preserve"> from 200</w:t>
      </w:r>
      <w:r w:rsidRPr="0063269D" w:rsidR="00372861">
        <w:rPr>
          <w:szCs w:val="22"/>
        </w:rPr>
        <w:t>6</w:t>
      </w:r>
      <w:r w:rsidRPr="0063269D">
        <w:rPr>
          <w:szCs w:val="22"/>
        </w:rPr>
        <w:t>-</w:t>
      </w:r>
      <w:r w:rsidRPr="0063269D" w:rsidR="008634B3">
        <w:rPr>
          <w:szCs w:val="22"/>
        </w:rPr>
        <w:t>2016</w:t>
      </w:r>
      <w:r w:rsidRPr="0063269D">
        <w:rPr>
          <w:szCs w:val="22"/>
        </w:rPr>
        <w:t>,</w:t>
      </w:r>
      <w:r w:rsidRPr="0063269D">
        <w:rPr>
          <w:szCs w:val="22"/>
        </w:rPr>
        <w:t xml:space="preserve"> the average annual increase was 5.</w:t>
      </w:r>
      <w:r w:rsidRPr="0063269D" w:rsidR="00372861">
        <w:rPr>
          <w:szCs w:val="22"/>
        </w:rPr>
        <w:t>7</w:t>
      </w:r>
      <w:r w:rsidRPr="0063269D">
        <w:rPr>
          <w:szCs w:val="22"/>
        </w:rPr>
        <w:t xml:space="preserve"> percent.  </w:t>
      </w:r>
      <w:r w:rsidRPr="0063269D" w:rsidR="008A54DE">
        <w:rPr>
          <w:szCs w:val="22"/>
        </w:rPr>
        <w:t>By</w:t>
      </w:r>
      <w:r w:rsidRPr="0063269D" w:rsidR="00372861">
        <w:rPr>
          <w:szCs w:val="22"/>
        </w:rPr>
        <w:t xml:space="preserve"> comparison, the one</w:t>
      </w:r>
      <w:r w:rsidR="007E11B1">
        <w:rPr>
          <w:szCs w:val="22"/>
        </w:rPr>
        <w:t>-</w:t>
      </w:r>
      <w:r w:rsidRPr="0063269D" w:rsidR="00372861">
        <w:rPr>
          <w:szCs w:val="22"/>
        </w:rPr>
        <w:t>year increase over the 12 months ending January 1, 2016</w:t>
      </w:r>
      <w:r w:rsidRPr="0063269D" w:rsidR="00CC1D3D">
        <w:rPr>
          <w:szCs w:val="22"/>
        </w:rPr>
        <w:t>, shown in Table 1,</w:t>
      </w:r>
      <w:r w:rsidRPr="0063269D" w:rsidR="008A54DE">
        <w:rPr>
          <w:szCs w:val="22"/>
        </w:rPr>
        <w:t xml:space="preserve"> was</w:t>
      </w:r>
      <w:r w:rsidRPr="0063269D" w:rsidR="00372861">
        <w:rPr>
          <w:szCs w:val="22"/>
        </w:rPr>
        <w:t xml:space="preserve"> 4.</w:t>
      </w:r>
      <w:r w:rsidR="00111CBA">
        <w:rPr>
          <w:szCs w:val="22"/>
        </w:rPr>
        <w:t>4</w:t>
      </w:r>
      <w:r w:rsidRPr="0063269D" w:rsidR="00372861">
        <w:rPr>
          <w:szCs w:val="22"/>
        </w:rPr>
        <w:t xml:space="preserve"> percent</w:t>
      </w:r>
      <w:r w:rsidRPr="0063269D">
        <w:rPr>
          <w:szCs w:val="22"/>
        </w:rPr>
        <w:t xml:space="preserve">.  </w:t>
      </w:r>
      <w:r w:rsidRPr="0063269D" w:rsidR="00372861">
        <w:rPr>
          <w:szCs w:val="22"/>
        </w:rPr>
        <w:t>T</w:t>
      </w:r>
      <w:r w:rsidRPr="0063269D">
        <w:rPr>
          <w:szCs w:val="22"/>
        </w:rPr>
        <w:t xml:space="preserve">he price of expanded basic service grew </w:t>
      </w:r>
      <w:r w:rsidRPr="0063269D" w:rsidR="006F4A0A">
        <w:rPr>
          <w:szCs w:val="22"/>
        </w:rPr>
        <w:t xml:space="preserve">at </w:t>
      </w:r>
      <w:r w:rsidRPr="0063269D">
        <w:rPr>
          <w:szCs w:val="22"/>
        </w:rPr>
        <w:t xml:space="preserve">an </w:t>
      </w:r>
      <w:r w:rsidRPr="0063269D" w:rsidR="006F4A0A">
        <w:rPr>
          <w:szCs w:val="22"/>
        </w:rPr>
        <w:t>average rate</w:t>
      </w:r>
      <w:r w:rsidRPr="0063269D">
        <w:rPr>
          <w:szCs w:val="22"/>
        </w:rPr>
        <w:t xml:space="preserve"> of 4.</w:t>
      </w:r>
      <w:r w:rsidRPr="0063269D" w:rsidR="00372861">
        <w:rPr>
          <w:szCs w:val="22"/>
        </w:rPr>
        <w:t>4</w:t>
      </w:r>
      <w:r w:rsidRPr="0063269D">
        <w:rPr>
          <w:szCs w:val="22"/>
        </w:rPr>
        <w:t xml:space="preserve"> percent</w:t>
      </w:r>
      <w:r w:rsidRPr="0063269D" w:rsidR="00372861">
        <w:rPr>
          <w:szCs w:val="22"/>
        </w:rPr>
        <w:t xml:space="preserve"> </w:t>
      </w:r>
      <w:r w:rsidRPr="0063269D">
        <w:rPr>
          <w:szCs w:val="22"/>
        </w:rPr>
        <w:t xml:space="preserve">annually </w:t>
      </w:r>
      <w:r w:rsidRPr="0063269D" w:rsidR="00372861">
        <w:rPr>
          <w:szCs w:val="22"/>
        </w:rPr>
        <w:t xml:space="preserve">over the last five years and </w:t>
      </w:r>
      <w:r w:rsidRPr="0063269D" w:rsidR="006F4A0A">
        <w:rPr>
          <w:szCs w:val="22"/>
        </w:rPr>
        <w:t xml:space="preserve">at a rate of </w:t>
      </w:r>
      <w:r w:rsidRPr="0063269D" w:rsidR="00372861">
        <w:rPr>
          <w:szCs w:val="22"/>
        </w:rPr>
        <w:t xml:space="preserve">4.7 percent </w:t>
      </w:r>
      <w:r w:rsidRPr="0063269D">
        <w:rPr>
          <w:szCs w:val="22"/>
        </w:rPr>
        <w:t xml:space="preserve">annually during </w:t>
      </w:r>
      <w:r w:rsidRPr="0063269D" w:rsidR="00372861">
        <w:rPr>
          <w:szCs w:val="22"/>
        </w:rPr>
        <w:t xml:space="preserve">the last </w:t>
      </w:r>
      <w:r w:rsidR="001C24D4">
        <w:rPr>
          <w:szCs w:val="22"/>
        </w:rPr>
        <w:t>ten</w:t>
      </w:r>
      <w:r w:rsidRPr="0063269D" w:rsidR="00372861">
        <w:rPr>
          <w:szCs w:val="22"/>
        </w:rPr>
        <w:t xml:space="preserve"> years</w:t>
      </w:r>
      <w:r w:rsidRPr="0063269D">
        <w:rPr>
          <w:szCs w:val="22"/>
        </w:rPr>
        <w:t>,</w:t>
      </w:r>
      <w:r w:rsidRPr="0063269D" w:rsidR="00372861">
        <w:rPr>
          <w:szCs w:val="22"/>
        </w:rPr>
        <w:t xml:space="preserve"> to $71.3</w:t>
      </w:r>
      <w:r w:rsidR="00111CBA">
        <w:rPr>
          <w:szCs w:val="22"/>
        </w:rPr>
        <w:t>7</w:t>
      </w:r>
      <w:r w:rsidRPr="0063269D" w:rsidR="00372861">
        <w:rPr>
          <w:szCs w:val="22"/>
        </w:rPr>
        <w:t xml:space="preserve"> as of January 1, 2016</w:t>
      </w:r>
      <w:r w:rsidRPr="0063269D" w:rsidR="00000095">
        <w:rPr>
          <w:szCs w:val="22"/>
        </w:rPr>
        <w:t>.  This compares</w:t>
      </w:r>
      <w:r w:rsidRPr="0063269D" w:rsidR="008A54DE">
        <w:rPr>
          <w:szCs w:val="22"/>
        </w:rPr>
        <w:t xml:space="preserve"> to </w:t>
      </w:r>
      <w:r w:rsidRPr="0063269D" w:rsidR="00C64A4C">
        <w:rPr>
          <w:szCs w:val="22"/>
        </w:rPr>
        <w:t>a 3.4 percent</w:t>
      </w:r>
      <w:r w:rsidRPr="0063269D" w:rsidR="008A54DE">
        <w:rPr>
          <w:szCs w:val="22"/>
        </w:rPr>
        <w:t xml:space="preserve"> </w:t>
      </w:r>
      <w:r w:rsidRPr="0063269D" w:rsidR="00372861">
        <w:rPr>
          <w:szCs w:val="22"/>
        </w:rPr>
        <w:t xml:space="preserve">rate of increase over the </w:t>
      </w:r>
      <w:r w:rsidRPr="0063269D" w:rsidR="00000095">
        <w:rPr>
          <w:szCs w:val="22"/>
        </w:rPr>
        <w:t>12 months</w:t>
      </w:r>
      <w:r w:rsidRPr="0063269D" w:rsidR="00C64A4C">
        <w:rPr>
          <w:szCs w:val="22"/>
        </w:rPr>
        <w:t xml:space="preserve"> ending January 1, 2016</w:t>
      </w:r>
      <w:r w:rsidRPr="0063269D" w:rsidR="00000095">
        <w:rPr>
          <w:szCs w:val="22"/>
        </w:rPr>
        <w:t xml:space="preserve"> </w:t>
      </w:r>
      <w:r w:rsidRPr="0063269D" w:rsidR="008A54DE">
        <w:rPr>
          <w:szCs w:val="22"/>
        </w:rPr>
        <w:t>(shown in Table 1)</w:t>
      </w:r>
      <w:r w:rsidRPr="0063269D" w:rsidR="00C64A4C">
        <w:rPr>
          <w:szCs w:val="22"/>
        </w:rPr>
        <w:t>.</w:t>
      </w:r>
      <w:bookmarkStart w:id="49" w:name="_Hlk480189625"/>
      <w:r>
        <w:rPr>
          <w:szCs w:val="22"/>
        </w:rPr>
        <w:t xml:space="preserve">  T</w:t>
      </w:r>
      <w:r w:rsidRPr="0063269D" w:rsidR="00372861">
        <w:rPr>
          <w:szCs w:val="22"/>
        </w:rPr>
        <w:t xml:space="preserve">he average number of </w:t>
      </w:r>
      <w:r w:rsidRPr="0063269D">
        <w:rPr>
          <w:szCs w:val="22"/>
        </w:rPr>
        <w:t xml:space="preserve">channels </w:t>
      </w:r>
      <w:r w:rsidR="0001139B">
        <w:rPr>
          <w:szCs w:val="22"/>
        </w:rPr>
        <w:t xml:space="preserve">offered by cable </w:t>
      </w:r>
      <w:r w:rsidR="001C24D4">
        <w:rPr>
          <w:szCs w:val="22"/>
        </w:rPr>
        <w:t xml:space="preserve">operators </w:t>
      </w:r>
      <w:r w:rsidRPr="0063269D" w:rsidR="00372861">
        <w:rPr>
          <w:szCs w:val="22"/>
        </w:rPr>
        <w:t>with</w:t>
      </w:r>
      <w:r w:rsidRPr="0063269D">
        <w:rPr>
          <w:szCs w:val="22"/>
        </w:rPr>
        <w:t xml:space="preserve"> expanded basic </w:t>
      </w:r>
      <w:r w:rsidRPr="0063269D" w:rsidR="00372861">
        <w:rPr>
          <w:szCs w:val="22"/>
        </w:rPr>
        <w:t xml:space="preserve">service grew </w:t>
      </w:r>
      <w:r w:rsidRPr="0063269D" w:rsidR="008A54DE">
        <w:rPr>
          <w:szCs w:val="22"/>
        </w:rPr>
        <w:t xml:space="preserve">annually </w:t>
      </w:r>
      <w:r w:rsidRPr="0063269D" w:rsidR="00372861">
        <w:rPr>
          <w:szCs w:val="22"/>
        </w:rPr>
        <w:t xml:space="preserve">by </w:t>
      </w:r>
      <w:r w:rsidR="0001139B">
        <w:rPr>
          <w:szCs w:val="22"/>
        </w:rPr>
        <w:t>7.</w:t>
      </w:r>
      <w:r w:rsidR="005263EC">
        <w:rPr>
          <w:szCs w:val="22"/>
        </w:rPr>
        <w:t>8</w:t>
      </w:r>
      <w:r w:rsidRPr="0063269D" w:rsidR="00A52D30">
        <w:rPr>
          <w:szCs w:val="22"/>
        </w:rPr>
        <w:t xml:space="preserve"> </w:t>
      </w:r>
      <w:r w:rsidRPr="0063269D" w:rsidR="00372861">
        <w:rPr>
          <w:szCs w:val="22"/>
        </w:rPr>
        <w:t xml:space="preserve">percent over the last five years and </w:t>
      </w:r>
      <w:r w:rsidRPr="0063269D" w:rsidR="008A54DE">
        <w:rPr>
          <w:szCs w:val="22"/>
        </w:rPr>
        <w:t xml:space="preserve">by </w:t>
      </w:r>
      <w:r w:rsidR="005263EC">
        <w:rPr>
          <w:szCs w:val="22"/>
        </w:rPr>
        <w:t>7.0</w:t>
      </w:r>
      <w:r w:rsidRPr="0063269D" w:rsidR="00A52D30">
        <w:rPr>
          <w:szCs w:val="22"/>
        </w:rPr>
        <w:t xml:space="preserve"> </w:t>
      </w:r>
      <w:r w:rsidRPr="0063269D" w:rsidR="00372861">
        <w:rPr>
          <w:szCs w:val="22"/>
        </w:rPr>
        <w:t>percent over the lat</w:t>
      </w:r>
      <w:r>
        <w:rPr>
          <w:szCs w:val="22"/>
        </w:rPr>
        <w:t>est</w:t>
      </w:r>
      <w:r w:rsidRPr="0063269D" w:rsidR="00372861">
        <w:rPr>
          <w:szCs w:val="22"/>
        </w:rPr>
        <w:t xml:space="preserve"> </w:t>
      </w:r>
      <w:r w:rsidR="001C24D4">
        <w:rPr>
          <w:szCs w:val="22"/>
        </w:rPr>
        <w:t>ten</w:t>
      </w:r>
      <w:r w:rsidRPr="0063269D" w:rsidR="001C24D4">
        <w:rPr>
          <w:szCs w:val="22"/>
        </w:rPr>
        <w:t xml:space="preserve"> </w:t>
      </w:r>
      <w:r w:rsidRPr="0063269D" w:rsidR="00372861">
        <w:rPr>
          <w:szCs w:val="22"/>
        </w:rPr>
        <w:t xml:space="preserve">years, </w:t>
      </w:r>
      <w:r w:rsidR="00485A2D">
        <w:rPr>
          <w:szCs w:val="22"/>
        </w:rPr>
        <w:t xml:space="preserve">more </w:t>
      </w:r>
      <w:r w:rsidR="00A52D30">
        <w:rPr>
          <w:szCs w:val="22"/>
        </w:rPr>
        <w:t>than the one</w:t>
      </w:r>
      <w:r w:rsidR="007E11B1">
        <w:rPr>
          <w:szCs w:val="22"/>
        </w:rPr>
        <w:t>-</w:t>
      </w:r>
      <w:r w:rsidR="00A52D30">
        <w:rPr>
          <w:szCs w:val="22"/>
        </w:rPr>
        <w:t>year</w:t>
      </w:r>
      <w:r w:rsidRPr="0063269D" w:rsidR="00235C3E">
        <w:rPr>
          <w:szCs w:val="22"/>
        </w:rPr>
        <w:t xml:space="preserve"> increase of 1.7</w:t>
      </w:r>
      <w:r w:rsidRPr="0063269D" w:rsidR="00FD26B3">
        <w:rPr>
          <w:szCs w:val="22"/>
        </w:rPr>
        <w:t xml:space="preserve"> percent </w:t>
      </w:r>
      <w:r w:rsidRPr="0063269D" w:rsidR="008A54DE">
        <w:rPr>
          <w:szCs w:val="22"/>
        </w:rPr>
        <w:t xml:space="preserve">(Table </w:t>
      </w:r>
      <w:r w:rsidRPr="0063269D" w:rsidR="006F4A0A">
        <w:rPr>
          <w:szCs w:val="22"/>
        </w:rPr>
        <w:t>5</w:t>
      </w:r>
      <w:r w:rsidRPr="0063269D" w:rsidR="008A54DE">
        <w:rPr>
          <w:szCs w:val="22"/>
        </w:rPr>
        <w:t xml:space="preserve">) </w:t>
      </w:r>
      <w:r>
        <w:rPr>
          <w:szCs w:val="22"/>
        </w:rPr>
        <w:t>during</w:t>
      </w:r>
      <w:r w:rsidRPr="0063269D" w:rsidR="00FD26B3">
        <w:rPr>
          <w:szCs w:val="22"/>
        </w:rPr>
        <w:t xml:space="preserve"> </w:t>
      </w:r>
      <w:bookmarkEnd w:id="49"/>
      <w:r w:rsidRPr="0063269D" w:rsidR="00C64A4C">
        <w:rPr>
          <w:szCs w:val="22"/>
        </w:rPr>
        <w:t>the 12 months ending January 1, 2016</w:t>
      </w:r>
      <w:r w:rsidRPr="0063269D" w:rsidR="00FD26B3">
        <w:rPr>
          <w:szCs w:val="22"/>
        </w:rPr>
        <w:t>.</w:t>
      </w:r>
      <w:r>
        <w:rPr>
          <w:rStyle w:val="FootnoteReference"/>
          <w:sz w:val="22"/>
          <w:szCs w:val="22"/>
        </w:rPr>
        <w:footnoteReference w:id="36"/>
      </w:r>
      <w:r w:rsidR="00457BCA">
        <w:rPr>
          <w:szCs w:val="22"/>
        </w:rPr>
        <w:t xml:space="preserve"> </w:t>
      </w:r>
      <w:r w:rsidR="00A6324E">
        <w:rPr>
          <w:szCs w:val="22"/>
        </w:rPr>
        <w:t xml:space="preserve"> </w:t>
      </w:r>
      <w:r w:rsidR="00151470">
        <w:rPr>
          <w:szCs w:val="22"/>
        </w:rPr>
        <w:t>Av</w:t>
      </w:r>
      <w:r w:rsidRPr="0063269D" w:rsidR="00FD26B3">
        <w:rPr>
          <w:szCs w:val="22"/>
        </w:rPr>
        <w:t xml:space="preserve">erage price per channel </w:t>
      </w:r>
      <w:r w:rsidRPr="0063269D" w:rsidR="008A54DE">
        <w:rPr>
          <w:szCs w:val="22"/>
        </w:rPr>
        <w:t>for</w:t>
      </w:r>
      <w:r w:rsidRPr="0063269D" w:rsidR="00FD26B3">
        <w:rPr>
          <w:szCs w:val="22"/>
        </w:rPr>
        <w:t xml:space="preserve"> expanded basic </w:t>
      </w:r>
      <w:r w:rsidRPr="0063269D" w:rsidR="008A54DE">
        <w:rPr>
          <w:szCs w:val="22"/>
        </w:rPr>
        <w:t xml:space="preserve">service </w:t>
      </w:r>
      <w:r w:rsidRPr="0063269D" w:rsidR="00FD26B3">
        <w:rPr>
          <w:szCs w:val="22"/>
        </w:rPr>
        <w:t xml:space="preserve">declined by </w:t>
      </w:r>
      <w:r w:rsidR="00151470">
        <w:rPr>
          <w:szCs w:val="22"/>
        </w:rPr>
        <w:t>3.</w:t>
      </w:r>
      <w:r w:rsidR="005263EC">
        <w:rPr>
          <w:szCs w:val="22"/>
        </w:rPr>
        <w:t>9</w:t>
      </w:r>
      <w:r w:rsidRPr="0063269D" w:rsidR="00A52D30">
        <w:rPr>
          <w:szCs w:val="22"/>
        </w:rPr>
        <w:t xml:space="preserve"> </w:t>
      </w:r>
      <w:r w:rsidRPr="0063269D" w:rsidR="00FD26B3">
        <w:rPr>
          <w:szCs w:val="22"/>
        </w:rPr>
        <w:t xml:space="preserve">percent </w:t>
      </w:r>
      <w:r w:rsidRPr="0063269D" w:rsidR="008A54DE">
        <w:rPr>
          <w:szCs w:val="22"/>
        </w:rPr>
        <w:t xml:space="preserve">annually </w:t>
      </w:r>
      <w:r w:rsidRPr="0063269D" w:rsidR="00FD26B3">
        <w:rPr>
          <w:szCs w:val="22"/>
        </w:rPr>
        <w:t xml:space="preserve">over the last five years and </w:t>
      </w:r>
      <w:r w:rsidRPr="0063269D" w:rsidR="008A54DE">
        <w:rPr>
          <w:szCs w:val="22"/>
        </w:rPr>
        <w:t xml:space="preserve">by </w:t>
      </w:r>
      <w:r w:rsidR="00151470">
        <w:rPr>
          <w:szCs w:val="22"/>
        </w:rPr>
        <w:t>1.</w:t>
      </w:r>
      <w:r w:rsidR="005263EC">
        <w:rPr>
          <w:szCs w:val="22"/>
        </w:rPr>
        <w:t>6</w:t>
      </w:r>
      <w:r w:rsidRPr="0063269D" w:rsidR="00A52D30">
        <w:rPr>
          <w:szCs w:val="22"/>
        </w:rPr>
        <w:t xml:space="preserve"> </w:t>
      </w:r>
      <w:r w:rsidRPr="0063269D" w:rsidR="00FD26B3">
        <w:rPr>
          <w:szCs w:val="22"/>
        </w:rPr>
        <w:t xml:space="preserve">percent </w:t>
      </w:r>
      <w:r w:rsidR="00151470">
        <w:rPr>
          <w:szCs w:val="22"/>
        </w:rPr>
        <w:t xml:space="preserve">annually </w:t>
      </w:r>
      <w:r w:rsidRPr="0063269D" w:rsidR="00FD26B3">
        <w:rPr>
          <w:szCs w:val="22"/>
        </w:rPr>
        <w:t xml:space="preserve">over the last </w:t>
      </w:r>
      <w:r w:rsidR="001C24D4">
        <w:rPr>
          <w:szCs w:val="22"/>
        </w:rPr>
        <w:t>ten</w:t>
      </w:r>
      <w:r w:rsidRPr="0063269D" w:rsidR="00FD26B3">
        <w:rPr>
          <w:szCs w:val="22"/>
        </w:rPr>
        <w:t xml:space="preserve"> years</w:t>
      </w:r>
      <w:r w:rsidR="001C24D4">
        <w:rPr>
          <w:szCs w:val="22"/>
        </w:rPr>
        <w:t xml:space="preserve">. </w:t>
      </w:r>
      <w:r w:rsidR="00F51B89">
        <w:rPr>
          <w:szCs w:val="22"/>
        </w:rPr>
        <w:t xml:space="preserve"> </w:t>
      </w:r>
      <w:r w:rsidR="001C24D4">
        <w:rPr>
          <w:szCs w:val="22"/>
        </w:rPr>
        <w:t xml:space="preserve">This </w:t>
      </w:r>
      <w:r w:rsidR="00151470">
        <w:rPr>
          <w:szCs w:val="22"/>
        </w:rPr>
        <w:t>c</w:t>
      </w:r>
      <w:r w:rsidRPr="0063269D" w:rsidR="00FD26B3">
        <w:rPr>
          <w:szCs w:val="22"/>
        </w:rPr>
        <w:t>ompare</w:t>
      </w:r>
      <w:r w:rsidR="001C24D4">
        <w:rPr>
          <w:szCs w:val="22"/>
        </w:rPr>
        <w:t>s</w:t>
      </w:r>
      <w:r w:rsidR="00151470">
        <w:rPr>
          <w:szCs w:val="22"/>
        </w:rPr>
        <w:t xml:space="preserve"> </w:t>
      </w:r>
      <w:r w:rsidR="001C24D4">
        <w:rPr>
          <w:szCs w:val="22"/>
        </w:rPr>
        <w:t>to</w:t>
      </w:r>
      <w:r w:rsidRPr="0063269D" w:rsidR="00FD26B3">
        <w:rPr>
          <w:szCs w:val="22"/>
        </w:rPr>
        <w:t xml:space="preserve"> an increase of </w:t>
      </w:r>
      <w:r w:rsidR="009852C4">
        <w:rPr>
          <w:szCs w:val="22"/>
        </w:rPr>
        <w:t>2.1</w:t>
      </w:r>
      <w:r w:rsidRPr="0063269D" w:rsidR="00FD26B3">
        <w:rPr>
          <w:szCs w:val="22"/>
        </w:rPr>
        <w:t xml:space="preserve"> percent </w:t>
      </w:r>
      <w:r w:rsidRPr="0063269D" w:rsidR="008A54DE">
        <w:rPr>
          <w:szCs w:val="22"/>
        </w:rPr>
        <w:t xml:space="preserve">(Table 2) </w:t>
      </w:r>
      <w:r w:rsidRPr="0063269D" w:rsidR="00FD26B3">
        <w:rPr>
          <w:szCs w:val="22"/>
        </w:rPr>
        <w:t>over the 12 months ending January 1, 2016.</w:t>
      </w:r>
      <w:r w:rsidR="006568E6">
        <w:rPr>
          <w:szCs w:val="22"/>
        </w:rPr>
        <w:t xml:space="preserve">  </w:t>
      </w:r>
      <w:r w:rsidR="003E7309">
        <w:rPr>
          <w:szCs w:val="22"/>
        </w:rPr>
        <w:t xml:space="preserve">The price of the next most popular service </w:t>
      </w:r>
      <w:r w:rsidR="00805A95">
        <w:rPr>
          <w:szCs w:val="22"/>
        </w:rPr>
        <w:t>(</w:t>
      </w:r>
      <w:r w:rsidR="003E7309">
        <w:rPr>
          <w:szCs w:val="22"/>
        </w:rPr>
        <w:t>and</w:t>
      </w:r>
      <w:r w:rsidR="00805A95">
        <w:rPr>
          <w:szCs w:val="22"/>
        </w:rPr>
        <w:t xml:space="preserve"> lease of</w:t>
      </w:r>
      <w:r w:rsidR="003E7309">
        <w:rPr>
          <w:szCs w:val="22"/>
        </w:rPr>
        <w:t xml:space="preserve"> equipment </w:t>
      </w:r>
      <w:r w:rsidR="00805A95">
        <w:rPr>
          <w:szCs w:val="22"/>
        </w:rPr>
        <w:t xml:space="preserve">if not included in the price) </w:t>
      </w:r>
      <w:r w:rsidR="003E7309">
        <w:rPr>
          <w:szCs w:val="22"/>
        </w:rPr>
        <w:t>has increased by 3.7 percent over the last five years and by 4.3 percent over the last ten years. This compares to an increase of 3.7 percent (see Attachment 3) over the 12 months ending January 1, 2016.</w:t>
      </w:r>
    </w:p>
    <w:p w:rsidR="00167D5D" w:rsidRPr="00CC2DDE" w:rsidP="001B0131" w14:paraId="5CF638C3" w14:textId="41BA9A8E">
      <w:pPr>
        <w:pStyle w:val="Paranum0"/>
        <w:widowControl/>
        <w:numPr>
          <w:ilvl w:val="0"/>
          <w:numId w:val="12"/>
        </w:numPr>
        <w:tabs>
          <w:tab w:val="clear" w:pos="1080"/>
          <w:tab w:val="num" w:pos="1440"/>
        </w:tabs>
        <w:suppressAutoHyphens/>
        <w:spacing w:after="240"/>
        <w:jc w:val="left"/>
        <w:rPr>
          <w:szCs w:val="22"/>
        </w:rPr>
      </w:pPr>
      <w:r>
        <w:rPr>
          <w:szCs w:val="22"/>
        </w:rPr>
        <w:t>Table 4 also reports the</w:t>
      </w:r>
      <w:r w:rsidRPr="00167D5D">
        <w:rPr>
          <w:szCs w:val="22"/>
        </w:rPr>
        <w:t xml:space="preserve"> </w:t>
      </w:r>
      <w:r w:rsidR="00C64A4C">
        <w:rPr>
          <w:szCs w:val="22"/>
        </w:rPr>
        <w:t>Consumer Price Index (</w:t>
      </w:r>
      <w:r w:rsidRPr="00167D5D">
        <w:rPr>
          <w:szCs w:val="22"/>
        </w:rPr>
        <w:t>CPI</w:t>
      </w:r>
      <w:r w:rsidR="00C64A4C">
        <w:rPr>
          <w:szCs w:val="22"/>
        </w:rPr>
        <w:t>)</w:t>
      </w:r>
      <w:r w:rsidRPr="00167D5D">
        <w:rPr>
          <w:szCs w:val="22"/>
        </w:rPr>
        <w:t xml:space="preserve"> </w:t>
      </w:r>
      <w:r>
        <w:rPr>
          <w:szCs w:val="22"/>
        </w:rPr>
        <w:t>for all items</w:t>
      </w:r>
      <w:r w:rsidR="00A52D30">
        <w:rPr>
          <w:szCs w:val="22"/>
        </w:rPr>
        <w:t>,</w:t>
      </w:r>
      <w:r>
        <w:rPr>
          <w:szCs w:val="22"/>
        </w:rPr>
        <w:t xml:space="preserve"> </w:t>
      </w:r>
      <w:r w:rsidRPr="00167D5D">
        <w:rPr>
          <w:szCs w:val="22"/>
        </w:rPr>
        <w:t>published by the Bureau of Labor Statistics (BLS)</w:t>
      </w:r>
      <w:r w:rsidR="00A52D30">
        <w:rPr>
          <w:szCs w:val="22"/>
        </w:rPr>
        <w:t>, which</w:t>
      </w:r>
      <w:r w:rsidRPr="00167D5D">
        <w:rPr>
          <w:szCs w:val="22"/>
        </w:rPr>
        <w:t xml:space="preserve"> </w:t>
      </w:r>
      <w:r w:rsidR="00C64A4C">
        <w:rPr>
          <w:szCs w:val="22"/>
        </w:rPr>
        <w:t xml:space="preserve">serves </w:t>
      </w:r>
      <w:r w:rsidRPr="00167D5D">
        <w:rPr>
          <w:szCs w:val="22"/>
        </w:rPr>
        <w:t>as a measure of general price inflation</w:t>
      </w:r>
      <w:r w:rsidR="00F51B89">
        <w:rPr>
          <w:szCs w:val="22"/>
        </w:rPr>
        <w:t xml:space="preserve"> and a basis for </w:t>
      </w:r>
      <w:r w:rsidR="0019082F">
        <w:rPr>
          <w:szCs w:val="22"/>
        </w:rPr>
        <w:t>comparison</w:t>
      </w:r>
      <w:r w:rsidR="00C64A4C">
        <w:rPr>
          <w:szCs w:val="22"/>
        </w:rPr>
        <w:t>.</w:t>
      </w:r>
      <w:r>
        <w:rPr>
          <w:rStyle w:val="FootnoteReference"/>
          <w:szCs w:val="22"/>
        </w:rPr>
        <w:footnoteReference w:id="37"/>
      </w:r>
      <w:r w:rsidR="00F51B89">
        <w:rPr>
          <w:szCs w:val="22"/>
        </w:rPr>
        <w:t xml:space="preserve"> </w:t>
      </w:r>
      <w:r w:rsidR="00C64A4C">
        <w:rPr>
          <w:szCs w:val="22"/>
        </w:rPr>
        <w:t xml:space="preserve"> </w:t>
      </w:r>
      <w:r>
        <w:rPr>
          <w:szCs w:val="22"/>
        </w:rPr>
        <w:t xml:space="preserve">Compared to the changes in cable prices, </w:t>
      </w:r>
      <w:r w:rsidR="000700B3">
        <w:rPr>
          <w:szCs w:val="22"/>
        </w:rPr>
        <w:t>t</w:t>
      </w:r>
      <w:r w:rsidR="00C64A4C">
        <w:rPr>
          <w:szCs w:val="22"/>
        </w:rPr>
        <w:t>he CPI</w:t>
      </w:r>
      <w:r w:rsidRPr="00167D5D">
        <w:rPr>
          <w:szCs w:val="22"/>
        </w:rPr>
        <w:t xml:space="preserve"> </w:t>
      </w:r>
      <w:r w:rsidR="007734D8">
        <w:rPr>
          <w:szCs w:val="22"/>
        </w:rPr>
        <w:t>(</w:t>
      </w:r>
      <w:r w:rsidR="00BD3A8B">
        <w:rPr>
          <w:szCs w:val="22"/>
        </w:rPr>
        <w:t xml:space="preserve">for </w:t>
      </w:r>
      <w:r>
        <w:rPr>
          <w:szCs w:val="22"/>
        </w:rPr>
        <w:t>all items</w:t>
      </w:r>
      <w:r w:rsidR="007734D8">
        <w:rPr>
          <w:szCs w:val="22"/>
        </w:rPr>
        <w:t>)</w:t>
      </w:r>
      <w:r>
        <w:rPr>
          <w:szCs w:val="22"/>
        </w:rPr>
        <w:t xml:space="preserve"> </w:t>
      </w:r>
      <w:r w:rsidRPr="00167D5D">
        <w:rPr>
          <w:szCs w:val="22"/>
        </w:rPr>
        <w:t xml:space="preserve">grew </w:t>
      </w:r>
      <w:r w:rsidR="00BD3A8B">
        <w:rPr>
          <w:szCs w:val="22"/>
        </w:rPr>
        <w:t xml:space="preserve">at an average </w:t>
      </w:r>
      <w:r w:rsidRPr="00167D5D">
        <w:rPr>
          <w:szCs w:val="22"/>
        </w:rPr>
        <w:t xml:space="preserve">annual </w:t>
      </w:r>
      <w:r w:rsidR="00BD3A8B">
        <w:rPr>
          <w:szCs w:val="22"/>
        </w:rPr>
        <w:t>rate of</w:t>
      </w:r>
      <w:r w:rsidRPr="00167D5D" w:rsidR="00C64A4C">
        <w:rPr>
          <w:szCs w:val="22"/>
        </w:rPr>
        <w:t xml:space="preserve"> </w:t>
      </w:r>
      <w:r w:rsidR="005B7008">
        <w:rPr>
          <w:szCs w:val="22"/>
        </w:rPr>
        <w:t>1.5</w:t>
      </w:r>
      <w:r w:rsidRPr="00167D5D">
        <w:rPr>
          <w:szCs w:val="22"/>
        </w:rPr>
        <w:t xml:space="preserve"> percent over the last five years and </w:t>
      </w:r>
      <w:r w:rsidR="005B7008">
        <w:rPr>
          <w:szCs w:val="22"/>
        </w:rPr>
        <w:t>by 1</w:t>
      </w:r>
      <w:r w:rsidRPr="00167D5D">
        <w:rPr>
          <w:szCs w:val="22"/>
        </w:rPr>
        <w:t>.</w:t>
      </w:r>
      <w:r w:rsidR="00151470">
        <w:rPr>
          <w:szCs w:val="22"/>
        </w:rPr>
        <w:t>8</w:t>
      </w:r>
      <w:r w:rsidRPr="00167D5D">
        <w:rPr>
          <w:szCs w:val="22"/>
        </w:rPr>
        <w:t xml:space="preserve"> percent </w:t>
      </w:r>
      <w:r w:rsidR="005B7008">
        <w:rPr>
          <w:szCs w:val="22"/>
        </w:rPr>
        <w:t xml:space="preserve">annually </w:t>
      </w:r>
      <w:r w:rsidRPr="00167D5D">
        <w:rPr>
          <w:szCs w:val="22"/>
        </w:rPr>
        <w:t xml:space="preserve">over the last </w:t>
      </w:r>
      <w:r w:rsidR="001C24D4">
        <w:rPr>
          <w:szCs w:val="22"/>
        </w:rPr>
        <w:t>ten</w:t>
      </w:r>
      <w:r w:rsidRPr="00167D5D" w:rsidR="001C24D4">
        <w:rPr>
          <w:szCs w:val="22"/>
        </w:rPr>
        <w:t xml:space="preserve"> </w:t>
      </w:r>
      <w:r w:rsidRPr="00167D5D">
        <w:rPr>
          <w:szCs w:val="22"/>
        </w:rPr>
        <w:t>years</w:t>
      </w:r>
      <w:r w:rsidR="00C64A4C">
        <w:rPr>
          <w:szCs w:val="22"/>
        </w:rPr>
        <w:t>.</w:t>
      </w:r>
      <w:r w:rsidR="00FD26B3">
        <w:rPr>
          <w:szCs w:val="22"/>
        </w:rPr>
        <w:t xml:space="preserve"> </w:t>
      </w:r>
      <w:r w:rsidR="001D5191">
        <w:rPr>
          <w:szCs w:val="22"/>
        </w:rPr>
        <w:t xml:space="preserve"> </w:t>
      </w:r>
      <w:r w:rsidR="00151470">
        <w:rPr>
          <w:szCs w:val="22"/>
        </w:rPr>
        <w:t>Over</w:t>
      </w:r>
      <w:r w:rsidR="00FD26B3">
        <w:rPr>
          <w:szCs w:val="22"/>
        </w:rPr>
        <w:t xml:space="preserve"> the 12 months ending</w:t>
      </w:r>
      <w:r w:rsidR="001D5191">
        <w:rPr>
          <w:szCs w:val="22"/>
        </w:rPr>
        <w:t xml:space="preserve"> </w:t>
      </w:r>
      <w:r w:rsidR="00FD26B3">
        <w:rPr>
          <w:szCs w:val="22"/>
        </w:rPr>
        <w:t>January 1, 2016</w:t>
      </w:r>
      <w:r w:rsidR="00574FF3">
        <w:rPr>
          <w:szCs w:val="22"/>
        </w:rPr>
        <w:t xml:space="preserve">, </w:t>
      </w:r>
      <w:r w:rsidR="001D5191">
        <w:rPr>
          <w:szCs w:val="22"/>
        </w:rPr>
        <w:t>the CPI</w:t>
      </w:r>
      <w:r w:rsidR="00574FF3">
        <w:rPr>
          <w:szCs w:val="22"/>
        </w:rPr>
        <w:t xml:space="preserve"> grew by 1.</w:t>
      </w:r>
      <w:r w:rsidR="00151470">
        <w:rPr>
          <w:szCs w:val="22"/>
        </w:rPr>
        <w:t>4</w:t>
      </w:r>
      <w:r w:rsidR="00574FF3">
        <w:rPr>
          <w:szCs w:val="22"/>
        </w:rPr>
        <w:t xml:space="preserve"> percent</w:t>
      </w:r>
      <w:r w:rsidR="00FD26B3">
        <w:rPr>
          <w:szCs w:val="22"/>
        </w:rPr>
        <w:t xml:space="preserve">.  </w:t>
      </w:r>
      <w:r w:rsidR="001D5191">
        <w:rPr>
          <w:szCs w:val="22"/>
        </w:rPr>
        <w:t xml:space="preserve">Table 4 also reports </w:t>
      </w:r>
      <w:r w:rsidR="00151470">
        <w:rPr>
          <w:szCs w:val="22"/>
        </w:rPr>
        <w:t>a</w:t>
      </w:r>
      <w:r w:rsidRPr="00167D5D">
        <w:rPr>
          <w:szCs w:val="22"/>
        </w:rPr>
        <w:t xml:space="preserve"> CPI </w:t>
      </w:r>
      <w:r w:rsidR="00BD3A8B">
        <w:rPr>
          <w:szCs w:val="22"/>
        </w:rPr>
        <w:t xml:space="preserve">published by BLS </w:t>
      </w:r>
      <w:r w:rsidRPr="00167D5D">
        <w:rPr>
          <w:szCs w:val="22"/>
        </w:rPr>
        <w:t>for Cable</w:t>
      </w:r>
      <w:r w:rsidR="00477DA4">
        <w:rPr>
          <w:szCs w:val="22"/>
        </w:rPr>
        <w:t xml:space="preserve"> and</w:t>
      </w:r>
      <w:r w:rsidRPr="00167D5D" w:rsidR="00477DA4">
        <w:rPr>
          <w:szCs w:val="22"/>
        </w:rPr>
        <w:t xml:space="preserve"> </w:t>
      </w:r>
      <w:r w:rsidRPr="00167D5D">
        <w:rPr>
          <w:szCs w:val="22"/>
        </w:rPr>
        <w:t>Satellite</w:t>
      </w:r>
      <w:r w:rsidR="00477DA4">
        <w:rPr>
          <w:szCs w:val="22"/>
        </w:rPr>
        <w:t xml:space="preserve"> Television</w:t>
      </w:r>
      <w:r w:rsidRPr="00167D5D" w:rsidR="00477DA4">
        <w:rPr>
          <w:szCs w:val="22"/>
        </w:rPr>
        <w:t xml:space="preserve"> </w:t>
      </w:r>
      <w:r w:rsidRPr="00167D5D">
        <w:rPr>
          <w:szCs w:val="22"/>
        </w:rPr>
        <w:t>and Radio Services</w:t>
      </w:r>
      <w:r w:rsidR="001D5191">
        <w:rPr>
          <w:szCs w:val="22"/>
        </w:rPr>
        <w:t xml:space="preserve"> (CSR Index).</w:t>
      </w:r>
      <w:r>
        <w:rPr>
          <w:rStyle w:val="FootnoteReference"/>
          <w:szCs w:val="22"/>
        </w:rPr>
        <w:footnoteReference w:id="38"/>
      </w:r>
      <w:r w:rsidR="001D5191">
        <w:rPr>
          <w:szCs w:val="22"/>
        </w:rPr>
        <w:t xml:space="preserve">  The CSR Index</w:t>
      </w:r>
      <w:r w:rsidRPr="00167D5D">
        <w:rPr>
          <w:szCs w:val="22"/>
        </w:rPr>
        <w:t xml:space="preserve"> grew annually </w:t>
      </w:r>
      <w:r w:rsidR="00574FF3">
        <w:rPr>
          <w:szCs w:val="22"/>
        </w:rPr>
        <w:t>by</w:t>
      </w:r>
      <w:r w:rsidRPr="00167D5D" w:rsidR="00574FF3">
        <w:rPr>
          <w:szCs w:val="22"/>
        </w:rPr>
        <w:t xml:space="preserve"> </w:t>
      </w:r>
      <w:r w:rsidRPr="00167D5D">
        <w:rPr>
          <w:szCs w:val="22"/>
        </w:rPr>
        <w:t>2.</w:t>
      </w:r>
      <w:r w:rsidR="00FD26B3">
        <w:rPr>
          <w:szCs w:val="22"/>
        </w:rPr>
        <w:t>8</w:t>
      </w:r>
      <w:r w:rsidRPr="00167D5D">
        <w:rPr>
          <w:szCs w:val="22"/>
        </w:rPr>
        <w:t xml:space="preserve"> </w:t>
      </w:r>
      <w:r w:rsidR="001D5191">
        <w:rPr>
          <w:szCs w:val="22"/>
        </w:rPr>
        <w:t xml:space="preserve">percent </w:t>
      </w:r>
      <w:r w:rsidRPr="00167D5D">
        <w:rPr>
          <w:szCs w:val="22"/>
        </w:rPr>
        <w:t>and 2.</w:t>
      </w:r>
      <w:r w:rsidR="00FD26B3">
        <w:rPr>
          <w:szCs w:val="22"/>
        </w:rPr>
        <w:t>4</w:t>
      </w:r>
      <w:r w:rsidRPr="00167D5D">
        <w:rPr>
          <w:szCs w:val="22"/>
        </w:rPr>
        <w:t xml:space="preserve"> percent over the last five and ten years</w:t>
      </w:r>
      <w:r w:rsidR="001C24D4">
        <w:rPr>
          <w:szCs w:val="22"/>
        </w:rPr>
        <w:t xml:space="preserve"> </w:t>
      </w:r>
      <w:r w:rsidRPr="00167D5D" w:rsidR="001C24D4">
        <w:rPr>
          <w:szCs w:val="22"/>
        </w:rPr>
        <w:t>respectively</w:t>
      </w:r>
      <w:r w:rsidR="00FD26B3">
        <w:rPr>
          <w:szCs w:val="22"/>
        </w:rPr>
        <w:t xml:space="preserve">, </w:t>
      </w:r>
      <w:r w:rsidR="001D5191">
        <w:rPr>
          <w:szCs w:val="22"/>
        </w:rPr>
        <w:t>and by</w:t>
      </w:r>
      <w:r w:rsidR="008A54DE">
        <w:rPr>
          <w:szCs w:val="22"/>
        </w:rPr>
        <w:t xml:space="preserve"> 1.</w:t>
      </w:r>
      <w:r w:rsidR="00151470">
        <w:rPr>
          <w:szCs w:val="22"/>
        </w:rPr>
        <w:t>7</w:t>
      </w:r>
      <w:r w:rsidR="008A54DE">
        <w:rPr>
          <w:szCs w:val="22"/>
        </w:rPr>
        <w:t xml:space="preserve"> percent </w:t>
      </w:r>
      <w:r w:rsidR="007734D8">
        <w:rPr>
          <w:szCs w:val="22"/>
        </w:rPr>
        <w:t xml:space="preserve">for </w:t>
      </w:r>
      <w:r w:rsidR="008A54DE">
        <w:rPr>
          <w:szCs w:val="22"/>
        </w:rPr>
        <w:t xml:space="preserve">the </w:t>
      </w:r>
      <w:r w:rsidR="001C24D4">
        <w:rPr>
          <w:szCs w:val="22"/>
        </w:rPr>
        <w:t xml:space="preserve">12 </w:t>
      </w:r>
      <w:r w:rsidR="008A54DE">
        <w:rPr>
          <w:szCs w:val="22"/>
        </w:rPr>
        <w:t>months</w:t>
      </w:r>
      <w:r w:rsidR="00574FF3">
        <w:rPr>
          <w:szCs w:val="22"/>
        </w:rPr>
        <w:t xml:space="preserve"> ending January 1, 2016</w:t>
      </w:r>
      <w:r w:rsidRPr="00167D5D">
        <w:rPr>
          <w:szCs w:val="22"/>
        </w:rPr>
        <w:t>.</w:t>
      </w:r>
      <w:r w:rsidR="001342D6">
        <w:rPr>
          <w:szCs w:val="22"/>
        </w:rPr>
        <w:t xml:space="preserve"> </w:t>
      </w:r>
      <w:r w:rsidRPr="001342D6" w:rsidR="001342D6">
        <w:t xml:space="preserve"> </w:t>
      </w:r>
      <w:r w:rsidR="001342D6">
        <w:t xml:space="preserve">Because </w:t>
      </w:r>
      <w:r w:rsidR="00574FF3">
        <w:t>th</w:t>
      </w:r>
      <w:r w:rsidR="00E65138">
        <w:t>is</w:t>
      </w:r>
      <w:r w:rsidR="001D5191">
        <w:t xml:space="preserve"> </w:t>
      </w:r>
      <w:r w:rsidR="001C24D4">
        <w:t>i</w:t>
      </w:r>
      <w:r w:rsidR="001D5191">
        <w:t>ndex</w:t>
      </w:r>
      <w:r w:rsidR="00574FF3">
        <w:t xml:space="preserve"> </w:t>
      </w:r>
      <w:r w:rsidR="001342D6">
        <w:t xml:space="preserve">covers a different mix of services and </w:t>
      </w:r>
      <w:r w:rsidR="00A52D30">
        <w:t xml:space="preserve">is adjusted </w:t>
      </w:r>
      <w:r w:rsidR="001342D6">
        <w:t>for change</w:t>
      </w:r>
      <w:r w:rsidR="00574FF3">
        <w:t>s</w:t>
      </w:r>
      <w:r w:rsidR="001342D6">
        <w:t xml:space="preserve"> in the number of programming channels, the C</w:t>
      </w:r>
      <w:r w:rsidR="001D5191">
        <w:t>SR Index</w:t>
      </w:r>
      <w:r w:rsidR="001342D6">
        <w:t xml:space="preserve"> is not directly comparable </w:t>
      </w:r>
      <w:r w:rsidR="001D5191">
        <w:t xml:space="preserve">to changes in </w:t>
      </w:r>
      <w:r w:rsidR="00477DA4">
        <w:t xml:space="preserve">cable </w:t>
      </w:r>
      <w:r w:rsidR="001D5191">
        <w:t>programming prices in the Report.</w:t>
      </w:r>
      <w:r>
        <w:rPr>
          <w:rStyle w:val="FootnoteReference"/>
        </w:rPr>
        <w:footnoteReference w:id="39"/>
      </w:r>
    </w:p>
    <w:tbl>
      <w:tblPr>
        <w:tblW w:w="5000" w:type="pct"/>
        <w:tblInd w:w="0" w:type="dxa"/>
        <w:tblLayout w:type="fixed"/>
        <w:tblCellMar>
          <w:top w:w="0" w:type="dxa"/>
          <w:left w:w="108" w:type="dxa"/>
          <w:bottom w:w="0" w:type="dxa"/>
          <w:right w:w="108" w:type="dxa"/>
        </w:tblCellMar>
        <w:tblLook w:val="0000"/>
      </w:tblPr>
      <w:tblGrid>
        <w:gridCol w:w="1599"/>
        <w:gridCol w:w="1172"/>
        <w:gridCol w:w="1174"/>
        <w:gridCol w:w="1082"/>
        <w:gridCol w:w="1172"/>
        <w:gridCol w:w="1263"/>
        <w:gridCol w:w="901"/>
        <w:gridCol w:w="967"/>
      </w:tblGrid>
      <w:tr w14:paraId="651802EA" w14:textId="77777777" w:rsidTr="005776C6">
        <w:tblPrEx>
          <w:tblW w:w="5000" w:type="pct"/>
          <w:tblInd w:w="0" w:type="dxa"/>
          <w:tblLayout w:type="fixed"/>
          <w:tblCellMar>
            <w:top w:w="0" w:type="dxa"/>
            <w:left w:w="108" w:type="dxa"/>
            <w:bottom w:w="0" w:type="dxa"/>
            <w:right w:w="108" w:type="dxa"/>
          </w:tblCellMar>
          <w:tblLook w:val="0000"/>
        </w:tblPrEx>
        <w:trPr>
          <w:trHeight w:hRule="exact" w:val="1152"/>
        </w:trPr>
        <w:tc>
          <w:tcPr>
            <w:tcW w:w="5000" w:type="pct"/>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167D5D" w:rsidRPr="00A52D30" w:rsidP="004E16D7" w14:paraId="6CEC7158" w14:textId="5091F143">
            <w:pPr>
              <w:keepNext/>
              <w:widowControl/>
              <w:suppressAutoHyphens/>
              <w:jc w:val="center"/>
              <w:rPr>
                <w:rStyle w:val="DefaultParagraphFont"/>
                <w:b/>
                <w:bCs/>
                <w:snapToGrid/>
                <w:kern w:val="0"/>
                <w:sz w:val="22"/>
                <w:szCs w:val="22"/>
                <w:lang w:val="en-US" w:eastAsia="en-US" w:bidi="ar-SA"/>
              </w:rPr>
            </w:pPr>
            <w:r w:rsidRPr="00A52D30">
              <w:rPr>
                <w:b/>
                <w:bCs/>
                <w:snapToGrid/>
                <w:kern w:val="0"/>
                <w:sz w:val="22"/>
                <w:szCs w:val="22"/>
                <w:lang w:val="en-US" w:eastAsia="en-US" w:bidi="ar-SA"/>
              </w:rPr>
              <w:t>Table 4</w:t>
            </w:r>
          </w:p>
          <w:p w:rsidR="005A5C9D" w:rsidRPr="00A52D30" w:rsidP="004E16D7" w14:paraId="45C53B5F" w14:textId="77777777">
            <w:pPr>
              <w:keepNext/>
              <w:widowControl/>
              <w:suppressAutoHyphens/>
              <w:jc w:val="center"/>
              <w:rPr>
                <w:rStyle w:val="DefaultParagraphFont"/>
                <w:b/>
                <w:bCs/>
                <w:snapToGrid/>
                <w:kern w:val="0"/>
                <w:sz w:val="22"/>
                <w:szCs w:val="22"/>
                <w:lang w:val="en-US" w:eastAsia="en-US" w:bidi="ar-SA"/>
              </w:rPr>
            </w:pPr>
            <w:r w:rsidRPr="00A52D30">
              <w:rPr>
                <w:b/>
                <w:bCs/>
                <w:snapToGrid/>
                <w:kern w:val="0"/>
                <w:sz w:val="22"/>
                <w:szCs w:val="22"/>
                <w:lang w:val="en-US" w:eastAsia="en-US" w:bidi="ar-SA"/>
              </w:rPr>
              <w:t>Historical Averages</w:t>
            </w:r>
          </w:p>
          <w:p w:rsidR="00167D5D" w:rsidRPr="007F73A6" w:rsidP="004E16D7" w14:paraId="3A8395D6" w14:textId="696690DD">
            <w:pPr>
              <w:keepNext/>
              <w:widowControl/>
              <w:suppressAutoHyphens/>
              <w:jc w:val="center"/>
              <w:rPr>
                <w:rStyle w:val="DefaultParagraphFont"/>
                <w:bCs/>
                <w:snapToGrid/>
                <w:kern w:val="0"/>
                <w:sz w:val="22"/>
                <w:szCs w:val="22"/>
                <w:lang w:val="en-US" w:eastAsia="en-US" w:bidi="ar-SA"/>
              </w:rPr>
            </w:pPr>
            <w:r w:rsidRPr="00A52D30">
              <w:rPr>
                <w:bCs/>
                <w:snapToGrid/>
                <w:kern w:val="0"/>
                <w:sz w:val="22"/>
                <w:szCs w:val="22"/>
                <w:lang w:val="en-US" w:eastAsia="en-US" w:bidi="ar-SA"/>
              </w:rPr>
              <w:t>2005</w:t>
            </w:r>
            <w:r w:rsidRPr="00A52D30" w:rsidR="008A54DE">
              <w:rPr>
                <w:bCs/>
                <w:snapToGrid/>
                <w:kern w:val="0"/>
                <w:sz w:val="22"/>
                <w:szCs w:val="22"/>
                <w:lang w:val="en-US" w:eastAsia="en-US" w:bidi="ar-SA"/>
              </w:rPr>
              <w:t>–</w:t>
            </w:r>
            <w:r w:rsidRPr="00A52D30">
              <w:rPr>
                <w:bCs/>
                <w:snapToGrid/>
                <w:kern w:val="0"/>
                <w:sz w:val="22"/>
                <w:szCs w:val="22"/>
                <w:lang w:val="en-US" w:eastAsia="en-US" w:bidi="ar-SA"/>
              </w:rPr>
              <w:t>2016</w:t>
            </w:r>
          </w:p>
        </w:tc>
      </w:tr>
      <w:tr w14:paraId="65650D8C" w14:textId="77777777" w:rsidTr="00A46F4A">
        <w:tblPrEx>
          <w:tblW w:w="5000" w:type="pct"/>
          <w:tblInd w:w="0" w:type="dxa"/>
          <w:tblLayout w:type="fixed"/>
          <w:tblCellMar>
            <w:top w:w="0" w:type="dxa"/>
            <w:left w:w="108" w:type="dxa"/>
            <w:bottom w:w="0" w:type="dxa"/>
            <w:right w:w="108" w:type="dxa"/>
          </w:tblCellMar>
          <w:tblLook w:val="0000"/>
        </w:tblPrEx>
        <w:trPr>
          <w:trHeight w:hRule="exact" w:val="346"/>
        </w:trPr>
        <w:tc>
          <w:tcPr>
            <w:tcW w:w="857" w:type="pct"/>
            <w:vMerge w:val="restart"/>
            <w:tcBorders>
              <w:top w:val="single" w:sz="12" w:space="0" w:color="000000"/>
              <w:left w:val="single" w:sz="12" w:space="0" w:color="000000"/>
              <w:bottom w:val="single" w:sz="12" w:space="0" w:color="000000"/>
              <w:right w:val="single" w:sz="8" w:space="0" w:color="auto"/>
            </w:tcBorders>
            <w:shd w:val="clear" w:color="auto" w:fill="auto"/>
            <w:vAlign w:val="center"/>
          </w:tcPr>
          <w:p w:rsidR="00167D5D" w:rsidRPr="00B06FA5" w:rsidP="004E16D7" w14:paraId="6534B27B"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Year</w:t>
            </w:r>
          </w:p>
        </w:tc>
        <w:tc>
          <w:tcPr>
            <w:tcW w:w="628" w:type="pct"/>
            <w:vMerge w:val="restart"/>
            <w:tcBorders>
              <w:top w:val="single" w:sz="12" w:space="0" w:color="000000"/>
              <w:left w:val="single" w:sz="8" w:space="0" w:color="auto"/>
              <w:bottom w:val="single" w:sz="8" w:space="0" w:color="auto"/>
              <w:right w:val="single" w:sz="8" w:space="0" w:color="auto"/>
            </w:tcBorders>
            <w:shd w:val="clear" w:color="auto" w:fill="auto"/>
            <w:vAlign w:val="center"/>
          </w:tcPr>
          <w:p w:rsidR="007F73A6" w:rsidRPr="00B06FA5" w:rsidP="004E16D7" w14:paraId="541F1802"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Basic</w:t>
            </w:r>
          </w:p>
          <w:p w:rsidR="00167D5D" w:rsidRPr="00B06FA5" w:rsidP="004E16D7" w14:paraId="31B012F8" w14:textId="5ED95F04">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 xml:space="preserve"> Service Price</w:t>
            </w:r>
          </w:p>
        </w:tc>
        <w:tc>
          <w:tcPr>
            <w:tcW w:w="1837" w:type="pct"/>
            <w:gridSpan w:val="3"/>
            <w:tcBorders>
              <w:top w:val="single" w:sz="12" w:space="0" w:color="000000"/>
              <w:left w:val="single" w:sz="8" w:space="0" w:color="auto"/>
              <w:bottom w:val="single" w:sz="8" w:space="0" w:color="auto"/>
              <w:right w:val="single" w:sz="8" w:space="0" w:color="auto"/>
            </w:tcBorders>
            <w:shd w:val="clear" w:color="auto" w:fill="auto"/>
            <w:vAlign w:val="center"/>
          </w:tcPr>
          <w:p w:rsidR="00167D5D" w:rsidRPr="00B06FA5" w:rsidP="004E16D7" w14:paraId="4AD4785A"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Expanded Basic Service</w:t>
            </w:r>
          </w:p>
        </w:tc>
        <w:tc>
          <w:tcPr>
            <w:tcW w:w="677" w:type="pct"/>
            <w:vMerge w:val="restart"/>
            <w:tcBorders>
              <w:top w:val="single" w:sz="12" w:space="0" w:color="000000"/>
              <w:left w:val="single" w:sz="8" w:space="0" w:color="auto"/>
              <w:bottom w:val="single" w:sz="8" w:space="0" w:color="auto"/>
              <w:right w:val="single" w:sz="8" w:space="0" w:color="auto"/>
            </w:tcBorders>
            <w:shd w:val="clear" w:color="auto" w:fill="auto"/>
            <w:vAlign w:val="center"/>
          </w:tcPr>
          <w:p w:rsidR="00343D78" w:rsidRPr="00B06FA5" w:rsidP="004E16D7" w14:paraId="541A00BE"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Next Most Popular</w:t>
            </w:r>
          </w:p>
          <w:p w:rsidR="00167D5D" w:rsidRPr="00B06FA5" w:rsidP="004E16D7" w14:paraId="049B5005" w14:textId="36E78953">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 xml:space="preserve"> Service </w:t>
            </w:r>
            <w:r w:rsidR="00B06FA5">
              <w:rPr>
                <w:b/>
                <w:bCs/>
                <w:snapToGrid/>
                <w:kern w:val="0"/>
                <w:sz w:val="20"/>
                <w:lang w:val="en-US" w:eastAsia="en-US" w:bidi="ar-SA"/>
              </w:rPr>
              <w:t>and</w:t>
            </w:r>
            <w:r w:rsidRPr="00B06FA5">
              <w:rPr>
                <w:b/>
                <w:bCs/>
                <w:snapToGrid/>
                <w:kern w:val="0"/>
                <w:sz w:val="20"/>
                <w:lang w:val="en-US" w:eastAsia="en-US" w:bidi="ar-SA"/>
              </w:rPr>
              <w:t xml:space="preserve"> Equipment</w:t>
            </w:r>
          </w:p>
        </w:tc>
        <w:tc>
          <w:tcPr>
            <w:tcW w:w="1001" w:type="pct"/>
            <w:gridSpan w:val="2"/>
            <w:tcBorders>
              <w:top w:val="single" w:sz="12" w:space="0" w:color="000000"/>
              <w:left w:val="single" w:sz="8" w:space="0" w:color="auto"/>
              <w:bottom w:val="single" w:sz="8" w:space="0" w:color="auto"/>
              <w:right w:val="single" w:sz="12" w:space="0" w:color="000000"/>
            </w:tcBorders>
            <w:shd w:val="clear" w:color="auto" w:fill="auto"/>
            <w:vAlign w:val="bottom"/>
          </w:tcPr>
          <w:p w:rsidR="00167D5D" w:rsidRPr="00B06FA5" w:rsidP="004E16D7" w14:paraId="55597EDF" w14:textId="4D471E24">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C</w:t>
            </w:r>
            <w:r w:rsidR="0013330B">
              <w:rPr>
                <w:b/>
                <w:bCs/>
                <w:snapToGrid/>
                <w:kern w:val="0"/>
                <w:sz w:val="20"/>
                <w:lang w:val="en-US" w:eastAsia="en-US" w:bidi="ar-SA"/>
              </w:rPr>
              <w:t>PI</w:t>
            </w:r>
          </w:p>
        </w:tc>
      </w:tr>
      <w:tr w14:paraId="59C19264" w14:textId="77777777" w:rsidTr="002E698C">
        <w:tblPrEx>
          <w:tblW w:w="5000" w:type="pct"/>
          <w:tblInd w:w="0" w:type="dxa"/>
          <w:tblLayout w:type="fixed"/>
          <w:tblCellMar>
            <w:top w:w="0" w:type="dxa"/>
            <w:left w:w="108" w:type="dxa"/>
            <w:bottom w:w="0" w:type="dxa"/>
            <w:right w:w="108" w:type="dxa"/>
          </w:tblCellMar>
          <w:tblLook w:val="0000"/>
        </w:tblPrEx>
        <w:trPr>
          <w:trHeight w:val="691"/>
        </w:trPr>
        <w:tc>
          <w:tcPr>
            <w:tcW w:w="857" w:type="pct"/>
            <w:vMerge/>
            <w:tcBorders>
              <w:top w:val="nil"/>
              <w:left w:val="single" w:sz="12" w:space="0" w:color="000000"/>
              <w:bottom w:val="single" w:sz="12" w:space="0" w:color="auto"/>
              <w:right w:val="single" w:sz="8" w:space="0" w:color="auto"/>
            </w:tcBorders>
            <w:vAlign w:val="center"/>
          </w:tcPr>
          <w:p w:rsidR="00167D5D" w:rsidRPr="00B06FA5" w:rsidP="004E16D7" w14:paraId="70C59A35" w14:textId="77777777">
            <w:pPr>
              <w:keepNext/>
              <w:widowControl/>
              <w:suppressAutoHyphens/>
              <w:rPr>
                <w:rStyle w:val="DefaultParagraphFont"/>
                <w:b/>
                <w:bCs/>
                <w:snapToGrid/>
                <w:kern w:val="0"/>
                <w:sz w:val="20"/>
                <w:lang w:val="en-US" w:eastAsia="en-US" w:bidi="ar-SA"/>
              </w:rPr>
            </w:pPr>
          </w:p>
        </w:tc>
        <w:tc>
          <w:tcPr>
            <w:tcW w:w="628" w:type="pct"/>
            <w:vMerge/>
            <w:tcBorders>
              <w:top w:val="nil"/>
              <w:left w:val="single" w:sz="8" w:space="0" w:color="auto"/>
              <w:bottom w:val="single" w:sz="12" w:space="0" w:color="auto"/>
              <w:right w:val="single" w:sz="8" w:space="0" w:color="auto"/>
            </w:tcBorders>
            <w:vAlign w:val="center"/>
          </w:tcPr>
          <w:p w:rsidR="00167D5D" w:rsidRPr="00B06FA5" w:rsidP="004E16D7" w14:paraId="67B9E81A" w14:textId="77777777">
            <w:pPr>
              <w:keepNext/>
              <w:widowControl/>
              <w:suppressAutoHyphens/>
              <w:rPr>
                <w:rStyle w:val="DefaultParagraphFont"/>
                <w:b/>
                <w:bCs/>
                <w:snapToGrid/>
                <w:kern w:val="0"/>
                <w:sz w:val="20"/>
                <w:lang w:val="en-US" w:eastAsia="en-US" w:bidi="ar-SA"/>
              </w:rPr>
            </w:pPr>
          </w:p>
        </w:tc>
        <w:tc>
          <w:tcPr>
            <w:tcW w:w="629" w:type="pct"/>
            <w:tcBorders>
              <w:top w:val="single" w:sz="8" w:space="0" w:color="auto"/>
              <w:left w:val="single" w:sz="8" w:space="0" w:color="auto"/>
              <w:bottom w:val="single" w:sz="12" w:space="0" w:color="auto"/>
              <w:right w:val="single" w:sz="8" w:space="0" w:color="auto"/>
            </w:tcBorders>
            <w:shd w:val="clear" w:color="auto" w:fill="auto"/>
            <w:vAlign w:val="center"/>
          </w:tcPr>
          <w:p w:rsidR="00167D5D" w:rsidRPr="00B06FA5" w:rsidP="004E16D7" w14:paraId="620A093B"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Price</w:t>
            </w:r>
          </w:p>
        </w:tc>
        <w:tc>
          <w:tcPr>
            <w:tcW w:w="580" w:type="pct"/>
            <w:tcBorders>
              <w:top w:val="single" w:sz="8" w:space="0" w:color="auto"/>
              <w:left w:val="single" w:sz="8" w:space="0" w:color="auto"/>
              <w:bottom w:val="single" w:sz="12" w:space="0" w:color="auto"/>
              <w:right w:val="single" w:sz="8" w:space="0" w:color="auto"/>
            </w:tcBorders>
            <w:shd w:val="clear" w:color="auto" w:fill="auto"/>
            <w:vAlign w:val="center"/>
          </w:tcPr>
          <w:p w:rsidR="00167D5D" w:rsidRPr="00B06FA5" w:rsidP="004E16D7" w14:paraId="361109D4"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Channels</w:t>
            </w:r>
          </w:p>
        </w:tc>
        <w:tc>
          <w:tcPr>
            <w:tcW w:w="628" w:type="pct"/>
            <w:tcBorders>
              <w:top w:val="single" w:sz="8" w:space="0" w:color="auto"/>
              <w:left w:val="single" w:sz="8" w:space="0" w:color="auto"/>
              <w:bottom w:val="single" w:sz="12" w:space="0" w:color="auto"/>
              <w:right w:val="single" w:sz="8" w:space="0" w:color="auto"/>
            </w:tcBorders>
            <w:shd w:val="clear" w:color="auto" w:fill="auto"/>
            <w:vAlign w:val="center"/>
          </w:tcPr>
          <w:p w:rsidR="00167D5D" w:rsidRPr="00B06FA5" w:rsidP="004E16D7" w14:paraId="46B2EB59"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Price per Channel</w:t>
            </w:r>
          </w:p>
        </w:tc>
        <w:tc>
          <w:tcPr>
            <w:tcW w:w="677" w:type="pct"/>
            <w:vMerge/>
            <w:tcBorders>
              <w:top w:val="nil"/>
              <w:left w:val="single" w:sz="8" w:space="0" w:color="auto"/>
              <w:bottom w:val="single" w:sz="12" w:space="0" w:color="auto"/>
              <w:right w:val="single" w:sz="8" w:space="0" w:color="auto"/>
            </w:tcBorders>
            <w:vAlign w:val="center"/>
          </w:tcPr>
          <w:p w:rsidR="00167D5D" w:rsidRPr="00B06FA5" w:rsidP="004E16D7" w14:paraId="58FB8D4C" w14:textId="77777777">
            <w:pPr>
              <w:keepNext/>
              <w:widowControl/>
              <w:suppressAutoHyphens/>
              <w:rPr>
                <w:rStyle w:val="DefaultParagraphFont"/>
                <w:b/>
                <w:bCs/>
                <w:snapToGrid/>
                <w:kern w:val="0"/>
                <w:sz w:val="20"/>
                <w:lang w:val="en-US" w:eastAsia="en-US" w:bidi="ar-SA"/>
              </w:rPr>
            </w:pPr>
          </w:p>
        </w:tc>
        <w:tc>
          <w:tcPr>
            <w:tcW w:w="483" w:type="pct"/>
            <w:tcBorders>
              <w:top w:val="nil"/>
              <w:left w:val="single" w:sz="8" w:space="0" w:color="auto"/>
              <w:bottom w:val="single" w:sz="12" w:space="0" w:color="auto"/>
              <w:right w:val="single" w:sz="8" w:space="0" w:color="auto"/>
            </w:tcBorders>
            <w:shd w:val="clear" w:color="auto" w:fill="auto"/>
            <w:vAlign w:val="center"/>
          </w:tcPr>
          <w:p w:rsidR="00167D5D" w:rsidRPr="00B06FA5" w:rsidP="004E16D7" w14:paraId="45687FE4"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All Items</w:t>
            </w:r>
          </w:p>
        </w:tc>
        <w:tc>
          <w:tcPr>
            <w:tcW w:w="518" w:type="pct"/>
            <w:tcBorders>
              <w:top w:val="nil"/>
              <w:left w:val="single" w:sz="8" w:space="0" w:color="auto"/>
              <w:bottom w:val="single" w:sz="12" w:space="0" w:color="auto"/>
              <w:right w:val="single" w:sz="12" w:space="0" w:color="000000"/>
            </w:tcBorders>
            <w:shd w:val="clear" w:color="auto" w:fill="auto"/>
            <w:vAlign w:val="center"/>
          </w:tcPr>
          <w:p w:rsidR="00167D5D" w:rsidP="004E16D7" w14:paraId="4CA2A481" w14:textId="77777777">
            <w:pPr>
              <w:keepNext/>
              <w:widowControl/>
              <w:suppressAutoHyphens/>
              <w:jc w:val="center"/>
              <w:rPr>
                <w:rStyle w:val="DefaultParagraphFont"/>
                <w:b/>
                <w:bCs/>
                <w:snapToGrid/>
                <w:kern w:val="0"/>
                <w:sz w:val="20"/>
                <w:lang w:val="en-US" w:eastAsia="en-US" w:bidi="ar-SA"/>
              </w:rPr>
            </w:pPr>
            <w:r w:rsidRPr="00B06FA5">
              <w:rPr>
                <w:b/>
                <w:bCs/>
                <w:snapToGrid/>
                <w:kern w:val="0"/>
                <w:sz w:val="20"/>
                <w:lang w:val="en-US" w:eastAsia="en-US" w:bidi="ar-SA"/>
              </w:rPr>
              <w:t>Cable</w:t>
            </w:r>
          </w:p>
          <w:p w:rsidR="00DF439E" w:rsidRPr="00B06FA5" w:rsidP="004E16D7" w14:paraId="54FF1B27" w14:textId="6D174BEA">
            <w:pPr>
              <w:keepNext/>
              <w:widowControl/>
              <w:suppressAutoHyphens/>
              <w:jc w:val="center"/>
              <w:rPr>
                <w:rStyle w:val="DefaultParagraphFont"/>
                <w:b/>
                <w:bCs/>
                <w:snapToGrid/>
                <w:kern w:val="0"/>
                <w:sz w:val="20"/>
                <w:lang w:val="en-US" w:eastAsia="en-US" w:bidi="ar-SA"/>
              </w:rPr>
            </w:pPr>
            <w:r>
              <w:rPr>
                <w:b/>
                <w:bCs/>
                <w:snapToGrid/>
                <w:kern w:val="0"/>
                <w:sz w:val="20"/>
                <w:lang w:val="en-US" w:eastAsia="en-US" w:bidi="ar-SA"/>
              </w:rPr>
              <w:t>(CSR Index)</w:t>
            </w:r>
          </w:p>
        </w:tc>
      </w:tr>
      <w:tr w14:paraId="1F0F911B" w14:textId="77777777" w:rsidTr="002E698C">
        <w:tblPrEx>
          <w:tblW w:w="5000" w:type="pct"/>
          <w:tblInd w:w="0" w:type="dxa"/>
          <w:tblLayout w:type="fixed"/>
          <w:tblCellMar>
            <w:top w:w="0" w:type="dxa"/>
            <w:left w:w="108" w:type="dxa"/>
            <w:bottom w:w="0" w:type="dxa"/>
            <w:right w:w="108" w:type="dxa"/>
          </w:tblCellMar>
          <w:tblLook w:val="0000"/>
        </w:tblPrEx>
        <w:trPr>
          <w:trHeight w:hRule="exact" w:val="346"/>
        </w:trPr>
        <w:tc>
          <w:tcPr>
            <w:tcW w:w="857" w:type="pct"/>
            <w:tcBorders>
              <w:top w:val="single" w:sz="12"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7219DD64"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2005</w:t>
            </w:r>
          </w:p>
        </w:tc>
        <w:tc>
          <w:tcPr>
            <w:tcW w:w="628"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CC2DDE" w:rsidP="004E16D7" w14:paraId="654F481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$14.30</w:t>
            </w:r>
          </w:p>
        </w:tc>
        <w:tc>
          <w:tcPr>
            <w:tcW w:w="629"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CC2DDE" w:rsidP="004E16D7" w14:paraId="2D8CFFC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$43.04</w:t>
            </w:r>
          </w:p>
        </w:tc>
        <w:tc>
          <w:tcPr>
            <w:tcW w:w="580" w:type="pct"/>
            <w:tcBorders>
              <w:top w:val="single" w:sz="12"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153C7CD0"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70.5</w:t>
            </w:r>
          </w:p>
        </w:tc>
        <w:tc>
          <w:tcPr>
            <w:tcW w:w="628" w:type="pct"/>
            <w:tcBorders>
              <w:top w:val="single" w:sz="12"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4C8CE80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$0.620</w:t>
            </w:r>
          </w:p>
        </w:tc>
        <w:tc>
          <w:tcPr>
            <w:tcW w:w="677"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CC2DDE" w:rsidP="004E16D7" w14:paraId="54AEB57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$56.03</w:t>
            </w:r>
          </w:p>
        </w:tc>
        <w:tc>
          <w:tcPr>
            <w:tcW w:w="483"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CC2DDE" w:rsidP="004E16D7" w14:paraId="4D74EE19"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127.2</w:t>
            </w:r>
          </w:p>
        </w:tc>
        <w:tc>
          <w:tcPr>
            <w:tcW w:w="518" w:type="pct"/>
            <w:tcBorders>
              <w:top w:val="single" w:sz="12"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19DF1AB0"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169.6</w:t>
            </w:r>
          </w:p>
        </w:tc>
      </w:tr>
      <w:tr w14:paraId="436C31D9"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333E7102"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2006</w:t>
            </w:r>
          </w:p>
        </w:tc>
        <w:tc>
          <w:tcPr>
            <w:tcW w:w="628"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Pr="00CC2DDE" w:rsidP="004E16D7" w14:paraId="7D82160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$14.59</w:t>
            </w:r>
          </w:p>
        </w:tc>
        <w:tc>
          <w:tcPr>
            <w:tcW w:w="629"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Pr="00CC2DDE" w:rsidP="004E16D7" w14:paraId="0294864E"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$45.26</w:t>
            </w:r>
          </w:p>
        </w:tc>
        <w:tc>
          <w:tcPr>
            <w:tcW w:w="580"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Pr="00CC2DDE" w:rsidP="004E16D7" w14:paraId="16F11DCE"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71.0</w:t>
            </w:r>
          </w:p>
        </w:tc>
        <w:tc>
          <w:tcPr>
            <w:tcW w:w="628"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Pr="00CC2DDE" w:rsidP="004E16D7" w14:paraId="3B11158C"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$0.650</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19745EB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$59.09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061AD6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132.2</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5E4620FB"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174.4</w:t>
            </w:r>
          </w:p>
        </w:tc>
      </w:tr>
      <w:tr w14:paraId="0B56CC0C"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28C1248E"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2007</w:t>
            </w:r>
          </w:p>
        </w:tc>
        <w:tc>
          <w:tcPr>
            <w:tcW w:w="628"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Pr="00CC2DDE" w:rsidP="004E16D7" w14:paraId="14A4237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$15.33</w:t>
            </w:r>
          </w:p>
        </w:tc>
        <w:tc>
          <w:tcPr>
            <w:tcW w:w="629"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Pr="00CC2DDE" w:rsidP="004E16D7" w14:paraId="77F0874E"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$47.27</w:t>
            </w:r>
          </w:p>
        </w:tc>
        <w:tc>
          <w:tcPr>
            <w:tcW w:w="580"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Pr="00CC2DDE" w:rsidP="004E16D7" w14:paraId="6183B2B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72.6</w:t>
            </w:r>
          </w:p>
        </w:tc>
        <w:tc>
          <w:tcPr>
            <w:tcW w:w="628"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Pr="00CC2DDE" w:rsidP="004E16D7" w14:paraId="146B3E25"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$0.670</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713BBEFF"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$60.27</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1C1B274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135.0</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58BDFB19"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179.0</w:t>
            </w:r>
          </w:p>
        </w:tc>
      </w:tr>
      <w:tr w14:paraId="068F0136"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1BDE934C"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2008</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44C5812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$16.11</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67F8BE5C"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$49.65</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4CABBFA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72.8</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73E4BA57"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$0.680</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8CD96C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$63.66</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721E8E8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140.8</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194EFEBB"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183.9</w:t>
            </w:r>
          </w:p>
        </w:tc>
      </w:tr>
      <w:tr w14:paraId="12D7F48D"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372E2DB7"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2009</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019C88B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$17.65</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6D34C58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$52.37</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1C8A434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78.2</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7F43D69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$0.710</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688BD929"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$67.92</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5816DB3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140.8</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7FE5180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186.5</w:t>
            </w:r>
          </w:p>
        </w:tc>
      </w:tr>
      <w:tr w14:paraId="3FCD084B"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01CD92A1"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2010</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467ECFF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$17.93</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09FC969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$54.44</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3A29EC4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117.0</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75596BCD"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$0.560</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028990C9"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$71.39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7284257D"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144.5</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529F2EA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191.9</w:t>
            </w:r>
          </w:p>
        </w:tc>
      </w:tr>
      <w:tr w14:paraId="556CF387"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37C4005C"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2011</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754E9E76"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$19.33</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64221B49"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$57.46</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0B7DBAA1"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124.2</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716D76AC"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$0.569</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0F6E8991"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$75.37</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1EA03481"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146.9</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030AEE8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192.0</w:t>
            </w:r>
          </w:p>
        </w:tc>
      </w:tr>
      <w:tr w14:paraId="73BA4417"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4FC75703"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2012</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D61FE2F"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$20.55</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36120B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$61.63</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6031364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149.9</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5AFBBF78"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$0.505</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06ED4699"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$78.91</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57BA138D"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151.2</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188CFC5D"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199.8</w:t>
            </w:r>
          </w:p>
        </w:tc>
      </w:tr>
      <w:tr w14:paraId="10FB2C43"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bottom"/>
          </w:tcPr>
          <w:p w:rsidR="00167D5D" w:rsidRPr="00CC2DDE" w:rsidP="004E16D7" w14:paraId="4BD30B0F" w14:textId="77777777">
            <w:pPr>
              <w:keepNext/>
              <w:widowControl w:val="0"/>
              <w:suppressAutoHyphens/>
              <w:rPr>
                <w:rStyle w:val="DefaultParagraphFont"/>
                <w:snapToGrid w:val="0"/>
                <w:kern w:val="28"/>
                <w:sz w:val="20"/>
                <w:lang w:val="en-US" w:eastAsia="en-US" w:bidi="ar-SA"/>
              </w:rPr>
            </w:pPr>
            <w:r w:rsidRPr="00CC2DDE">
              <w:rPr>
                <w:snapToGrid w:val="0"/>
                <w:kern w:val="28"/>
                <w:sz w:val="20"/>
                <w:lang w:val="en-US" w:eastAsia="en-US" w:bidi="ar-SA"/>
              </w:rPr>
              <w:t>2013</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7A5C1D15"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$22.63</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3AD49847"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$64.41</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08E2BA2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159.6</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7D0B51C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$0.484</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364C948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$81.64</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32EA240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153.6</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5B741FF7"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206.5</w:t>
            </w:r>
          </w:p>
        </w:tc>
      </w:tr>
      <w:tr w14:paraId="43CA8621"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center"/>
          </w:tcPr>
          <w:p w:rsidR="00167D5D" w:rsidRPr="00CC2DDE" w:rsidP="004E16D7" w14:paraId="0EDDBE8A" w14:textId="77777777">
            <w:pPr>
              <w:keepNext/>
              <w:widowControl w:val="0"/>
              <w:suppressAutoHyphens/>
              <w:rPr>
                <w:rStyle w:val="DefaultParagraphFont"/>
                <w:snapToGrid w:val="0"/>
                <w:color w:val="000000"/>
                <w:kern w:val="28"/>
                <w:sz w:val="20"/>
                <w:lang w:val="en-US" w:eastAsia="en-US" w:bidi="ar-SA"/>
              </w:rPr>
            </w:pPr>
            <w:r w:rsidRPr="00CC2DDE">
              <w:rPr>
                <w:snapToGrid w:val="0"/>
                <w:color w:val="000000"/>
                <w:kern w:val="28"/>
                <w:sz w:val="20"/>
                <w:lang w:val="en-US" w:eastAsia="en-US" w:bidi="ar-SA"/>
              </w:rPr>
              <w:t>2014</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6BE3707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$22.78</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0F5DCE16"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$66.61</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1CB7E175"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167.3</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5551199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$0.496</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34EEE9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$84.65</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624476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156.0</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58D378B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212.0</w:t>
            </w:r>
          </w:p>
        </w:tc>
      </w:tr>
      <w:tr w14:paraId="6BA47728"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auto"/>
              <w:right w:val="single" w:sz="8" w:space="0" w:color="auto"/>
            </w:tcBorders>
            <w:shd w:val="clear" w:color="auto" w:fill="auto"/>
            <w:vAlign w:val="center"/>
          </w:tcPr>
          <w:p w:rsidR="00167D5D" w:rsidRPr="00CC2DDE" w:rsidP="004E16D7" w14:paraId="4B8879AD" w14:textId="77777777">
            <w:pPr>
              <w:keepNext/>
              <w:widowControl w:val="0"/>
              <w:suppressAutoHyphens/>
              <w:rPr>
                <w:rStyle w:val="DefaultParagraphFont"/>
                <w:snapToGrid w:val="0"/>
                <w:color w:val="000000"/>
                <w:kern w:val="28"/>
                <w:sz w:val="20"/>
                <w:lang w:val="en-US" w:eastAsia="en-US" w:bidi="ar-SA"/>
              </w:rPr>
            </w:pPr>
            <w:r w:rsidRPr="00CC2DDE">
              <w:rPr>
                <w:snapToGrid w:val="0"/>
                <w:color w:val="000000"/>
                <w:kern w:val="28"/>
                <w:sz w:val="20"/>
                <w:lang w:val="en-US" w:eastAsia="en-US" w:bidi="ar-SA"/>
              </w:rPr>
              <w:t>201</w:t>
            </w:r>
            <w:r w:rsidRPr="00CC2DDE" w:rsidR="0033283D">
              <w:rPr>
                <w:snapToGrid w:val="0"/>
                <w:color w:val="000000"/>
                <w:kern w:val="28"/>
                <w:sz w:val="20"/>
                <w:lang w:val="en-US" w:eastAsia="en-US" w:bidi="ar-SA"/>
              </w:rPr>
              <w:t>5</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4DB0CBF2"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$23.79</w:t>
            </w:r>
          </w:p>
        </w:tc>
        <w:tc>
          <w:tcPr>
            <w:tcW w:w="629"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128CE48C"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$69.03</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CC2DDE" w:rsidP="004E16D7" w14:paraId="42289C56"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181.3</w:t>
            </w:r>
          </w:p>
        </w:tc>
        <w:tc>
          <w:tcPr>
            <w:tcW w:w="628"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2B02620A"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color w:val="000000"/>
                <w:kern w:val="28"/>
                <w:sz w:val="20"/>
                <w:lang w:val="en-US" w:eastAsia="en-US" w:bidi="ar-SA"/>
              </w:rPr>
              <w:t>$0.456</w:t>
            </w:r>
          </w:p>
        </w:tc>
        <w:tc>
          <w:tcPr>
            <w:tcW w:w="67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1577E876"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$86.83</w:t>
            </w:r>
          </w:p>
        </w:tc>
        <w:tc>
          <w:tcPr>
            <w:tcW w:w="483"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CC2DDE" w:rsidP="004E16D7" w14:paraId="341DADA4"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155.8</w:t>
            </w:r>
          </w:p>
        </w:tc>
        <w:tc>
          <w:tcPr>
            <w:tcW w:w="518" w:type="pct"/>
            <w:tcBorders>
              <w:top w:val="single" w:sz="8" w:space="0" w:color="auto"/>
              <w:left w:val="single" w:sz="8" w:space="0" w:color="auto"/>
              <w:bottom w:val="single" w:sz="8" w:space="0" w:color="auto"/>
              <w:right w:val="single" w:sz="12" w:space="0" w:color="000000"/>
            </w:tcBorders>
            <w:shd w:val="clear" w:color="auto" w:fill="auto"/>
            <w:vAlign w:val="bottom"/>
          </w:tcPr>
          <w:p w:rsidR="00167D5D" w:rsidRPr="00CC2DDE" w:rsidP="004E16D7" w14:paraId="719B3DF3" w14:textId="7777777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216.4</w:t>
            </w:r>
          </w:p>
        </w:tc>
      </w:tr>
      <w:tr w14:paraId="48D6363B" w14:textId="77777777" w:rsidTr="002E698C">
        <w:tblPrEx>
          <w:tblW w:w="5000" w:type="pct"/>
          <w:tblInd w:w="0" w:type="dxa"/>
          <w:tblLayout w:type="fixed"/>
          <w:tblCellMar>
            <w:top w:w="0" w:type="dxa"/>
            <w:left w:w="108" w:type="dxa"/>
            <w:bottom w:w="0" w:type="dxa"/>
            <w:right w:w="108" w:type="dxa"/>
          </w:tblCellMar>
          <w:tblLook w:val="0000"/>
        </w:tblPrEx>
        <w:trPr>
          <w:trHeight w:hRule="exact" w:val="288"/>
        </w:trPr>
        <w:tc>
          <w:tcPr>
            <w:tcW w:w="857" w:type="pct"/>
            <w:tcBorders>
              <w:top w:val="single" w:sz="8" w:space="0" w:color="auto"/>
              <w:left w:val="single" w:sz="12" w:space="0" w:color="000000"/>
              <w:bottom w:val="single" w:sz="8" w:space="0" w:color="000000"/>
              <w:right w:val="single" w:sz="8" w:space="0" w:color="auto"/>
            </w:tcBorders>
            <w:shd w:val="clear" w:color="auto" w:fill="auto"/>
            <w:vAlign w:val="center"/>
          </w:tcPr>
          <w:p w:rsidR="003E7309" w:rsidRPr="00CC2DDE" w:rsidP="003E7309" w14:paraId="27E9F0B5" w14:textId="5CEB568A">
            <w:pPr>
              <w:keepNext/>
              <w:widowControl w:val="0"/>
              <w:suppressAutoHyphens/>
              <w:rPr>
                <w:rStyle w:val="DefaultParagraphFont"/>
                <w:snapToGrid w:val="0"/>
                <w:color w:val="000000"/>
                <w:kern w:val="28"/>
                <w:sz w:val="20"/>
                <w:lang w:val="en-US" w:eastAsia="en-US" w:bidi="ar-SA"/>
              </w:rPr>
            </w:pPr>
            <w:r>
              <w:rPr>
                <w:snapToGrid w:val="0"/>
                <w:color w:val="000000"/>
                <w:kern w:val="28"/>
                <w:sz w:val="20"/>
                <w:lang w:val="en-US" w:eastAsia="en-US" w:bidi="ar-SA"/>
              </w:rPr>
              <w:t>2016</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3E7309" w14:paraId="54C40687" w14:textId="5B50DBA2">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$25.40</w:t>
            </w:r>
          </w:p>
        </w:tc>
        <w:tc>
          <w:tcPr>
            <w:tcW w:w="629"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3E7309" w14:paraId="7F3B3A69" w14:textId="09717511">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$71.37</w:t>
            </w:r>
          </w:p>
        </w:tc>
        <w:tc>
          <w:tcPr>
            <w:tcW w:w="580" w:type="pct"/>
            <w:tcBorders>
              <w:top w:val="single" w:sz="8" w:space="0" w:color="auto"/>
              <w:left w:val="single" w:sz="8" w:space="0" w:color="auto"/>
              <w:bottom w:val="single" w:sz="8" w:space="0" w:color="000000"/>
              <w:right w:val="single" w:sz="8" w:space="0" w:color="auto"/>
            </w:tcBorders>
            <w:shd w:val="clear" w:color="auto" w:fill="auto"/>
            <w:noWrap/>
            <w:vAlign w:val="bottom"/>
          </w:tcPr>
          <w:p w:rsidR="003E7309" w:rsidRPr="00CC2DDE" w:rsidP="003E7309" w14:paraId="1E3CD864" w14:textId="5E8FE760">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181.0</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3E7309" w14:paraId="1F462CC0" w14:textId="2DFDA050">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$0.469</w:t>
            </w:r>
          </w:p>
        </w:tc>
        <w:tc>
          <w:tcPr>
            <w:tcW w:w="677"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3E7309" w14:paraId="622F92F8" w14:textId="75FBFB9E">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$90.42</w:t>
            </w:r>
          </w:p>
        </w:tc>
        <w:tc>
          <w:tcPr>
            <w:tcW w:w="483"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3E7309" w14:paraId="56263066" w14:textId="5EF0E571">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158.0</w:t>
            </w:r>
          </w:p>
        </w:tc>
        <w:tc>
          <w:tcPr>
            <w:tcW w:w="518" w:type="pct"/>
            <w:tcBorders>
              <w:top w:val="single" w:sz="8" w:space="0" w:color="auto"/>
              <w:left w:val="single" w:sz="8" w:space="0" w:color="auto"/>
              <w:bottom w:val="single" w:sz="8" w:space="0" w:color="000000"/>
              <w:right w:val="single" w:sz="12" w:space="0" w:color="000000"/>
            </w:tcBorders>
            <w:shd w:val="clear" w:color="auto" w:fill="auto"/>
            <w:vAlign w:val="bottom"/>
          </w:tcPr>
          <w:p w:rsidR="003E7309" w:rsidRPr="00CC2DDE" w:rsidP="003E7309" w14:paraId="121BA002" w14:textId="5A9F026E">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220.1</w:t>
            </w:r>
          </w:p>
        </w:tc>
      </w:tr>
      <w:tr w14:paraId="3C0EDFEC" w14:textId="77777777" w:rsidTr="005776C6">
        <w:tblPrEx>
          <w:tblW w:w="5000" w:type="pct"/>
          <w:tblInd w:w="0" w:type="dxa"/>
          <w:tblLayout w:type="fixed"/>
          <w:tblCellMar>
            <w:top w:w="0" w:type="dxa"/>
            <w:left w:w="108" w:type="dxa"/>
            <w:bottom w:w="0" w:type="dxa"/>
            <w:right w:w="108" w:type="dxa"/>
          </w:tblCellMar>
          <w:tblLook w:val="0000"/>
        </w:tblPrEx>
        <w:trPr>
          <w:trHeight w:hRule="exact" w:val="461"/>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vAlign w:val="center"/>
          </w:tcPr>
          <w:p w:rsidR="003E7309" w:rsidRPr="00CC2DDE" w:rsidP="003E7309" w14:paraId="16DD1F85" w14:textId="77777777">
            <w:pPr>
              <w:keepNext/>
              <w:widowControl w:val="0"/>
              <w:suppressAutoHyphens/>
              <w:jc w:val="center"/>
              <w:rPr>
                <w:rStyle w:val="DefaultParagraphFont"/>
                <w:b/>
                <w:snapToGrid w:val="0"/>
                <w:color w:val="000000"/>
                <w:kern w:val="28"/>
                <w:sz w:val="20"/>
                <w:lang w:val="en-US" w:eastAsia="en-US" w:bidi="ar-SA"/>
              </w:rPr>
            </w:pPr>
            <w:r w:rsidRPr="00CC2DDE">
              <w:rPr>
                <w:b/>
                <w:snapToGrid/>
                <w:kern w:val="0"/>
                <w:sz w:val="20"/>
                <w:lang w:val="en-US" w:eastAsia="en-US" w:bidi="ar-SA"/>
              </w:rPr>
              <w:t>Compound Average Annual Rate of Change</w:t>
            </w:r>
          </w:p>
        </w:tc>
      </w:tr>
      <w:tr w14:paraId="61B2F919" w14:textId="77777777" w:rsidTr="00E12B46">
        <w:tblPrEx>
          <w:tblW w:w="5000" w:type="pct"/>
          <w:tblInd w:w="0" w:type="dxa"/>
          <w:tblLayout w:type="fixed"/>
          <w:tblCellMar>
            <w:top w:w="0" w:type="dxa"/>
            <w:left w:w="108" w:type="dxa"/>
            <w:bottom w:w="0" w:type="dxa"/>
            <w:right w:w="108" w:type="dxa"/>
          </w:tblCellMar>
          <w:tblLook w:val="0000"/>
        </w:tblPrEx>
        <w:trPr>
          <w:trHeight w:hRule="exact" w:val="335"/>
        </w:trPr>
        <w:tc>
          <w:tcPr>
            <w:tcW w:w="857" w:type="pct"/>
            <w:tcBorders>
              <w:top w:val="single" w:sz="8" w:space="0" w:color="auto"/>
              <w:left w:val="single" w:sz="12" w:space="0" w:color="000000"/>
              <w:bottom w:val="single" w:sz="8" w:space="0" w:color="000000"/>
              <w:right w:val="single" w:sz="8" w:space="0" w:color="auto"/>
            </w:tcBorders>
            <w:shd w:val="clear" w:color="auto" w:fill="auto"/>
            <w:vAlign w:val="bottom"/>
          </w:tcPr>
          <w:p w:rsidR="003E7309" w:rsidRPr="00CC2DDE" w:rsidP="003E7309" w14:paraId="21B139D4" w14:textId="19DCA0B3">
            <w:pPr>
              <w:keepNext/>
              <w:widowControl w:val="0"/>
              <w:suppressAutoHyphens/>
              <w:rPr>
                <w:rStyle w:val="DefaultParagraphFont"/>
                <w:b/>
                <w:snapToGrid w:val="0"/>
                <w:kern w:val="28"/>
                <w:sz w:val="20"/>
                <w:lang w:val="en-US" w:eastAsia="en-US" w:bidi="ar-SA"/>
              </w:rPr>
            </w:pPr>
            <w:r w:rsidRPr="00CC2DDE">
              <w:rPr>
                <w:b/>
                <w:snapToGrid w:val="0"/>
                <w:kern w:val="28"/>
                <w:sz w:val="20"/>
                <w:lang w:val="en-US" w:eastAsia="en-US" w:bidi="ar-SA"/>
              </w:rPr>
              <w:t>5</w:t>
            </w:r>
            <w:r w:rsidR="00E12B46">
              <w:rPr>
                <w:b/>
                <w:snapToGrid w:val="0"/>
                <w:kern w:val="28"/>
                <w:sz w:val="20"/>
                <w:lang w:val="en-US" w:eastAsia="en-US" w:bidi="ar-SA"/>
              </w:rPr>
              <w:t>-</w:t>
            </w:r>
            <w:r w:rsidRPr="00CC2DDE">
              <w:rPr>
                <w:b/>
                <w:snapToGrid w:val="0"/>
                <w:kern w:val="28"/>
                <w:sz w:val="20"/>
                <w:lang w:val="en-US" w:eastAsia="en-US" w:bidi="ar-SA"/>
              </w:rPr>
              <w:t>year average</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E12B46" w:rsidP="00E12B46" w14:paraId="27042C5F" w14:textId="3CC47B28">
            <w:pPr>
              <w:keepNext/>
              <w:widowControl w:val="0"/>
              <w:suppressAutoHyphens/>
              <w:jc w:val="center"/>
              <w:rPr>
                <w:rStyle w:val="DefaultParagraphFont"/>
                <w:snapToGrid w:val="0"/>
                <w:kern w:val="28"/>
                <w:sz w:val="20"/>
                <w:lang w:val="en-US" w:eastAsia="en-US" w:bidi="ar-SA"/>
              </w:rPr>
            </w:pPr>
            <w:r w:rsidRPr="00CC2DDE">
              <w:rPr>
                <w:snapToGrid w:val="0"/>
                <w:kern w:val="28"/>
                <w:sz w:val="20"/>
                <w:lang w:val="en-US" w:eastAsia="en-US" w:bidi="ar-SA"/>
              </w:rPr>
              <w:t>5.6%</w:t>
            </w:r>
          </w:p>
        </w:tc>
        <w:tc>
          <w:tcPr>
            <w:tcW w:w="629"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6626EE62" w14:textId="58B572C4">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4.4%</w:t>
            </w:r>
          </w:p>
        </w:tc>
        <w:tc>
          <w:tcPr>
            <w:tcW w:w="580"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7E941671" w14:textId="44009CC0">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7.8%</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122DDC06" w14:textId="668A3987">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-3.9%</w:t>
            </w:r>
          </w:p>
        </w:tc>
        <w:tc>
          <w:tcPr>
            <w:tcW w:w="677"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045E861C" w14:textId="5FCDF0B1">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3.7%</w:t>
            </w:r>
          </w:p>
        </w:tc>
        <w:tc>
          <w:tcPr>
            <w:tcW w:w="483"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E12B46" w:rsidP="00E12B46" w14:paraId="394B8EEE" w14:textId="7A97B1C8">
            <w:pPr>
              <w:keepNext/>
              <w:widowControl w:val="0"/>
              <w:suppressAutoHyphens/>
              <w:jc w:val="center"/>
              <w:rPr>
                <w:rStyle w:val="DefaultParagraphFont"/>
                <w:snapToGrid w:val="0"/>
                <w:kern w:val="28"/>
                <w:sz w:val="20"/>
                <w:lang w:val="en-US" w:eastAsia="en-US" w:bidi="ar-SA"/>
              </w:rPr>
            </w:pPr>
            <w:r w:rsidRPr="00CC2DDE">
              <w:rPr>
                <w:snapToGrid w:val="0"/>
                <w:kern w:val="28"/>
                <w:sz w:val="20"/>
                <w:lang w:val="en-US" w:eastAsia="en-US" w:bidi="ar-SA"/>
              </w:rPr>
              <w:t>1.5%</w:t>
            </w:r>
          </w:p>
        </w:tc>
        <w:tc>
          <w:tcPr>
            <w:tcW w:w="518" w:type="pct"/>
            <w:tcBorders>
              <w:top w:val="single" w:sz="8" w:space="0" w:color="auto"/>
              <w:left w:val="single" w:sz="8" w:space="0" w:color="auto"/>
              <w:bottom w:val="single" w:sz="8" w:space="0" w:color="000000"/>
              <w:right w:val="single" w:sz="12" w:space="0" w:color="000000"/>
            </w:tcBorders>
            <w:shd w:val="clear" w:color="auto" w:fill="auto"/>
            <w:vAlign w:val="bottom"/>
          </w:tcPr>
          <w:p w:rsidR="003E7309" w:rsidRPr="00CC2DDE" w:rsidP="00E12B46" w14:paraId="22B70120" w14:textId="288C2CAF">
            <w:pPr>
              <w:keepNext/>
              <w:widowControl w:val="0"/>
              <w:suppressAutoHyphens/>
              <w:jc w:val="center"/>
              <w:rPr>
                <w:rStyle w:val="DefaultParagraphFont"/>
                <w:snapToGrid w:val="0"/>
                <w:color w:val="000000"/>
                <w:kern w:val="28"/>
                <w:sz w:val="20"/>
                <w:lang w:val="en-US" w:eastAsia="en-US" w:bidi="ar-SA"/>
              </w:rPr>
            </w:pPr>
            <w:r w:rsidRPr="00CC2DDE">
              <w:rPr>
                <w:snapToGrid w:val="0"/>
                <w:kern w:val="28"/>
                <w:sz w:val="20"/>
                <w:lang w:val="en-US" w:eastAsia="en-US" w:bidi="ar-SA"/>
              </w:rPr>
              <w:t>2.8%</w:t>
            </w:r>
          </w:p>
        </w:tc>
      </w:tr>
      <w:tr w14:paraId="2237DA29" w14:textId="77777777" w:rsidTr="00E12B46">
        <w:tblPrEx>
          <w:tblW w:w="5000" w:type="pct"/>
          <w:tblInd w:w="0" w:type="dxa"/>
          <w:tblLayout w:type="fixed"/>
          <w:tblCellMar>
            <w:top w:w="0" w:type="dxa"/>
            <w:left w:w="108" w:type="dxa"/>
            <w:bottom w:w="0" w:type="dxa"/>
            <w:right w:w="108" w:type="dxa"/>
          </w:tblCellMar>
          <w:tblLook w:val="0000"/>
        </w:tblPrEx>
        <w:trPr>
          <w:trHeight w:hRule="exact" w:val="335"/>
        </w:trPr>
        <w:tc>
          <w:tcPr>
            <w:tcW w:w="857" w:type="pct"/>
            <w:tcBorders>
              <w:top w:val="single" w:sz="8" w:space="0" w:color="auto"/>
              <w:left w:val="single" w:sz="12" w:space="0" w:color="000000"/>
              <w:bottom w:val="single" w:sz="8" w:space="0" w:color="000000"/>
              <w:right w:val="single" w:sz="8" w:space="0" w:color="auto"/>
            </w:tcBorders>
            <w:shd w:val="clear" w:color="auto" w:fill="auto"/>
            <w:vAlign w:val="bottom"/>
          </w:tcPr>
          <w:p w:rsidR="003E7309" w:rsidRPr="00CC2DDE" w:rsidP="003E7309" w14:paraId="6A0B007C" w14:textId="21DD634E">
            <w:pPr>
              <w:keepNext/>
              <w:widowControl w:val="0"/>
              <w:suppressAutoHyphens/>
              <w:rPr>
                <w:rStyle w:val="DefaultParagraphFont"/>
                <w:b/>
                <w:snapToGrid w:val="0"/>
                <w:kern w:val="28"/>
                <w:sz w:val="20"/>
                <w:lang w:val="en-US" w:eastAsia="en-US" w:bidi="ar-SA"/>
              </w:rPr>
            </w:pPr>
            <w:r>
              <w:rPr>
                <w:b/>
                <w:snapToGrid w:val="0"/>
                <w:kern w:val="28"/>
                <w:sz w:val="20"/>
                <w:lang w:val="en-US" w:eastAsia="en-US" w:bidi="ar-SA"/>
              </w:rPr>
              <w:t>10</w:t>
            </w:r>
            <w:r w:rsidR="00E12B46">
              <w:rPr>
                <w:b/>
                <w:snapToGrid w:val="0"/>
                <w:kern w:val="28"/>
                <w:sz w:val="20"/>
                <w:lang w:val="en-US" w:eastAsia="en-US" w:bidi="ar-SA"/>
              </w:rPr>
              <w:t>-</w:t>
            </w:r>
            <w:r>
              <w:rPr>
                <w:b/>
                <w:snapToGrid w:val="0"/>
                <w:kern w:val="28"/>
                <w:sz w:val="20"/>
                <w:lang w:val="en-US" w:eastAsia="en-US" w:bidi="ar-SA"/>
              </w:rPr>
              <w:t>year average</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431E7B2D" w14:textId="7E39DFE3">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5.7%</w:t>
            </w:r>
          </w:p>
        </w:tc>
        <w:tc>
          <w:tcPr>
            <w:tcW w:w="629"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036836EE" w14:textId="0D4EF2B1">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4.7%</w:t>
            </w:r>
          </w:p>
        </w:tc>
        <w:tc>
          <w:tcPr>
            <w:tcW w:w="580"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50100A2C" w14:textId="28C12115">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7.0%</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12631F4A" w14:textId="141EDFA0">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-1.6%</w:t>
            </w:r>
          </w:p>
        </w:tc>
        <w:tc>
          <w:tcPr>
            <w:tcW w:w="677"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7FB42389" w14:textId="7F75AB0D">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4.3%</w:t>
            </w:r>
          </w:p>
        </w:tc>
        <w:tc>
          <w:tcPr>
            <w:tcW w:w="483" w:type="pct"/>
            <w:tcBorders>
              <w:top w:val="single" w:sz="8" w:space="0" w:color="auto"/>
              <w:left w:val="single" w:sz="8" w:space="0" w:color="auto"/>
              <w:bottom w:val="single" w:sz="8" w:space="0" w:color="000000"/>
              <w:right w:val="single" w:sz="8" w:space="0" w:color="auto"/>
            </w:tcBorders>
            <w:shd w:val="clear" w:color="auto" w:fill="auto"/>
            <w:vAlign w:val="bottom"/>
          </w:tcPr>
          <w:p w:rsidR="003E7309" w:rsidRPr="00CC2DDE" w:rsidP="00E12B46" w14:paraId="3CC42DD0" w14:textId="60301F30">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1.8%</w:t>
            </w:r>
          </w:p>
        </w:tc>
        <w:tc>
          <w:tcPr>
            <w:tcW w:w="518" w:type="pct"/>
            <w:tcBorders>
              <w:top w:val="single" w:sz="8" w:space="0" w:color="auto"/>
              <w:left w:val="single" w:sz="8" w:space="0" w:color="auto"/>
              <w:bottom w:val="single" w:sz="8" w:space="0" w:color="000000"/>
              <w:right w:val="single" w:sz="12" w:space="0" w:color="000000"/>
            </w:tcBorders>
            <w:shd w:val="clear" w:color="auto" w:fill="auto"/>
            <w:vAlign w:val="bottom"/>
          </w:tcPr>
          <w:p w:rsidR="003E7309" w:rsidRPr="00CC2DDE" w:rsidP="00E12B46" w14:paraId="4D1E65E5" w14:textId="31294BE1">
            <w:pPr>
              <w:keepNext/>
              <w:widowControl w:val="0"/>
              <w:suppressAutoHyphens/>
              <w:jc w:val="center"/>
              <w:rPr>
                <w:rStyle w:val="DefaultParagraphFont"/>
                <w:snapToGrid w:val="0"/>
                <w:kern w:val="28"/>
                <w:sz w:val="20"/>
                <w:lang w:val="en-US" w:eastAsia="en-US" w:bidi="ar-SA"/>
              </w:rPr>
            </w:pPr>
            <w:r>
              <w:rPr>
                <w:snapToGrid w:val="0"/>
                <w:kern w:val="28"/>
                <w:sz w:val="20"/>
                <w:lang w:val="en-US" w:eastAsia="en-US" w:bidi="ar-SA"/>
              </w:rPr>
              <w:t>2.4%</w:t>
            </w:r>
          </w:p>
        </w:tc>
      </w:tr>
      <w:tr w14:paraId="7FEF9EE3" w14:textId="77777777" w:rsidTr="00E12B46">
        <w:tblPrEx>
          <w:tblW w:w="5000" w:type="pct"/>
          <w:tblInd w:w="0" w:type="dxa"/>
          <w:tblLayout w:type="fixed"/>
          <w:tblCellMar>
            <w:top w:w="0" w:type="dxa"/>
            <w:left w:w="108" w:type="dxa"/>
            <w:bottom w:w="0" w:type="dxa"/>
            <w:right w:w="108" w:type="dxa"/>
          </w:tblCellMar>
          <w:tblLook w:val="0000"/>
        </w:tblPrEx>
        <w:trPr>
          <w:trHeight w:hRule="exact" w:val="547"/>
        </w:trPr>
        <w:tc>
          <w:tcPr>
            <w:tcW w:w="5000" w:type="pct"/>
            <w:gridSpan w:val="8"/>
            <w:tcBorders>
              <w:top w:val="single" w:sz="12" w:space="0" w:color="000000"/>
            </w:tcBorders>
            <w:shd w:val="clear" w:color="auto" w:fill="auto"/>
            <w:vAlign w:val="bottom"/>
          </w:tcPr>
          <w:p w:rsidR="003E7309" w:rsidRPr="00FB30FF" w:rsidP="003E7309" w14:paraId="3DFBCCE1" w14:textId="77777777">
            <w:pPr>
              <w:keepNext/>
              <w:widowControl w:val="0"/>
              <w:suppressAutoHyphens/>
              <w:rPr>
                <w:rStyle w:val="DefaultParagraphFont"/>
                <w:snapToGrid w:val="0"/>
                <w:color w:val="000000"/>
                <w:kern w:val="28"/>
                <w:sz w:val="20"/>
                <w:lang w:val="en-US" w:eastAsia="en-US" w:bidi="ar-SA"/>
              </w:rPr>
            </w:pPr>
            <w:r w:rsidRPr="00B06FA5">
              <w:rPr>
                <w:snapToGrid w:val="0"/>
                <w:color w:val="000000"/>
                <w:kern w:val="28"/>
                <w:sz w:val="20"/>
                <w:lang w:val="en-US" w:eastAsia="en-US" w:bidi="ar-SA"/>
              </w:rPr>
              <w:t>Source:</w:t>
            </w:r>
            <w:r w:rsidRPr="00372458">
              <w:rPr>
                <w:snapToGrid w:val="0"/>
                <w:color w:val="000000"/>
                <w:kern w:val="28"/>
                <w:sz w:val="20"/>
                <w:lang w:val="en-US" w:eastAsia="en-US" w:bidi="ar-SA"/>
              </w:rPr>
              <w:t xml:space="preserve"> </w:t>
            </w:r>
            <w:r>
              <w:rPr>
                <w:snapToGrid w:val="0"/>
                <w:color w:val="000000"/>
                <w:kern w:val="28"/>
                <w:sz w:val="20"/>
                <w:lang w:val="en-US" w:eastAsia="en-US" w:bidi="ar-SA"/>
              </w:rPr>
              <w:t xml:space="preserve"> Attachment 7</w:t>
            </w:r>
            <w:r w:rsidRPr="00FB30FF">
              <w:rPr>
                <w:snapToGrid w:val="0"/>
                <w:color w:val="000000"/>
                <w:kern w:val="28"/>
                <w:sz w:val="20"/>
                <w:lang w:val="en-US" w:eastAsia="en-US" w:bidi="ar-SA"/>
              </w:rPr>
              <w:t>.</w:t>
            </w:r>
            <w:r>
              <w:rPr>
                <w:snapToGrid w:val="0"/>
                <w:color w:val="000000"/>
                <w:kern w:val="28"/>
                <w:sz w:val="20"/>
                <w:lang w:val="en-US" w:eastAsia="en-US" w:bidi="ar-SA"/>
              </w:rPr>
              <w:t xml:space="preserve">  Attachment 7 shows the series back to 1995.  Rates of change for channels and price per channel are based on the indices shown in Attachment 7 and cannot be calculated from this table.</w:t>
            </w:r>
          </w:p>
        </w:tc>
      </w:tr>
    </w:tbl>
    <w:p w:rsidR="00E12B46" w14:paraId="7B49E6B0" w14:textId="77777777">
      <w:pPr>
        <w:widowControl/>
        <w:rPr>
          <w:b/>
          <w:szCs w:val="22"/>
        </w:rPr>
      </w:pPr>
      <w:bookmarkStart w:id="52" w:name="_Toc202234563"/>
      <w:bookmarkStart w:id="53" w:name="_Toc235506582"/>
      <w:bookmarkStart w:id="54" w:name="_Toc235591781"/>
      <w:bookmarkStart w:id="55" w:name="_Toc248805866"/>
      <w:bookmarkStart w:id="56" w:name="_Toc384990874"/>
      <w:bookmarkStart w:id="57" w:name="_Toc384991979"/>
      <w:bookmarkStart w:id="58" w:name="_Toc384992815"/>
      <w:bookmarkStart w:id="59" w:name="_Toc456873885"/>
      <w:bookmarkStart w:id="60" w:name="_Toc456874097"/>
      <w:r>
        <w:br w:type="page"/>
      </w:r>
    </w:p>
    <w:p w:rsidR="00167D5D" w:rsidRPr="00167D5D" w:rsidP="00EE4D37" w14:paraId="33AD07A8" w14:textId="79638DF5">
      <w:pPr>
        <w:pStyle w:val="Heading2"/>
      </w:pPr>
      <w:r w:rsidRPr="00167D5D">
        <w:t>Cable Programming Channels</w:t>
      </w:r>
      <w:bookmarkEnd w:id="52"/>
      <w:bookmarkEnd w:id="53"/>
      <w:bookmarkEnd w:id="54"/>
      <w:bookmarkEnd w:id="55"/>
      <w:bookmarkEnd w:id="56"/>
      <w:bookmarkEnd w:id="57"/>
      <w:bookmarkEnd w:id="58"/>
      <w:bookmarkEnd w:id="59"/>
      <w:bookmarkEnd w:id="60"/>
    </w:p>
    <w:p w:rsidR="004D35A0" w:rsidP="001C621C" w14:paraId="3A37CA28" w14:textId="56A0979C">
      <w:pPr>
        <w:pStyle w:val="Paranum0"/>
        <w:numPr>
          <w:ilvl w:val="0"/>
          <w:numId w:val="12"/>
        </w:numPr>
        <w:tabs>
          <w:tab w:val="clear" w:pos="1080"/>
          <w:tab w:val="num" w:pos="1440"/>
        </w:tabs>
        <w:suppressAutoHyphens/>
        <w:spacing w:after="240"/>
        <w:jc w:val="left"/>
        <w:rPr>
          <w:szCs w:val="22"/>
        </w:rPr>
      </w:pPr>
      <w:r w:rsidRPr="00167D5D">
        <w:rPr>
          <w:szCs w:val="22"/>
        </w:rPr>
        <w:t>Table 5 shows the average number of video channels offered</w:t>
      </w:r>
      <w:r w:rsidR="007D38F8">
        <w:rPr>
          <w:szCs w:val="22"/>
        </w:rPr>
        <w:t>,</w:t>
      </w:r>
      <w:r w:rsidR="006F4A0A">
        <w:rPr>
          <w:szCs w:val="22"/>
        </w:rPr>
        <w:t xml:space="preserve"> and</w:t>
      </w:r>
      <w:r w:rsidRPr="00167D5D">
        <w:rPr>
          <w:szCs w:val="22"/>
        </w:rPr>
        <w:t xml:space="preserve"> the annual percentage change in the number</w:t>
      </w:r>
      <w:r w:rsidR="007D38F8">
        <w:rPr>
          <w:szCs w:val="22"/>
        </w:rPr>
        <w:t>, as of January 1, 2016.  The number of c</w:t>
      </w:r>
      <w:r w:rsidRPr="00167D5D">
        <w:rPr>
          <w:szCs w:val="22"/>
        </w:rPr>
        <w:t>hannels</w:t>
      </w:r>
      <w:r w:rsidR="007D38F8">
        <w:rPr>
          <w:szCs w:val="22"/>
        </w:rPr>
        <w:t xml:space="preserve"> </w:t>
      </w:r>
      <w:r w:rsidRPr="00167D5D">
        <w:rPr>
          <w:szCs w:val="22"/>
        </w:rPr>
        <w:t xml:space="preserve">under expanded basic </w:t>
      </w:r>
      <w:r w:rsidR="006F4A0A">
        <w:rPr>
          <w:szCs w:val="22"/>
        </w:rPr>
        <w:t xml:space="preserve">service </w:t>
      </w:r>
      <w:r w:rsidRPr="00167D5D">
        <w:rPr>
          <w:szCs w:val="22"/>
        </w:rPr>
        <w:t>include</w:t>
      </w:r>
      <w:r w:rsidR="00373AC5">
        <w:rPr>
          <w:szCs w:val="22"/>
        </w:rPr>
        <w:t>s</w:t>
      </w:r>
      <w:r w:rsidRPr="00167D5D">
        <w:rPr>
          <w:szCs w:val="22"/>
        </w:rPr>
        <w:t xml:space="preserve"> all basic service channels.</w:t>
      </w:r>
      <w:r w:rsidR="007D38F8">
        <w:rPr>
          <w:szCs w:val="22"/>
        </w:rPr>
        <w:t xml:space="preserve">  Channels offered with t</w:t>
      </w:r>
      <w:r w:rsidRPr="00167D5D">
        <w:rPr>
          <w:szCs w:val="22"/>
        </w:rPr>
        <w:t xml:space="preserve">he next most popular service generally include </w:t>
      </w:r>
      <w:r w:rsidR="007D38F8">
        <w:rPr>
          <w:szCs w:val="22"/>
        </w:rPr>
        <w:t xml:space="preserve">all the </w:t>
      </w:r>
      <w:r w:rsidRPr="00167D5D">
        <w:rPr>
          <w:szCs w:val="22"/>
        </w:rPr>
        <w:t xml:space="preserve">expanded basic channels plus at least seven additional channels.  </w:t>
      </w:r>
      <w:r w:rsidR="006F4A0A">
        <w:rPr>
          <w:szCs w:val="22"/>
        </w:rPr>
        <w:t>In the full sample</w:t>
      </w:r>
      <w:r w:rsidRPr="00167D5D">
        <w:rPr>
          <w:szCs w:val="22"/>
        </w:rPr>
        <w:t xml:space="preserve">, the </w:t>
      </w:r>
      <w:r w:rsidR="006F4A0A">
        <w:rPr>
          <w:szCs w:val="22"/>
        </w:rPr>
        <w:t xml:space="preserve">average </w:t>
      </w:r>
      <w:r w:rsidRPr="00167D5D">
        <w:rPr>
          <w:szCs w:val="22"/>
        </w:rPr>
        <w:t xml:space="preserve">number of channels </w:t>
      </w:r>
      <w:r w:rsidR="006F4A0A">
        <w:rPr>
          <w:szCs w:val="22"/>
        </w:rPr>
        <w:t>was</w:t>
      </w:r>
      <w:r w:rsidRPr="00167D5D" w:rsidR="006F4A0A">
        <w:rPr>
          <w:szCs w:val="22"/>
        </w:rPr>
        <w:t xml:space="preserve"> </w:t>
      </w:r>
      <w:r w:rsidR="00373AC5">
        <w:rPr>
          <w:szCs w:val="22"/>
        </w:rPr>
        <w:t>60</w:t>
      </w:r>
      <w:r w:rsidRPr="00167D5D">
        <w:rPr>
          <w:szCs w:val="22"/>
        </w:rPr>
        <w:t xml:space="preserve">, </w:t>
      </w:r>
      <w:r w:rsidRPr="00167D5D" w:rsidR="00B02C98">
        <w:rPr>
          <w:szCs w:val="22"/>
        </w:rPr>
        <w:t>1</w:t>
      </w:r>
      <w:r w:rsidR="00373AC5">
        <w:rPr>
          <w:szCs w:val="22"/>
        </w:rPr>
        <w:t>81</w:t>
      </w:r>
      <w:r w:rsidRPr="00167D5D">
        <w:rPr>
          <w:szCs w:val="22"/>
        </w:rPr>
        <w:t xml:space="preserve">, and </w:t>
      </w:r>
      <w:r w:rsidR="00B02C98">
        <w:rPr>
          <w:szCs w:val="22"/>
        </w:rPr>
        <w:t>26</w:t>
      </w:r>
      <w:r w:rsidR="00373AC5">
        <w:rPr>
          <w:szCs w:val="22"/>
        </w:rPr>
        <w:t>3</w:t>
      </w:r>
      <w:r w:rsidRPr="00167D5D" w:rsidR="00B02C98">
        <w:rPr>
          <w:szCs w:val="22"/>
        </w:rPr>
        <w:t xml:space="preserve"> </w:t>
      </w:r>
      <w:r w:rsidRPr="00167D5D">
        <w:rPr>
          <w:szCs w:val="22"/>
        </w:rPr>
        <w:t xml:space="preserve">for basic service, expanded basic service, and the next most popular service, respectively.  The </w:t>
      </w:r>
      <w:r w:rsidR="007D38F8">
        <w:rPr>
          <w:szCs w:val="22"/>
        </w:rPr>
        <w:t xml:space="preserve">total </w:t>
      </w:r>
      <w:r w:rsidRPr="00167D5D">
        <w:rPr>
          <w:szCs w:val="22"/>
        </w:rPr>
        <w:t xml:space="preserve">number of video channels </w:t>
      </w:r>
      <w:r w:rsidR="001F5F67">
        <w:rPr>
          <w:szCs w:val="22"/>
        </w:rPr>
        <w:t xml:space="preserve">offered </w:t>
      </w:r>
      <w:r w:rsidR="001D5191">
        <w:rPr>
          <w:szCs w:val="22"/>
        </w:rPr>
        <w:t>by cable operators, including pay and pay-per-view channels and other programming tiers not includ</w:t>
      </w:r>
      <w:r w:rsidR="00D86CD0">
        <w:rPr>
          <w:szCs w:val="22"/>
        </w:rPr>
        <w:t>ed</w:t>
      </w:r>
      <w:r w:rsidR="001D5191">
        <w:rPr>
          <w:szCs w:val="22"/>
        </w:rPr>
        <w:t xml:space="preserve"> in the Report</w:t>
      </w:r>
      <w:r w:rsidR="007D38F8">
        <w:rPr>
          <w:szCs w:val="22"/>
        </w:rPr>
        <w:t>,</w:t>
      </w:r>
      <w:r w:rsidR="001D5191">
        <w:rPr>
          <w:szCs w:val="22"/>
        </w:rPr>
        <w:t xml:space="preserve"> </w:t>
      </w:r>
      <w:r w:rsidR="002149A8">
        <w:rPr>
          <w:szCs w:val="22"/>
        </w:rPr>
        <w:t>was, on average,</w:t>
      </w:r>
      <w:r w:rsidRPr="00167D5D">
        <w:rPr>
          <w:szCs w:val="22"/>
        </w:rPr>
        <w:t xml:space="preserve"> 455</w:t>
      </w:r>
      <w:r w:rsidR="001D5191">
        <w:rPr>
          <w:szCs w:val="22"/>
        </w:rPr>
        <w:t xml:space="preserve"> channels</w:t>
      </w:r>
      <w:r w:rsidR="00235C3E">
        <w:rPr>
          <w:szCs w:val="22"/>
        </w:rPr>
        <w:t>.  Th</w:t>
      </w:r>
      <w:r w:rsidR="001D5191">
        <w:rPr>
          <w:szCs w:val="22"/>
        </w:rPr>
        <w:t>ese</w:t>
      </w:r>
      <w:r w:rsidR="001F5F67">
        <w:rPr>
          <w:szCs w:val="22"/>
        </w:rPr>
        <w:t xml:space="preserve"> figure</w:t>
      </w:r>
      <w:r w:rsidR="001D5191">
        <w:rPr>
          <w:szCs w:val="22"/>
        </w:rPr>
        <w:t>s</w:t>
      </w:r>
      <w:r w:rsidR="001F5F67">
        <w:rPr>
          <w:szCs w:val="22"/>
        </w:rPr>
        <w:t xml:space="preserve"> include</w:t>
      </w:r>
      <w:r w:rsidR="00235C3E">
        <w:rPr>
          <w:szCs w:val="22"/>
        </w:rPr>
        <w:t xml:space="preserve"> </w:t>
      </w:r>
      <w:r w:rsidR="001F5F67">
        <w:rPr>
          <w:szCs w:val="22"/>
        </w:rPr>
        <w:t xml:space="preserve">all video </w:t>
      </w:r>
      <w:r w:rsidRPr="00167D5D">
        <w:rPr>
          <w:szCs w:val="22"/>
        </w:rPr>
        <w:t xml:space="preserve">channels </w:t>
      </w:r>
      <w:r w:rsidR="001D5191">
        <w:rPr>
          <w:szCs w:val="22"/>
        </w:rPr>
        <w:t>in all formats</w:t>
      </w:r>
      <w:r w:rsidR="00D86CD0">
        <w:rPr>
          <w:szCs w:val="22"/>
        </w:rPr>
        <w:t xml:space="preserve"> and excludes</w:t>
      </w:r>
      <w:r w:rsidR="001F5F67">
        <w:rPr>
          <w:szCs w:val="22"/>
        </w:rPr>
        <w:t xml:space="preserve"> </w:t>
      </w:r>
      <w:r w:rsidR="001D5191">
        <w:rPr>
          <w:szCs w:val="22"/>
        </w:rPr>
        <w:t>a</w:t>
      </w:r>
      <w:r w:rsidR="001F5F67">
        <w:rPr>
          <w:szCs w:val="22"/>
        </w:rPr>
        <w:t>udio-only channels.</w:t>
      </w:r>
      <w:r w:rsidR="00B046A7">
        <w:rPr>
          <w:szCs w:val="22"/>
        </w:rPr>
        <w:t xml:space="preserve"> </w:t>
      </w:r>
    </w:p>
    <w:tbl>
      <w:tblPr>
        <w:tblW w:w="5000" w:type="pct"/>
        <w:tblInd w:w="0" w:type="dxa"/>
        <w:tblLayout w:type="fixed"/>
        <w:tblCellMar>
          <w:top w:w="0" w:type="dxa"/>
          <w:left w:w="108" w:type="dxa"/>
          <w:bottom w:w="0" w:type="dxa"/>
          <w:right w:w="108" w:type="dxa"/>
        </w:tblCellMar>
        <w:tblLook w:val="04A0"/>
      </w:tblPr>
      <w:tblGrid>
        <w:gridCol w:w="1690"/>
        <w:gridCol w:w="903"/>
        <w:gridCol w:w="1172"/>
        <w:gridCol w:w="1260"/>
        <w:gridCol w:w="810"/>
        <w:gridCol w:w="810"/>
        <w:gridCol w:w="810"/>
        <w:gridCol w:w="810"/>
        <w:gridCol w:w="1065"/>
      </w:tblGrid>
      <w:tr w14:paraId="1DAF2C80" w14:textId="77777777" w:rsidTr="00E12B46">
        <w:tblPrEx>
          <w:tblW w:w="5000" w:type="pct"/>
          <w:tblInd w:w="0" w:type="dxa"/>
          <w:tblLayout w:type="fixed"/>
          <w:tblCellMar>
            <w:top w:w="0" w:type="dxa"/>
            <w:left w:w="108" w:type="dxa"/>
            <w:bottom w:w="0" w:type="dxa"/>
            <w:right w:w="108" w:type="dxa"/>
          </w:tblCellMar>
          <w:tblLook w:val="04A0"/>
        </w:tblPrEx>
        <w:trPr>
          <w:trHeight w:hRule="exact" w:val="121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A583F" w:rsidRPr="00B06FA5" w:rsidP="004E16D7" w14:paraId="789DBDC3" w14:textId="77777777">
            <w:pPr>
              <w:widowControl/>
              <w:suppressAutoHyphens/>
              <w:jc w:val="center"/>
              <w:rPr>
                <w:rStyle w:val="DefaultParagraphFont"/>
                <w:b/>
                <w:bCs/>
                <w:snapToGrid/>
                <w:kern w:val="0"/>
                <w:sz w:val="22"/>
                <w:szCs w:val="22"/>
                <w:lang w:val="en-US" w:eastAsia="en-US" w:bidi="ar-SA"/>
              </w:rPr>
            </w:pPr>
            <w:r w:rsidRPr="00B06FA5">
              <w:rPr>
                <w:b/>
                <w:bCs/>
                <w:snapToGrid/>
                <w:kern w:val="0"/>
                <w:sz w:val="22"/>
                <w:szCs w:val="22"/>
                <w:lang w:val="en-US" w:eastAsia="en-US" w:bidi="ar-SA"/>
              </w:rPr>
              <w:t>Table 5</w:t>
            </w:r>
          </w:p>
          <w:p w:rsidR="006A583F" w:rsidRPr="00B06FA5" w:rsidP="004E16D7" w14:paraId="5685CC29" w14:textId="77777777">
            <w:pPr>
              <w:widowControl/>
              <w:suppressAutoHyphens/>
              <w:jc w:val="center"/>
              <w:rPr>
                <w:rStyle w:val="DefaultParagraphFont"/>
                <w:b/>
                <w:bCs/>
                <w:snapToGrid/>
                <w:kern w:val="0"/>
                <w:sz w:val="22"/>
                <w:szCs w:val="22"/>
                <w:lang w:val="en-US" w:eastAsia="en-US" w:bidi="ar-SA"/>
              </w:rPr>
            </w:pPr>
            <w:r w:rsidRPr="00B06FA5">
              <w:rPr>
                <w:b/>
                <w:bCs/>
                <w:snapToGrid/>
                <w:kern w:val="0"/>
                <w:sz w:val="22"/>
                <w:szCs w:val="22"/>
                <w:lang w:val="en-US" w:eastAsia="en-US" w:bidi="ar-SA"/>
              </w:rPr>
              <w:t>Number of Video Channels</w:t>
            </w:r>
          </w:p>
          <w:p w:rsidR="006A583F" w:rsidRPr="00B06FA5" w:rsidP="004E16D7" w14:paraId="65F63781" w14:textId="555B9377">
            <w:pPr>
              <w:widowControl/>
              <w:suppressAutoHyphens/>
              <w:jc w:val="center"/>
              <w:rPr>
                <w:rStyle w:val="DefaultParagraphFont"/>
                <w:snapToGrid/>
                <w:kern w:val="0"/>
                <w:sz w:val="22"/>
                <w:szCs w:val="22"/>
                <w:lang w:val="en-US" w:eastAsia="en-US" w:bidi="ar-SA"/>
              </w:rPr>
            </w:pPr>
            <w:r>
              <w:rPr>
                <w:snapToGrid/>
                <w:kern w:val="0"/>
                <w:sz w:val="22"/>
                <w:szCs w:val="22"/>
                <w:lang w:val="en-US" w:eastAsia="en-US" w:bidi="ar-SA"/>
              </w:rPr>
              <w:t>b</w:t>
            </w:r>
            <w:r w:rsidRPr="00B06FA5">
              <w:rPr>
                <w:snapToGrid/>
                <w:kern w:val="0"/>
                <w:sz w:val="22"/>
                <w:szCs w:val="22"/>
                <w:lang w:val="en-US" w:eastAsia="en-US" w:bidi="ar-SA"/>
              </w:rPr>
              <w:t>y Status of Effective Competition</w:t>
            </w:r>
          </w:p>
          <w:p w:rsidR="006A583F" w:rsidRPr="006A583F" w:rsidP="004E16D7" w14:paraId="31BC3E4F" w14:textId="77777777">
            <w:pPr>
              <w:widowControl w:val="0"/>
              <w:suppressAutoHyphens/>
              <w:jc w:val="center"/>
              <w:rPr>
                <w:rStyle w:val="DefaultParagraphFont"/>
                <w:b/>
                <w:bCs/>
                <w:snapToGrid/>
                <w:kern w:val="0"/>
                <w:sz w:val="24"/>
                <w:szCs w:val="24"/>
                <w:lang w:val="en-US" w:eastAsia="en-US" w:bidi="ar-SA"/>
              </w:rPr>
            </w:pPr>
            <w:r w:rsidRPr="00B06FA5">
              <w:rPr>
                <w:snapToGrid/>
                <w:kern w:val="0"/>
                <w:sz w:val="22"/>
                <w:szCs w:val="22"/>
                <w:lang w:val="en-US" w:eastAsia="en-US" w:bidi="ar-SA"/>
              </w:rPr>
              <w:t>January 1, 2016</w:t>
            </w:r>
          </w:p>
        </w:tc>
      </w:tr>
      <w:tr w14:paraId="5E3622EB" w14:textId="77777777" w:rsidTr="00E12B46">
        <w:tblPrEx>
          <w:tblW w:w="5000" w:type="pct"/>
          <w:tblInd w:w="0" w:type="dxa"/>
          <w:tblLayout w:type="fixed"/>
          <w:tblCellMar>
            <w:top w:w="0" w:type="dxa"/>
            <w:left w:w="108" w:type="dxa"/>
            <w:bottom w:w="0" w:type="dxa"/>
            <w:right w:w="108" w:type="dxa"/>
          </w:tblCellMar>
          <w:tblLook w:val="04A0"/>
        </w:tblPrEx>
        <w:trPr>
          <w:trHeight w:hRule="exact" w:val="381"/>
        </w:trPr>
        <w:tc>
          <w:tcPr>
            <w:tcW w:w="906"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373AC5" w:rsidP="004E16D7" w14:paraId="2C96ECA2" w14:textId="77777777">
            <w:pPr>
              <w:widowControl/>
              <w:suppressAutoHyphens/>
              <w:jc w:val="center"/>
              <w:rPr>
                <w:rStyle w:val="DefaultParagraphFont"/>
                <w:b/>
                <w:bCs/>
                <w:snapToGrid/>
                <w:kern w:val="0"/>
                <w:sz w:val="20"/>
                <w:lang w:val="en-US" w:eastAsia="en-US" w:bidi="ar-SA"/>
              </w:rPr>
            </w:pPr>
            <w:r w:rsidRPr="006A583F">
              <w:rPr>
                <w:b/>
                <w:bCs/>
                <w:snapToGrid/>
                <w:kern w:val="0"/>
                <w:sz w:val="20"/>
                <w:lang w:val="en-US" w:eastAsia="en-US" w:bidi="ar-SA"/>
              </w:rPr>
              <w:t xml:space="preserve">Cable </w:t>
            </w:r>
          </w:p>
          <w:p w:rsidR="006A583F" w:rsidRPr="006A583F" w:rsidP="004E16D7" w14:paraId="644AEF22" w14:textId="3500D62C">
            <w:pPr>
              <w:widowControl/>
              <w:suppressAutoHyphens/>
              <w:jc w:val="center"/>
              <w:rPr>
                <w:rStyle w:val="DefaultParagraphFont"/>
                <w:b/>
                <w:bCs/>
                <w:snapToGrid/>
                <w:kern w:val="0"/>
                <w:sz w:val="20"/>
                <w:lang w:val="en-US" w:eastAsia="en-US" w:bidi="ar-SA"/>
              </w:rPr>
            </w:pPr>
            <w:r w:rsidRPr="006A583F">
              <w:rPr>
                <w:b/>
                <w:bCs/>
                <w:snapToGrid/>
                <w:kern w:val="0"/>
                <w:sz w:val="20"/>
                <w:lang w:val="en-US" w:eastAsia="en-US" w:bidi="ar-SA"/>
              </w:rPr>
              <w:t>Service</w:t>
            </w:r>
          </w:p>
        </w:tc>
        <w:tc>
          <w:tcPr>
            <w:tcW w:w="484" w:type="pct"/>
            <w:vMerge w:val="restart"/>
            <w:tcBorders>
              <w:top w:val="single" w:sz="12" w:space="0" w:color="auto"/>
              <w:left w:val="single" w:sz="4" w:space="0" w:color="auto"/>
              <w:bottom w:val="nil"/>
              <w:right w:val="single" w:sz="4" w:space="0" w:color="auto"/>
            </w:tcBorders>
            <w:shd w:val="clear" w:color="auto" w:fill="auto"/>
            <w:vAlign w:val="center"/>
            <w:hideMark/>
          </w:tcPr>
          <w:p w:rsidR="006A583F" w:rsidRPr="006A583F" w:rsidP="004E16D7" w14:paraId="29C4D3E1" w14:textId="511F35DA">
            <w:pPr>
              <w:widowControl/>
              <w:suppressAutoHyphens/>
              <w:jc w:val="center"/>
              <w:rPr>
                <w:rStyle w:val="DefaultParagraphFont"/>
                <w:b/>
                <w:bCs/>
                <w:snapToGrid/>
                <w:kern w:val="0"/>
                <w:sz w:val="20"/>
                <w:lang w:val="en-US" w:eastAsia="en-US" w:bidi="ar-SA"/>
              </w:rPr>
            </w:pPr>
            <w:r w:rsidRPr="00C1369B">
              <w:rPr>
                <w:b/>
                <w:bCs/>
                <w:snapToGrid/>
                <w:kern w:val="0"/>
                <w:sz w:val="20"/>
                <w:lang w:val="en-US" w:eastAsia="en-US" w:bidi="ar-SA"/>
              </w:rPr>
              <w:t>Full Sample</w:t>
            </w:r>
          </w:p>
        </w:tc>
        <w:tc>
          <w:tcPr>
            <w:tcW w:w="628" w:type="pct"/>
            <w:vMerge w:val="restart"/>
            <w:tcBorders>
              <w:top w:val="single" w:sz="12" w:space="0" w:color="auto"/>
              <w:left w:val="single" w:sz="4" w:space="0" w:color="auto"/>
              <w:bottom w:val="nil"/>
              <w:right w:val="single" w:sz="4" w:space="0" w:color="auto"/>
            </w:tcBorders>
            <w:shd w:val="clear" w:color="auto" w:fill="auto"/>
            <w:vAlign w:val="center"/>
            <w:hideMark/>
          </w:tcPr>
          <w:p w:rsidR="006A583F" w:rsidRPr="00E12B46" w:rsidP="004E16D7" w14:paraId="7F01211F" w14:textId="426811EC">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Non</w:t>
            </w:r>
            <w:r w:rsidRPr="00E12B46" w:rsidR="00373AC5">
              <w:rPr>
                <w:b/>
                <w:bCs/>
                <w:snapToGrid/>
                <w:kern w:val="0"/>
                <w:sz w:val="19"/>
                <w:szCs w:val="19"/>
                <w:lang w:val="en-US" w:eastAsia="en-US" w:bidi="ar-SA"/>
              </w:rPr>
              <w:t>-</w:t>
            </w:r>
          </w:p>
          <w:p w:rsidR="006A583F" w:rsidRPr="00E12B46" w:rsidP="004E16D7" w14:paraId="69609FEA" w14:textId="4144C2BA">
            <w:pPr>
              <w:widowControl/>
              <w:suppressAutoHyphens/>
              <w:spacing w:after="120"/>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c</w:t>
            </w:r>
            <w:r w:rsidRPr="00E12B46">
              <w:rPr>
                <w:b/>
                <w:bCs/>
                <w:snapToGrid/>
                <w:kern w:val="0"/>
                <w:sz w:val="19"/>
                <w:szCs w:val="19"/>
                <w:lang w:val="en-US" w:eastAsia="en-US" w:bidi="ar-SA"/>
              </w:rPr>
              <w:t>ompetitive Group</w:t>
            </w:r>
          </w:p>
        </w:tc>
        <w:tc>
          <w:tcPr>
            <w:tcW w:w="675"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A583F" w:rsidRPr="00E12B46" w:rsidP="004E16D7" w14:paraId="3AE3C560"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Effective Competition Group</w:t>
            </w:r>
          </w:p>
        </w:tc>
        <w:tc>
          <w:tcPr>
            <w:tcW w:w="2307" w:type="pct"/>
            <w:gridSpan w:val="5"/>
            <w:tcBorders>
              <w:top w:val="single" w:sz="12" w:space="0" w:color="auto"/>
              <w:left w:val="nil"/>
              <w:bottom w:val="single" w:sz="4" w:space="0" w:color="auto"/>
              <w:right w:val="single" w:sz="12" w:space="0" w:color="auto"/>
            </w:tcBorders>
            <w:shd w:val="clear" w:color="auto" w:fill="auto"/>
            <w:noWrap/>
            <w:vAlign w:val="bottom"/>
            <w:hideMark/>
          </w:tcPr>
          <w:p w:rsidR="006A583F" w:rsidRPr="00E12B46" w:rsidP="004E16D7" w14:paraId="4F17C6E5"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Effective Competition Subgroups</w:t>
            </w:r>
          </w:p>
        </w:tc>
      </w:tr>
      <w:tr w14:paraId="6C12BC55" w14:textId="77777777" w:rsidTr="00E12B46">
        <w:tblPrEx>
          <w:tblW w:w="5000" w:type="pct"/>
          <w:tblInd w:w="0" w:type="dxa"/>
          <w:tblLayout w:type="fixed"/>
          <w:tblCellMar>
            <w:top w:w="0" w:type="dxa"/>
            <w:left w:w="108" w:type="dxa"/>
            <w:bottom w:w="0" w:type="dxa"/>
            <w:right w:w="108" w:type="dxa"/>
          </w:tblCellMar>
          <w:tblLook w:val="04A0"/>
        </w:tblPrEx>
        <w:trPr>
          <w:trHeight w:hRule="exact" w:val="518"/>
        </w:trPr>
        <w:tc>
          <w:tcPr>
            <w:tcW w:w="906" w:type="pct"/>
            <w:vMerge/>
            <w:tcBorders>
              <w:top w:val="nil"/>
              <w:left w:val="single" w:sz="12" w:space="0" w:color="auto"/>
              <w:bottom w:val="single" w:sz="4" w:space="0" w:color="auto"/>
              <w:right w:val="single" w:sz="4" w:space="0" w:color="auto"/>
            </w:tcBorders>
            <w:vAlign w:val="center"/>
            <w:hideMark/>
          </w:tcPr>
          <w:p w:rsidR="006A583F" w:rsidRPr="006A583F" w:rsidP="004E16D7" w14:paraId="5DE68881" w14:textId="77777777">
            <w:pPr>
              <w:widowControl/>
              <w:suppressAutoHyphens/>
              <w:rPr>
                <w:rStyle w:val="DefaultParagraphFont"/>
                <w:b/>
                <w:bCs/>
                <w:snapToGrid/>
                <w:kern w:val="0"/>
                <w:sz w:val="20"/>
                <w:lang w:val="en-US" w:eastAsia="en-US" w:bidi="ar-SA"/>
              </w:rPr>
            </w:pPr>
          </w:p>
        </w:tc>
        <w:tc>
          <w:tcPr>
            <w:tcW w:w="484" w:type="pct"/>
            <w:vMerge/>
            <w:tcBorders>
              <w:top w:val="nil"/>
              <w:left w:val="single" w:sz="4" w:space="0" w:color="auto"/>
              <w:bottom w:val="nil"/>
              <w:right w:val="single" w:sz="4" w:space="0" w:color="auto"/>
            </w:tcBorders>
            <w:vAlign w:val="center"/>
            <w:hideMark/>
          </w:tcPr>
          <w:p w:rsidR="006A583F" w:rsidRPr="006A583F" w:rsidP="004E16D7" w14:paraId="700FB5B8" w14:textId="77777777">
            <w:pPr>
              <w:widowControl/>
              <w:suppressAutoHyphens/>
              <w:rPr>
                <w:rStyle w:val="DefaultParagraphFont"/>
                <w:b/>
                <w:bCs/>
                <w:snapToGrid/>
                <w:kern w:val="0"/>
                <w:sz w:val="20"/>
                <w:lang w:val="en-US" w:eastAsia="en-US" w:bidi="ar-SA"/>
              </w:rPr>
            </w:pPr>
          </w:p>
        </w:tc>
        <w:tc>
          <w:tcPr>
            <w:tcW w:w="628" w:type="pct"/>
            <w:vMerge/>
            <w:tcBorders>
              <w:top w:val="nil"/>
              <w:left w:val="single" w:sz="4" w:space="0" w:color="auto"/>
              <w:bottom w:val="nil"/>
              <w:right w:val="single" w:sz="4" w:space="0" w:color="auto"/>
            </w:tcBorders>
            <w:vAlign w:val="center"/>
            <w:hideMark/>
          </w:tcPr>
          <w:p w:rsidR="006A583F" w:rsidRPr="006A583F" w:rsidP="004E16D7" w14:paraId="25BB5386"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6A583F" w:rsidRPr="006A583F" w:rsidP="004E16D7" w14:paraId="1E8002F0" w14:textId="77777777">
            <w:pPr>
              <w:widowControl/>
              <w:suppressAutoHyphens/>
              <w:rPr>
                <w:rStyle w:val="DefaultParagraphFont"/>
                <w:b/>
                <w:bCs/>
                <w:snapToGrid/>
                <w:kern w:val="0"/>
                <w:sz w:val="20"/>
                <w:lang w:val="en-US" w:eastAsia="en-US" w:bidi="ar-SA"/>
              </w:rPr>
            </w:pPr>
          </w:p>
        </w:tc>
        <w:tc>
          <w:tcPr>
            <w:tcW w:w="1302" w:type="pct"/>
            <w:gridSpan w:val="3"/>
            <w:tcBorders>
              <w:top w:val="single" w:sz="4" w:space="0" w:color="auto"/>
              <w:left w:val="nil"/>
              <w:bottom w:val="single" w:sz="4" w:space="0" w:color="auto"/>
              <w:right w:val="single" w:sz="4" w:space="0" w:color="000000"/>
            </w:tcBorders>
            <w:shd w:val="clear" w:color="auto" w:fill="auto"/>
            <w:vAlign w:val="bottom"/>
            <w:hideMark/>
          </w:tcPr>
          <w:p w:rsidR="006A583F" w:rsidRPr="00E12B46" w:rsidP="004E16D7" w14:paraId="2FFD8110"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Second Cable</w:t>
            </w:r>
          </w:p>
          <w:p w:rsidR="006A583F" w:rsidRPr="00E12B46" w:rsidP="004E16D7" w14:paraId="2B4D0E6B"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 xml:space="preserve"> Operator Overbuild</w:t>
            </w:r>
          </w:p>
        </w:tc>
        <w:tc>
          <w:tcPr>
            <w:tcW w:w="434" w:type="pct"/>
            <w:vMerge w:val="restart"/>
            <w:tcBorders>
              <w:top w:val="nil"/>
              <w:left w:val="single" w:sz="4" w:space="0" w:color="auto"/>
              <w:bottom w:val="nil"/>
              <w:right w:val="single" w:sz="4" w:space="0" w:color="auto"/>
            </w:tcBorders>
            <w:shd w:val="clear" w:color="auto" w:fill="auto"/>
            <w:noWrap/>
            <w:vAlign w:val="center"/>
            <w:hideMark/>
          </w:tcPr>
          <w:p w:rsidR="006A583F" w:rsidRPr="00E12B46" w:rsidP="004E16D7" w14:paraId="462EDCE9"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DBS</w:t>
            </w:r>
          </w:p>
        </w:tc>
        <w:tc>
          <w:tcPr>
            <w:tcW w:w="571" w:type="pct"/>
            <w:vMerge w:val="restart"/>
            <w:tcBorders>
              <w:top w:val="nil"/>
              <w:left w:val="single" w:sz="4" w:space="0" w:color="auto"/>
              <w:bottom w:val="nil"/>
              <w:right w:val="single" w:sz="12" w:space="0" w:color="auto"/>
            </w:tcBorders>
            <w:shd w:val="clear" w:color="auto" w:fill="auto"/>
            <w:vAlign w:val="center"/>
            <w:hideMark/>
          </w:tcPr>
          <w:p w:rsidR="006A583F" w:rsidRPr="00E12B46" w:rsidP="004E16D7" w14:paraId="0EDDBFC6" w14:textId="05EF1EA8">
            <w:pPr>
              <w:widowControl/>
              <w:suppressAutoHyphens/>
              <w:jc w:val="center"/>
              <w:rPr>
                <w:rStyle w:val="DefaultParagraphFont"/>
                <w:b/>
                <w:bCs/>
                <w:snapToGrid/>
                <w:kern w:val="0"/>
                <w:sz w:val="16"/>
                <w:szCs w:val="16"/>
                <w:lang w:val="en-US" w:eastAsia="en-US" w:bidi="ar-SA"/>
              </w:rPr>
            </w:pPr>
            <w:r w:rsidRPr="00E12B46">
              <w:rPr>
                <w:b/>
                <w:bCs/>
                <w:snapToGrid/>
                <w:kern w:val="0"/>
                <w:sz w:val="16"/>
                <w:szCs w:val="16"/>
                <w:lang w:val="en-US" w:eastAsia="en-US" w:bidi="ar-SA"/>
              </w:rPr>
              <w:t xml:space="preserve">Wireless </w:t>
            </w:r>
            <w:r w:rsidRPr="00E12B46" w:rsidR="00373AC5">
              <w:rPr>
                <w:b/>
                <w:bCs/>
                <w:snapToGrid/>
                <w:kern w:val="0"/>
                <w:sz w:val="16"/>
                <w:szCs w:val="16"/>
                <w:lang w:val="en-US" w:eastAsia="en-US" w:bidi="ar-SA"/>
              </w:rPr>
              <w:t>and</w:t>
            </w:r>
            <w:r w:rsidRPr="00E12B46">
              <w:rPr>
                <w:b/>
                <w:bCs/>
                <w:snapToGrid/>
                <w:kern w:val="0"/>
                <w:sz w:val="16"/>
                <w:szCs w:val="16"/>
                <w:lang w:val="en-US" w:eastAsia="en-US" w:bidi="ar-SA"/>
              </w:rPr>
              <w:t xml:space="preserve"> Low Penetration Test</w:t>
            </w:r>
          </w:p>
        </w:tc>
      </w:tr>
      <w:tr w14:paraId="5F89FE50" w14:textId="77777777" w:rsidTr="00E12B46">
        <w:tblPrEx>
          <w:tblW w:w="5000" w:type="pct"/>
          <w:tblInd w:w="0" w:type="dxa"/>
          <w:tblLayout w:type="fixed"/>
          <w:tblCellMar>
            <w:top w:w="0" w:type="dxa"/>
            <w:left w:w="108" w:type="dxa"/>
            <w:bottom w:w="0" w:type="dxa"/>
            <w:right w:w="108" w:type="dxa"/>
          </w:tblCellMar>
          <w:tblLook w:val="04A0"/>
        </w:tblPrEx>
        <w:trPr>
          <w:trHeight w:hRule="exact" w:val="518"/>
        </w:trPr>
        <w:tc>
          <w:tcPr>
            <w:tcW w:w="906" w:type="pct"/>
            <w:vMerge/>
            <w:tcBorders>
              <w:top w:val="nil"/>
              <w:left w:val="single" w:sz="12" w:space="0" w:color="auto"/>
              <w:bottom w:val="single" w:sz="4" w:space="0" w:color="auto"/>
              <w:right w:val="single" w:sz="4" w:space="0" w:color="auto"/>
            </w:tcBorders>
            <w:vAlign w:val="center"/>
            <w:hideMark/>
          </w:tcPr>
          <w:p w:rsidR="006A583F" w:rsidRPr="006A583F" w:rsidP="004E16D7" w14:paraId="25D00BEE" w14:textId="77777777">
            <w:pPr>
              <w:widowControl/>
              <w:suppressAutoHyphens/>
              <w:rPr>
                <w:rStyle w:val="DefaultParagraphFont"/>
                <w:b/>
                <w:bCs/>
                <w:snapToGrid/>
                <w:kern w:val="0"/>
                <w:sz w:val="20"/>
                <w:lang w:val="en-US" w:eastAsia="en-US" w:bidi="ar-SA"/>
              </w:rPr>
            </w:pPr>
          </w:p>
        </w:tc>
        <w:tc>
          <w:tcPr>
            <w:tcW w:w="484" w:type="pct"/>
            <w:vMerge/>
            <w:tcBorders>
              <w:top w:val="nil"/>
              <w:left w:val="single" w:sz="4" w:space="0" w:color="auto"/>
              <w:bottom w:val="nil"/>
              <w:right w:val="single" w:sz="4" w:space="0" w:color="auto"/>
            </w:tcBorders>
            <w:vAlign w:val="center"/>
            <w:hideMark/>
          </w:tcPr>
          <w:p w:rsidR="006A583F" w:rsidRPr="006A583F" w:rsidP="004E16D7" w14:paraId="39667776" w14:textId="77777777">
            <w:pPr>
              <w:widowControl/>
              <w:suppressAutoHyphens/>
              <w:rPr>
                <w:rStyle w:val="DefaultParagraphFont"/>
                <w:b/>
                <w:bCs/>
                <w:snapToGrid/>
                <w:kern w:val="0"/>
                <w:sz w:val="20"/>
                <w:lang w:val="en-US" w:eastAsia="en-US" w:bidi="ar-SA"/>
              </w:rPr>
            </w:pPr>
          </w:p>
        </w:tc>
        <w:tc>
          <w:tcPr>
            <w:tcW w:w="628" w:type="pct"/>
            <w:vMerge/>
            <w:tcBorders>
              <w:top w:val="nil"/>
              <w:left w:val="single" w:sz="4" w:space="0" w:color="auto"/>
              <w:bottom w:val="nil"/>
              <w:right w:val="single" w:sz="4" w:space="0" w:color="auto"/>
            </w:tcBorders>
            <w:vAlign w:val="center"/>
            <w:hideMark/>
          </w:tcPr>
          <w:p w:rsidR="006A583F" w:rsidRPr="006A583F" w:rsidP="004E16D7" w14:paraId="2B01C714"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6A583F" w:rsidRPr="006A583F" w:rsidP="004E16D7" w14:paraId="7E3F229A" w14:textId="77777777">
            <w:pPr>
              <w:widowControl/>
              <w:suppressAutoHyphens/>
              <w:rPr>
                <w:rStyle w:val="DefaultParagraphFont"/>
                <w:b/>
                <w:bCs/>
                <w:snapToGrid/>
                <w:kern w:val="0"/>
                <w:sz w:val="20"/>
                <w:lang w:val="en-US" w:eastAsia="en-US" w:bidi="ar-SA"/>
              </w:rPr>
            </w:pPr>
          </w:p>
        </w:tc>
        <w:tc>
          <w:tcPr>
            <w:tcW w:w="434" w:type="pct"/>
            <w:tcBorders>
              <w:top w:val="nil"/>
              <w:left w:val="nil"/>
              <w:bottom w:val="nil"/>
              <w:right w:val="single" w:sz="4" w:space="0" w:color="auto"/>
            </w:tcBorders>
            <w:shd w:val="clear" w:color="auto" w:fill="auto"/>
            <w:vAlign w:val="center"/>
            <w:hideMark/>
          </w:tcPr>
          <w:p w:rsidR="006A583F" w:rsidRPr="00E12B46" w:rsidP="004E16D7" w14:paraId="571F7411"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Incumbent</w:t>
            </w:r>
          </w:p>
        </w:tc>
        <w:tc>
          <w:tcPr>
            <w:tcW w:w="434" w:type="pct"/>
            <w:tcBorders>
              <w:top w:val="nil"/>
              <w:left w:val="nil"/>
              <w:bottom w:val="nil"/>
              <w:right w:val="single" w:sz="4" w:space="0" w:color="auto"/>
            </w:tcBorders>
            <w:shd w:val="clear" w:color="auto" w:fill="auto"/>
            <w:noWrap/>
            <w:vAlign w:val="center"/>
            <w:hideMark/>
          </w:tcPr>
          <w:p w:rsidR="006A583F" w:rsidRPr="00E12B46" w:rsidP="004E16D7" w14:paraId="6CB48F68"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Rival</w:t>
            </w:r>
          </w:p>
        </w:tc>
        <w:tc>
          <w:tcPr>
            <w:tcW w:w="434" w:type="pct"/>
            <w:tcBorders>
              <w:top w:val="nil"/>
              <w:left w:val="nil"/>
              <w:bottom w:val="nil"/>
              <w:right w:val="single" w:sz="4" w:space="0" w:color="auto"/>
            </w:tcBorders>
            <w:shd w:val="clear" w:color="auto" w:fill="auto"/>
            <w:noWrap/>
            <w:vAlign w:val="center"/>
            <w:hideMark/>
          </w:tcPr>
          <w:p w:rsidR="006A583F" w:rsidRPr="00E12B46" w:rsidP="004E16D7" w14:paraId="65EE83D0" w14:textId="77777777">
            <w:pPr>
              <w:widowControl/>
              <w:suppressAutoHyphens/>
              <w:jc w:val="center"/>
              <w:rPr>
                <w:rStyle w:val="DefaultParagraphFont"/>
                <w:b/>
                <w:bCs/>
                <w:snapToGrid/>
                <w:kern w:val="0"/>
                <w:sz w:val="19"/>
                <w:szCs w:val="19"/>
                <w:lang w:val="en-US" w:eastAsia="en-US" w:bidi="ar-SA"/>
              </w:rPr>
            </w:pPr>
            <w:r w:rsidRPr="00E12B46">
              <w:rPr>
                <w:b/>
                <w:bCs/>
                <w:snapToGrid/>
                <w:kern w:val="0"/>
                <w:sz w:val="19"/>
                <w:szCs w:val="19"/>
                <w:lang w:val="en-US" w:eastAsia="en-US" w:bidi="ar-SA"/>
              </w:rPr>
              <w:t>Both</w:t>
            </w:r>
          </w:p>
        </w:tc>
        <w:tc>
          <w:tcPr>
            <w:tcW w:w="434" w:type="pct"/>
            <w:vMerge/>
            <w:tcBorders>
              <w:top w:val="nil"/>
              <w:left w:val="single" w:sz="4" w:space="0" w:color="auto"/>
              <w:bottom w:val="nil"/>
              <w:right w:val="single" w:sz="4" w:space="0" w:color="auto"/>
            </w:tcBorders>
            <w:vAlign w:val="center"/>
            <w:hideMark/>
          </w:tcPr>
          <w:p w:rsidR="006A583F" w:rsidRPr="006A583F" w:rsidP="004E16D7" w14:paraId="0A43A64C" w14:textId="77777777">
            <w:pPr>
              <w:widowControl/>
              <w:suppressAutoHyphens/>
              <w:rPr>
                <w:rStyle w:val="DefaultParagraphFont"/>
                <w:b/>
                <w:bCs/>
                <w:snapToGrid/>
                <w:kern w:val="0"/>
                <w:sz w:val="20"/>
                <w:lang w:val="en-US" w:eastAsia="en-US" w:bidi="ar-SA"/>
              </w:rPr>
            </w:pPr>
          </w:p>
        </w:tc>
        <w:tc>
          <w:tcPr>
            <w:tcW w:w="571" w:type="pct"/>
            <w:vMerge/>
            <w:tcBorders>
              <w:top w:val="nil"/>
              <w:left w:val="single" w:sz="4" w:space="0" w:color="auto"/>
              <w:bottom w:val="nil"/>
              <w:right w:val="single" w:sz="12" w:space="0" w:color="auto"/>
            </w:tcBorders>
            <w:vAlign w:val="center"/>
            <w:hideMark/>
          </w:tcPr>
          <w:p w:rsidR="006A583F" w:rsidRPr="006A583F" w:rsidP="004E16D7" w14:paraId="604F5C04" w14:textId="77777777">
            <w:pPr>
              <w:widowControl/>
              <w:suppressAutoHyphens/>
              <w:rPr>
                <w:rStyle w:val="DefaultParagraphFont"/>
                <w:b/>
                <w:bCs/>
                <w:snapToGrid/>
                <w:kern w:val="0"/>
                <w:sz w:val="20"/>
                <w:lang w:val="en-US" w:eastAsia="en-US" w:bidi="ar-SA"/>
              </w:rPr>
            </w:pPr>
          </w:p>
        </w:tc>
      </w:tr>
      <w:tr w14:paraId="0502526C" w14:textId="77777777" w:rsidTr="00E12B46">
        <w:tblPrEx>
          <w:tblW w:w="5000" w:type="pct"/>
          <w:tblInd w:w="0" w:type="dxa"/>
          <w:tblLayout w:type="fixed"/>
          <w:tblCellMar>
            <w:top w:w="0" w:type="dxa"/>
            <w:left w:w="108" w:type="dxa"/>
            <w:bottom w:w="0" w:type="dxa"/>
            <w:right w:w="108" w:type="dxa"/>
          </w:tblCellMar>
          <w:tblLook w:val="04A0"/>
        </w:tblPrEx>
        <w:trPr>
          <w:trHeight w:hRule="exact" w:val="317"/>
        </w:trPr>
        <w:tc>
          <w:tcPr>
            <w:tcW w:w="906" w:type="pct"/>
            <w:tcBorders>
              <w:top w:val="single" w:sz="4" w:space="0" w:color="auto"/>
              <w:left w:val="single" w:sz="12" w:space="0" w:color="auto"/>
              <w:bottom w:val="nil"/>
              <w:right w:val="single" w:sz="4" w:space="0" w:color="auto"/>
            </w:tcBorders>
            <w:shd w:val="clear" w:color="auto" w:fill="auto"/>
            <w:noWrap/>
            <w:vAlign w:val="bottom"/>
            <w:hideMark/>
          </w:tcPr>
          <w:p w:rsidR="00CE3CAF" w:rsidRPr="00E12B46" w:rsidP="00CE3CAF" w14:paraId="4BEE1C60" w14:textId="77777777">
            <w:pPr>
              <w:widowControl/>
              <w:suppressAutoHyphens/>
              <w:rPr>
                <w:rStyle w:val="DefaultParagraphFont"/>
                <w:b/>
                <w:bCs/>
                <w:snapToGrid/>
                <w:kern w:val="0"/>
                <w:sz w:val="19"/>
                <w:szCs w:val="19"/>
                <w:lang w:val="en-US" w:eastAsia="en-US" w:bidi="ar-SA"/>
              </w:rPr>
            </w:pPr>
            <w:r w:rsidRPr="00E12B46">
              <w:rPr>
                <w:b/>
                <w:bCs/>
                <w:snapToGrid/>
                <w:kern w:val="0"/>
                <w:sz w:val="19"/>
                <w:szCs w:val="19"/>
                <w:lang w:val="en-US" w:eastAsia="en-US" w:bidi="ar-SA"/>
              </w:rPr>
              <w:t>Basic</w:t>
            </w:r>
          </w:p>
        </w:tc>
        <w:tc>
          <w:tcPr>
            <w:tcW w:w="484" w:type="pct"/>
            <w:tcBorders>
              <w:top w:val="single" w:sz="4" w:space="0" w:color="auto"/>
              <w:left w:val="single" w:sz="4" w:space="0" w:color="auto"/>
              <w:bottom w:val="nil"/>
              <w:right w:val="single" w:sz="4" w:space="0" w:color="auto"/>
            </w:tcBorders>
            <w:shd w:val="clear" w:color="auto" w:fill="auto"/>
            <w:noWrap/>
            <w:vAlign w:val="bottom"/>
            <w:hideMark/>
          </w:tcPr>
          <w:p w:rsidR="00CE3CAF" w:rsidRPr="00C80BBB" w:rsidP="00CE3CAF" w14:paraId="08C37C80" w14:textId="4177D8A4">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59.6</w:t>
            </w:r>
          </w:p>
        </w:tc>
        <w:tc>
          <w:tcPr>
            <w:tcW w:w="628" w:type="pct"/>
            <w:tcBorders>
              <w:top w:val="single" w:sz="4" w:space="0" w:color="auto"/>
              <w:left w:val="nil"/>
              <w:bottom w:val="nil"/>
              <w:right w:val="single" w:sz="4" w:space="0" w:color="auto"/>
            </w:tcBorders>
            <w:shd w:val="clear" w:color="auto" w:fill="auto"/>
            <w:noWrap/>
            <w:vAlign w:val="bottom"/>
            <w:hideMark/>
          </w:tcPr>
          <w:p w:rsidR="00CE3CAF" w:rsidRPr="00C80BBB" w:rsidP="00CE3CAF" w14:paraId="4E8BE402" w14:textId="2DBEDB9A">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53.6</w:t>
            </w:r>
          </w:p>
        </w:tc>
        <w:tc>
          <w:tcPr>
            <w:tcW w:w="675" w:type="pct"/>
            <w:tcBorders>
              <w:top w:val="single" w:sz="4" w:space="0" w:color="auto"/>
              <w:left w:val="nil"/>
              <w:bottom w:val="nil"/>
              <w:right w:val="single" w:sz="4" w:space="0" w:color="auto"/>
            </w:tcBorders>
            <w:shd w:val="clear" w:color="auto" w:fill="auto"/>
            <w:noWrap/>
            <w:vAlign w:val="bottom"/>
            <w:hideMark/>
          </w:tcPr>
          <w:p w:rsidR="00CE3CAF" w:rsidRPr="00DB2B49" w:rsidP="00CE3CAF" w14:paraId="67B712B1" w14:textId="6C7E11EC">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66.1†</w:t>
            </w:r>
          </w:p>
        </w:tc>
        <w:tc>
          <w:tcPr>
            <w:tcW w:w="434" w:type="pct"/>
            <w:tcBorders>
              <w:top w:val="single" w:sz="4" w:space="0" w:color="auto"/>
              <w:left w:val="nil"/>
              <w:bottom w:val="nil"/>
              <w:right w:val="single" w:sz="4" w:space="0" w:color="auto"/>
            </w:tcBorders>
            <w:shd w:val="clear" w:color="auto" w:fill="auto"/>
            <w:noWrap/>
            <w:vAlign w:val="bottom"/>
            <w:hideMark/>
          </w:tcPr>
          <w:p w:rsidR="00CE3CAF" w:rsidRPr="00DB2B49" w:rsidP="00CE3CAF" w14:paraId="7554F4B4" w14:textId="3B8272BC">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75.0†</w:t>
            </w:r>
          </w:p>
        </w:tc>
        <w:tc>
          <w:tcPr>
            <w:tcW w:w="434" w:type="pct"/>
            <w:tcBorders>
              <w:top w:val="single" w:sz="4" w:space="0" w:color="auto"/>
              <w:left w:val="nil"/>
              <w:bottom w:val="nil"/>
              <w:right w:val="single" w:sz="4" w:space="0" w:color="auto"/>
            </w:tcBorders>
            <w:shd w:val="clear" w:color="auto" w:fill="auto"/>
            <w:noWrap/>
            <w:vAlign w:val="bottom"/>
            <w:hideMark/>
          </w:tcPr>
          <w:p w:rsidR="00CE3CAF" w:rsidRPr="00DB2B49" w:rsidP="00CE3CAF" w14:paraId="573C8684" w14:textId="167874A2">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46.9†</w:t>
            </w:r>
          </w:p>
        </w:tc>
        <w:tc>
          <w:tcPr>
            <w:tcW w:w="434" w:type="pct"/>
            <w:tcBorders>
              <w:top w:val="single" w:sz="4" w:space="0" w:color="auto"/>
              <w:left w:val="nil"/>
              <w:bottom w:val="nil"/>
              <w:right w:val="single" w:sz="4" w:space="0" w:color="auto"/>
            </w:tcBorders>
            <w:shd w:val="clear" w:color="auto" w:fill="auto"/>
            <w:noWrap/>
            <w:vAlign w:val="bottom"/>
            <w:hideMark/>
          </w:tcPr>
          <w:p w:rsidR="00CE3CAF" w:rsidRPr="00DB2B49" w:rsidP="00CE3CAF" w14:paraId="480149CC" w14:textId="261F38A1">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70.6†</w:t>
            </w:r>
          </w:p>
        </w:tc>
        <w:tc>
          <w:tcPr>
            <w:tcW w:w="434" w:type="pct"/>
            <w:tcBorders>
              <w:top w:val="single" w:sz="4" w:space="0" w:color="auto"/>
              <w:left w:val="nil"/>
              <w:bottom w:val="nil"/>
              <w:right w:val="single" w:sz="4" w:space="0" w:color="auto"/>
            </w:tcBorders>
            <w:shd w:val="clear" w:color="auto" w:fill="auto"/>
            <w:noWrap/>
            <w:vAlign w:val="bottom"/>
            <w:hideMark/>
          </w:tcPr>
          <w:p w:rsidR="00CE3CAF" w:rsidRPr="00DB2B49" w:rsidP="00CE3CAF" w14:paraId="7478FAC3" w14:textId="16CC40CC">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65.3†</w:t>
            </w:r>
          </w:p>
        </w:tc>
        <w:tc>
          <w:tcPr>
            <w:tcW w:w="571" w:type="pct"/>
            <w:tcBorders>
              <w:top w:val="single" w:sz="4" w:space="0" w:color="auto"/>
              <w:left w:val="nil"/>
              <w:bottom w:val="nil"/>
              <w:right w:val="single" w:sz="12" w:space="0" w:color="auto"/>
            </w:tcBorders>
            <w:shd w:val="clear" w:color="auto" w:fill="auto"/>
            <w:noWrap/>
            <w:vAlign w:val="bottom"/>
            <w:hideMark/>
          </w:tcPr>
          <w:p w:rsidR="00CE3CAF" w:rsidRPr="00DB2B49" w:rsidP="00CE3CAF" w14:paraId="6038FB02" w14:textId="34DE9073">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58.8†</w:t>
            </w:r>
          </w:p>
        </w:tc>
      </w:tr>
      <w:tr w14:paraId="287C6C0E"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906" w:type="pct"/>
            <w:tcBorders>
              <w:top w:val="nil"/>
              <w:left w:val="single" w:sz="12" w:space="0" w:color="auto"/>
              <w:bottom w:val="single" w:sz="4" w:space="0" w:color="auto"/>
              <w:right w:val="single" w:sz="4" w:space="0" w:color="auto"/>
            </w:tcBorders>
            <w:shd w:val="clear" w:color="auto" w:fill="auto"/>
            <w:noWrap/>
            <w:vAlign w:val="center"/>
            <w:hideMark/>
          </w:tcPr>
          <w:p w:rsidR="00373AC5" w:rsidRPr="00E12B46" w:rsidP="004E16D7" w14:paraId="4520B2C8" w14:textId="77777777">
            <w:pPr>
              <w:widowControl/>
              <w:suppressAutoHyphens/>
              <w:rPr>
                <w:rStyle w:val="DefaultParagraphFont"/>
                <w:snapToGrid/>
                <w:kern w:val="0"/>
                <w:sz w:val="19"/>
                <w:szCs w:val="19"/>
                <w:lang w:val="en-US" w:eastAsia="en-US" w:bidi="ar-SA"/>
              </w:rPr>
            </w:pPr>
            <w:r w:rsidRPr="00E12B46">
              <w:rPr>
                <w:snapToGrid/>
                <w:kern w:val="0"/>
                <w:sz w:val="19"/>
                <w:szCs w:val="19"/>
                <w:lang w:val="en-US" w:eastAsia="en-US" w:bidi="ar-SA"/>
              </w:rPr>
              <w:t>Annual change</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373AC5" w:rsidRPr="00C80BBB" w:rsidP="004E16D7" w14:paraId="12776951" w14:textId="72DF8767">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4.5%*</w:t>
            </w:r>
          </w:p>
        </w:tc>
        <w:tc>
          <w:tcPr>
            <w:tcW w:w="628" w:type="pct"/>
            <w:tcBorders>
              <w:top w:val="nil"/>
              <w:left w:val="nil"/>
              <w:bottom w:val="single" w:sz="4" w:space="0" w:color="auto"/>
              <w:right w:val="single" w:sz="4" w:space="0" w:color="auto"/>
            </w:tcBorders>
            <w:shd w:val="clear" w:color="auto" w:fill="auto"/>
            <w:noWrap/>
            <w:vAlign w:val="bottom"/>
            <w:hideMark/>
          </w:tcPr>
          <w:p w:rsidR="00373AC5" w:rsidRPr="00C80BBB" w:rsidP="004E16D7" w14:paraId="0A1006EB" w14:textId="045A7CF2">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5.3%</w:t>
            </w:r>
          </w:p>
        </w:tc>
        <w:tc>
          <w:tcPr>
            <w:tcW w:w="675"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23E62B95" w14:textId="1E781394">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3.9%</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5022AE2C" w14:textId="7F93C910">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5.4%</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5D80ACEB" w14:textId="639562C5">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1.9%</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2C769288" w14:textId="74FB186C">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4.9%</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5BE0391B" w14:textId="5FE4E6E9">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3.6%</w:t>
            </w:r>
          </w:p>
        </w:tc>
        <w:tc>
          <w:tcPr>
            <w:tcW w:w="571" w:type="pct"/>
            <w:tcBorders>
              <w:top w:val="nil"/>
              <w:left w:val="nil"/>
              <w:bottom w:val="single" w:sz="4" w:space="0" w:color="auto"/>
              <w:right w:val="single" w:sz="12" w:space="0" w:color="auto"/>
            </w:tcBorders>
            <w:shd w:val="clear" w:color="auto" w:fill="auto"/>
            <w:noWrap/>
            <w:vAlign w:val="bottom"/>
            <w:hideMark/>
          </w:tcPr>
          <w:p w:rsidR="00373AC5" w:rsidRPr="00DB2B49" w:rsidP="004E16D7" w14:paraId="43FBA882" w14:textId="6B7B6643">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4.0%</w:t>
            </w:r>
          </w:p>
        </w:tc>
      </w:tr>
      <w:tr w14:paraId="0D3502E9" w14:textId="77777777" w:rsidTr="00E12B46">
        <w:tblPrEx>
          <w:tblW w:w="5000" w:type="pct"/>
          <w:tblInd w:w="0" w:type="dxa"/>
          <w:tblLayout w:type="fixed"/>
          <w:tblCellMar>
            <w:top w:w="0" w:type="dxa"/>
            <w:left w:w="108" w:type="dxa"/>
            <w:bottom w:w="0" w:type="dxa"/>
            <w:right w:w="108" w:type="dxa"/>
          </w:tblCellMar>
          <w:tblLook w:val="04A0"/>
        </w:tblPrEx>
        <w:trPr>
          <w:trHeight w:hRule="exact" w:val="317"/>
        </w:trPr>
        <w:tc>
          <w:tcPr>
            <w:tcW w:w="906" w:type="pct"/>
            <w:tcBorders>
              <w:top w:val="nil"/>
              <w:left w:val="single" w:sz="12" w:space="0" w:color="auto"/>
              <w:bottom w:val="nil"/>
              <w:right w:val="single" w:sz="4" w:space="0" w:color="auto"/>
            </w:tcBorders>
            <w:shd w:val="clear" w:color="auto" w:fill="auto"/>
            <w:noWrap/>
            <w:vAlign w:val="bottom"/>
            <w:hideMark/>
          </w:tcPr>
          <w:p w:rsidR="00CE3CAF" w:rsidRPr="00E12B46" w:rsidP="00CE3CAF" w14:paraId="484A0CFB" w14:textId="77777777">
            <w:pPr>
              <w:widowControl/>
              <w:suppressAutoHyphens/>
              <w:rPr>
                <w:rStyle w:val="DefaultParagraphFont"/>
                <w:b/>
                <w:bCs/>
                <w:snapToGrid/>
                <w:kern w:val="0"/>
                <w:sz w:val="19"/>
                <w:szCs w:val="19"/>
                <w:lang w:val="en-US" w:eastAsia="en-US" w:bidi="ar-SA"/>
              </w:rPr>
            </w:pPr>
            <w:r w:rsidRPr="00E12B46">
              <w:rPr>
                <w:b/>
                <w:bCs/>
                <w:snapToGrid/>
                <w:kern w:val="0"/>
                <w:sz w:val="19"/>
                <w:szCs w:val="19"/>
                <w:lang w:val="en-US" w:eastAsia="en-US" w:bidi="ar-SA"/>
              </w:rPr>
              <w:t>Expanded basic</w:t>
            </w:r>
          </w:p>
        </w:tc>
        <w:tc>
          <w:tcPr>
            <w:tcW w:w="484" w:type="pct"/>
            <w:tcBorders>
              <w:top w:val="nil"/>
              <w:left w:val="single" w:sz="4" w:space="0" w:color="auto"/>
              <w:bottom w:val="nil"/>
              <w:right w:val="single" w:sz="4" w:space="0" w:color="auto"/>
            </w:tcBorders>
            <w:shd w:val="clear" w:color="auto" w:fill="auto"/>
            <w:noWrap/>
            <w:vAlign w:val="bottom"/>
            <w:hideMark/>
          </w:tcPr>
          <w:p w:rsidR="00CE3CAF" w:rsidRPr="00C80BBB" w:rsidP="00CE3CAF" w14:paraId="5BE0E65A" w14:textId="780F0E93">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181.0</w:t>
            </w:r>
          </w:p>
        </w:tc>
        <w:tc>
          <w:tcPr>
            <w:tcW w:w="628" w:type="pct"/>
            <w:tcBorders>
              <w:top w:val="nil"/>
              <w:left w:val="nil"/>
              <w:bottom w:val="nil"/>
              <w:right w:val="single" w:sz="4" w:space="0" w:color="auto"/>
            </w:tcBorders>
            <w:shd w:val="clear" w:color="auto" w:fill="auto"/>
            <w:noWrap/>
            <w:vAlign w:val="bottom"/>
            <w:hideMark/>
          </w:tcPr>
          <w:p w:rsidR="00CE3CAF" w:rsidRPr="00C80BBB" w:rsidP="00CE3CAF" w14:paraId="5DF1FD7C" w14:textId="74AF0F84">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167.9</w:t>
            </w:r>
          </w:p>
        </w:tc>
        <w:tc>
          <w:tcPr>
            <w:tcW w:w="675" w:type="pct"/>
            <w:tcBorders>
              <w:top w:val="nil"/>
              <w:left w:val="nil"/>
              <w:bottom w:val="nil"/>
              <w:right w:val="single" w:sz="4" w:space="0" w:color="auto"/>
            </w:tcBorders>
            <w:shd w:val="clear" w:color="auto" w:fill="auto"/>
            <w:noWrap/>
            <w:vAlign w:val="bottom"/>
            <w:hideMark/>
          </w:tcPr>
          <w:p w:rsidR="00CE3CAF" w:rsidRPr="00DB2B49" w:rsidP="00CE3CAF" w14:paraId="27966261" w14:textId="59586A69">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195.2†</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4F48DF08" w14:textId="2FF727CB">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202.7†</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39A10DCC" w14:textId="37BE74EF">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186.5†</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729B276B" w14:textId="2098B4AA">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200.2†</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45442BAE" w14:textId="1D57AE4F">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194.1†</w:t>
            </w:r>
          </w:p>
        </w:tc>
        <w:tc>
          <w:tcPr>
            <w:tcW w:w="571" w:type="pct"/>
            <w:tcBorders>
              <w:top w:val="nil"/>
              <w:left w:val="nil"/>
              <w:bottom w:val="nil"/>
              <w:right w:val="single" w:sz="12" w:space="0" w:color="auto"/>
            </w:tcBorders>
            <w:shd w:val="clear" w:color="auto" w:fill="auto"/>
            <w:noWrap/>
            <w:vAlign w:val="bottom"/>
            <w:hideMark/>
          </w:tcPr>
          <w:p w:rsidR="00CE3CAF" w:rsidRPr="00DB2B49" w:rsidP="00CE3CAF" w14:paraId="634C9D22" w14:textId="47C6CA4A">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189.7†</w:t>
            </w:r>
          </w:p>
        </w:tc>
      </w:tr>
      <w:tr w14:paraId="0A325BE3"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906" w:type="pct"/>
            <w:tcBorders>
              <w:top w:val="nil"/>
              <w:left w:val="single" w:sz="12" w:space="0" w:color="auto"/>
              <w:bottom w:val="single" w:sz="4" w:space="0" w:color="auto"/>
              <w:right w:val="single" w:sz="4" w:space="0" w:color="auto"/>
            </w:tcBorders>
            <w:shd w:val="clear" w:color="auto" w:fill="auto"/>
            <w:noWrap/>
            <w:vAlign w:val="center"/>
            <w:hideMark/>
          </w:tcPr>
          <w:p w:rsidR="00373AC5" w:rsidRPr="00E12B46" w:rsidP="004E16D7" w14:paraId="45BD6B27" w14:textId="77777777">
            <w:pPr>
              <w:widowControl/>
              <w:suppressAutoHyphens/>
              <w:rPr>
                <w:rStyle w:val="DefaultParagraphFont"/>
                <w:snapToGrid/>
                <w:kern w:val="0"/>
                <w:sz w:val="19"/>
                <w:szCs w:val="19"/>
                <w:lang w:val="en-US" w:eastAsia="en-US" w:bidi="ar-SA"/>
              </w:rPr>
            </w:pPr>
            <w:r w:rsidRPr="00E12B46">
              <w:rPr>
                <w:snapToGrid/>
                <w:kern w:val="0"/>
                <w:sz w:val="19"/>
                <w:szCs w:val="19"/>
                <w:lang w:val="en-US" w:eastAsia="en-US" w:bidi="ar-SA"/>
              </w:rPr>
              <w:t>Annual change</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373AC5" w:rsidRPr="00C80BBB" w:rsidP="004E16D7" w14:paraId="0EC48E17" w14:textId="418C2CE1">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1.7%</w:t>
            </w:r>
          </w:p>
        </w:tc>
        <w:tc>
          <w:tcPr>
            <w:tcW w:w="628" w:type="pct"/>
            <w:tcBorders>
              <w:top w:val="nil"/>
              <w:left w:val="nil"/>
              <w:bottom w:val="single" w:sz="4" w:space="0" w:color="auto"/>
              <w:right w:val="single" w:sz="4" w:space="0" w:color="auto"/>
            </w:tcBorders>
            <w:shd w:val="clear" w:color="auto" w:fill="auto"/>
            <w:noWrap/>
            <w:vAlign w:val="bottom"/>
            <w:hideMark/>
          </w:tcPr>
          <w:p w:rsidR="00373AC5" w:rsidRPr="00C80BBB" w:rsidP="004E16D7" w14:paraId="258BB072" w14:textId="39A282CA">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1.7%</w:t>
            </w:r>
          </w:p>
        </w:tc>
        <w:tc>
          <w:tcPr>
            <w:tcW w:w="675"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7AFCBFB4" w14:textId="2A804B10">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1.8%</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4D5368BB" w14:textId="16CC69D3">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3.5%</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13E5B005" w14:textId="3B04824B">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2.5%</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6D9E5A60" w14:textId="37074B64">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3.4%</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6EFDF54E" w14:textId="2DE4147F">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1.3%</w:t>
            </w:r>
          </w:p>
        </w:tc>
        <w:tc>
          <w:tcPr>
            <w:tcW w:w="571" w:type="pct"/>
            <w:tcBorders>
              <w:top w:val="nil"/>
              <w:left w:val="nil"/>
              <w:bottom w:val="single" w:sz="4" w:space="0" w:color="auto"/>
              <w:right w:val="single" w:sz="12" w:space="0" w:color="auto"/>
            </w:tcBorders>
            <w:shd w:val="clear" w:color="auto" w:fill="auto"/>
            <w:noWrap/>
            <w:vAlign w:val="bottom"/>
            <w:hideMark/>
          </w:tcPr>
          <w:p w:rsidR="00373AC5" w:rsidRPr="00DB2B49" w:rsidP="004E16D7" w14:paraId="1FB8A8D9" w14:textId="21F30576">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2.3%</w:t>
            </w:r>
          </w:p>
        </w:tc>
      </w:tr>
      <w:tr w14:paraId="40029A80" w14:textId="77777777" w:rsidTr="00E12B46">
        <w:tblPrEx>
          <w:tblW w:w="5000" w:type="pct"/>
          <w:tblInd w:w="0" w:type="dxa"/>
          <w:tblLayout w:type="fixed"/>
          <w:tblCellMar>
            <w:top w:w="0" w:type="dxa"/>
            <w:left w:w="108" w:type="dxa"/>
            <w:bottom w:w="0" w:type="dxa"/>
            <w:right w:w="108" w:type="dxa"/>
          </w:tblCellMar>
          <w:tblLook w:val="04A0"/>
        </w:tblPrEx>
        <w:trPr>
          <w:trHeight w:hRule="exact" w:val="317"/>
        </w:trPr>
        <w:tc>
          <w:tcPr>
            <w:tcW w:w="906" w:type="pct"/>
            <w:tcBorders>
              <w:top w:val="nil"/>
              <w:left w:val="single" w:sz="12" w:space="0" w:color="auto"/>
              <w:bottom w:val="nil"/>
              <w:right w:val="single" w:sz="4" w:space="0" w:color="auto"/>
            </w:tcBorders>
            <w:shd w:val="clear" w:color="auto" w:fill="auto"/>
            <w:noWrap/>
            <w:vAlign w:val="bottom"/>
            <w:hideMark/>
          </w:tcPr>
          <w:p w:rsidR="00CE3CAF" w:rsidRPr="00123737" w:rsidP="00CE3CAF" w14:paraId="48FBB8C7" w14:textId="77777777">
            <w:pPr>
              <w:widowControl/>
              <w:suppressAutoHyphens/>
              <w:rPr>
                <w:rStyle w:val="DefaultParagraphFont"/>
                <w:b/>
                <w:bCs/>
                <w:snapToGrid/>
                <w:kern w:val="0"/>
                <w:sz w:val="18"/>
                <w:szCs w:val="18"/>
                <w:lang w:val="en-US" w:eastAsia="en-US" w:bidi="ar-SA"/>
              </w:rPr>
            </w:pPr>
            <w:r w:rsidRPr="00123737">
              <w:rPr>
                <w:b/>
                <w:bCs/>
                <w:snapToGrid/>
                <w:kern w:val="0"/>
                <w:sz w:val="18"/>
                <w:szCs w:val="18"/>
                <w:lang w:val="en-US" w:eastAsia="en-US" w:bidi="ar-SA"/>
              </w:rPr>
              <w:t>Next most popular</w:t>
            </w:r>
          </w:p>
        </w:tc>
        <w:tc>
          <w:tcPr>
            <w:tcW w:w="484" w:type="pct"/>
            <w:tcBorders>
              <w:top w:val="nil"/>
              <w:left w:val="single" w:sz="4" w:space="0" w:color="auto"/>
              <w:bottom w:val="nil"/>
              <w:right w:val="single" w:sz="4" w:space="0" w:color="auto"/>
            </w:tcBorders>
            <w:shd w:val="clear" w:color="auto" w:fill="auto"/>
            <w:noWrap/>
            <w:vAlign w:val="bottom"/>
            <w:hideMark/>
          </w:tcPr>
          <w:p w:rsidR="00CE3CAF" w:rsidRPr="00C80BBB" w:rsidP="00CE3CAF" w14:paraId="7BEC95A9" w14:textId="032531A0">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262.7</w:t>
            </w:r>
          </w:p>
        </w:tc>
        <w:tc>
          <w:tcPr>
            <w:tcW w:w="628" w:type="pct"/>
            <w:tcBorders>
              <w:top w:val="nil"/>
              <w:left w:val="nil"/>
              <w:bottom w:val="nil"/>
              <w:right w:val="single" w:sz="4" w:space="0" w:color="auto"/>
            </w:tcBorders>
            <w:shd w:val="clear" w:color="auto" w:fill="auto"/>
            <w:noWrap/>
            <w:vAlign w:val="bottom"/>
            <w:hideMark/>
          </w:tcPr>
          <w:p w:rsidR="00CE3CAF" w:rsidRPr="00C80BBB" w:rsidP="00CE3CAF" w14:paraId="3E367FC3" w14:textId="44ED6B9D">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247.5</w:t>
            </w:r>
          </w:p>
        </w:tc>
        <w:tc>
          <w:tcPr>
            <w:tcW w:w="675" w:type="pct"/>
            <w:tcBorders>
              <w:top w:val="nil"/>
              <w:left w:val="nil"/>
              <w:bottom w:val="nil"/>
              <w:right w:val="single" w:sz="4" w:space="0" w:color="auto"/>
            </w:tcBorders>
            <w:shd w:val="clear" w:color="auto" w:fill="auto"/>
            <w:noWrap/>
            <w:vAlign w:val="bottom"/>
            <w:hideMark/>
          </w:tcPr>
          <w:p w:rsidR="00CE3CAF" w:rsidRPr="00DB2B49" w:rsidP="00CE3CAF" w14:paraId="4BD02FFC" w14:textId="304B5E90">
            <w:pPr>
              <w:widowControl/>
              <w:suppressAutoHyphens/>
              <w:jc w:val="center"/>
              <w:rPr>
                <w:rStyle w:val="DefaultParagraphFont"/>
                <w:b/>
                <w:bCs/>
                <w:snapToGrid/>
                <w:kern w:val="0"/>
                <w:sz w:val="20"/>
                <w:lang w:val="en-US" w:eastAsia="en-US" w:bidi="ar-SA"/>
              </w:rPr>
            </w:pPr>
            <w:r w:rsidRPr="00E12B46">
              <w:rPr>
                <w:b/>
                <w:bCs/>
                <w:snapToGrid w:val="0"/>
                <w:kern w:val="28"/>
                <w:sz w:val="20"/>
                <w:lang w:val="en-US" w:eastAsia="en-US" w:bidi="ar-SA"/>
              </w:rPr>
              <w:t>278.4†</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0CCDAFB7" w14:textId="56778072">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283.4†</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49DAB8CD" w14:textId="41876FDA">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298.6†</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66F06896" w14:textId="03DAE141">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285.7†</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2FE933B6" w14:textId="7F003308">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276.1†</w:t>
            </w:r>
          </w:p>
        </w:tc>
        <w:tc>
          <w:tcPr>
            <w:tcW w:w="571" w:type="pct"/>
            <w:tcBorders>
              <w:top w:val="nil"/>
              <w:left w:val="nil"/>
              <w:bottom w:val="nil"/>
              <w:right w:val="single" w:sz="12" w:space="0" w:color="auto"/>
            </w:tcBorders>
            <w:shd w:val="clear" w:color="auto" w:fill="auto"/>
            <w:noWrap/>
            <w:vAlign w:val="bottom"/>
            <w:hideMark/>
          </w:tcPr>
          <w:p w:rsidR="00CE3CAF" w:rsidRPr="00DB2B49" w:rsidP="00CE3CAF" w14:paraId="20719234" w14:textId="45B2B17E">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277.3†</w:t>
            </w:r>
          </w:p>
        </w:tc>
      </w:tr>
      <w:tr w14:paraId="05DEF0CA"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906" w:type="pct"/>
            <w:tcBorders>
              <w:top w:val="nil"/>
              <w:left w:val="single" w:sz="12" w:space="0" w:color="auto"/>
              <w:bottom w:val="single" w:sz="4" w:space="0" w:color="auto"/>
              <w:right w:val="single" w:sz="4" w:space="0" w:color="auto"/>
            </w:tcBorders>
            <w:shd w:val="clear" w:color="auto" w:fill="auto"/>
            <w:noWrap/>
            <w:vAlign w:val="center"/>
            <w:hideMark/>
          </w:tcPr>
          <w:p w:rsidR="00373AC5" w:rsidRPr="00E12B46" w:rsidP="004E16D7" w14:paraId="3EEDF086" w14:textId="77777777">
            <w:pPr>
              <w:widowControl/>
              <w:suppressAutoHyphens/>
              <w:rPr>
                <w:rStyle w:val="DefaultParagraphFont"/>
                <w:snapToGrid/>
                <w:kern w:val="0"/>
                <w:sz w:val="19"/>
                <w:szCs w:val="19"/>
                <w:lang w:val="en-US" w:eastAsia="en-US" w:bidi="ar-SA"/>
              </w:rPr>
            </w:pPr>
            <w:r w:rsidRPr="00E12B46">
              <w:rPr>
                <w:snapToGrid/>
                <w:kern w:val="0"/>
                <w:sz w:val="19"/>
                <w:szCs w:val="19"/>
                <w:lang w:val="en-US" w:eastAsia="en-US" w:bidi="ar-SA"/>
              </w:rPr>
              <w:t>Annual change</w:t>
            </w:r>
          </w:p>
        </w:tc>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373AC5" w:rsidRPr="00C80BBB" w:rsidP="004E16D7" w14:paraId="49311E38" w14:textId="4C30B97A">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1.6%</w:t>
            </w:r>
          </w:p>
        </w:tc>
        <w:tc>
          <w:tcPr>
            <w:tcW w:w="628" w:type="pct"/>
            <w:tcBorders>
              <w:top w:val="nil"/>
              <w:left w:val="nil"/>
              <w:bottom w:val="single" w:sz="4" w:space="0" w:color="auto"/>
              <w:right w:val="single" w:sz="4" w:space="0" w:color="auto"/>
            </w:tcBorders>
            <w:shd w:val="clear" w:color="auto" w:fill="auto"/>
            <w:noWrap/>
            <w:vAlign w:val="bottom"/>
            <w:hideMark/>
          </w:tcPr>
          <w:p w:rsidR="00373AC5" w:rsidRPr="00C80BBB" w:rsidP="004E16D7" w14:paraId="7C612681" w14:textId="0448578A">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1.9%</w:t>
            </w:r>
          </w:p>
        </w:tc>
        <w:tc>
          <w:tcPr>
            <w:tcW w:w="675"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360F0CBD" w14:textId="6652F0EB">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1.4%</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7A687B75" w14:textId="16F15285">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2.8%</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15553EAD" w14:textId="42F7886A">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2.5%</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02524067" w14:textId="2D392B04">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2.7%</w:t>
            </w:r>
          </w:p>
        </w:tc>
        <w:tc>
          <w:tcPr>
            <w:tcW w:w="434" w:type="pct"/>
            <w:tcBorders>
              <w:top w:val="nil"/>
              <w:left w:val="nil"/>
              <w:bottom w:val="single" w:sz="4" w:space="0" w:color="auto"/>
              <w:right w:val="single" w:sz="4" w:space="0" w:color="auto"/>
            </w:tcBorders>
            <w:shd w:val="clear" w:color="auto" w:fill="auto"/>
            <w:noWrap/>
            <w:vAlign w:val="bottom"/>
            <w:hideMark/>
          </w:tcPr>
          <w:p w:rsidR="00373AC5" w:rsidRPr="00DB2B49" w:rsidP="004E16D7" w14:paraId="287D62D2" w14:textId="0534107F">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1.0%</w:t>
            </w:r>
          </w:p>
        </w:tc>
        <w:tc>
          <w:tcPr>
            <w:tcW w:w="571" w:type="pct"/>
            <w:tcBorders>
              <w:top w:val="nil"/>
              <w:left w:val="nil"/>
              <w:bottom w:val="single" w:sz="4" w:space="0" w:color="auto"/>
              <w:right w:val="single" w:sz="12" w:space="0" w:color="auto"/>
            </w:tcBorders>
            <w:shd w:val="clear" w:color="auto" w:fill="auto"/>
            <w:noWrap/>
            <w:vAlign w:val="bottom"/>
            <w:hideMark/>
          </w:tcPr>
          <w:p w:rsidR="00373AC5" w:rsidRPr="00DB2B49" w:rsidP="004E16D7" w14:paraId="6D44DCFE" w14:textId="39699C06">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1.7%</w:t>
            </w:r>
          </w:p>
        </w:tc>
      </w:tr>
      <w:tr w14:paraId="4DC23664" w14:textId="77777777" w:rsidTr="00E12B46">
        <w:tblPrEx>
          <w:tblW w:w="5000" w:type="pct"/>
          <w:tblInd w:w="0" w:type="dxa"/>
          <w:tblLayout w:type="fixed"/>
          <w:tblCellMar>
            <w:top w:w="0" w:type="dxa"/>
            <w:left w:w="108" w:type="dxa"/>
            <w:bottom w:w="0" w:type="dxa"/>
            <w:right w:w="108" w:type="dxa"/>
          </w:tblCellMar>
          <w:tblLook w:val="04A0"/>
        </w:tblPrEx>
        <w:trPr>
          <w:trHeight w:hRule="exact" w:val="317"/>
        </w:trPr>
        <w:tc>
          <w:tcPr>
            <w:tcW w:w="906" w:type="pct"/>
            <w:tcBorders>
              <w:top w:val="nil"/>
              <w:left w:val="single" w:sz="12" w:space="0" w:color="auto"/>
              <w:bottom w:val="nil"/>
              <w:right w:val="single" w:sz="4" w:space="0" w:color="auto"/>
            </w:tcBorders>
            <w:shd w:val="clear" w:color="auto" w:fill="auto"/>
            <w:noWrap/>
            <w:vAlign w:val="bottom"/>
            <w:hideMark/>
          </w:tcPr>
          <w:p w:rsidR="00CE3CAF" w:rsidRPr="00123737" w:rsidP="00CE3CAF" w14:paraId="54C83A3E" w14:textId="77777777">
            <w:pPr>
              <w:widowControl/>
              <w:suppressAutoHyphens/>
              <w:rPr>
                <w:rStyle w:val="DefaultParagraphFont"/>
                <w:b/>
                <w:bCs/>
                <w:snapToGrid/>
                <w:kern w:val="0"/>
                <w:sz w:val="19"/>
                <w:szCs w:val="19"/>
                <w:lang w:val="en-US" w:eastAsia="en-US" w:bidi="ar-SA"/>
              </w:rPr>
            </w:pPr>
            <w:r w:rsidRPr="00123737">
              <w:rPr>
                <w:b/>
                <w:bCs/>
                <w:snapToGrid/>
                <w:kern w:val="0"/>
                <w:sz w:val="19"/>
                <w:szCs w:val="19"/>
                <w:lang w:val="en-US" w:eastAsia="en-US" w:bidi="ar-SA"/>
              </w:rPr>
              <w:t>All channels</w:t>
            </w:r>
          </w:p>
        </w:tc>
        <w:tc>
          <w:tcPr>
            <w:tcW w:w="484" w:type="pct"/>
            <w:tcBorders>
              <w:top w:val="nil"/>
              <w:left w:val="single" w:sz="4" w:space="0" w:color="auto"/>
              <w:bottom w:val="nil"/>
              <w:right w:val="single" w:sz="4" w:space="0" w:color="auto"/>
            </w:tcBorders>
            <w:shd w:val="clear" w:color="auto" w:fill="auto"/>
            <w:noWrap/>
            <w:vAlign w:val="bottom"/>
            <w:hideMark/>
          </w:tcPr>
          <w:p w:rsidR="00CE3CAF" w:rsidRPr="00C80BBB" w:rsidP="00CE3CAF" w14:paraId="206F3398" w14:textId="23935B63">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454.9</w:t>
            </w:r>
          </w:p>
        </w:tc>
        <w:tc>
          <w:tcPr>
            <w:tcW w:w="628" w:type="pct"/>
            <w:tcBorders>
              <w:top w:val="nil"/>
              <w:left w:val="nil"/>
              <w:bottom w:val="nil"/>
              <w:right w:val="single" w:sz="4" w:space="0" w:color="auto"/>
            </w:tcBorders>
            <w:shd w:val="clear" w:color="auto" w:fill="auto"/>
            <w:noWrap/>
            <w:vAlign w:val="bottom"/>
            <w:hideMark/>
          </w:tcPr>
          <w:p w:rsidR="00CE3CAF" w:rsidRPr="00C80BBB" w:rsidP="00CE3CAF" w14:paraId="651B043D" w14:textId="6725AA32">
            <w:pPr>
              <w:widowControl/>
              <w:suppressAutoHyphens/>
              <w:jc w:val="center"/>
              <w:rPr>
                <w:rStyle w:val="DefaultParagraphFont"/>
                <w:b/>
                <w:bCs/>
                <w:snapToGrid/>
                <w:kern w:val="0"/>
                <w:sz w:val="20"/>
                <w:lang w:val="en-US" w:eastAsia="en-US" w:bidi="ar-SA"/>
              </w:rPr>
            </w:pPr>
            <w:r w:rsidRPr="00A46F4A">
              <w:rPr>
                <w:b/>
                <w:bCs/>
                <w:snapToGrid w:val="0"/>
                <w:kern w:val="28"/>
                <w:sz w:val="20"/>
                <w:lang w:val="en-US" w:eastAsia="en-US" w:bidi="ar-SA"/>
              </w:rPr>
              <w:t>409.9</w:t>
            </w:r>
          </w:p>
        </w:tc>
        <w:tc>
          <w:tcPr>
            <w:tcW w:w="675" w:type="pct"/>
            <w:tcBorders>
              <w:top w:val="nil"/>
              <w:left w:val="nil"/>
              <w:bottom w:val="nil"/>
              <w:right w:val="single" w:sz="4" w:space="0" w:color="auto"/>
            </w:tcBorders>
            <w:shd w:val="clear" w:color="auto" w:fill="auto"/>
            <w:noWrap/>
            <w:vAlign w:val="bottom"/>
            <w:hideMark/>
          </w:tcPr>
          <w:p w:rsidR="00CE3CAF" w:rsidRPr="00DB2B49" w:rsidP="00CE3CAF" w14:paraId="587E96F0" w14:textId="735004B7">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504.0†</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0B715BEB" w14:textId="5FD1C76E">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533.7†</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16DFFAF9" w14:textId="0DDCB6FB">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402.2</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29ABE991" w14:textId="676483DD">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513.3†</w:t>
            </w:r>
          </w:p>
        </w:tc>
        <w:tc>
          <w:tcPr>
            <w:tcW w:w="434" w:type="pct"/>
            <w:tcBorders>
              <w:top w:val="nil"/>
              <w:left w:val="nil"/>
              <w:bottom w:val="nil"/>
              <w:right w:val="single" w:sz="4" w:space="0" w:color="auto"/>
            </w:tcBorders>
            <w:shd w:val="clear" w:color="auto" w:fill="auto"/>
            <w:noWrap/>
            <w:vAlign w:val="bottom"/>
            <w:hideMark/>
          </w:tcPr>
          <w:p w:rsidR="00CE3CAF" w:rsidRPr="00DB2B49" w:rsidP="00CE3CAF" w14:paraId="432C219D" w14:textId="16239678">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502.0†</w:t>
            </w:r>
          </w:p>
        </w:tc>
        <w:tc>
          <w:tcPr>
            <w:tcW w:w="571" w:type="pct"/>
            <w:tcBorders>
              <w:top w:val="nil"/>
              <w:left w:val="nil"/>
              <w:bottom w:val="nil"/>
              <w:right w:val="single" w:sz="12" w:space="0" w:color="auto"/>
            </w:tcBorders>
            <w:shd w:val="clear" w:color="auto" w:fill="auto"/>
            <w:noWrap/>
            <w:vAlign w:val="bottom"/>
            <w:hideMark/>
          </w:tcPr>
          <w:p w:rsidR="00CE3CAF" w:rsidRPr="00DB2B49" w:rsidP="00CE3CAF" w14:paraId="0F1257E2" w14:textId="6E50439F">
            <w:pPr>
              <w:widowControl/>
              <w:suppressAutoHyphens/>
              <w:jc w:val="center"/>
              <w:rPr>
                <w:rStyle w:val="DefaultParagraphFont"/>
                <w:b/>
                <w:bCs/>
                <w:snapToGrid/>
                <w:kern w:val="0"/>
                <w:sz w:val="20"/>
                <w:lang w:val="en-US" w:eastAsia="en-US" w:bidi="ar-SA"/>
              </w:rPr>
            </w:pPr>
            <w:r w:rsidRPr="00123737">
              <w:rPr>
                <w:b/>
                <w:bCs/>
                <w:snapToGrid w:val="0"/>
                <w:kern w:val="28"/>
                <w:sz w:val="20"/>
                <w:lang w:val="en-US" w:eastAsia="en-US" w:bidi="ar-SA"/>
              </w:rPr>
              <w:t>491.6†</w:t>
            </w:r>
          </w:p>
        </w:tc>
      </w:tr>
      <w:tr w14:paraId="758B2127" w14:textId="77777777" w:rsidTr="00E12B46">
        <w:tblPrEx>
          <w:tblW w:w="5000" w:type="pct"/>
          <w:tblInd w:w="0" w:type="dxa"/>
          <w:tblLayout w:type="fixed"/>
          <w:tblCellMar>
            <w:top w:w="0" w:type="dxa"/>
            <w:left w:w="108" w:type="dxa"/>
            <w:bottom w:w="0" w:type="dxa"/>
            <w:right w:w="108" w:type="dxa"/>
          </w:tblCellMar>
          <w:tblLook w:val="04A0"/>
        </w:tblPrEx>
        <w:trPr>
          <w:trHeight w:hRule="exact" w:val="288"/>
        </w:trPr>
        <w:tc>
          <w:tcPr>
            <w:tcW w:w="906" w:type="pct"/>
            <w:tcBorders>
              <w:top w:val="nil"/>
              <w:left w:val="single" w:sz="12" w:space="0" w:color="auto"/>
              <w:bottom w:val="single" w:sz="12" w:space="0" w:color="auto"/>
              <w:right w:val="single" w:sz="4" w:space="0" w:color="auto"/>
            </w:tcBorders>
            <w:shd w:val="clear" w:color="auto" w:fill="auto"/>
            <w:noWrap/>
            <w:vAlign w:val="center"/>
            <w:hideMark/>
          </w:tcPr>
          <w:p w:rsidR="00373AC5" w:rsidRPr="00123737" w:rsidP="004E16D7" w14:paraId="2EAD8A7F" w14:textId="77777777">
            <w:pPr>
              <w:widowControl/>
              <w:suppressAutoHyphens/>
              <w:rPr>
                <w:rStyle w:val="DefaultParagraphFont"/>
                <w:snapToGrid/>
                <w:kern w:val="0"/>
                <w:sz w:val="19"/>
                <w:szCs w:val="19"/>
                <w:lang w:val="en-US" w:eastAsia="en-US" w:bidi="ar-SA"/>
              </w:rPr>
            </w:pPr>
            <w:r w:rsidRPr="00123737">
              <w:rPr>
                <w:snapToGrid/>
                <w:kern w:val="0"/>
                <w:sz w:val="19"/>
                <w:szCs w:val="19"/>
                <w:lang w:val="en-US" w:eastAsia="en-US" w:bidi="ar-SA"/>
              </w:rPr>
              <w:t>Annual change</w:t>
            </w:r>
          </w:p>
        </w:tc>
        <w:tc>
          <w:tcPr>
            <w:tcW w:w="484" w:type="pct"/>
            <w:tcBorders>
              <w:top w:val="nil"/>
              <w:left w:val="single" w:sz="4" w:space="0" w:color="auto"/>
              <w:bottom w:val="single" w:sz="12" w:space="0" w:color="auto"/>
              <w:right w:val="single" w:sz="4" w:space="0" w:color="auto"/>
            </w:tcBorders>
            <w:shd w:val="clear" w:color="auto" w:fill="auto"/>
            <w:noWrap/>
            <w:vAlign w:val="bottom"/>
            <w:hideMark/>
          </w:tcPr>
          <w:p w:rsidR="00373AC5" w:rsidRPr="00C80BBB" w:rsidP="004E16D7" w14:paraId="52A700C1" w14:textId="39168453">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0.8%</w:t>
            </w:r>
          </w:p>
        </w:tc>
        <w:tc>
          <w:tcPr>
            <w:tcW w:w="628" w:type="pct"/>
            <w:tcBorders>
              <w:top w:val="nil"/>
              <w:left w:val="nil"/>
              <w:bottom w:val="single" w:sz="12" w:space="0" w:color="auto"/>
              <w:right w:val="single" w:sz="4" w:space="0" w:color="auto"/>
            </w:tcBorders>
            <w:shd w:val="clear" w:color="auto" w:fill="auto"/>
            <w:noWrap/>
            <w:vAlign w:val="bottom"/>
            <w:hideMark/>
          </w:tcPr>
          <w:p w:rsidR="00373AC5" w:rsidRPr="00C80BBB" w:rsidP="004E16D7" w14:paraId="6BD4C50D" w14:textId="2FDF239E">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0.7%</w:t>
            </w:r>
          </w:p>
        </w:tc>
        <w:tc>
          <w:tcPr>
            <w:tcW w:w="675" w:type="pct"/>
            <w:tcBorders>
              <w:top w:val="nil"/>
              <w:left w:val="nil"/>
              <w:bottom w:val="single" w:sz="12" w:space="0" w:color="auto"/>
              <w:right w:val="single" w:sz="4" w:space="0" w:color="auto"/>
            </w:tcBorders>
            <w:shd w:val="clear" w:color="auto" w:fill="auto"/>
            <w:noWrap/>
            <w:vAlign w:val="bottom"/>
            <w:hideMark/>
          </w:tcPr>
          <w:p w:rsidR="00373AC5" w:rsidRPr="00DB2B49" w:rsidP="004E16D7" w14:paraId="5C9874DD" w14:textId="1E663878">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1.1%</w:t>
            </w:r>
          </w:p>
        </w:tc>
        <w:tc>
          <w:tcPr>
            <w:tcW w:w="434" w:type="pct"/>
            <w:tcBorders>
              <w:top w:val="nil"/>
              <w:left w:val="nil"/>
              <w:bottom w:val="single" w:sz="12" w:space="0" w:color="auto"/>
              <w:right w:val="single" w:sz="4" w:space="0" w:color="auto"/>
            </w:tcBorders>
            <w:shd w:val="clear" w:color="auto" w:fill="auto"/>
            <w:noWrap/>
            <w:vAlign w:val="bottom"/>
            <w:hideMark/>
          </w:tcPr>
          <w:p w:rsidR="00373AC5" w:rsidRPr="00DB2B49" w:rsidP="004E16D7" w14:paraId="5FC826EA" w14:textId="529125CA">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1.7%</w:t>
            </w:r>
          </w:p>
        </w:tc>
        <w:tc>
          <w:tcPr>
            <w:tcW w:w="434" w:type="pct"/>
            <w:tcBorders>
              <w:top w:val="nil"/>
              <w:left w:val="nil"/>
              <w:bottom w:val="single" w:sz="12" w:space="0" w:color="auto"/>
              <w:right w:val="single" w:sz="4" w:space="0" w:color="auto"/>
            </w:tcBorders>
            <w:shd w:val="clear" w:color="auto" w:fill="auto"/>
            <w:noWrap/>
            <w:vAlign w:val="bottom"/>
            <w:hideMark/>
          </w:tcPr>
          <w:p w:rsidR="00373AC5" w:rsidRPr="00DB2B49" w:rsidP="004E16D7" w14:paraId="1C89B6AD" w14:textId="25639A30">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2.1%</w:t>
            </w:r>
          </w:p>
        </w:tc>
        <w:tc>
          <w:tcPr>
            <w:tcW w:w="434" w:type="pct"/>
            <w:tcBorders>
              <w:top w:val="nil"/>
              <w:left w:val="nil"/>
              <w:bottom w:val="single" w:sz="12" w:space="0" w:color="auto"/>
              <w:right w:val="single" w:sz="4" w:space="0" w:color="auto"/>
            </w:tcBorders>
            <w:shd w:val="clear" w:color="auto" w:fill="auto"/>
            <w:noWrap/>
            <w:vAlign w:val="bottom"/>
            <w:hideMark/>
          </w:tcPr>
          <w:p w:rsidR="00373AC5" w:rsidRPr="00DB2B49" w:rsidP="004E16D7" w14:paraId="6A31D241" w14:textId="791EFB2D">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1.7%</w:t>
            </w:r>
          </w:p>
        </w:tc>
        <w:tc>
          <w:tcPr>
            <w:tcW w:w="434" w:type="pct"/>
            <w:tcBorders>
              <w:top w:val="nil"/>
              <w:left w:val="nil"/>
              <w:bottom w:val="single" w:sz="12" w:space="0" w:color="auto"/>
              <w:right w:val="single" w:sz="4" w:space="0" w:color="auto"/>
            </w:tcBorders>
            <w:shd w:val="clear" w:color="auto" w:fill="auto"/>
            <w:noWrap/>
            <w:vAlign w:val="bottom"/>
            <w:hideMark/>
          </w:tcPr>
          <w:p w:rsidR="00373AC5" w:rsidRPr="00DB2B49" w:rsidP="004E16D7" w14:paraId="145BE56D" w14:textId="3496E216">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0.8%</w:t>
            </w:r>
          </w:p>
        </w:tc>
        <w:tc>
          <w:tcPr>
            <w:tcW w:w="571" w:type="pct"/>
            <w:tcBorders>
              <w:top w:val="nil"/>
              <w:left w:val="nil"/>
              <w:bottom w:val="single" w:sz="12" w:space="0" w:color="auto"/>
              <w:right w:val="single" w:sz="12" w:space="0" w:color="auto"/>
            </w:tcBorders>
            <w:shd w:val="clear" w:color="auto" w:fill="auto"/>
            <w:noWrap/>
            <w:vAlign w:val="bottom"/>
            <w:hideMark/>
          </w:tcPr>
          <w:p w:rsidR="00373AC5" w:rsidRPr="00DB2B49" w:rsidP="004E16D7" w14:paraId="247D49F6" w14:textId="1B6C3FD5">
            <w:pPr>
              <w:widowControl/>
              <w:suppressAutoHyphens/>
              <w:jc w:val="center"/>
              <w:rPr>
                <w:rStyle w:val="DefaultParagraphFont"/>
                <w:snapToGrid/>
                <w:kern w:val="0"/>
                <w:sz w:val="20"/>
                <w:lang w:val="en-US" w:eastAsia="en-US" w:bidi="ar-SA"/>
              </w:rPr>
            </w:pPr>
            <w:r w:rsidRPr="00DB2B49">
              <w:rPr>
                <w:snapToGrid w:val="0"/>
                <w:kern w:val="28"/>
                <w:sz w:val="20"/>
                <w:lang w:val="en-US" w:eastAsia="en-US" w:bidi="ar-SA"/>
              </w:rPr>
              <w:t>1.9%</w:t>
            </w:r>
          </w:p>
        </w:tc>
      </w:tr>
      <w:tr w14:paraId="5ED9A108" w14:textId="77777777" w:rsidTr="00E12B46">
        <w:tblPrEx>
          <w:tblW w:w="5000" w:type="pct"/>
          <w:tblInd w:w="0" w:type="dxa"/>
          <w:tblLayout w:type="fixed"/>
          <w:tblCellMar>
            <w:top w:w="0" w:type="dxa"/>
            <w:left w:w="108" w:type="dxa"/>
            <w:bottom w:w="0" w:type="dxa"/>
            <w:right w:w="108" w:type="dxa"/>
          </w:tblCellMar>
          <w:tblLook w:val="04A0"/>
        </w:tblPrEx>
        <w:trPr>
          <w:trHeight w:hRule="exact" w:val="768"/>
        </w:trPr>
        <w:tc>
          <w:tcPr>
            <w:tcW w:w="5000" w:type="pct"/>
            <w:gridSpan w:val="9"/>
            <w:tcBorders>
              <w:top w:val="single" w:sz="12" w:space="0" w:color="auto"/>
              <w:left w:val="nil"/>
              <w:bottom w:val="nil"/>
              <w:right w:val="nil"/>
            </w:tcBorders>
            <w:shd w:val="clear" w:color="auto" w:fill="auto"/>
            <w:noWrap/>
            <w:vAlign w:val="bottom"/>
            <w:hideMark/>
          </w:tcPr>
          <w:p w:rsidR="006A583F" w:rsidRPr="006A583F" w:rsidP="00DB2B49" w14:paraId="7583DD9C" w14:textId="4746BB2C">
            <w:pPr>
              <w:widowControl/>
              <w:suppressAutoHyphens/>
              <w:rPr>
                <w:rStyle w:val="DefaultParagraphFont"/>
                <w:snapToGrid/>
                <w:kern w:val="0"/>
                <w:sz w:val="20"/>
                <w:lang w:val="en-US" w:eastAsia="en-US" w:bidi="ar-SA"/>
              </w:rPr>
            </w:pPr>
            <w:r w:rsidRPr="006A583F">
              <w:rPr>
                <w:snapToGrid/>
                <w:kern w:val="0"/>
                <w:sz w:val="20"/>
                <w:lang w:val="en-US" w:eastAsia="en-US" w:bidi="ar-SA"/>
              </w:rPr>
              <w:t xml:space="preserve">Source: Attachment 6. </w:t>
            </w:r>
            <w:r w:rsidR="00B06FA5">
              <w:rPr>
                <w:snapToGrid/>
                <w:kern w:val="0"/>
                <w:sz w:val="20"/>
                <w:lang w:val="en-US" w:eastAsia="en-US" w:bidi="ar-SA"/>
              </w:rPr>
              <w:t xml:space="preserve"> </w:t>
            </w:r>
            <w:r w:rsidRPr="006A583F">
              <w:rPr>
                <w:snapToGrid/>
                <w:kern w:val="0"/>
                <w:sz w:val="20"/>
                <w:lang w:val="en-US" w:eastAsia="en-US" w:bidi="ar-SA"/>
              </w:rPr>
              <w:t>*</w:t>
            </w:r>
            <w:r w:rsidR="00473C43">
              <w:rPr>
                <w:snapToGrid/>
                <w:kern w:val="0"/>
                <w:sz w:val="20"/>
                <w:lang w:val="en-US" w:eastAsia="en-US" w:bidi="ar-SA"/>
              </w:rPr>
              <w:t>Indicates a</w:t>
            </w:r>
            <w:r w:rsidR="00235C3E">
              <w:rPr>
                <w:snapToGrid/>
                <w:kern w:val="0"/>
                <w:sz w:val="20"/>
                <w:lang w:val="en-US" w:eastAsia="en-US" w:bidi="ar-SA"/>
              </w:rPr>
              <w:t xml:space="preserve">nnual change is </w:t>
            </w:r>
            <w:r w:rsidRPr="006A583F">
              <w:rPr>
                <w:snapToGrid/>
                <w:kern w:val="0"/>
                <w:sz w:val="20"/>
                <w:lang w:val="en-US" w:eastAsia="en-US" w:bidi="ar-SA"/>
              </w:rPr>
              <w:t>statistically significant at 95% confidence level.</w:t>
            </w:r>
            <w:r w:rsidR="00CE3CAF">
              <w:rPr>
                <w:snapToGrid/>
                <w:kern w:val="0"/>
                <w:sz w:val="20"/>
                <w:lang w:val="en-US" w:eastAsia="en-US" w:bidi="ar-SA"/>
              </w:rPr>
              <w:t xml:space="preserve"> </w:t>
            </w:r>
            <w:r w:rsidR="00921DD1">
              <w:rPr>
                <w:snapToGrid/>
                <w:kern w:val="0"/>
                <w:sz w:val="20"/>
                <w:lang w:val="en-US" w:eastAsia="en-US" w:bidi="ar-SA"/>
              </w:rPr>
              <w:t xml:space="preserve"> </w:t>
            </w:r>
            <w:r w:rsidR="00824F05">
              <w:rPr>
                <w:snapToGrid/>
                <w:kern w:val="0"/>
                <w:sz w:val="20"/>
                <w:lang w:val="en-US" w:eastAsia="en-US" w:bidi="ar-SA"/>
              </w:rPr>
              <w:t>†</w:t>
            </w:r>
            <w:r w:rsidR="00473C43">
              <w:rPr>
                <w:snapToGrid/>
                <w:kern w:val="0"/>
                <w:sz w:val="20"/>
                <w:lang w:val="en-US" w:eastAsia="en-US" w:bidi="ar-SA"/>
              </w:rPr>
              <w:t>Indicates</w:t>
            </w:r>
            <w:r w:rsidR="00501EC9">
              <w:rPr>
                <w:snapToGrid/>
                <w:kern w:val="0"/>
                <w:sz w:val="20"/>
                <w:lang w:val="en-US" w:eastAsia="en-US" w:bidi="ar-SA"/>
              </w:rPr>
              <w:t xml:space="preserve"> average number of channels for the indicated group and the noncompetitive group are statistically different at 95% confidence level.</w:t>
            </w:r>
          </w:p>
        </w:tc>
      </w:tr>
    </w:tbl>
    <w:p w:rsidR="00C15C73" w:rsidRPr="000854DB" w:rsidP="004E16D7" w14:paraId="5E039761" w14:textId="77777777">
      <w:pPr>
        <w:pStyle w:val="ParaNum"/>
        <w:numPr>
          <w:ilvl w:val="0"/>
          <w:numId w:val="0"/>
        </w:numPr>
        <w:suppressAutoHyphens/>
        <w:spacing w:after="0"/>
        <w:rPr>
          <w:szCs w:val="22"/>
        </w:rPr>
      </w:pPr>
    </w:p>
    <w:p w:rsidR="00762965" w:rsidRPr="00054FCD" w:rsidP="004E16D7" w14:paraId="4AD35E85" w14:textId="46251461">
      <w:pPr>
        <w:pStyle w:val="Paranum0"/>
        <w:numPr>
          <w:ilvl w:val="0"/>
          <w:numId w:val="12"/>
        </w:numPr>
        <w:tabs>
          <w:tab w:val="clear" w:pos="1080"/>
          <w:tab w:val="num" w:pos="1440"/>
        </w:tabs>
        <w:suppressAutoHyphens/>
        <w:spacing w:after="240"/>
        <w:jc w:val="left"/>
      </w:pPr>
      <w:r w:rsidRPr="00167D5D">
        <w:t xml:space="preserve">Table 6 </w:t>
      </w:r>
      <w:r w:rsidR="001F5F67">
        <w:t xml:space="preserve">reports the average number of channels available on the basic service tier in each category. </w:t>
      </w:r>
      <w:r w:rsidR="00916786">
        <w:t xml:space="preserve"> </w:t>
      </w:r>
      <w:r w:rsidRPr="00167D5D">
        <w:t xml:space="preserve">The categories are local broadcast; public, educational, and governmental (PEG) access; </w:t>
      </w:r>
      <w:r w:rsidR="001342D6">
        <w:t xml:space="preserve">local </w:t>
      </w:r>
      <w:r w:rsidRPr="00167D5D">
        <w:t>commercial leased access; non-premium regional sports networks; and other non-premium channels.</w:t>
      </w:r>
      <w:r w:rsidRPr="001342D6" w:rsidR="001342D6">
        <w:t xml:space="preserve"> </w:t>
      </w:r>
      <w:r w:rsidR="00916786">
        <w:t xml:space="preserve"> </w:t>
      </w:r>
      <w:r w:rsidR="001342D6">
        <w:t xml:space="preserve">The number of broadcast channels </w:t>
      </w:r>
      <w:r w:rsidR="001F5F67">
        <w:t>is</w:t>
      </w:r>
      <w:r w:rsidR="001342D6">
        <w:t xml:space="preserve"> the number of individual channels</w:t>
      </w:r>
      <w:r w:rsidR="006F4A0A">
        <w:t xml:space="preserve"> – </w:t>
      </w:r>
      <w:r w:rsidRPr="001342D6" w:rsidR="001342D6">
        <w:rPr>
          <w:szCs w:val="22"/>
        </w:rPr>
        <w:t>standard definition, high definition, and multicast</w:t>
      </w:r>
      <w:r w:rsidR="001342D6">
        <w:rPr>
          <w:szCs w:val="22"/>
        </w:rPr>
        <w:t xml:space="preserve"> digital – and not the number of individual broadcast television </w:t>
      </w:r>
      <w:r w:rsidR="001F5F67">
        <w:rPr>
          <w:szCs w:val="22"/>
        </w:rPr>
        <w:t xml:space="preserve">stations </w:t>
      </w:r>
      <w:r w:rsidR="001342D6">
        <w:rPr>
          <w:szCs w:val="22"/>
        </w:rPr>
        <w:t>carried.  For example, if</w:t>
      </w:r>
      <w:r w:rsidR="00916786">
        <w:rPr>
          <w:szCs w:val="22"/>
        </w:rPr>
        <w:t xml:space="preserve"> the signal of a </w:t>
      </w:r>
      <w:r w:rsidR="001342D6">
        <w:rPr>
          <w:szCs w:val="22"/>
        </w:rPr>
        <w:t>broadcast</w:t>
      </w:r>
      <w:r w:rsidR="00916786">
        <w:rPr>
          <w:szCs w:val="22"/>
        </w:rPr>
        <w:t xml:space="preserve"> television</w:t>
      </w:r>
      <w:r w:rsidR="001342D6">
        <w:rPr>
          <w:szCs w:val="22"/>
        </w:rPr>
        <w:t xml:space="preserve"> station </w:t>
      </w:r>
      <w:r w:rsidR="00916786">
        <w:rPr>
          <w:szCs w:val="22"/>
        </w:rPr>
        <w:t>is</w:t>
      </w:r>
      <w:r w:rsidR="001342D6">
        <w:rPr>
          <w:szCs w:val="22"/>
        </w:rPr>
        <w:t xml:space="preserve"> </w:t>
      </w:r>
      <w:r w:rsidR="00916786">
        <w:rPr>
          <w:szCs w:val="22"/>
        </w:rPr>
        <w:t xml:space="preserve">carried by a cable system </w:t>
      </w:r>
      <w:r w:rsidR="001342D6">
        <w:rPr>
          <w:szCs w:val="22"/>
        </w:rPr>
        <w:t xml:space="preserve">in both standard </w:t>
      </w:r>
      <w:r w:rsidR="00916786">
        <w:rPr>
          <w:szCs w:val="22"/>
        </w:rPr>
        <w:t xml:space="preserve">definition </w:t>
      </w:r>
      <w:r w:rsidR="001342D6">
        <w:rPr>
          <w:szCs w:val="22"/>
        </w:rPr>
        <w:t>and high definition on separate channels, this would count as two channels.</w:t>
      </w:r>
    </w:p>
    <w:tbl>
      <w:tblPr>
        <w:tblW w:w="5000" w:type="pct"/>
        <w:tblInd w:w="0" w:type="dxa"/>
        <w:tblLayout w:type="fixed"/>
        <w:tblCellMar>
          <w:top w:w="0" w:type="dxa"/>
          <w:left w:w="108" w:type="dxa"/>
          <w:bottom w:w="0" w:type="dxa"/>
          <w:right w:w="108" w:type="dxa"/>
        </w:tblCellMar>
        <w:tblLook w:val="04A0"/>
      </w:tblPr>
      <w:tblGrid>
        <w:gridCol w:w="1516"/>
        <w:gridCol w:w="899"/>
        <w:gridCol w:w="1349"/>
        <w:gridCol w:w="1441"/>
        <w:gridCol w:w="810"/>
        <w:gridCol w:w="720"/>
        <w:gridCol w:w="763"/>
        <w:gridCol w:w="677"/>
        <w:gridCol w:w="1019"/>
        <w:gridCol w:w="136"/>
      </w:tblGrid>
      <w:tr w14:paraId="17504FCE" w14:textId="77777777" w:rsidTr="007E2AE9">
        <w:tblPrEx>
          <w:tblW w:w="5000" w:type="pct"/>
          <w:tblInd w:w="0" w:type="dxa"/>
          <w:tblLayout w:type="fixed"/>
          <w:tblCellMar>
            <w:top w:w="0" w:type="dxa"/>
            <w:left w:w="108" w:type="dxa"/>
            <w:bottom w:w="0" w:type="dxa"/>
            <w:right w:w="108" w:type="dxa"/>
          </w:tblCellMar>
          <w:tblLook w:val="04A0"/>
        </w:tblPrEx>
        <w:trPr>
          <w:trHeight w:hRule="exact" w:val="1152"/>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vAlign w:val="center"/>
            <w:hideMark/>
          </w:tcPr>
          <w:p w:rsidR="00122A87" w:rsidRPr="00332882" w:rsidP="004E16D7" w14:paraId="29DDFEF1" w14:textId="77777777">
            <w:pPr>
              <w:keepNext/>
              <w:widowControl/>
              <w:suppressAutoHyphens/>
              <w:jc w:val="center"/>
              <w:rPr>
                <w:rStyle w:val="DefaultParagraphFont"/>
                <w:b/>
                <w:bCs/>
                <w:snapToGrid/>
                <w:kern w:val="0"/>
                <w:sz w:val="22"/>
                <w:szCs w:val="22"/>
                <w:lang w:val="en-US" w:eastAsia="en-US" w:bidi="ar-SA"/>
              </w:rPr>
            </w:pPr>
            <w:r w:rsidRPr="00D87242">
              <w:rPr>
                <w:snapToGrid w:val="0"/>
                <w:kern w:val="28"/>
                <w:sz w:val="22"/>
                <w:szCs w:val="22"/>
                <w:lang w:val="en-US" w:eastAsia="en-US" w:bidi="ar-SA"/>
              </w:rPr>
              <w:br w:type="page"/>
            </w:r>
            <w:r w:rsidRPr="00D87242">
              <w:rPr>
                <w:snapToGrid w:val="0"/>
                <w:kern w:val="28"/>
                <w:sz w:val="22"/>
                <w:szCs w:val="22"/>
                <w:lang w:val="en-US" w:eastAsia="en-US" w:bidi="ar-SA"/>
              </w:rPr>
              <w:br w:type="page"/>
            </w:r>
            <w:r w:rsidRPr="00D87242">
              <w:rPr>
                <w:snapToGrid w:val="0"/>
                <w:kern w:val="28"/>
                <w:sz w:val="22"/>
                <w:szCs w:val="22"/>
                <w:lang w:val="en-US" w:eastAsia="en-US" w:bidi="ar-SA"/>
              </w:rPr>
              <w:br w:type="page"/>
            </w:r>
            <w:r w:rsidRPr="00332882">
              <w:rPr>
                <w:b/>
                <w:bCs/>
                <w:snapToGrid/>
                <w:kern w:val="0"/>
                <w:sz w:val="22"/>
                <w:szCs w:val="22"/>
                <w:lang w:val="en-US" w:eastAsia="en-US" w:bidi="ar-SA"/>
              </w:rPr>
              <w:t>Table 6</w:t>
            </w:r>
          </w:p>
          <w:p w:rsidR="00762965" w:rsidRPr="00332882" w:rsidP="004E16D7" w14:paraId="448A293C" w14:textId="77777777">
            <w:pPr>
              <w:keepNext/>
              <w:widowControl/>
              <w:suppressAutoHyphens/>
              <w:jc w:val="center"/>
              <w:rPr>
                <w:rStyle w:val="DefaultParagraphFont"/>
                <w:b/>
                <w:bCs/>
                <w:snapToGrid/>
                <w:kern w:val="0"/>
                <w:sz w:val="22"/>
                <w:szCs w:val="22"/>
                <w:lang w:val="en-US" w:eastAsia="en-US" w:bidi="ar-SA"/>
              </w:rPr>
            </w:pPr>
            <w:r w:rsidRPr="00332882">
              <w:rPr>
                <w:b/>
                <w:bCs/>
                <w:snapToGrid/>
                <w:kern w:val="0"/>
                <w:sz w:val="22"/>
                <w:szCs w:val="22"/>
                <w:lang w:val="en-US" w:eastAsia="en-US" w:bidi="ar-SA"/>
              </w:rPr>
              <w:t xml:space="preserve">Basic Service </w:t>
            </w:r>
            <w:r w:rsidRPr="00332882" w:rsidR="00122A87">
              <w:rPr>
                <w:b/>
                <w:bCs/>
                <w:snapToGrid/>
                <w:kern w:val="0"/>
                <w:sz w:val="22"/>
                <w:szCs w:val="22"/>
                <w:lang w:val="en-US" w:eastAsia="en-US" w:bidi="ar-SA"/>
              </w:rPr>
              <w:t>Channel Composition</w:t>
            </w:r>
          </w:p>
          <w:p w:rsidR="00122A87" w:rsidRPr="007F0ECD" w:rsidP="004E16D7" w14:paraId="035CB9CB" w14:textId="77777777">
            <w:pPr>
              <w:keepNext/>
              <w:widowControl/>
              <w:suppressAutoHyphens/>
              <w:jc w:val="center"/>
              <w:rPr>
                <w:rStyle w:val="DefaultParagraphFont"/>
                <w:rFonts w:ascii="Times New Roman Bold" w:hAnsi="Times New Roman Bold"/>
                <w:b/>
                <w:bCs/>
                <w:snapToGrid/>
                <w:kern w:val="0"/>
                <w:sz w:val="24"/>
                <w:szCs w:val="24"/>
                <w:lang w:val="en-US" w:eastAsia="en-US" w:bidi="ar-SA"/>
              </w:rPr>
            </w:pPr>
            <w:r w:rsidRPr="00332882">
              <w:rPr>
                <w:bCs/>
                <w:snapToGrid/>
                <w:kern w:val="0"/>
                <w:sz w:val="22"/>
                <w:szCs w:val="22"/>
                <w:lang w:val="en-US" w:eastAsia="en-US" w:bidi="ar-SA"/>
              </w:rPr>
              <w:t xml:space="preserve">January 1, </w:t>
            </w:r>
            <w:r w:rsidRPr="00332882" w:rsidR="008634B3">
              <w:rPr>
                <w:bCs/>
                <w:snapToGrid/>
                <w:kern w:val="0"/>
                <w:sz w:val="22"/>
                <w:szCs w:val="22"/>
                <w:lang w:val="en-US" w:eastAsia="en-US" w:bidi="ar-SA"/>
              </w:rPr>
              <w:t>2016</w:t>
            </w:r>
          </w:p>
        </w:tc>
      </w:tr>
      <w:tr w14:paraId="64020F50" w14:textId="77777777" w:rsidTr="003E7B35">
        <w:tblPrEx>
          <w:tblW w:w="5000" w:type="pct"/>
          <w:tblInd w:w="0" w:type="dxa"/>
          <w:tblLayout w:type="fixed"/>
          <w:tblCellMar>
            <w:top w:w="0" w:type="dxa"/>
            <w:left w:w="108" w:type="dxa"/>
            <w:bottom w:w="0" w:type="dxa"/>
            <w:right w:w="108" w:type="dxa"/>
          </w:tblCellMar>
          <w:tblLook w:val="04A0"/>
        </w:tblPrEx>
        <w:trPr>
          <w:trHeight w:hRule="exact" w:val="346"/>
        </w:trPr>
        <w:tc>
          <w:tcPr>
            <w:tcW w:w="812" w:type="pct"/>
            <w:vMerge w:val="restart"/>
            <w:tcBorders>
              <w:top w:val="single" w:sz="12" w:space="0" w:color="auto"/>
              <w:left w:val="single" w:sz="12" w:space="0" w:color="auto"/>
              <w:bottom w:val="single" w:sz="12" w:space="0" w:color="000000"/>
              <w:right w:val="single" w:sz="8" w:space="0" w:color="auto"/>
            </w:tcBorders>
            <w:shd w:val="clear" w:color="auto" w:fill="auto"/>
            <w:vAlign w:val="center"/>
            <w:hideMark/>
          </w:tcPr>
          <w:p w:rsidR="00762965" w:rsidP="004E16D7" w14:paraId="7F124801" w14:textId="77777777">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Category</w:t>
            </w:r>
          </w:p>
          <w:p w:rsidR="007820F2" w:rsidRPr="00762965" w:rsidP="004E16D7" w14:paraId="7B615B13" w14:textId="77777777">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 xml:space="preserve"> of </w:t>
            </w:r>
            <w:r w:rsidRPr="00762965" w:rsidR="00122A87">
              <w:rPr>
                <w:b/>
                <w:bCs/>
                <w:snapToGrid/>
                <w:color w:val="000000"/>
                <w:kern w:val="0"/>
                <w:sz w:val="20"/>
                <w:lang w:val="en-US" w:eastAsia="en-US" w:bidi="ar-SA"/>
              </w:rPr>
              <w:t>Video</w:t>
            </w:r>
          </w:p>
          <w:p w:rsidR="00122A87" w:rsidRPr="00762965" w:rsidP="004E16D7" w14:paraId="60EFECE6" w14:textId="77777777">
            <w:pPr>
              <w:keepNext/>
              <w:widowControl/>
              <w:suppressAutoHyphens/>
              <w:jc w:val="center"/>
              <w:rPr>
                <w:rStyle w:val="DefaultParagraphFont"/>
                <w:b/>
                <w:bCs/>
                <w:snapToGrid/>
                <w:color w:val="000000"/>
                <w:kern w:val="0"/>
                <w:sz w:val="20"/>
                <w:lang w:val="en-US" w:eastAsia="en-US" w:bidi="ar-SA"/>
              </w:rPr>
            </w:pPr>
            <w:r w:rsidRPr="00762965">
              <w:rPr>
                <w:b/>
                <w:bCs/>
                <w:snapToGrid/>
                <w:color w:val="000000"/>
                <w:kern w:val="0"/>
                <w:sz w:val="20"/>
                <w:lang w:val="en-US" w:eastAsia="en-US" w:bidi="ar-SA"/>
              </w:rPr>
              <w:t xml:space="preserve"> Channel</w:t>
            </w:r>
          </w:p>
        </w:tc>
        <w:tc>
          <w:tcPr>
            <w:tcW w:w="482"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332882" w:rsidP="004E16D7" w14:paraId="55083222" w14:textId="77777777">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Full</w:t>
            </w:r>
          </w:p>
          <w:p w:rsidR="00122A87" w:rsidRPr="00762965" w:rsidP="004E16D7" w14:paraId="6F601D47" w14:textId="3678142D">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Sample</w:t>
            </w:r>
          </w:p>
        </w:tc>
        <w:tc>
          <w:tcPr>
            <w:tcW w:w="723"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0313BE" w:rsidP="004E16D7" w14:paraId="5C32F764" w14:textId="68195A79">
            <w:pPr>
              <w:keepNext/>
              <w:widowControl/>
              <w:suppressAutoHyphens/>
              <w:jc w:val="center"/>
              <w:rPr>
                <w:rStyle w:val="DefaultParagraphFont"/>
                <w:b/>
                <w:bCs/>
                <w:snapToGrid/>
                <w:color w:val="000000"/>
                <w:kern w:val="0"/>
                <w:sz w:val="20"/>
                <w:lang w:val="en-US" w:eastAsia="en-US" w:bidi="ar-SA"/>
              </w:rPr>
            </w:pPr>
            <w:r w:rsidRPr="00762965">
              <w:rPr>
                <w:b/>
                <w:bCs/>
                <w:snapToGrid/>
                <w:color w:val="000000"/>
                <w:kern w:val="0"/>
                <w:sz w:val="20"/>
                <w:lang w:val="en-US" w:eastAsia="en-US" w:bidi="ar-SA"/>
              </w:rPr>
              <w:t>Non</w:t>
            </w:r>
            <w:r w:rsidR="00373AC5">
              <w:rPr>
                <w:b/>
                <w:bCs/>
                <w:snapToGrid/>
                <w:color w:val="000000"/>
                <w:kern w:val="0"/>
                <w:sz w:val="20"/>
                <w:lang w:val="en-US" w:eastAsia="en-US" w:bidi="ar-SA"/>
              </w:rPr>
              <w:t>-</w:t>
            </w:r>
            <w:r>
              <w:rPr>
                <w:b/>
                <w:bCs/>
                <w:snapToGrid/>
                <w:color w:val="000000"/>
                <w:kern w:val="0"/>
                <w:sz w:val="20"/>
                <w:lang w:val="en-US" w:eastAsia="en-US" w:bidi="ar-SA"/>
              </w:rPr>
              <w:t xml:space="preserve"> </w:t>
            </w:r>
          </w:p>
          <w:p w:rsidR="00122A87" w:rsidP="004E16D7" w14:paraId="3A5D5DD6" w14:textId="22D9A00E">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c</w:t>
            </w:r>
            <w:r w:rsidRPr="00762965">
              <w:rPr>
                <w:b/>
                <w:bCs/>
                <w:snapToGrid/>
                <w:color w:val="000000"/>
                <w:kern w:val="0"/>
                <w:sz w:val="20"/>
                <w:lang w:val="en-US" w:eastAsia="en-US" w:bidi="ar-SA"/>
              </w:rPr>
              <w:t>ompetitive</w:t>
            </w:r>
          </w:p>
          <w:p w:rsidR="000313BE" w:rsidRPr="00762965" w:rsidP="004E16D7" w14:paraId="555011F2" w14:textId="2AE5A646">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Group</w:t>
            </w:r>
          </w:p>
        </w:tc>
        <w:tc>
          <w:tcPr>
            <w:tcW w:w="772" w:type="pct"/>
            <w:vMerge w:val="restart"/>
            <w:tcBorders>
              <w:top w:val="single" w:sz="12" w:space="0" w:color="auto"/>
              <w:left w:val="single" w:sz="8" w:space="0" w:color="auto"/>
              <w:bottom w:val="single" w:sz="18" w:space="0" w:color="auto"/>
              <w:right w:val="single" w:sz="8" w:space="0" w:color="auto"/>
            </w:tcBorders>
            <w:shd w:val="clear" w:color="auto" w:fill="auto"/>
            <w:vAlign w:val="center"/>
            <w:hideMark/>
          </w:tcPr>
          <w:p w:rsidR="00122A87" w:rsidP="004E16D7" w14:paraId="7A913D2E" w14:textId="77777777">
            <w:pPr>
              <w:keepNext/>
              <w:widowControl w:val="0"/>
              <w:suppressAutoHyphens/>
              <w:jc w:val="center"/>
              <w:rPr>
                <w:rStyle w:val="DefaultParagraphFont"/>
                <w:b/>
                <w:bCs/>
                <w:snapToGrid/>
                <w:color w:val="000000"/>
                <w:kern w:val="0"/>
                <w:sz w:val="20"/>
                <w:lang w:val="en-US" w:eastAsia="en-US" w:bidi="ar-SA"/>
              </w:rPr>
            </w:pPr>
            <w:r w:rsidRPr="00762965">
              <w:rPr>
                <w:b/>
                <w:bCs/>
                <w:snapToGrid/>
                <w:color w:val="000000"/>
                <w:kern w:val="0"/>
                <w:sz w:val="20"/>
                <w:lang w:val="en-US" w:eastAsia="en-US" w:bidi="ar-SA"/>
              </w:rPr>
              <w:t>Effective Competition</w:t>
            </w:r>
          </w:p>
          <w:p w:rsidR="00277822" w:rsidRPr="00762965" w:rsidP="004E16D7" w14:paraId="7BCD5324" w14:textId="30E515EF">
            <w:pPr>
              <w:keepNext/>
              <w:widowControl w:val="0"/>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Group</w:t>
            </w:r>
          </w:p>
        </w:tc>
        <w:tc>
          <w:tcPr>
            <w:tcW w:w="2211" w:type="pct"/>
            <w:gridSpan w:val="6"/>
            <w:tcBorders>
              <w:top w:val="single" w:sz="12" w:space="0" w:color="auto"/>
              <w:left w:val="single" w:sz="8" w:space="0" w:color="auto"/>
              <w:bottom w:val="single" w:sz="8" w:space="0" w:color="auto"/>
              <w:right w:val="single" w:sz="12" w:space="0" w:color="auto"/>
            </w:tcBorders>
            <w:shd w:val="clear" w:color="auto" w:fill="auto"/>
            <w:vAlign w:val="center"/>
          </w:tcPr>
          <w:p w:rsidR="00122A87" w:rsidRPr="00762965" w:rsidP="004E16D7" w14:paraId="0EFB914E" w14:textId="77777777">
            <w:pPr>
              <w:keepNext/>
              <w:widowControl/>
              <w:suppressAutoHyphens/>
              <w:jc w:val="center"/>
              <w:rPr>
                <w:rStyle w:val="DefaultParagraphFont"/>
                <w:b/>
                <w:bCs/>
                <w:snapToGrid/>
                <w:color w:val="000000"/>
                <w:kern w:val="0"/>
                <w:sz w:val="20"/>
                <w:lang w:val="en-US" w:eastAsia="en-US" w:bidi="ar-SA"/>
              </w:rPr>
            </w:pPr>
            <w:r w:rsidRPr="00762965">
              <w:rPr>
                <w:b/>
                <w:bCs/>
                <w:snapToGrid/>
                <w:color w:val="000000"/>
                <w:kern w:val="0"/>
                <w:sz w:val="20"/>
                <w:lang w:val="en-US" w:eastAsia="en-US" w:bidi="ar-SA"/>
              </w:rPr>
              <w:t>Effective Competition Subgroups</w:t>
            </w:r>
          </w:p>
        </w:tc>
      </w:tr>
      <w:tr w14:paraId="3294E348" w14:textId="77777777" w:rsidTr="007E2AE9">
        <w:tblPrEx>
          <w:tblW w:w="5000" w:type="pct"/>
          <w:tblInd w:w="0" w:type="dxa"/>
          <w:tblLayout w:type="fixed"/>
          <w:tblCellMar>
            <w:top w:w="0" w:type="dxa"/>
            <w:left w:w="108" w:type="dxa"/>
            <w:bottom w:w="0" w:type="dxa"/>
            <w:right w:w="108" w:type="dxa"/>
          </w:tblCellMar>
          <w:tblLook w:val="04A0"/>
        </w:tblPrEx>
        <w:trPr>
          <w:trHeight w:hRule="exact" w:val="504"/>
        </w:trPr>
        <w:tc>
          <w:tcPr>
            <w:tcW w:w="812" w:type="pct"/>
            <w:vMerge/>
            <w:tcBorders>
              <w:top w:val="single" w:sz="12" w:space="0" w:color="auto"/>
              <w:left w:val="single" w:sz="12" w:space="0" w:color="auto"/>
              <w:bottom w:val="single" w:sz="4" w:space="0" w:color="auto"/>
              <w:right w:val="single" w:sz="8" w:space="0" w:color="auto"/>
            </w:tcBorders>
            <w:vAlign w:val="center"/>
            <w:hideMark/>
          </w:tcPr>
          <w:p w:rsidR="00122A87" w:rsidRPr="00762965" w:rsidP="004E16D7" w14:paraId="3E124FD2" w14:textId="77777777">
            <w:pPr>
              <w:keepNext/>
              <w:widowControl/>
              <w:suppressAutoHyphens/>
              <w:rPr>
                <w:rStyle w:val="DefaultParagraphFont"/>
                <w:b/>
                <w:bCs/>
                <w:snapToGrid/>
                <w:color w:val="000000"/>
                <w:kern w:val="0"/>
                <w:sz w:val="20"/>
                <w:lang w:val="en-US" w:eastAsia="en-US" w:bidi="ar-SA"/>
              </w:rPr>
            </w:pPr>
          </w:p>
        </w:tc>
        <w:tc>
          <w:tcPr>
            <w:tcW w:w="482" w:type="pct"/>
            <w:vMerge/>
            <w:tcBorders>
              <w:top w:val="single" w:sz="12" w:space="0" w:color="auto"/>
              <w:left w:val="single" w:sz="8" w:space="0" w:color="auto"/>
              <w:bottom w:val="single" w:sz="4" w:space="0" w:color="auto"/>
              <w:right w:val="single" w:sz="8" w:space="0" w:color="auto"/>
            </w:tcBorders>
            <w:vAlign w:val="center"/>
            <w:hideMark/>
          </w:tcPr>
          <w:p w:rsidR="00122A87" w:rsidRPr="00762965" w:rsidP="004E16D7" w14:paraId="5F8D0A5F" w14:textId="77777777">
            <w:pPr>
              <w:keepNext/>
              <w:widowControl/>
              <w:suppressAutoHyphens/>
              <w:rPr>
                <w:rStyle w:val="DefaultParagraphFont"/>
                <w:b/>
                <w:bCs/>
                <w:snapToGrid/>
                <w:color w:val="000000"/>
                <w:kern w:val="0"/>
                <w:sz w:val="20"/>
                <w:lang w:val="en-US" w:eastAsia="en-US" w:bidi="ar-SA"/>
              </w:rPr>
            </w:pPr>
          </w:p>
        </w:tc>
        <w:tc>
          <w:tcPr>
            <w:tcW w:w="723" w:type="pct"/>
            <w:vMerge/>
            <w:tcBorders>
              <w:top w:val="single" w:sz="12" w:space="0" w:color="auto"/>
              <w:left w:val="single" w:sz="8" w:space="0" w:color="auto"/>
              <w:bottom w:val="single" w:sz="4" w:space="0" w:color="auto"/>
              <w:right w:val="single" w:sz="8" w:space="0" w:color="auto"/>
            </w:tcBorders>
            <w:vAlign w:val="center"/>
            <w:hideMark/>
          </w:tcPr>
          <w:p w:rsidR="00122A87" w:rsidRPr="00762965" w:rsidP="004E16D7" w14:paraId="40D3CB9C" w14:textId="77777777">
            <w:pPr>
              <w:keepNext/>
              <w:widowControl/>
              <w:suppressAutoHyphens/>
              <w:rPr>
                <w:rStyle w:val="DefaultParagraphFont"/>
                <w:b/>
                <w:bCs/>
                <w:snapToGrid/>
                <w:color w:val="000000"/>
                <w:kern w:val="0"/>
                <w:sz w:val="20"/>
                <w:lang w:val="en-US" w:eastAsia="en-US" w:bidi="ar-SA"/>
              </w:rPr>
            </w:pPr>
          </w:p>
        </w:tc>
        <w:tc>
          <w:tcPr>
            <w:tcW w:w="772" w:type="pct"/>
            <w:vMerge/>
            <w:tcBorders>
              <w:top w:val="single" w:sz="12" w:space="0" w:color="auto"/>
              <w:left w:val="single" w:sz="8" w:space="0" w:color="auto"/>
              <w:bottom w:val="single" w:sz="4" w:space="0" w:color="auto"/>
              <w:right w:val="single" w:sz="8" w:space="0" w:color="auto"/>
            </w:tcBorders>
            <w:shd w:val="clear" w:color="auto" w:fill="auto"/>
            <w:vAlign w:val="center"/>
            <w:hideMark/>
          </w:tcPr>
          <w:p w:rsidR="00122A87" w:rsidRPr="00762965" w:rsidP="004E16D7" w14:paraId="1836E522" w14:textId="77777777">
            <w:pPr>
              <w:keepNext/>
              <w:widowControl/>
              <w:suppressAutoHyphens/>
              <w:jc w:val="center"/>
              <w:rPr>
                <w:rStyle w:val="DefaultParagraphFont"/>
                <w:b/>
                <w:bCs/>
                <w:snapToGrid/>
                <w:color w:val="000000"/>
                <w:kern w:val="0"/>
                <w:sz w:val="20"/>
                <w:lang w:val="en-US" w:eastAsia="en-US" w:bidi="ar-SA"/>
              </w:rPr>
            </w:pPr>
          </w:p>
        </w:tc>
        <w:tc>
          <w:tcPr>
            <w:tcW w:w="1229" w:type="pct"/>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170E18" w:rsidP="004E16D7" w14:paraId="78485A6D" w14:textId="77777777">
            <w:pPr>
              <w:keepNext/>
              <w:widowControl/>
              <w:suppressAutoHyphens/>
              <w:jc w:val="center"/>
              <w:rPr>
                <w:rStyle w:val="DefaultParagraphFont"/>
                <w:b/>
                <w:bCs/>
                <w:snapToGrid/>
                <w:color w:val="000000"/>
                <w:kern w:val="0"/>
                <w:sz w:val="20"/>
                <w:lang w:val="en-US" w:eastAsia="en-US" w:bidi="ar-SA"/>
              </w:rPr>
            </w:pPr>
            <w:r w:rsidRPr="00762965">
              <w:rPr>
                <w:b/>
                <w:bCs/>
                <w:snapToGrid/>
                <w:color w:val="000000"/>
                <w:kern w:val="0"/>
                <w:sz w:val="20"/>
                <w:lang w:val="en-US" w:eastAsia="en-US" w:bidi="ar-SA"/>
              </w:rPr>
              <w:t xml:space="preserve"> Second Cable</w:t>
            </w:r>
          </w:p>
          <w:p w:rsidR="00122A87" w:rsidRPr="00762965" w:rsidP="004E16D7" w14:paraId="0D010B71" w14:textId="3FDC0F6B">
            <w:pPr>
              <w:keepNext/>
              <w:widowControl/>
              <w:suppressAutoHyphens/>
              <w:jc w:val="center"/>
              <w:rPr>
                <w:rStyle w:val="DefaultParagraphFont"/>
                <w:b/>
                <w:bCs/>
                <w:snapToGrid/>
                <w:color w:val="000000"/>
                <w:kern w:val="0"/>
                <w:sz w:val="20"/>
                <w:lang w:val="en-US" w:eastAsia="en-US" w:bidi="ar-SA"/>
              </w:rPr>
            </w:pPr>
            <w:r w:rsidRPr="00762965">
              <w:rPr>
                <w:b/>
                <w:bCs/>
                <w:snapToGrid/>
                <w:color w:val="000000"/>
                <w:kern w:val="0"/>
                <w:sz w:val="20"/>
                <w:lang w:val="en-US" w:eastAsia="en-US" w:bidi="ar-SA"/>
              </w:rPr>
              <w:t xml:space="preserve"> Operator Overbuild</w:t>
            </w:r>
          </w:p>
        </w:tc>
        <w:tc>
          <w:tcPr>
            <w:tcW w:w="363" w:type="pct"/>
            <w:vMerge w:val="restart"/>
            <w:tcBorders>
              <w:top w:val="nil"/>
              <w:left w:val="single" w:sz="8" w:space="0" w:color="auto"/>
              <w:bottom w:val="single" w:sz="4" w:space="0" w:color="auto"/>
              <w:right w:val="single" w:sz="8" w:space="0" w:color="auto"/>
            </w:tcBorders>
            <w:shd w:val="clear" w:color="auto" w:fill="auto"/>
            <w:vAlign w:val="center"/>
            <w:hideMark/>
          </w:tcPr>
          <w:p w:rsidR="00122A87" w:rsidRPr="00762965" w:rsidP="004E16D7" w14:paraId="7C20A977" w14:textId="77777777">
            <w:pPr>
              <w:keepNext/>
              <w:widowControl/>
              <w:suppressAutoHyphens/>
              <w:jc w:val="center"/>
              <w:rPr>
                <w:rStyle w:val="DefaultParagraphFont"/>
                <w:b/>
                <w:bCs/>
                <w:snapToGrid/>
                <w:color w:val="000000"/>
                <w:kern w:val="0"/>
                <w:sz w:val="20"/>
                <w:lang w:val="en-US" w:eastAsia="en-US" w:bidi="ar-SA"/>
              </w:rPr>
            </w:pPr>
            <w:r w:rsidRPr="00762965">
              <w:rPr>
                <w:b/>
                <w:snapToGrid w:val="0"/>
                <w:color w:val="000000"/>
                <w:kern w:val="0"/>
                <w:sz w:val="20"/>
                <w:lang w:val="en-US" w:eastAsia="en-US" w:bidi="ar-SA"/>
              </w:rPr>
              <w:t>DBS</w:t>
            </w:r>
          </w:p>
        </w:tc>
        <w:tc>
          <w:tcPr>
            <w:tcW w:w="619" w:type="pct"/>
            <w:gridSpan w:val="2"/>
            <w:vMerge w:val="restart"/>
            <w:tcBorders>
              <w:top w:val="nil"/>
              <w:left w:val="single" w:sz="8" w:space="0" w:color="auto"/>
              <w:bottom w:val="single" w:sz="4" w:space="0" w:color="auto"/>
              <w:right w:val="single" w:sz="12" w:space="0" w:color="auto"/>
            </w:tcBorders>
            <w:shd w:val="clear" w:color="auto" w:fill="auto"/>
            <w:vAlign w:val="center"/>
            <w:hideMark/>
          </w:tcPr>
          <w:p w:rsidR="00122A87" w:rsidRPr="00A46F4A" w:rsidP="004E16D7" w14:paraId="0C123C02" w14:textId="11DDEC1E">
            <w:pPr>
              <w:keepNext/>
              <w:widowControl/>
              <w:suppressAutoHyphens/>
              <w:jc w:val="center"/>
              <w:rPr>
                <w:rStyle w:val="DefaultParagraphFont"/>
                <w:b/>
                <w:bCs/>
                <w:snapToGrid/>
                <w:color w:val="000000"/>
                <w:kern w:val="0"/>
                <w:sz w:val="18"/>
                <w:szCs w:val="18"/>
                <w:lang w:val="en-US" w:eastAsia="en-US" w:bidi="ar-SA"/>
              </w:rPr>
            </w:pPr>
            <w:r w:rsidRPr="00A46F4A">
              <w:rPr>
                <w:b/>
                <w:bCs/>
                <w:snapToGrid/>
                <w:color w:val="000000"/>
                <w:kern w:val="0"/>
                <w:sz w:val="18"/>
                <w:szCs w:val="18"/>
                <w:lang w:val="en-US" w:eastAsia="en-US" w:bidi="ar-SA"/>
              </w:rPr>
              <w:t xml:space="preserve">Wireless </w:t>
            </w:r>
            <w:r w:rsidRPr="00A46F4A" w:rsidR="00373AC5">
              <w:rPr>
                <w:b/>
                <w:bCs/>
                <w:snapToGrid/>
                <w:color w:val="000000"/>
                <w:kern w:val="0"/>
                <w:sz w:val="18"/>
                <w:szCs w:val="18"/>
                <w:lang w:val="en-US" w:eastAsia="en-US" w:bidi="ar-SA"/>
              </w:rPr>
              <w:t>and</w:t>
            </w:r>
            <w:r w:rsidRPr="00A46F4A" w:rsidR="00762965">
              <w:rPr>
                <w:b/>
                <w:bCs/>
                <w:snapToGrid/>
                <w:color w:val="000000"/>
                <w:kern w:val="0"/>
                <w:sz w:val="18"/>
                <w:szCs w:val="18"/>
                <w:lang w:val="en-US" w:eastAsia="en-US" w:bidi="ar-SA"/>
              </w:rPr>
              <w:t xml:space="preserve"> Low Penetration Test</w:t>
            </w:r>
          </w:p>
        </w:tc>
      </w:tr>
      <w:tr w14:paraId="6E277E0E" w14:textId="77777777" w:rsidTr="007E2AE9">
        <w:tblPrEx>
          <w:tblW w:w="5000" w:type="pct"/>
          <w:tblInd w:w="0" w:type="dxa"/>
          <w:tblLayout w:type="fixed"/>
          <w:tblCellMar>
            <w:top w:w="0" w:type="dxa"/>
            <w:left w:w="108" w:type="dxa"/>
            <w:bottom w:w="0" w:type="dxa"/>
            <w:right w:w="108" w:type="dxa"/>
          </w:tblCellMar>
          <w:tblLook w:val="04A0"/>
        </w:tblPrEx>
        <w:trPr>
          <w:trHeight w:hRule="exact" w:val="475"/>
        </w:trPr>
        <w:tc>
          <w:tcPr>
            <w:tcW w:w="812" w:type="pct"/>
            <w:vMerge/>
            <w:tcBorders>
              <w:top w:val="single" w:sz="12" w:space="0" w:color="auto"/>
              <w:left w:val="single" w:sz="12" w:space="0" w:color="auto"/>
              <w:bottom w:val="single" w:sz="8" w:space="0" w:color="auto"/>
              <w:right w:val="single" w:sz="8" w:space="0" w:color="auto"/>
            </w:tcBorders>
            <w:vAlign w:val="center"/>
            <w:hideMark/>
          </w:tcPr>
          <w:p w:rsidR="00122A87" w:rsidRPr="00762965" w:rsidP="004E16D7" w14:paraId="14E010BC" w14:textId="77777777">
            <w:pPr>
              <w:keepNext/>
              <w:widowControl/>
              <w:suppressAutoHyphens/>
              <w:rPr>
                <w:rStyle w:val="DefaultParagraphFont"/>
                <w:b/>
                <w:bCs/>
                <w:snapToGrid/>
                <w:color w:val="000000"/>
                <w:kern w:val="0"/>
                <w:sz w:val="20"/>
                <w:lang w:val="en-US" w:eastAsia="en-US" w:bidi="ar-SA"/>
              </w:rPr>
            </w:pPr>
          </w:p>
        </w:tc>
        <w:tc>
          <w:tcPr>
            <w:tcW w:w="482" w:type="pct"/>
            <w:vMerge/>
            <w:tcBorders>
              <w:top w:val="single" w:sz="12" w:space="0" w:color="auto"/>
              <w:left w:val="single" w:sz="8" w:space="0" w:color="auto"/>
              <w:bottom w:val="single" w:sz="8" w:space="0" w:color="auto"/>
              <w:right w:val="single" w:sz="8" w:space="0" w:color="auto"/>
            </w:tcBorders>
            <w:vAlign w:val="center"/>
            <w:hideMark/>
          </w:tcPr>
          <w:p w:rsidR="00122A87" w:rsidRPr="00762965" w:rsidP="004E16D7" w14:paraId="72EEAC06" w14:textId="77777777">
            <w:pPr>
              <w:keepNext/>
              <w:widowControl/>
              <w:suppressAutoHyphens/>
              <w:rPr>
                <w:rStyle w:val="DefaultParagraphFont"/>
                <w:b/>
                <w:bCs/>
                <w:snapToGrid/>
                <w:color w:val="000000"/>
                <w:kern w:val="0"/>
                <w:sz w:val="20"/>
                <w:lang w:val="en-US" w:eastAsia="en-US" w:bidi="ar-SA"/>
              </w:rPr>
            </w:pPr>
          </w:p>
        </w:tc>
        <w:tc>
          <w:tcPr>
            <w:tcW w:w="723" w:type="pct"/>
            <w:vMerge/>
            <w:tcBorders>
              <w:top w:val="single" w:sz="12" w:space="0" w:color="auto"/>
              <w:left w:val="single" w:sz="8" w:space="0" w:color="auto"/>
              <w:bottom w:val="single" w:sz="8" w:space="0" w:color="auto"/>
              <w:right w:val="single" w:sz="8" w:space="0" w:color="auto"/>
            </w:tcBorders>
            <w:vAlign w:val="center"/>
            <w:hideMark/>
          </w:tcPr>
          <w:p w:rsidR="00122A87" w:rsidRPr="00762965" w:rsidP="004E16D7" w14:paraId="494A5711" w14:textId="77777777">
            <w:pPr>
              <w:keepNext/>
              <w:widowControl/>
              <w:suppressAutoHyphens/>
              <w:rPr>
                <w:rStyle w:val="DefaultParagraphFont"/>
                <w:b/>
                <w:bCs/>
                <w:snapToGrid/>
                <w:color w:val="000000"/>
                <w:kern w:val="0"/>
                <w:sz w:val="20"/>
                <w:lang w:val="en-US" w:eastAsia="en-US" w:bidi="ar-SA"/>
              </w:rPr>
            </w:pPr>
          </w:p>
        </w:tc>
        <w:tc>
          <w:tcPr>
            <w:tcW w:w="772" w:type="pct"/>
            <w:vMerge/>
            <w:tcBorders>
              <w:top w:val="single" w:sz="12" w:space="0" w:color="auto"/>
              <w:left w:val="single" w:sz="8" w:space="0" w:color="auto"/>
              <w:bottom w:val="single" w:sz="8" w:space="0" w:color="auto"/>
              <w:right w:val="single" w:sz="8" w:space="0" w:color="auto"/>
            </w:tcBorders>
            <w:shd w:val="clear" w:color="auto" w:fill="auto"/>
            <w:vAlign w:val="center"/>
            <w:hideMark/>
          </w:tcPr>
          <w:p w:rsidR="00122A87" w:rsidRPr="00762965" w:rsidP="004E16D7" w14:paraId="43FB0ECD" w14:textId="77777777">
            <w:pPr>
              <w:keepNext/>
              <w:widowControl/>
              <w:suppressAutoHyphens/>
              <w:rPr>
                <w:rStyle w:val="DefaultParagraphFont"/>
                <w:b/>
                <w:bCs/>
                <w:snapToGrid/>
                <w:color w:val="000000"/>
                <w:kern w:val="0"/>
                <w:sz w:val="20"/>
                <w:lang w:val="en-US" w:eastAsia="en-US" w:bidi="ar-SA"/>
              </w:rPr>
            </w:pPr>
          </w:p>
        </w:tc>
        <w:tc>
          <w:tcPr>
            <w:tcW w:w="43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9C2347" w:rsidP="004E16D7" w14:paraId="1173B055" w14:textId="77777777">
            <w:pPr>
              <w:keepNext/>
              <w:widowControl/>
              <w:suppressAutoHyphens/>
              <w:jc w:val="center"/>
              <w:rPr>
                <w:rStyle w:val="DefaultParagraphFont"/>
                <w:b/>
                <w:snapToGrid w:val="0"/>
                <w:color w:val="000000"/>
                <w:kern w:val="0"/>
                <w:sz w:val="20"/>
                <w:lang w:val="en-US" w:eastAsia="en-US" w:bidi="ar-SA"/>
              </w:rPr>
            </w:pPr>
            <w:r w:rsidRPr="009C2347">
              <w:rPr>
                <w:b/>
                <w:snapToGrid w:val="0"/>
                <w:color w:val="000000"/>
                <w:kern w:val="0"/>
                <w:sz w:val="20"/>
                <w:lang w:val="en-US" w:eastAsia="en-US" w:bidi="ar-SA"/>
              </w:rPr>
              <w:t>Incumbent</w:t>
            </w:r>
          </w:p>
        </w:tc>
        <w:tc>
          <w:tcPr>
            <w:tcW w:w="38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9C2347" w:rsidP="004E16D7" w14:paraId="1E4068E6" w14:textId="77777777">
            <w:pPr>
              <w:keepNext/>
              <w:widowControl/>
              <w:suppressAutoHyphens/>
              <w:jc w:val="center"/>
              <w:rPr>
                <w:rStyle w:val="DefaultParagraphFont"/>
                <w:b/>
                <w:snapToGrid w:val="0"/>
                <w:color w:val="000000"/>
                <w:kern w:val="0"/>
                <w:sz w:val="20"/>
                <w:lang w:val="en-US" w:eastAsia="en-US" w:bidi="ar-SA"/>
              </w:rPr>
            </w:pPr>
            <w:r w:rsidRPr="009C2347">
              <w:rPr>
                <w:b/>
                <w:snapToGrid w:val="0"/>
                <w:color w:val="000000"/>
                <w:kern w:val="0"/>
                <w:sz w:val="20"/>
                <w:lang w:val="en-US" w:eastAsia="en-US" w:bidi="ar-SA"/>
              </w:rPr>
              <w:t>Rival</w:t>
            </w:r>
          </w:p>
        </w:tc>
        <w:tc>
          <w:tcPr>
            <w:tcW w:w="40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9C2347" w:rsidP="004E16D7" w14:paraId="280505FD" w14:textId="77777777">
            <w:pPr>
              <w:keepNext/>
              <w:widowControl/>
              <w:suppressAutoHyphens/>
              <w:jc w:val="center"/>
              <w:rPr>
                <w:rStyle w:val="DefaultParagraphFont"/>
                <w:b/>
                <w:snapToGrid w:val="0"/>
                <w:color w:val="000000"/>
                <w:kern w:val="0"/>
                <w:sz w:val="20"/>
                <w:lang w:val="en-US" w:eastAsia="en-US" w:bidi="ar-SA"/>
              </w:rPr>
            </w:pPr>
            <w:r w:rsidRPr="009C2347">
              <w:rPr>
                <w:b/>
                <w:snapToGrid w:val="0"/>
                <w:color w:val="000000"/>
                <w:kern w:val="0"/>
                <w:sz w:val="20"/>
                <w:lang w:val="en-US" w:eastAsia="en-US" w:bidi="ar-SA"/>
              </w:rPr>
              <w:t>Both</w:t>
            </w:r>
          </w:p>
        </w:tc>
        <w:tc>
          <w:tcPr>
            <w:tcW w:w="363" w:type="pct"/>
            <w:vMerge/>
            <w:tcBorders>
              <w:top w:val="single" w:sz="4" w:space="0" w:color="auto"/>
              <w:left w:val="single" w:sz="8" w:space="0" w:color="auto"/>
              <w:bottom w:val="single" w:sz="8" w:space="0" w:color="auto"/>
              <w:right w:val="single" w:sz="8" w:space="0" w:color="auto"/>
            </w:tcBorders>
            <w:vAlign w:val="center"/>
            <w:hideMark/>
          </w:tcPr>
          <w:p w:rsidR="00122A87" w:rsidRPr="00762965" w:rsidP="004E16D7" w14:paraId="63C38ADB" w14:textId="77777777">
            <w:pPr>
              <w:keepNext/>
              <w:widowControl/>
              <w:suppressAutoHyphens/>
              <w:rPr>
                <w:rStyle w:val="DefaultParagraphFont"/>
                <w:b/>
                <w:bCs/>
                <w:snapToGrid/>
                <w:color w:val="000000"/>
                <w:kern w:val="0"/>
                <w:sz w:val="20"/>
                <w:lang w:val="en-US" w:eastAsia="en-US" w:bidi="ar-SA"/>
              </w:rPr>
            </w:pPr>
          </w:p>
        </w:tc>
        <w:tc>
          <w:tcPr>
            <w:tcW w:w="619" w:type="pct"/>
            <w:gridSpan w:val="2"/>
            <w:vMerge/>
            <w:tcBorders>
              <w:top w:val="single" w:sz="4" w:space="0" w:color="auto"/>
              <w:left w:val="single" w:sz="8" w:space="0" w:color="auto"/>
              <w:bottom w:val="single" w:sz="8" w:space="0" w:color="auto"/>
              <w:right w:val="single" w:sz="12" w:space="0" w:color="auto"/>
            </w:tcBorders>
            <w:vAlign w:val="center"/>
            <w:hideMark/>
          </w:tcPr>
          <w:p w:rsidR="00122A87" w:rsidRPr="00762965" w:rsidP="004E16D7" w14:paraId="5FB2EC7E" w14:textId="77777777">
            <w:pPr>
              <w:keepNext/>
              <w:widowControl/>
              <w:suppressAutoHyphens/>
              <w:rPr>
                <w:rStyle w:val="DefaultParagraphFont"/>
                <w:b/>
                <w:bCs/>
                <w:snapToGrid/>
                <w:color w:val="000000"/>
                <w:kern w:val="0"/>
                <w:sz w:val="20"/>
                <w:lang w:val="en-US" w:eastAsia="en-US" w:bidi="ar-SA"/>
              </w:rPr>
            </w:pPr>
          </w:p>
        </w:tc>
      </w:tr>
      <w:tr w14:paraId="37E4F4AF" w14:textId="77777777" w:rsidTr="007E2AE9">
        <w:tblPrEx>
          <w:tblW w:w="5000" w:type="pct"/>
          <w:tblInd w:w="0" w:type="dxa"/>
          <w:tblLayout w:type="fixed"/>
          <w:tblCellMar>
            <w:top w:w="0" w:type="dxa"/>
            <w:left w:w="108" w:type="dxa"/>
            <w:bottom w:w="0" w:type="dxa"/>
            <w:right w:w="108" w:type="dxa"/>
          </w:tblCellMar>
          <w:tblLook w:val="04A0"/>
        </w:tblPrEx>
        <w:trPr>
          <w:trHeight w:val="317"/>
        </w:trPr>
        <w:tc>
          <w:tcPr>
            <w:tcW w:w="812" w:type="pct"/>
            <w:tcBorders>
              <w:top w:val="single" w:sz="8" w:space="0" w:color="auto"/>
              <w:left w:val="single" w:sz="12" w:space="0" w:color="auto"/>
              <w:bottom w:val="single" w:sz="4" w:space="0" w:color="auto"/>
              <w:right w:val="single" w:sz="8" w:space="0" w:color="auto"/>
            </w:tcBorders>
            <w:shd w:val="clear" w:color="auto" w:fill="auto"/>
            <w:vAlign w:val="bottom"/>
            <w:hideMark/>
          </w:tcPr>
          <w:p w:rsidR="007578EA" w:rsidRPr="00762965" w:rsidP="007578EA" w14:paraId="7C1BC895" w14:textId="77777777">
            <w:pPr>
              <w:keepNext/>
              <w:widowControl/>
              <w:suppressAutoHyphens/>
              <w:rPr>
                <w:rStyle w:val="DefaultParagraphFont"/>
                <w:b/>
                <w:bCs/>
                <w:snapToGrid/>
                <w:color w:val="000000"/>
                <w:kern w:val="0"/>
                <w:sz w:val="20"/>
                <w:lang w:val="en-US" w:eastAsia="en-US" w:bidi="ar-SA"/>
              </w:rPr>
            </w:pPr>
            <w:r w:rsidRPr="00762965">
              <w:rPr>
                <w:snapToGrid/>
                <w:kern w:val="0"/>
                <w:sz w:val="20"/>
                <w:lang w:val="en-US" w:eastAsia="en-US" w:bidi="ar-SA"/>
              </w:rPr>
              <w:t>Broadcast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8EA" w:rsidRPr="00DB2B49" w:rsidP="007578EA" w14:paraId="50EAF2BD" w14:textId="7F8759DA">
            <w:pPr>
              <w:keepNext/>
              <w:widowControl w:val="0"/>
              <w:suppressAutoHyphens/>
              <w:jc w:val="center"/>
              <w:rPr>
                <w:rStyle w:val="DefaultParagraphFont"/>
                <w:b/>
                <w:bCs/>
                <w:snapToGrid w:val="0"/>
                <w:color w:val="000000"/>
                <w:kern w:val="28"/>
                <w:sz w:val="20"/>
                <w:lang w:val="en-US" w:eastAsia="en-US" w:bidi="ar-SA"/>
              </w:rPr>
            </w:pPr>
            <w:r w:rsidRPr="00123737">
              <w:rPr>
                <w:snapToGrid w:val="0"/>
                <w:kern w:val="28"/>
                <w:sz w:val="20"/>
                <w:lang w:val="en-US" w:eastAsia="en-US" w:bidi="ar-SA"/>
              </w:rPr>
              <w:t>33.2</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7578EA" w:rsidRPr="00DB2B49" w:rsidP="007578EA" w14:paraId="606F2B2D" w14:textId="068EFC5B">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30.0</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7578EA" w:rsidRPr="00DB2B49" w:rsidP="007578EA" w14:paraId="23D85A7B" w14:textId="3673E1C9">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36.7†</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7578EA" w:rsidRPr="00DB2B49" w:rsidP="007578EA" w14:paraId="3E13E133" w14:textId="16A9B4BD">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36.6†</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7578EA" w:rsidRPr="00DB2B49" w:rsidP="007578EA" w14:paraId="1BB32411" w14:textId="07876C8A">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30.4</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7578EA" w:rsidRPr="00DB2B49" w:rsidP="007578EA" w14:paraId="427B5F0A" w14:textId="715B8E3F">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35.6†</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7578EA" w:rsidRPr="00DB2B49" w:rsidP="007578EA" w14:paraId="11F9EBAF" w14:textId="606CF5DB">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37.3†</w:t>
            </w:r>
          </w:p>
        </w:tc>
        <w:tc>
          <w:tcPr>
            <w:tcW w:w="619" w:type="pct"/>
            <w:gridSpan w:val="2"/>
            <w:tcBorders>
              <w:top w:val="single" w:sz="4" w:space="0" w:color="auto"/>
              <w:left w:val="nil"/>
              <w:bottom w:val="single" w:sz="4" w:space="0" w:color="auto"/>
              <w:right w:val="single" w:sz="12" w:space="0" w:color="auto"/>
            </w:tcBorders>
            <w:shd w:val="clear" w:color="auto" w:fill="auto"/>
            <w:noWrap/>
            <w:vAlign w:val="bottom"/>
            <w:hideMark/>
          </w:tcPr>
          <w:p w:rsidR="007578EA" w:rsidRPr="00DB2B49" w:rsidP="007578EA" w14:paraId="3BD36560" w14:textId="4F20ACD9">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33.9</w:t>
            </w:r>
          </w:p>
        </w:tc>
      </w:tr>
      <w:tr w14:paraId="04BEECA2" w14:textId="77777777" w:rsidTr="007E2AE9">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4" w:space="0" w:color="auto"/>
              <w:right w:val="single" w:sz="8" w:space="0" w:color="auto"/>
            </w:tcBorders>
            <w:shd w:val="clear" w:color="auto" w:fill="auto"/>
            <w:vAlign w:val="bottom"/>
            <w:hideMark/>
          </w:tcPr>
          <w:p w:rsidR="007578EA" w:rsidRPr="00762965" w:rsidP="007578EA" w14:paraId="658BAB1F" w14:textId="77777777">
            <w:pPr>
              <w:keepNext/>
              <w:widowControl/>
              <w:suppressAutoHyphens/>
              <w:rPr>
                <w:rStyle w:val="DefaultParagraphFont"/>
                <w:snapToGrid/>
                <w:color w:val="000000"/>
                <w:kern w:val="0"/>
                <w:sz w:val="20"/>
                <w:lang w:val="en-US" w:eastAsia="en-US" w:bidi="ar-SA"/>
              </w:rPr>
            </w:pPr>
            <w:r w:rsidRPr="00762965">
              <w:rPr>
                <w:bCs/>
                <w:snapToGrid/>
                <w:kern w:val="0"/>
                <w:sz w:val="20"/>
                <w:lang w:val="en-US" w:eastAsia="en-US" w:bidi="ar-SA"/>
              </w:rPr>
              <w:t>PEG</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7578EA" w:rsidRPr="00DB2B49" w:rsidP="007578EA" w14:paraId="3A30C464" w14:textId="3393D5F4">
            <w:pPr>
              <w:keepNext/>
              <w:widowControl w:val="0"/>
              <w:suppressAutoHyphens/>
              <w:jc w:val="center"/>
              <w:rPr>
                <w:rStyle w:val="DefaultParagraphFont"/>
                <w:snapToGrid w:val="0"/>
                <w:color w:val="000000"/>
                <w:kern w:val="28"/>
                <w:sz w:val="20"/>
                <w:lang w:val="en-US" w:eastAsia="en-US" w:bidi="ar-SA"/>
              </w:rPr>
            </w:pPr>
            <w:r w:rsidRPr="00123737">
              <w:rPr>
                <w:snapToGrid w:val="0"/>
                <w:kern w:val="28"/>
                <w:sz w:val="20"/>
                <w:lang w:val="en-US" w:eastAsia="en-US" w:bidi="ar-SA"/>
              </w:rPr>
              <w:t>3.9</w:t>
            </w:r>
          </w:p>
        </w:tc>
        <w:tc>
          <w:tcPr>
            <w:tcW w:w="72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7BEAFB07" w14:textId="4983B24E">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3.5</w:t>
            </w:r>
          </w:p>
        </w:tc>
        <w:tc>
          <w:tcPr>
            <w:tcW w:w="772"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0AD3F6C" w14:textId="5C5C2ACF">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4.4†</w:t>
            </w:r>
          </w:p>
        </w:tc>
        <w:tc>
          <w:tcPr>
            <w:tcW w:w="434"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1166B9BA" w14:textId="56E3242F">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4.6†</w:t>
            </w:r>
          </w:p>
        </w:tc>
        <w:tc>
          <w:tcPr>
            <w:tcW w:w="386"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2CEFBD7C" w14:textId="62F008DF">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3.4</w:t>
            </w:r>
          </w:p>
        </w:tc>
        <w:tc>
          <w:tcPr>
            <w:tcW w:w="409"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44503C6" w14:textId="2D913F22">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4.4†</w:t>
            </w:r>
          </w:p>
        </w:tc>
        <w:tc>
          <w:tcPr>
            <w:tcW w:w="36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66AE63DC" w14:textId="382FD950">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4.5†</w:t>
            </w:r>
          </w:p>
        </w:tc>
        <w:tc>
          <w:tcPr>
            <w:tcW w:w="619" w:type="pct"/>
            <w:gridSpan w:val="2"/>
            <w:tcBorders>
              <w:top w:val="nil"/>
              <w:left w:val="nil"/>
              <w:bottom w:val="single" w:sz="4" w:space="0" w:color="auto"/>
              <w:right w:val="single" w:sz="12" w:space="0" w:color="auto"/>
            </w:tcBorders>
            <w:shd w:val="clear" w:color="auto" w:fill="auto"/>
            <w:noWrap/>
            <w:vAlign w:val="bottom"/>
            <w:hideMark/>
          </w:tcPr>
          <w:p w:rsidR="007578EA" w:rsidRPr="00DB2B49" w:rsidP="007578EA" w14:paraId="4B39D576" w14:textId="1EB0A35D">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3.4</w:t>
            </w:r>
          </w:p>
        </w:tc>
      </w:tr>
      <w:tr w14:paraId="2618440F" w14:textId="77777777" w:rsidTr="007E2AE9">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4" w:space="0" w:color="auto"/>
              <w:right w:val="single" w:sz="8" w:space="0" w:color="auto"/>
            </w:tcBorders>
            <w:shd w:val="clear" w:color="auto" w:fill="auto"/>
            <w:vAlign w:val="bottom"/>
            <w:hideMark/>
          </w:tcPr>
          <w:p w:rsidR="007578EA" w:rsidRPr="00762965" w:rsidP="007578EA" w14:paraId="2B88B162" w14:textId="77777777">
            <w:pPr>
              <w:keepNext/>
              <w:widowControl/>
              <w:suppressAutoHyphens/>
              <w:rPr>
                <w:rStyle w:val="DefaultParagraphFont"/>
                <w:b/>
                <w:bCs/>
                <w:snapToGrid/>
                <w:color w:val="000000"/>
                <w:kern w:val="0"/>
                <w:sz w:val="20"/>
                <w:lang w:val="en-US" w:eastAsia="en-US" w:bidi="ar-SA"/>
              </w:rPr>
            </w:pPr>
            <w:r w:rsidRPr="00762965">
              <w:rPr>
                <w:bCs/>
                <w:snapToGrid/>
                <w:kern w:val="0"/>
                <w:sz w:val="20"/>
                <w:lang w:val="en-US" w:eastAsia="en-US" w:bidi="ar-SA"/>
              </w:rPr>
              <w:t>Leased access</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7578EA" w:rsidRPr="00DB2B49" w:rsidP="007578EA" w14:paraId="3609CEB9" w14:textId="7977DD54">
            <w:pPr>
              <w:keepNext/>
              <w:widowControl w:val="0"/>
              <w:suppressAutoHyphens/>
              <w:jc w:val="center"/>
              <w:rPr>
                <w:rStyle w:val="DefaultParagraphFont"/>
                <w:b/>
                <w:bCs/>
                <w:snapToGrid w:val="0"/>
                <w:color w:val="000000"/>
                <w:kern w:val="28"/>
                <w:sz w:val="20"/>
                <w:lang w:val="en-US" w:eastAsia="en-US" w:bidi="ar-SA"/>
              </w:rPr>
            </w:pPr>
            <w:r w:rsidRPr="00123737">
              <w:rPr>
                <w:snapToGrid w:val="0"/>
                <w:kern w:val="28"/>
                <w:sz w:val="20"/>
                <w:lang w:val="en-US" w:eastAsia="en-US" w:bidi="ar-SA"/>
              </w:rPr>
              <w:t>1.1</w:t>
            </w:r>
          </w:p>
        </w:tc>
        <w:tc>
          <w:tcPr>
            <w:tcW w:w="72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314C6C0B" w14:textId="0672E8B7">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1.0</w:t>
            </w:r>
          </w:p>
        </w:tc>
        <w:tc>
          <w:tcPr>
            <w:tcW w:w="772"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5BD9BDDB" w14:textId="01565813">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1.2</w:t>
            </w:r>
          </w:p>
        </w:tc>
        <w:tc>
          <w:tcPr>
            <w:tcW w:w="434"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4B556EEC" w14:textId="687D8F17">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1.4</w:t>
            </w:r>
          </w:p>
        </w:tc>
        <w:tc>
          <w:tcPr>
            <w:tcW w:w="386"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278D30F2" w14:textId="33E75C6B">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0.5</w:t>
            </w:r>
          </w:p>
        </w:tc>
        <w:tc>
          <w:tcPr>
            <w:tcW w:w="409"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6E9B8C41" w14:textId="4DD14BDD">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1.3</w:t>
            </w:r>
          </w:p>
        </w:tc>
        <w:tc>
          <w:tcPr>
            <w:tcW w:w="36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6060795F" w14:textId="715832B3">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1.2</w:t>
            </w:r>
          </w:p>
        </w:tc>
        <w:tc>
          <w:tcPr>
            <w:tcW w:w="619" w:type="pct"/>
            <w:gridSpan w:val="2"/>
            <w:tcBorders>
              <w:top w:val="nil"/>
              <w:left w:val="nil"/>
              <w:bottom w:val="single" w:sz="4" w:space="0" w:color="auto"/>
              <w:right w:val="single" w:sz="12" w:space="0" w:color="auto"/>
            </w:tcBorders>
            <w:shd w:val="clear" w:color="auto" w:fill="auto"/>
            <w:noWrap/>
            <w:vAlign w:val="bottom"/>
            <w:hideMark/>
          </w:tcPr>
          <w:p w:rsidR="007578EA" w:rsidRPr="00DB2B49" w:rsidP="007578EA" w14:paraId="701D10BE" w14:textId="5F9DFFED">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1.5</w:t>
            </w:r>
          </w:p>
        </w:tc>
      </w:tr>
      <w:tr w14:paraId="20221DCC" w14:textId="77777777" w:rsidTr="007E2AE9">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4" w:space="0" w:color="auto"/>
              <w:right w:val="single" w:sz="8" w:space="0" w:color="auto"/>
            </w:tcBorders>
            <w:shd w:val="clear" w:color="auto" w:fill="auto"/>
            <w:vAlign w:val="bottom"/>
            <w:hideMark/>
          </w:tcPr>
          <w:p w:rsidR="007578EA" w:rsidRPr="00762965" w:rsidP="007578EA" w14:paraId="0BF7B0D2" w14:textId="77777777">
            <w:pPr>
              <w:keepNext/>
              <w:widowControl/>
              <w:suppressAutoHyphens/>
              <w:rPr>
                <w:rStyle w:val="DefaultParagraphFont"/>
                <w:snapToGrid/>
                <w:color w:val="000000"/>
                <w:kern w:val="0"/>
                <w:sz w:val="20"/>
                <w:lang w:val="en-US" w:eastAsia="en-US" w:bidi="ar-SA"/>
              </w:rPr>
            </w:pPr>
            <w:r w:rsidRPr="00762965">
              <w:rPr>
                <w:bCs/>
                <w:snapToGrid/>
                <w:kern w:val="0"/>
                <w:sz w:val="20"/>
                <w:lang w:val="en-US" w:eastAsia="en-US" w:bidi="ar-SA"/>
              </w:rPr>
              <w:t>Regional sports</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7578EA" w:rsidRPr="00DB2B49" w:rsidP="007578EA" w14:paraId="384712B3" w14:textId="4B700D86">
            <w:pPr>
              <w:keepNext/>
              <w:widowControl w:val="0"/>
              <w:suppressAutoHyphens/>
              <w:jc w:val="center"/>
              <w:rPr>
                <w:rStyle w:val="DefaultParagraphFont"/>
                <w:snapToGrid w:val="0"/>
                <w:color w:val="000000"/>
                <w:kern w:val="28"/>
                <w:sz w:val="20"/>
                <w:lang w:val="en-US" w:eastAsia="en-US" w:bidi="ar-SA"/>
              </w:rPr>
            </w:pPr>
            <w:r w:rsidRPr="00123737">
              <w:rPr>
                <w:snapToGrid w:val="0"/>
                <w:kern w:val="28"/>
                <w:sz w:val="20"/>
                <w:lang w:val="en-US" w:eastAsia="en-US" w:bidi="ar-SA"/>
              </w:rPr>
              <w:t>0.2</w:t>
            </w:r>
          </w:p>
        </w:tc>
        <w:tc>
          <w:tcPr>
            <w:tcW w:w="72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19A52F87" w14:textId="24C3B322">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0.2</w:t>
            </w:r>
          </w:p>
        </w:tc>
        <w:tc>
          <w:tcPr>
            <w:tcW w:w="772"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711D00FE" w14:textId="02BBF6F2">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0.2</w:t>
            </w:r>
          </w:p>
        </w:tc>
        <w:tc>
          <w:tcPr>
            <w:tcW w:w="434"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0BBFDE6" w14:textId="7FFD6259">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0.9†</w:t>
            </w:r>
          </w:p>
        </w:tc>
        <w:tc>
          <w:tcPr>
            <w:tcW w:w="386"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47080A24" w14:textId="36B2F8A1">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0.0†</w:t>
            </w:r>
          </w:p>
        </w:tc>
        <w:tc>
          <w:tcPr>
            <w:tcW w:w="409"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1A79D9A7" w14:textId="0AF9127B">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0.8†</w:t>
            </w:r>
          </w:p>
        </w:tc>
        <w:tc>
          <w:tcPr>
            <w:tcW w:w="36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4F9FA10D" w14:textId="1046B1EF">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0.1†</w:t>
            </w:r>
          </w:p>
        </w:tc>
        <w:tc>
          <w:tcPr>
            <w:tcW w:w="619" w:type="pct"/>
            <w:gridSpan w:val="2"/>
            <w:tcBorders>
              <w:top w:val="nil"/>
              <w:left w:val="nil"/>
              <w:bottom w:val="single" w:sz="4" w:space="0" w:color="auto"/>
              <w:right w:val="single" w:sz="12" w:space="0" w:color="auto"/>
            </w:tcBorders>
            <w:shd w:val="clear" w:color="auto" w:fill="auto"/>
            <w:noWrap/>
            <w:vAlign w:val="bottom"/>
            <w:hideMark/>
          </w:tcPr>
          <w:p w:rsidR="007578EA" w:rsidRPr="00DB2B49" w:rsidP="007578EA" w14:paraId="39F25134" w14:textId="0324C89D">
            <w:pPr>
              <w:widowControl w:val="0"/>
              <w:suppressAutoHyphens/>
              <w:jc w:val="center"/>
              <w:rPr>
                <w:rStyle w:val="DefaultParagraphFont"/>
                <w:snapToGrid w:val="0"/>
                <w:kern w:val="28"/>
                <w:sz w:val="20"/>
                <w:lang w:val="en-US" w:eastAsia="en-US" w:bidi="ar-SA"/>
              </w:rPr>
            </w:pPr>
            <w:r w:rsidRPr="00123737">
              <w:rPr>
                <w:snapToGrid w:val="0"/>
                <w:kern w:val="28"/>
                <w:sz w:val="20"/>
                <w:lang w:val="en-US" w:eastAsia="en-US" w:bidi="ar-SA"/>
              </w:rPr>
              <w:t>0.0†</w:t>
            </w:r>
          </w:p>
        </w:tc>
      </w:tr>
      <w:tr w14:paraId="37D8CBAE" w14:textId="77777777" w:rsidTr="007E2AE9">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4" w:space="0" w:color="auto"/>
              <w:right w:val="single" w:sz="8" w:space="0" w:color="auto"/>
            </w:tcBorders>
            <w:shd w:val="clear" w:color="auto" w:fill="auto"/>
            <w:vAlign w:val="bottom"/>
            <w:hideMark/>
          </w:tcPr>
          <w:p w:rsidR="007578EA" w:rsidRPr="00762965" w:rsidP="007578EA" w14:paraId="57DDCFC8" w14:textId="77777777">
            <w:pPr>
              <w:keepNext/>
              <w:widowControl/>
              <w:suppressAutoHyphens/>
              <w:rPr>
                <w:rStyle w:val="DefaultParagraphFont"/>
                <w:b/>
                <w:bCs/>
                <w:snapToGrid/>
                <w:color w:val="000000"/>
                <w:kern w:val="0"/>
                <w:sz w:val="20"/>
                <w:lang w:val="en-US" w:eastAsia="en-US" w:bidi="ar-SA"/>
              </w:rPr>
            </w:pPr>
            <w:r w:rsidRPr="00762965">
              <w:rPr>
                <w:bCs/>
                <w:snapToGrid/>
                <w:kern w:val="0"/>
                <w:sz w:val="20"/>
                <w:lang w:val="en-US" w:eastAsia="en-US" w:bidi="ar-SA"/>
              </w:rPr>
              <w:t>Other channels</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7578EA" w:rsidRPr="00DB2B49" w:rsidP="007578EA" w14:paraId="73792018" w14:textId="3530D7A6">
            <w:pPr>
              <w:keepNext/>
              <w:widowControl w:val="0"/>
              <w:suppressAutoHyphens/>
              <w:jc w:val="center"/>
              <w:rPr>
                <w:rStyle w:val="DefaultParagraphFont"/>
                <w:b/>
                <w:bCs/>
                <w:snapToGrid w:val="0"/>
                <w:color w:val="000000"/>
                <w:kern w:val="28"/>
                <w:sz w:val="20"/>
                <w:lang w:val="en-US" w:eastAsia="en-US" w:bidi="ar-SA"/>
              </w:rPr>
            </w:pPr>
            <w:r w:rsidRPr="00EE4D37">
              <w:rPr>
                <w:snapToGrid w:val="0"/>
                <w:kern w:val="28"/>
                <w:sz w:val="20"/>
                <w:lang w:val="en-US" w:eastAsia="en-US" w:bidi="ar-SA"/>
              </w:rPr>
              <w:t>21.1</w:t>
            </w:r>
          </w:p>
        </w:tc>
        <w:tc>
          <w:tcPr>
            <w:tcW w:w="72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8D11CE7" w14:textId="2DCDC005">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18.9</w:t>
            </w:r>
          </w:p>
        </w:tc>
        <w:tc>
          <w:tcPr>
            <w:tcW w:w="772"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594E77D9" w14:textId="494C3996">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23.6</w:t>
            </w:r>
          </w:p>
        </w:tc>
        <w:tc>
          <w:tcPr>
            <w:tcW w:w="434"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3258A6EF" w14:textId="0C4A0B0F">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31.5</w:t>
            </w:r>
          </w:p>
        </w:tc>
        <w:tc>
          <w:tcPr>
            <w:tcW w:w="386"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E08F645" w14:textId="0F96F094">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12.6</w:t>
            </w:r>
          </w:p>
        </w:tc>
        <w:tc>
          <w:tcPr>
            <w:tcW w:w="409"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8DC6792" w14:textId="2C982519">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28.5</w:t>
            </w:r>
          </w:p>
        </w:tc>
        <w:tc>
          <w:tcPr>
            <w:tcW w:w="363" w:type="pct"/>
            <w:tcBorders>
              <w:top w:val="nil"/>
              <w:left w:val="nil"/>
              <w:bottom w:val="single" w:sz="4" w:space="0" w:color="auto"/>
              <w:right w:val="single" w:sz="4" w:space="0" w:color="auto"/>
            </w:tcBorders>
            <w:shd w:val="clear" w:color="auto" w:fill="auto"/>
            <w:noWrap/>
            <w:vAlign w:val="bottom"/>
            <w:hideMark/>
          </w:tcPr>
          <w:p w:rsidR="007578EA" w:rsidRPr="00DB2B49" w:rsidP="007578EA" w14:paraId="0A7E0FDA" w14:textId="63D406EC">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22.3</w:t>
            </w:r>
          </w:p>
        </w:tc>
        <w:tc>
          <w:tcPr>
            <w:tcW w:w="619" w:type="pct"/>
            <w:gridSpan w:val="2"/>
            <w:tcBorders>
              <w:top w:val="nil"/>
              <w:left w:val="nil"/>
              <w:bottom w:val="single" w:sz="4" w:space="0" w:color="auto"/>
              <w:right w:val="single" w:sz="12" w:space="0" w:color="auto"/>
            </w:tcBorders>
            <w:shd w:val="clear" w:color="auto" w:fill="auto"/>
            <w:noWrap/>
            <w:vAlign w:val="bottom"/>
            <w:hideMark/>
          </w:tcPr>
          <w:p w:rsidR="007578EA" w:rsidRPr="00DB2B49" w:rsidP="007578EA" w14:paraId="2132E06F" w14:textId="581A7994">
            <w:pPr>
              <w:widowControl w:val="0"/>
              <w:suppressAutoHyphens/>
              <w:jc w:val="center"/>
              <w:rPr>
                <w:rStyle w:val="DefaultParagraphFont"/>
                <w:snapToGrid w:val="0"/>
                <w:kern w:val="28"/>
                <w:sz w:val="20"/>
                <w:lang w:val="en-US" w:eastAsia="en-US" w:bidi="ar-SA"/>
              </w:rPr>
            </w:pPr>
            <w:r w:rsidRPr="00EE4D37">
              <w:rPr>
                <w:snapToGrid w:val="0"/>
                <w:kern w:val="28"/>
                <w:sz w:val="20"/>
                <w:lang w:val="en-US" w:eastAsia="en-US" w:bidi="ar-SA"/>
              </w:rPr>
              <w:t>20.0</w:t>
            </w:r>
          </w:p>
        </w:tc>
      </w:tr>
      <w:tr w14:paraId="74C73B9E" w14:textId="77777777" w:rsidTr="007E2AE9">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12" w:space="0" w:color="auto"/>
              <w:right w:val="single" w:sz="8" w:space="0" w:color="auto"/>
            </w:tcBorders>
            <w:shd w:val="clear" w:color="auto" w:fill="auto"/>
            <w:vAlign w:val="bottom"/>
            <w:hideMark/>
          </w:tcPr>
          <w:p w:rsidR="007578EA" w:rsidRPr="00762965" w:rsidP="007578EA" w14:paraId="130AA562" w14:textId="77777777">
            <w:pPr>
              <w:keepNext/>
              <w:widowControl/>
              <w:suppressAutoHyphens/>
              <w:rPr>
                <w:rStyle w:val="DefaultParagraphFont"/>
                <w:snapToGrid/>
                <w:color w:val="000000"/>
                <w:kern w:val="0"/>
                <w:sz w:val="20"/>
                <w:lang w:val="en-US" w:eastAsia="en-US" w:bidi="ar-SA"/>
              </w:rPr>
            </w:pPr>
            <w:r w:rsidRPr="00762965">
              <w:rPr>
                <w:b/>
                <w:bCs/>
                <w:snapToGrid/>
                <w:kern w:val="0"/>
                <w:sz w:val="20"/>
                <w:lang w:val="en-US" w:eastAsia="en-US" w:bidi="ar-SA"/>
              </w:rPr>
              <w:t>Total</w:t>
            </w:r>
          </w:p>
        </w:tc>
        <w:tc>
          <w:tcPr>
            <w:tcW w:w="482" w:type="pct"/>
            <w:tcBorders>
              <w:top w:val="nil"/>
              <w:left w:val="single" w:sz="4" w:space="0" w:color="auto"/>
              <w:bottom w:val="single" w:sz="12" w:space="0" w:color="auto"/>
              <w:right w:val="single" w:sz="4" w:space="0" w:color="auto"/>
            </w:tcBorders>
            <w:shd w:val="clear" w:color="auto" w:fill="auto"/>
            <w:noWrap/>
            <w:vAlign w:val="bottom"/>
            <w:hideMark/>
          </w:tcPr>
          <w:p w:rsidR="007578EA" w:rsidRPr="00DB2B49" w:rsidP="007578EA" w14:paraId="1A776BE8" w14:textId="0AB7078C">
            <w:pPr>
              <w:keepNext/>
              <w:widowControl w:val="0"/>
              <w:suppressAutoHyphens/>
              <w:jc w:val="center"/>
              <w:rPr>
                <w:rStyle w:val="DefaultParagraphFont"/>
                <w:b/>
                <w:snapToGrid w:val="0"/>
                <w:color w:val="000000"/>
                <w:kern w:val="28"/>
                <w:sz w:val="20"/>
                <w:lang w:val="en-US" w:eastAsia="en-US" w:bidi="ar-SA"/>
              </w:rPr>
            </w:pPr>
            <w:r w:rsidRPr="00EE4D37">
              <w:rPr>
                <w:b/>
                <w:bCs/>
                <w:snapToGrid w:val="0"/>
                <w:kern w:val="28"/>
                <w:sz w:val="20"/>
                <w:lang w:val="en-US" w:eastAsia="en-US" w:bidi="ar-SA"/>
              </w:rPr>
              <w:t>59.6</w:t>
            </w:r>
          </w:p>
        </w:tc>
        <w:tc>
          <w:tcPr>
            <w:tcW w:w="723" w:type="pct"/>
            <w:tcBorders>
              <w:top w:val="nil"/>
              <w:left w:val="nil"/>
              <w:bottom w:val="single" w:sz="12" w:space="0" w:color="auto"/>
              <w:right w:val="single" w:sz="4" w:space="0" w:color="auto"/>
            </w:tcBorders>
            <w:shd w:val="clear" w:color="auto" w:fill="auto"/>
            <w:noWrap/>
            <w:vAlign w:val="bottom"/>
            <w:hideMark/>
          </w:tcPr>
          <w:p w:rsidR="007578EA" w:rsidRPr="00DB2B49" w:rsidP="007578EA" w14:paraId="72736BCF" w14:textId="2AA9451A">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53.6</w:t>
            </w:r>
          </w:p>
        </w:tc>
        <w:tc>
          <w:tcPr>
            <w:tcW w:w="772" w:type="pct"/>
            <w:tcBorders>
              <w:top w:val="nil"/>
              <w:left w:val="nil"/>
              <w:bottom w:val="single" w:sz="12" w:space="0" w:color="auto"/>
              <w:right w:val="single" w:sz="4" w:space="0" w:color="auto"/>
            </w:tcBorders>
            <w:shd w:val="clear" w:color="auto" w:fill="auto"/>
            <w:noWrap/>
            <w:vAlign w:val="bottom"/>
            <w:hideMark/>
          </w:tcPr>
          <w:p w:rsidR="007578EA" w:rsidRPr="00DB2B49" w:rsidP="007578EA" w14:paraId="50FBDDCF" w14:textId="3ACCB59C">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66.1†</w:t>
            </w:r>
          </w:p>
        </w:tc>
        <w:tc>
          <w:tcPr>
            <w:tcW w:w="434" w:type="pct"/>
            <w:tcBorders>
              <w:top w:val="nil"/>
              <w:left w:val="nil"/>
              <w:bottom w:val="single" w:sz="12" w:space="0" w:color="auto"/>
              <w:right w:val="single" w:sz="4" w:space="0" w:color="auto"/>
            </w:tcBorders>
            <w:shd w:val="clear" w:color="auto" w:fill="auto"/>
            <w:noWrap/>
            <w:vAlign w:val="bottom"/>
            <w:hideMark/>
          </w:tcPr>
          <w:p w:rsidR="007578EA" w:rsidRPr="00DB2B49" w:rsidP="007578EA" w14:paraId="6979208B" w14:textId="5A60003B">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75.0†</w:t>
            </w:r>
          </w:p>
        </w:tc>
        <w:tc>
          <w:tcPr>
            <w:tcW w:w="386" w:type="pct"/>
            <w:tcBorders>
              <w:top w:val="nil"/>
              <w:left w:val="nil"/>
              <w:bottom w:val="single" w:sz="12" w:space="0" w:color="auto"/>
              <w:right w:val="single" w:sz="4" w:space="0" w:color="auto"/>
            </w:tcBorders>
            <w:shd w:val="clear" w:color="auto" w:fill="auto"/>
            <w:noWrap/>
            <w:vAlign w:val="bottom"/>
            <w:hideMark/>
          </w:tcPr>
          <w:p w:rsidR="007578EA" w:rsidRPr="00DB2B49" w:rsidP="007578EA" w14:paraId="66E2663C" w14:textId="2FF5BA1E">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46.9†</w:t>
            </w:r>
          </w:p>
        </w:tc>
        <w:tc>
          <w:tcPr>
            <w:tcW w:w="409" w:type="pct"/>
            <w:tcBorders>
              <w:top w:val="nil"/>
              <w:left w:val="nil"/>
              <w:bottom w:val="single" w:sz="12" w:space="0" w:color="auto"/>
              <w:right w:val="single" w:sz="4" w:space="0" w:color="auto"/>
            </w:tcBorders>
            <w:shd w:val="clear" w:color="auto" w:fill="auto"/>
            <w:noWrap/>
            <w:vAlign w:val="bottom"/>
            <w:hideMark/>
          </w:tcPr>
          <w:p w:rsidR="007578EA" w:rsidRPr="00DB2B49" w:rsidP="007578EA" w14:paraId="167901A9" w14:textId="00F1CCD8">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70.6†</w:t>
            </w:r>
          </w:p>
        </w:tc>
        <w:tc>
          <w:tcPr>
            <w:tcW w:w="363" w:type="pct"/>
            <w:tcBorders>
              <w:top w:val="nil"/>
              <w:left w:val="nil"/>
              <w:bottom w:val="single" w:sz="12" w:space="0" w:color="auto"/>
              <w:right w:val="single" w:sz="4" w:space="0" w:color="auto"/>
            </w:tcBorders>
            <w:shd w:val="clear" w:color="auto" w:fill="auto"/>
            <w:noWrap/>
            <w:vAlign w:val="bottom"/>
            <w:hideMark/>
          </w:tcPr>
          <w:p w:rsidR="007578EA" w:rsidRPr="00DB2B49" w:rsidP="007578EA" w14:paraId="3B417F85" w14:textId="574C39EF">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65.3†</w:t>
            </w:r>
          </w:p>
        </w:tc>
        <w:tc>
          <w:tcPr>
            <w:tcW w:w="619" w:type="pct"/>
            <w:gridSpan w:val="2"/>
            <w:tcBorders>
              <w:top w:val="nil"/>
              <w:left w:val="nil"/>
              <w:bottom w:val="single" w:sz="12" w:space="0" w:color="auto"/>
              <w:right w:val="single" w:sz="12" w:space="0" w:color="auto"/>
            </w:tcBorders>
            <w:shd w:val="clear" w:color="auto" w:fill="auto"/>
            <w:noWrap/>
            <w:vAlign w:val="bottom"/>
            <w:hideMark/>
          </w:tcPr>
          <w:p w:rsidR="007578EA" w:rsidRPr="00DB2B49" w:rsidP="007578EA" w14:paraId="5AC5E3F6" w14:textId="225759E6">
            <w:pPr>
              <w:widowControl w:val="0"/>
              <w:suppressAutoHyphens/>
              <w:jc w:val="center"/>
              <w:rPr>
                <w:rStyle w:val="DefaultParagraphFont"/>
                <w:b/>
                <w:snapToGrid w:val="0"/>
                <w:kern w:val="28"/>
                <w:sz w:val="20"/>
                <w:lang w:val="en-US" w:eastAsia="en-US" w:bidi="ar-SA"/>
              </w:rPr>
            </w:pPr>
            <w:r w:rsidRPr="00EE4D37">
              <w:rPr>
                <w:b/>
                <w:bCs/>
                <w:snapToGrid w:val="0"/>
                <w:kern w:val="28"/>
                <w:sz w:val="20"/>
                <w:lang w:val="en-US" w:eastAsia="en-US" w:bidi="ar-SA"/>
              </w:rPr>
              <w:t>58.8†</w:t>
            </w:r>
          </w:p>
        </w:tc>
      </w:tr>
      <w:tr w14:paraId="311BFFFE" w14:textId="77777777" w:rsidTr="00EE4D37">
        <w:tblPrEx>
          <w:tblW w:w="5000" w:type="pct"/>
          <w:tblInd w:w="0" w:type="dxa"/>
          <w:tblLayout w:type="fixed"/>
          <w:tblCellMar>
            <w:top w:w="0" w:type="dxa"/>
            <w:left w:w="108" w:type="dxa"/>
            <w:bottom w:w="0" w:type="dxa"/>
            <w:right w:w="108" w:type="dxa"/>
          </w:tblCellMar>
          <w:tblLook w:val="04A0"/>
        </w:tblPrEx>
        <w:trPr>
          <w:gridAfter w:val="1"/>
          <w:wAfter w:w="73" w:type="dxa"/>
          <w:trHeight w:hRule="exact" w:val="525"/>
        </w:trPr>
        <w:tc>
          <w:tcPr>
            <w:tcW w:w="4927" w:type="pct"/>
            <w:gridSpan w:val="9"/>
            <w:tcBorders>
              <w:bottom w:val="nil"/>
            </w:tcBorders>
            <w:shd w:val="clear" w:color="auto" w:fill="auto"/>
            <w:vAlign w:val="bottom"/>
            <w:hideMark/>
          </w:tcPr>
          <w:p w:rsidR="00122A87" w:rsidRPr="003C5EF9" w:rsidP="00473C43" w14:paraId="1A4701C7" w14:textId="2E27B84A">
            <w:pPr>
              <w:keepNext/>
              <w:widowControl/>
              <w:suppressAutoHyphens/>
              <w:rPr>
                <w:rStyle w:val="DefaultParagraphFont"/>
                <w:snapToGrid/>
                <w:color w:val="000000"/>
                <w:kern w:val="0"/>
                <w:sz w:val="20"/>
                <w:lang w:val="en-US" w:eastAsia="en-US" w:bidi="ar-SA"/>
              </w:rPr>
            </w:pPr>
            <w:r>
              <w:rPr>
                <w:snapToGrid/>
                <w:color w:val="000000"/>
                <w:kern w:val="0"/>
                <w:sz w:val="20"/>
                <w:lang w:val="en-US" w:eastAsia="en-US" w:bidi="ar-SA"/>
              </w:rPr>
              <w:t xml:space="preserve">Source: </w:t>
            </w:r>
            <w:r w:rsidR="00921DD1">
              <w:rPr>
                <w:snapToGrid/>
                <w:color w:val="000000"/>
                <w:kern w:val="0"/>
                <w:sz w:val="20"/>
                <w:lang w:val="en-US" w:eastAsia="en-US" w:bidi="ar-SA"/>
              </w:rPr>
              <w:t xml:space="preserve"> </w:t>
            </w:r>
            <w:r w:rsidR="008634B3">
              <w:rPr>
                <w:snapToGrid/>
                <w:color w:val="000000"/>
                <w:kern w:val="0"/>
                <w:sz w:val="20"/>
                <w:lang w:val="en-US" w:eastAsia="en-US" w:bidi="ar-SA"/>
              </w:rPr>
              <w:t>2016</w:t>
            </w:r>
            <w:r>
              <w:rPr>
                <w:snapToGrid/>
                <w:color w:val="000000"/>
                <w:kern w:val="0"/>
                <w:sz w:val="20"/>
                <w:lang w:val="en-US" w:eastAsia="en-US" w:bidi="ar-SA"/>
              </w:rPr>
              <w:t xml:space="preserve"> </w:t>
            </w:r>
            <w:r w:rsidR="00B01548">
              <w:rPr>
                <w:snapToGrid/>
                <w:color w:val="000000"/>
                <w:kern w:val="0"/>
                <w:sz w:val="20"/>
                <w:lang w:val="en-US" w:eastAsia="en-US" w:bidi="ar-SA"/>
              </w:rPr>
              <w:t>s</w:t>
            </w:r>
            <w:r>
              <w:rPr>
                <w:snapToGrid/>
                <w:color w:val="000000"/>
                <w:kern w:val="0"/>
                <w:sz w:val="20"/>
                <w:lang w:val="en-US" w:eastAsia="en-US" w:bidi="ar-SA"/>
              </w:rPr>
              <w:t xml:space="preserve">urvey. </w:t>
            </w:r>
            <w:r w:rsidR="00921DD1">
              <w:rPr>
                <w:snapToGrid/>
                <w:color w:val="000000"/>
                <w:kern w:val="0"/>
                <w:sz w:val="20"/>
                <w:lang w:val="en-US" w:eastAsia="en-US" w:bidi="ar-SA"/>
              </w:rPr>
              <w:t xml:space="preserve"> </w:t>
            </w:r>
            <w:r w:rsidR="00824F05">
              <w:rPr>
                <w:snapToGrid/>
                <w:kern w:val="0"/>
                <w:sz w:val="20"/>
                <w:lang w:val="en-US" w:eastAsia="en-US" w:bidi="ar-SA"/>
              </w:rPr>
              <w:t>†</w:t>
            </w:r>
            <w:r w:rsidR="00473C43">
              <w:rPr>
                <w:snapToGrid/>
                <w:kern w:val="0"/>
                <w:sz w:val="20"/>
                <w:lang w:val="en-US" w:eastAsia="en-US" w:bidi="ar-SA"/>
              </w:rPr>
              <w:t>Indicates</w:t>
            </w:r>
            <w:r w:rsidR="00501EC9">
              <w:rPr>
                <w:snapToGrid/>
                <w:kern w:val="0"/>
                <w:sz w:val="20"/>
                <w:lang w:val="en-US" w:eastAsia="en-US" w:bidi="ar-SA"/>
              </w:rPr>
              <w:t xml:space="preserve"> average number of channels for the indicated group and the noncompetitive group are statistically different at 95% confidence level.</w:t>
            </w:r>
          </w:p>
        </w:tc>
      </w:tr>
    </w:tbl>
    <w:p w:rsidR="007820F2" w:rsidP="004E16D7" w14:paraId="04655BEA" w14:textId="472BB96E">
      <w:pPr>
        <w:widowControl/>
        <w:suppressAutoHyphens/>
        <w:rPr>
          <w:szCs w:val="22"/>
        </w:rPr>
      </w:pPr>
    </w:p>
    <w:p w:rsidR="00167D5D" w:rsidRPr="00167D5D" w:rsidP="001B0131" w14:paraId="3F83C087" w14:textId="3A701C2B">
      <w:pPr>
        <w:pStyle w:val="Paranum0"/>
        <w:widowControl/>
        <w:numPr>
          <w:ilvl w:val="0"/>
          <w:numId w:val="12"/>
        </w:numPr>
        <w:tabs>
          <w:tab w:val="clear" w:pos="1080"/>
          <w:tab w:val="num" w:pos="1440"/>
        </w:tabs>
        <w:suppressAutoHyphens/>
        <w:spacing w:after="240"/>
        <w:jc w:val="left"/>
        <w:rPr>
          <w:szCs w:val="22"/>
        </w:rPr>
      </w:pPr>
      <w:r w:rsidRPr="00167D5D">
        <w:rPr>
          <w:szCs w:val="22"/>
        </w:rPr>
        <w:t xml:space="preserve">Table 7 reports the number of regional sports networks (RSNs) included </w:t>
      </w:r>
      <w:r w:rsidR="00170E18">
        <w:rPr>
          <w:szCs w:val="22"/>
        </w:rPr>
        <w:t xml:space="preserve">on average </w:t>
      </w:r>
      <w:r w:rsidRPr="00167D5D">
        <w:rPr>
          <w:szCs w:val="22"/>
        </w:rPr>
        <w:t>in</w:t>
      </w:r>
      <w:r w:rsidR="006F4A0A">
        <w:rPr>
          <w:szCs w:val="22"/>
        </w:rPr>
        <w:t xml:space="preserve"> </w:t>
      </w:r>
      <w:r w:rsidR="002149A8">
        <w:rPr>
          <w:szCs w:val="22"/>
        </w:rPr>
        <w:t xml:space="preserve">each </w:t>
      </w:r>
      <w:r w:rsidRPr="00167D5D">
        <w:rPr>
          <w:szCs w:val="22"/>
        </w:rPr>
        <w:t xml:space="preserve">service offering.  </w:t>
      </w:r>
      <w:r w:rsidR="002C6DE4">
        <w:rPr>
          <w:szCs w:val="22"/>
        </w:rPr>
        <w:t>T</w:t>
      </w:r>
      <w:r w:rsidRPr="00167D5D">
        <w:rPr>
          <w:szCs w:val="22"/>
        </w:rPr>
        <w:t>he average</w:t>
      </w:r>
      <w:r w:rsidR="009B7221">
        <w:rPr>
          <w:szCs w:val="22"/>
        </w:rPr>
        <w:t xml:space="preserve"> </w:t>
      </w:r>
      <w:r w:rsidR="002C6DE4">
        <w:rPr>
          <w:szCs w:val="22"/>
        </w:rPr>
        <w:t>number of RSNs offered</w:t>
      </w:r>
      <w:r w:rsidRPr="00167D5D">
        <w:rPr>
          <w:szCs w:val="22"/>
        </w:rPr>
        <w:t xml:space="preserve"> </w:t>
      </w:r>
      <w:r w:rsidR="00916786">
        <w:rPr>
          <w:szCs w:val="22"/>
        </w:rPr>
        <w:t>with</w:t>
      </w:r>
      <w:r w:rsidRPr="00167D5D" w:rsidR="00916786">
        <w:rPr>
          <w:szCs w:val="22"/>
        </w:rPr>
        <w:t xml:space="preserve"> basic service </w:t>
      </w:r>
      <w:r w:rsidRPr="00167D5D">
        <w:rPr>
          <w:szCs w:val="22"/>
        </w:rPr>
        <w:t xml:space="preserve">is </w:t>
      </w:r>
      <w:r w:rsidR="00C41D03">
        <w:rPr>
          <w:szCs w:val="22"/>
        </w:rPr>
        <w:t>0.</w:t>
      </w:r>
      <w:r w:rsidR="00C1369B">
        <w:rPr>
          <w:szCs w:val="22"/>
        </w:rPr>
        <w:t>2</w:t>
      </w:r>
      <w:r w:rsidR="009B7221">
        <w:rPr>
          <w:szCs w:val="22"/>
        </w:rPr>
        <w:t xml:space="preserve"> </w:t>
      </w:r>
      <w:r w:rsidRPr="00167D5D">
        <w:rPr>
          <w:szCs w:val="22"/>
        </w:rPr>
        <w:t xml:space="preserve">channels, </w:t>
      </w:r>
      <w:r w:rsidR="00916786">
        <w:rPr>
          <w:szCs w:val="22"/>
        </w:rPr>
        <w:t>with</w:t>
      </w:r>
      <w:r w:rsidRPr="00167D5D" w:rsidR="00916786">
        <w:rPr>
          <w:szCs w:val="22"/>
        </w:rPr>
        <w:t xml:space="preserve"> expanded basic service </w:t>
      </w:r>
      <w:r w:rsidR="00916786">
        <w:rPr>
          <w:szCs w:val="22"/>
        </w:rPr>
        <w:t xml:space="preserve">it is </w:t>
      </w:r>
      <w:r w:rsidRPr="00167D5D">
        <w:rPr>
          <w:szCs w:val="22"/>
        </w:rPr>
        <w:t>3.</w:t>
      </w:r>
      <w:r w:rsidR="009B7221">
        <w:rPr>
          <w:szCs w:val="22"/>
        </w:rPr>
        <w:t>9</w:t>
      </w:r>
      <w:r w:rsidRPr="00167D5D" w:rsidR="00C41D03">
        <w:rPr>
          <w:szCs w:val="22"/>
        </w:rPr>
        <w:t xml:space="preserve"> </w:t>
      </w:r>
      <w:r w:rsidRPr="00167D5D">
        <w:rPr>
          <w:szCs w:val="22"/>
        </w:rPr>
        <w:t xml:space="preserve">channels, and </w:t>
      </w:r>
      <w:r w:rsidR="009B7221">
        <w:rPr>
          <w:szCs w:val="22"/>
        </w:rPr>
        <w:t>with</w:t>
      </w:r>
      <w:r w:rsidRPr="00167D5D">
        <w:rPr>
          <w:szCs w:val="22"/>
        </w:rPr>
        <w:t xml:space="preserve"> the next most popular service</w:t>
      </w:r>
      <w:r w:rsidR="00916786">
        <w:rPr>
          <w:szCs w:val="22"/>
        </w:rPr>
        <w:t xml:space="preserve"> the average is 4.2 channels</w:t>
      </w:r>
      <w:r w:rsidRPr="00167D5D">
        <w:rPr>
          <w:szCs w:val="22"/>
        </w:rPr>
        <w:t xml:space="preserve">.  </w:t>
      </w:r>
      <w:r w:rsidR="00916786">
        <w:rPr>
          <w:szCs w:val="22"/>
        </w:rPr>
        <w:t>T</w:t>
      </w:r>
      <w:r w:rsidR="00170E18">
        <w:rPr>
          <w:szCs w:val="22"/>
        </w:rPr>
        <w:t>he survey</w:t>
      </w:r>
      <w:r w:rsidR="00916786">
        <w:rPr>
          <w:szCs w:val="22"/>
        </w:rPr>
        <w:t xml:space="preserve"> defines</w:t>
      </w:r>
      <w:r w:rsidR="00170E18">
        <w:rPr>
          <w:szCs w:val="22"/>
        </w:rPr>
        <w:t xml:space="preserve"> RSNs</w:t>
      </w:r>
      <w:r w:rsidRPr="00167D5D">
        <w:rPr>
          <w:szCs w:val="22"/>
        </w:rPr>
        <w:t xml:space="preserve"> </w:t>
      </w:r>
      <w:r w:rsidR="00916786">
        <w:rPr>
          <w:szCs w:val="22"/>
        </w:rPr>
        <w:t xml:space="preserve">as </w:t>
      </w:r>
      <w:r w:rsidR="00170E18">
        <w:rPr>
          <w:szCs w:val="22"/>
        </w:rPr>
        <w:t xml:space="preserve">networks </w:t>
      </w:r>
      <w:r w:rsidRPr="00167D5D">
        <w:rPr>
          <w:szCs w:val="22"/>
        </w:rPr>
        <w:t>that carr</w:t>
      </w:r>
      <w:r w:rsidR="002149A8">
        <w:rPr>
          <w:szCs w:val="22"/>
        </w:rPr>
        <w:t>y</w:t>
      </w:r>
      <w:r w:rsidRPr="00167D5D">
        <w:rPr>
          <w:szCs w:val="22"/>
        </w:rPr>
        <w:t xml:space="preserve"> a substantial number of live games from at least one nearby professional sports team that is a member of the National Football League, Major League Baseball, National Basketball Association, or National Hockey League.  </w:t>
      </w:r>
      <w:r w:rsidR="00170E18">
        <w:rPr>
          <w:szCs w:val="22"/>
        </w:rPr>
        <w:t>RSNs</w:t>
      </w:r>
      <w:r w:rsidRPr="00167D5D">
        <w:rPr>
          <w:szCs w:val="22"/>
        </w:rPr>
        <w:t xml:space="preserve"> do not include pay-per-view </w:t>
      </w:r>
      <w:r w:rsidR="00170E18">
        <w:rPr>
          <w:szCs w:val="22"/>
        </w:rPr>
        <w:t>channels</w:t>
      </w:r>
      <w:r w:rsidRPr="00167D5D">
        <w:rPr>
          <w:szCs w:val="22"/>
        </w:rPr>
        <w:t>.</w:t>
      </w:r>
    </w:p>
    <w:tbl>
      <w:tblPr>
        <w:tblW w:w="5000" w:type="pct"/>
        <w:tblInd w:w="0" w:type="dxa"/>
        <w:tblBorders>
          <w:top w:val="single" w:sz="18" w:space="0" w:color="auto"/>
          <w:left w:val="single" w:sz="18" w:space="0" w:color="auto"/>
          <w:bottom w:val="single" w:sz="18" w:space="0" w:color="auto"/>
          <w:right w:val="single" w:sz="18" w:space="0" w:color="auto"/>
        </w:tblBorders>
        <w:tblLayout w:type="fixed"/>
        <w:tblCellMar>
          <w:top w:w="0" w:type="dxa"/>
          <w:left w:w="115" w:type="dxa"/>
          <w:bottom w:w="0" w:type="dxa"/>
          <w:right w:w="115" w:type="dxa"/>
        </w:tblCellMar>
        <w:tblLook w:val="0000"/>
      </w:tblPr>
      <w:tblGrid>
        <w:gridCol w:w="1846"/>
        <w:gridCol w:w="931"/>
        <w:gridCol w:w="1170"/>
        <w:gridCol w:w="1260"/>
        <w:gridCol w:w="810"/>
        <w:gridCol w:w="718"/>
        <w:gridCol w:w="720"/>
        <w:gridCol w:w="726"/>
        <w:gridCol w:w="1149"/>
      </w:tblGrid>
      <w:tr w14:paraId="6DC1F9B8" w14:textId="77777777" w:rsidTr="00BB6A72">
        <w:tblPrEx>
          <w:tblW w:w="5000" w:type="pct"/>
          <w:tblInd w:w="0" w:type="dxa"/>
          <w:tblBorders>
            <w:top w:val="single" w:sz="18" w:space="0" w:color="auto"/>
            <w:left w:val="single" w:sz="18" w:space="0" w:color="auto"/>
            <w:bottom w:val="single" w:sz="18" w:space="0" w:color="auto"/>
            <w:right w:val="single" w:sz="18" w:space="0" w:color="auto"/>
          </w:tblBorders>
          <w:tblLayout w:type="fixed"/>
          <w:tblCellMar>
            <w:top w:w="0" w:type="dxa"/>
            <w:left w:w="115" w:type="dxa"/>
            <w:bottom w:w="0" w:type="dxa"/>
            <w:right w:w="115" w:type="dxa"/>
          </w:tblCellMar>
          <w:tblLook w:val="0000"/>
        </w:tblPrEx>
        <w:trPr>
          <w:trHeight w:hRule="exact" w:val="121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87301" w:rsidRPr="00332882" w:rsidP="004E16D7" w14:paraId="3C7DCE70" w14:textId="77777777">
            <w:pPr>
              <w:keepNext/>
              <w:widowControl/>
              <w:suppressAutoHyphens/>
              <w:jc w:val="center"/>
              <w:rPr>
                <w:rStyle w:val="DefaultParagraphFont"/>
                <w:b/>
                <w:bCs/>
                <w:snapToGrid/>
                <w:kern w:val="0"/>
                <w:sz w:val="22"/>
                <w:szCs w:val="22"/>
                <w:lang w:val="en-US" w:eastAsia="en-US" w:bidi="ar-SA"/>
              </w:rPr>
            </w:pPr>
            <w:bookmarkStart w:id="61" w:name="_Toc235506586"/>
            <w:bookmarkStart w:id="62" w:name="_Toc235591785"/>
            <w:bookmarkStart w:id="63" w:name="_Toc248805870"/>
            <w:r w:rsidRPr="00287301">
              <w:rPr>
                <w:b/>
                <w:bCs/>
                <w:snapToGrid/>
                <w:kern w:val="0"/>
                <w:sz w:val="24"/>
                <w:szCs w:val="24"/>
                <w:lang w:val="en-US" w:eastAsia="en-US" w:bidi="ar-SA"/>
              </w:rPr>
              <w:br w:type="page"/>
            </w:r>
            <w:r w:rsidRPr="00287301">
              <w:rPr>
                <w:b/>
                <w:bCs/>
                <w:snapToGrid/>
                <w:kern w:val="0"/>
                <w:sz w:val="24"/>
                <w:szCs w:val="24"/>
                <w:lang w:val="en-US" w:eastAsia="en-US" w:bidi="ar-SA"/>
              </w:rPr>
              <w:br w:type="page"/>
            </w:r>
            <w:r w:rsidRPr="00287301">
              <w:rPr>
                <w:b/>
                <w:bCs/>
                <w:snapToGrid/>
                <w:kern w:val="0"/>
                <w:sz w:val="24"/>
                <w:szCs w:val="24"/>
                <w:lang w:val="en-US" w:eastAsia="en-US" w:bidi="ar-SA"/>
              </w:rPr>
              <w:br w:type="page"/>
            </w:r>
            <w:r w:rsidRPr="00332882">
              <w:rPr>
                <w:b/>
                <w:bCs/>
                <w:snapToGrid/>
                <w:kern w:val="0"/>
                <w:sz w:val="22"/>
                <w:szCs w:val="22"/>
                <w:lang w:val="en-US" w:eastAsia="en-US" w:bidi="ar-SA"/>
              </w:rPr>
              <w:t>Table 7</w:t>
            </w:r>
            <w:r w:rsidRPr="00332882">
              <w:rPr>
                <w:b/>
                <w:bCs/>
                <w:snapToGrid/>
                <w:kern w:val="0"/>
                <w:sz w:val="22"/>
                <w:szCs w:val="22"/>
                <w:lang w:val="en-US" w:eastAsia="en-US" w:bidi="ar-SA"/>
              </w:rPr>
              <w:br/>
              <w:t>Regional Sports Networks</w:t>
            </w:r>
          </w:p>
          <w:p w:rsidR="00287301" w:rsidRPr="00E26D90" w:rsidP="004E16D7" w14:paraId="41657EE5" w14:textId="77777777">
            <w:pPr>
              <w:keepNext/>
              <w:widowControl/>
              <w:suppressAutoHyphens/>
              <w:jc w:val="center"/>
              <w:rPr>
                <w:rStyle w:val="DefaultParagraphFont"/>
                <w:b/>
                <w:bCs/>
                <w:snapToGrid/>
                <w:kern w:val="0"/>
                <w:sz w:val="22"/>
                <w:szCs w:val="22"/>
                <w:lang w:val="en-US" w:eastAsia="en-US" w:bidi="ar-SA"/>
              </w:rPr>
            </w:pPr>
            <w:r w:rsidRPr="00332882">
              <w:rPr>
                <w:bCs/>
                <w:snapToGrid/>
                <w:kern w:val="0"/>
                <w:sz w:val="22"/>
                <w:szCs w:val="22"/>
                <w:lang w:val="en-US" w:eastAsia="en-US" w:bidi="ar-SA"/>
              </w:rPr>
              <w:t>By Status of Effective Competition</w:t>
            </w:r>
            <w:r w:rsidRPr="00332882">
              <w:rPr>
                <w:b/>
                <w:bCs/>
                <w:snapToGrid/>
                <w:kern w:val="0"/>
                <w:sz w:val="22"/>
                <w:szCs w:val="22"/>
                <w:lang w:val="en-US" w:eastAsia="en-US" w:bidi="ar-SA"/>
              </w:rPr>
              <w:br/>
            </w:r>
            <w:r w:rsidRPr="00332882">
              <w:rPr>
                <w:bCs/>
                <w:snapToGrid/>
                <w:kern w:val="0"/>
                <w:sz w:val="22"/>
                <w:szCs w:val="22"/>
                <w:lang w:val="en-US" w:eastAsia="en-US" w:bidi="ar-SA"/>
              </w:rPr>
              <w:t xml:space="preserve">January 1, </w:t>
            </w:r>
            <w:r w:rsidRPr="00332882" w:rsidR="008634B3">
              <w:rPr>
                <w:bCs/>
                <w:snapToGrid/>
                <w:kern w:val="0"/>
                <w:sz w:val="22"/>
                <w:szCs w:val="22"/>
                <w:lang w:val="en-US" w:eastAsia="en-US" w:bidi="ar-SA"/>
              </w:rPr>
              <w:t>2016</w:t>
            </w:r>
          </w:p>
        </w:tc>
      </w:tr>
      <w:tr w14:paraId="14214BF5" w14:textId="77777777" w:rsidTr="00EE4D37">
        <w:tblPrEx>
          <w:tblW w:w="5000" w:type="pct"/>
          <w:tblInd w:w="0" w:type="dxa"/>
          <w:tblLayout w:type="fixed"/>
          <w:tblCellMar>
            <w:top w:w="0" w:type="dxa"/>
            <w:left w:w="108" w:type="dxa"/>
            <w:bottom w:w="0" w:type="dxa"/>
            <w:right w:w="108" w:type="dxa"/>
          </w:tblCellMar>
          <w:tblLook w:val="04A0"/>
        </w:tblPrEx>
        <w:trPr>
          <w:trHeight w:hRule="exact" w:val="346"/>
        </w:trPr>
        <w:tc>
          <w:tcPr>
            <w:tcW w:w="989" w:type="pct"/>
            <w:vMerge w:val="restart"/>
            <w:tcBorders>
              <w:top w:val="single" w:sz="12" w:space="0" w:color="auto"/>
              <w:left w:val="single" w:sz="12" w:space="0" w:color="auto"/>
              <w:bottom w:val="single" w:sz="18" w:space="0" w:color="auto"/>
              <w:right w:val="single" w:sz="8" w:space="0" w:color="auto"/>
            </w:tcBorders>
            <w:shd w:val="clear" w:color="auto" w:fill="auto"/>
            <w:vAlign w:val="center"/>
            <w:hideMark/>
          </w:tcPr>
          <w:p w:rsidR="00287301" w:rsidRPr="00E26D90" w:rsidP="004E16D7" w14:paraId="45960294" w14:textId="77777777">
            <w:pPr>
              <w:keepNext/>
              <w:widowControl/>
              <w:suppressAutoHyphens/>
              <w:jc w:val="center"/>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Cable</w:t>
            </w:r>
          </w:p>
          <w:p w:rsidR="00287301" w:rsidRPr="00E26D90" w:rsidP="004E16D7" w14:paraId="26EDAFA0" w14:textId="77777777">
            <w:pPr>
              <w:keepNext/>
              <w:widowControl/>
              <w:suppressAutoHyphens/>
              <w:jc w:val="center"/>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Service</w:t>
            </w:r>
          </w:p>
        </w:tc>
        <w:tc>
          <w:tcPr>
            <w:tcW w:w="499" w:type="pct"/>
            <w:vMerge w:val="restart"/>
            <w:tcBorders>
              <w:top w:val="single" w:sz="12" w:space="0" w:color="auto"/>
              <w:left w:val="single" w:sz="8" w:space="0" w:color="auto"/>
              <w:bottom w:val="single" w:sz="18" w:space="0" w:color="auto"/>
              <w:right w:val="single" w:sz="8" w:space="0" w:color="auto"/>
            </w:tcBorders>
            <w:shd w:val="clear" w:color="auto" w:fill="auto"/>
            <w:vAlign w:val="center"/>
            <w:hideMark/>
          </w:tcPr>
          <w:p w:rsidR="00287301" w:rsidRPr="00E26D90" w:rsidP="004E16D7" w14:paraId="07774806" w14:textId="24189458">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Full Sample</w:t>
            </w:r>
          </w:p>
        </w:tc>
        <w:tc>
          <w:tcPr>
            <w:tcW w:w="627" w:type="pct"/>
            <w:vMerge w:val="restart"/>
            <w:tcBorders>
              <w:top w:val="single" w:sz="12" w:space="0" w:color="auto"/>
              <w:left w:val="single" w:sz="8" w:space="0" w:color="auto"/>
              <w:bottom w:val="single" w:sz="18" w:space="0" w:color="auto"/>
              <w:right w:val="single" w:sz="8" w:space="0" w:color="auto"/>
            </w:tcBorders>
            <w:shd w:val="clear" w:color="auto" w:fill="auto"/>
            <w:vAlign w:val="center"/>
            <w:hideMark/>
          </w:tcPr>
          <w:p w:rsidR="00FD1CEF" w:rsidRPr="00EE4D37" w:rsidP="004E16D7" w14:paraId="73BEE633" w14:textId="77777777">
            <w:pPr>
              <w:keepNext/>
              <w:widowControl/>
              <w:suppressAutoHyphens/>
              <w:jc w:val="center"/>
              <w:rPr>
                <w:rStyle w:val="DefaultParagraphFont"/>
                <w:b/>
                <w:bCs/>
                <w:snapToGrid/>
                <w:color w:val="000000"/>
                <w:kern w:val="0"/>
                <w:sz w:val="19"/>
                <w:szCs w:val="19"/>
                <w:lang w:val="en-US" w:eastAsia="en-US" w:bidi="ar-SA"/>
              </w:rPr>
            </w:pPr>
            <w:r w:rsidRPr="00EE4D37">
              <w:rPr>
                <w:b/>
                <w:bCs/>
                <w:snapToGrid/>
                <w:color w:val="000000"/>
                <w:kern w:val="0"/>
                <w:sz w:val="19"/>
                <w:szCs w:val="19"/>
                <w:lang w:val="en-US" w:eastAsia="en-US" w:bidi="ar-SA"/>
              </w:rPr>
              <w:t>Non</w:t>
            </w:r>
            <w:r w:rsidRPr="00EE4D37">
              <w:rPr>
                <w:b/>
                <w:bCs/>
                <w:snapToGrid/>
                <w:color w:val="000000"/>
                <w:kern w:val="0"/>
                <w:sz w:val="19"/>
                <w:szCs w:val="19"/>
                <w:lang w:val="en-US" w:eastAsia="en-US" w:bidi="ar-SA"/>
              </w:rPr>
              <w:t>-</w:t>
            </w:r>
          </w:p>
          <w:p w:rsidR="00287301" w:rsidRPr="00EE4D37" w:rsidP="004E16D7" w14:paraId="5026107F" w14:textId="7D923307">
            <w:pPr>
              <w:keepNext/>
              <w:widowControl/>
              <w:suppressAutoHyphens/>
              <w:jc w:val="center"/>
              <w:rPr>
                <w:rStyle w:val="DefaultParagraphFont"/>
                <w:b/>
                <w:bCs/>
                <w:snapToGrid/>
                <w:color w:val="000000"/>
                <w:kern w:val="0"/>
                <w:sz w:val="19"/>
                <w:szCs w:val="19"/>
                <w:lang w:val="en-US" w:eastAsia="en-US" w:bidi="ar-SA"/>
              </w:rPr>
            </w:pPr>
            <w:r w:rsidRPr="00EE4D37">
              <w:rPr>
                <w:b/>
                <w:bCs/>
                <w:snapToGrid/>
                <w:color w:val="000000"/>
                <w:kern w:val="0"/>
                <w:sz w:val="19"/>
                <w:szCs w:val="19"/>
                <w:lang w:val="en-US" w:eastAsia="en-US" w:bidi="ar-SA"/>
              </w:rPr>
              <w:t>competitive</w:t>
            </w:r>
          </w:p>
          <w:p w:rsidR="00FD1CEF" w:rsidRPr="00EE4D37" w:rsidP="004E16D7" w14:paraId="0612B8D1" w14:textId="52080E3C">
            <w:pPr>
              <w:keepNext/>
              <w:widowControl/>
              <w:suppressAutoHyphens/>
              <w:spacing w:after="120"/>
              <w:jc w:val="center"/>
              <w:rPr>
                <w:rStyle w:val="DefaultParagraphFont"/>
                <w:b/>
                <w:bCs/>
                <w:snapToGrid/>
                <w:color w:val="000000"/>
                <w:kern w:val="0"/>
                <w:sz w:val="19"/>
                <w:szCs w:val="19"/>
                <w:lang w:val="en-US" w:eastAsia="en-US" w:bidi="ar-SA"/>
              </w:rPr>
            </w:pPr>
            <w:r w:rsidRPr="00EE4D37">
              <w:rPr>
                <w:b/>
                <w:bCs/>
                <w:snapToGrid/>
                <w:color w:val="000000"/>
                <w:kern w:val="0"/>
                <w:sz w:val="19"/>
                <w:szCs w:val="19"/>
                <w:lang w:val="en-US" w:eastAsia="en-US" w:bidi="ar-SA"/>
              </w:rPr>
              <w:t>Group</w:t>
            </w:r>
          </w:p>
        </w:tc>
        <w:tc>
          <w:tcPr>
            <w:tcW w:w="675" w:type="pct"/>
            <w:vMerge w:val="restart"/>
            <w:tcBorders>
              <w:top w:val="single" w:sz="12" w:space="0" w:color="auto"/>
              <w:left w:val="single" w:sz="8" w:space="0" w:color="auto"/>
              <w:bottom w:val="single" w:sz="18" w:space="0" w:color="auto"/>
              <w:right w:val="single" w:sz="8" w:space="0" w:color="auto"/>
            </w:tcBorders>
            <w:shd w:val="clear" w:color="auto" w:fill="auto"/>
            <w:vAlign w:val="center"/>
            <w:hideMark/>
          </w:tcPr>
          <w:p w:rsidR="00287301" w:rsidRPr="00EE4D37" w:rsidP="004E16D7" w14:paraId="5C8A6AC8" w14:textId="77777777">
            <w:pPr>
              <w:keepNext/>
              <w:widowControl w:val="0"/>
              <w:suppressAutoHyphens/>
              <w:jc w:val="center"/>
              <w:rPr>
                <w:rStyle w:val="DefaultParagraphFont"/>
                <w:b/>
                <w:bCs/>
                <w:snapToGrid/>
                <w:color w:val="000000"/>
                <w:kern w:val="0"/>
                <w:sz w:val="19"/>
                <w:szCs w:val="19"/>
                <w:lang w:val="en-US" w:eastAsia="en-US" w:bidi="ar-SA"/>
              </w:rPr>
            </w:pPr>
            <w:r w:rsidRPr="00EE4D37">
              <w:rPr>
                <w:b/>
                <w:bCs/>
                <w:snapToGrid/>
                <w:color w:val="000000"/>
                <w:kern w:val="0"/>
                <w:sz w:val="19"/>
                <w:szCs w:val="19"/>
                <w:lang w:val="en-US" w:eastAsia="en-US" w:bidi="ar-SA"/>
              </w:rPr>
              <w:t>Effective Competition</w:t>
            </w:r>
          </w:p>
          <w:p w:rsidR="00FD1CEF" w:rsidRPr="00EE4D37" w:rsidP="004E16D7" w14:paraId="1748EAF7" w14:textId="6D645611">
            <w:pPr>
              <w:keepNext/>
              <w:widowControl w:val="0"/>
              <w:suppressAutoHyphens/>
              <w:spacing w:after="120"/>
              <w:jc w:val="center"/>
              <w:rPr>
                <w:rStyle w:val="DefaultParagraphFont"/>
                <w:b/>
                <w:bCs/>
                <w:snapToGrid/>
                <w:color w:val="000000"/>
                <w:kern w:val="0"/>
                <w:sz w:val="19"/>
                <w:szCs w:val="19"/>
                <w:lang w:val="en-US" w:eastAsia="en-US" w:bidi="ar-SA"/>
              </w:rPr>
            </w:pPr>
            <w:r w:rsidRPr="00EE4D37">
              <w:rPr>
                <w:b/>
                <w:bCs/>
                <w:snapToGrid/>
                <w:color w:val="000000"/>
                <w:kern w:val="0"/>
                <w:sz w:val="19"/>
                <w:szCs w:val="19"/>
                <w:lang w:val="en-US" w:eastAsia="en-US" w:bidi="ar-SA"/>
              </w:rPr>
              <w:t>Group</w:t>
            </w:r>
          </w:p>
        </w:tc>
        <w:tc>
          <w:tcPr>
            <w:tcW w:w="2210" w:type="pct"/>
            <w:gridSpan w:val="5"/>
            <w:tcBorders>
              <w:top w:val="single" w:sz="12" w:space="0" w:color="auto"/>
              <w:left w:val="single" w:sz="8" w:space="0" w:color="auto"/>
              <w:bottom w:val="single" w:sz="8" w:space="0" w:color="auto"/>
              <w:right w:val="single" w:sz="12" w:space="0" w:color="auto"/>
            </w:tcBorders>
            <w:shd w:val="clear" w:color="auto" w:fill="auto"/>
            <w:vAlign w:val="center"/>
          </w:tcPr>
          <w:p w:rsidR="00287301" w:rsidRPr="00E26D90" w:rsidP="004E16D7" w14:paraId="636AD2AE" w14:textId="77777777">
            <w:pPr>
              <w:keepNext/>
              <w:widowControl/>
              <w:suppressAutoHyphens/>
              <w:jc w:val="center"/>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Effective Competition Subgroups</w:t>
            </w:r>
          </w:p>
        </w:tc>
      </w:tr>
      <w:tr w14:paraId="5BE0C6A9" w14:textId="77777777" w:rsidTr="00EE4D37">
        <w:tblPrEx>
          <w:tblW w:w="5000" w:type="pct"/>
          <w:tblInd w:w="0" w:type="dxa"/>
          <w:tblLayout w:type="fixed"/>
          <w:tblCellMar>
            <w:top w:w="0" w:type="dxa"/>
            <w:left w:w="108" w:type="dxa"/>
            <w:bottom w:w="0" w:type="dxa"/>
            <w:right w:w="108" w:type="dxa"/>
          </w:tblCellMar>
          <w:tblLook w:val="04A0"/>
        </w:tblPrEx>
        <w:trPr>
          <w:trHeight w:hRule="exact" w:val="518"/>
        </w:trPr>
        <w:tc>
          <w:tcPr>
            <w:tcW w:w="989" w:type="pct"/>
            <w:vMerge/>
            <w:tcBorders>
              <w:top w:val="single" w:sz="18" w:space="0" w:color="auto"/>
              <w:left w:val="single" w:sz="12" w:space="0" w:color="auto"/>
              <w:bottom w:val="single" w:sz="8" w:space="0" w:color="auto"/>
              <w:right w:val="single" w:sz="8" w:space="0" w:color="auto"/>
            </w:tcBorders>
            <w:vAlign w:val="center"/>
            <w:hideMark/>
          </w:tcPr>
          <w:p w:rsidR="00287301" w:rsidRPr="00E26D90" w:rsidP="004E16D7" w14:paraId="5C6BBB50" w14:textId="77777777">
            <w:pPr>
              <w:keepNext/>
              <w:widowControl/>
              <w:suppressAutoHyphens/>
              <w:rPr>
                <w:rStyle w:val="DefaultParagraphFont"/>
                <w:b/>
                <w:bCs/>
                <w:snapToGrid/>
                <w:color w:val="000000"/>
                <w:kern w:val="0"/>
                <w:sz w:val="20"/>
                <w:lang w:val="en-US" w:eastAsia="en-US" w:bidi="ar-SA"/>
              </w:rPr>
            </w:pPr>
          </w:p>
        </w:tc>
        <w:tc>
          <w:tcPr>
            <w:tcW w:w="499" w:type="pct"/>
            <w:vMerge/>
            <w:tcBorders>
              <w:top w:val="single" w:sz="18" w:space="0" w:color="auto"/>
              <w:left w:val="single" w:sz="8" w:space="0" w:color="auto"/>
              <w:bottom w:val="single" w:sz="8" w:space="0" w:color="auto"/>
              <w:right w:val="single" w:sz="8" w:space="0" w:color="auto"/>
            </w:tcBorders>
            <w:vAlign w:val="center"/>
            <w:hideMark/>
          </w:tcPr>
          <w:p w:rsidR="00287301" w:rsidRPr="00E26D90" w:rsidP="004E16D7" w14:paraId="2BFDC694" w14:textId="77777777">
            <w:pPr>
              <w:keepNext/>
              <w:widowControl/>
              <w:suppressAutoHyphens/>
              <w:rPr>
                <w:rStyle w:val="DefaultParagraphFont"/>
                <w:b/>
                <w:bCs/>
                <w:snapToGrid/>
                <w:color w:val="000000"/>
                <w:kern w:val="0"/>
                <w:sz w:val="20"/>
                <w:lang w:val="en-US" w:eastAsia="en-US" w:bidi="ar-SA"/>
              </w:rPr>
            </w:pPr>
          </w:p>
        </w:tc>
        <w:tc>
          <w:tcPr>
            <w:tcW w:w="627" w:type="pct"/>
            <w:vMerge/>
            <w:tcBorders>
              <w:top w:val="single" w:sz="18" w:space="0" w:color="auto"/>
              <w:left w:val="single" w:sz="8" w:space="0" w:color="auto"/>
              <w:bottom w:val="single" w:sz="8" w:space="0" w:color="auto"/>
              <w:right w:val="single" w:sz="8" w:space="0" w:color="auto"/>
            </w:tcBorders>
            <w:vAlign w:val="center"/>
            <w:hideMark/>
          </w:tcPr>
          <w:p w:rsidR="00287301" w:rsidRPr="00E26D90" w:rsidP="004E16D7" w14:paraId="41B7DF6D" w14:textId="77777777">
            <w:pPr>
              <w:keepNext/>
              <w:widowControl/>
              <w:suppressAutoHyphens/>
              <w:rPr>
                <w:rStyle w:val="DefaultParagraphFont"/>
                <w:b/>
                <w:bCs/>
                <w:snapToGrid/>
                <w:color w:val="000000"/>
                <w:kern w:val="0"/>
                <w:sz w:val="20"/>
                <w:lang w:val="en-US" w:eastAsia="en-US" w:bidi="ar-SA"/>
              </w:rPr>
            </w:pPr>
          </w:p>
        </w:tc>
        <w:tc>
          <w:tcPr>
            <w:tcW w:w="675" w:type="pct"/>
            <w:vMerge/>
            <w:tcBorders>
              <w:top w:val="single" w:sz="18" w:space="0" w:color="auto"/>
              <w:left w:val="single" w:sz="8" w:space="0" w:color="auto"/>
              <w:bottom w:val="single" w:sz="8" w:space="0" w:color="auto"/>
              <w:right w:val="single" w:sz="8" w:space="0" w:color="auto"/>
            </w:tcBorders>
            <w:shd w:val="clear" w:color="auto" w:fill="auto"/>
            <w:vAlign w:val="center"/>
            <w:hideMark/>
          </w:tcPr>
          <w:p w:rsidR="00287301" w:rsidRPr="00E26D90" w:rsidP="004E16D7" w14:paraId="46033343" w14:textId="77777777">
            <w:pPr>
              <w:keepNext/>
              <w:widowControl/>
              <w:suppressAutoHyphens/>
              <w:jc w:val="center"/>
              <w:rPr>
                <w:rStyle w:val="DefaultParagraphFont"/>
                <w:b/>
                <w:bCs/>
                <w:snapToGrid/>
                <w:color w:val="000000"/>
                <w:kern w:val="0"/>
                <w:sz w:val="20"/>
                <w:lang w:val="en-US" w:eastAsia="en-US" w:bidi="ar-SA"/>
              </w:rPr>
            </w:pPr>
          </w:p>
        </w:tc>
        <w:tc>
          <w:tcPr>
            <w:tcW w:w="120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26D90" w:rsidP="004E16D7" w14:paraId="03D262F1" w14:textId="77777777">
            <w:pPr>
              <w:keepNext/>
              <w:widowControl/>
              <w:suppressAutoHyphens/>
              <w:jc w:val="center"/>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 xml:space="preserve"> Second Cable</w:t>
            </w:r>
          </w:p>
          <w:p w:rsidR="00287301" w:rsidRPr="00E26D90" w:rsidP="004E16D7" w14:paraId="392A639C" w14:textId="77777777">
            <w:pPr>
              <w:keepNext/>
              <w:widowControl/>
              <w:suppressAutoHyphens/>
              <w:jc w:val="center"/>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 xml:space="preserve"> Operator Overbuild</w:t>
            </w:r>
          </w:p>
        </w:tc>
        <w:tc>
          <w:tcPr>
            <w:tcW w:w="38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E26D90" w:rsidP="004E16D7" w14:paraId="2A3C2A05" w14:textId="77777777">
            <w:pPr>
              <w:keepNext/>
              <w:widowControl/>
              <w:suppressAutoHyphens/>
              <w:jc w:val="center"/>
              <w:rPr>
                <w:rStyle w:val="DefaultParagraphFont"/>
                <w:b/>
                <w:bCs/>
                <w:snapToGrid/>
                <w:color w:val="000000"/>
                <w:kern w:val="0"/>
                <w:sz w:val="20"/>
                <w:lang w:val="en-US" w:eastAsia="en-US" w:bidi="ar-SA"/>
              </w:rPr>
            </w:pPr>
            <w:r w:rsidRPr="00E26D90">
              <w:rPr>
                <w:b/>
                <w:snapToGrid w:val="0"/>
                <w:color w:val="000000"/>
                <w:kern w:val="0"/>
                <w:sz w:val="20"/>
                <w:lang w:val="en-US" w:eastAsia="en-US" w:bidi="ar-SA"/>
              </w:rPr>
              <w:t>DBS</w:t>
            </w:r>
          </w:p>
        </w:tc>
        <w:tc>
          <w:tcPr>
            <w:tcW w:w="616" w:type="pct"/>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287301" w:rsidRPr="00A46F4A" w:rsidP="004E16D7" w14:paraId="6124CD31" w14:textId="475DF1DF">
            <w:pPr>
              <w:keepNext/>
              <w:widowControl/>
              <w:suppressAutoHyphens/>
              <w:jc w:val="center"/>
              <w:rPr>
                <w:rStyle w:val="DefaultParagraphFont"/>
                <w:b/>
                <w:bCs/>
                <w:snapToGrid/>
                <w:color w:val="000000"/>
                <w:kern w:val="0"/>
                <w:sz w:val="18"/>
                <w:szCs w:val="18"/>
                <w:lang w:val="en-US" w:eastAsia="en-US" w:bidi="ar-SA"/>
              </w:rPr>
            </w:pPr>
            <w:r w:rsidRPr="00A46F4A">
              <w:rPr>
                <w:b/>
                <w:bCs/>
                <w:snapToGrid/>
                <w:color w:val="000000"/>
                <w:kern w:val="0"/>
                <w:sz w:val="18"/>
                <w:szCs w:val="18"/>
                <w:lang w:val="en-US" w:eastAsia="en-US" w:bidi="ar-SA"/>
              </w:rPr>
              <w:t xml:space="preserve">Wireless </w:t>
            </w:r>
            <w:r w:rsidRPr="00A46F4A" w:rsidR="00FD1CEF">
              <w:rPr>
                <w:b/>
                <w:bCs/>
                <w:snapToGrid/>
                <w:color w:val="000000"/>
                <w:kern w:val="0"/>
                <w:sz w:val="18"/>
                <w:szCs w:val="18"/>
                <w:lang w:val="en-US" w:eastAsia="en-US" w:bidi="ar-SA"/>
              </w:rPr>
              <w:t>and</w:t>
            </w:r>
            <w:r w:rsidRPr="00A46F4A">
              <w:rPr>
                <w:b/>
                <w:bCs/>
                <w:snapToGrid/>
                <w:color w:val="000000"/>
                <w:kern w:val="0"/>
                <w:sz w:val="18"/>
                <w:szCs w:val="18"/>
                <w:lang w:val="en-US" w:eastAsia="en-US" w:bidi="ar-SA"/>
              </w:rPr>
              <w:t xml:space="preserve"> Low</w:t>
            </w:r>
            <w:r w:rsidRPr="00A46F4A" w:rsidR="00E26D90">
              <w:rPr>
                <w:b/>
                <w:bCs/>
                <w:snapToGrid/>
                <w:color w:val="000000"/>
                <w:kern w:val="0"/>
                <w:sz w:val="18"/>
                <w:szCs w:val="18"/>
                <w:lang w:val="en-US" w:eastAsia="en-US" w:bidi="ar-SA"/>
              </w:rPr>
              <w:t xml:space="preserve"> Penetration Test</w:t>
            </w:r>
          </w:p>
        </w:tc>
      </w:tr>
      <w:tr w14:paraId="16535C95" w14:textId="77777777" w:rsidTr="00EE4D37">
        <w:tblPrEx>
          <w:tblW w:w="5000" w:type="pct"/>
          <w:tblInd w:w="0" w:type="dxa"/>
          <w:tblLayout w:type="fixed"/>
          <w:tblCellMar>
            <w:top w:w="0" w:type="dxa"/>
            <w:left w:w="108" w:type="dxa"/>
            <w:bottom w:w="0" w:type="dxa"/>
            <w:right w:w="108" w:type="dxa"/>
          </w:tblCellMar>
          <w:tblLook w:val="04A0"/>
        </w:tblPrEx>
        <w:trPr>
          <w:trHeight w:hRule="exact" w:val="518"/>
        </w:trPr>
        <w:tc>
          <w:tcPr>
            <w:tcW w:w="989" w:type="pct"/>
            <w:vMerge/>
            <w:tcBorders>
              <w:top w:val="single" w:sz="8" w:space="0" w:color="auto"/>
              <w:left w:val="single" w:sz="12" w:space="0" w:color="auto"/>
              <w:bottom w:val="single" w:sz="8" w:space="0" w:color="auto"/>
              <w:right w:val="single" w:sz="8" w:space="0" w:color="auto"/>
            </w:tcBorders>
            <w:vAlign w:val="center"/>
            <w:hideMark/>
          </w:tcPr>
          <w:p w:rsidR="00287301" w:rsidRPr="00E26D90" w:rsidP="004E16D7" w14:paraId="593236E2" w14:textId="77777777">
            <w:pPr>
              <w:keepNext/>
              <w:widowControl/>
              <w:suppressAutoHyphens/>
              <w:rPr>
                <w:rStyle w:val="DefaultParagraphFont"/>
                <w:b/>
                <w:bCs/>
                <w:snapToGrid/>
                <w:color w:val="000000"/>
                <w:kern w:val="0"/>
                <w:sz w:val="20"/>
                <w:lang w:val="en-US" w:eastAsia="en-US" w:bidi="ar-SA"/>
              </w:rPr>
            </w:pPr>
          </w:p>
        </w:tc>
        <w:tc>
          <w:tcPr>
            <w:tcW w:w="499" w:type="pct"/>
            <w:vMerge/>
            <w:tcBorders>
              <w:top w:val="single" w:sz="8" w:space="0" w:color="auto"/>
              <w:left w:val="single" w:sz="8" w:space="0" w:color="auto"/>
              <w:bottom w:val="single" w:sz="8" w:space="0" w:color="auto"/>
              <w:right w:val="single" w:sz="8" w:space="0" w:color="auto"/>
            </w:tcBorders>
            <w:vAlign w:val="center"/>
            <w:hideMark/>
          </w:tcPr>
          <w:p w:rsidR="00287301" w:rsidRPr="00E26D90" w:rsidP="004E16D7" w14:paraId="76704EBF" w14:textId="77777777">
            <w:pPr>
              <w:keepNext/>
              <w:widowControl/>
              <w:suppressAutoHyphens/>
              <w:rPr>
                <w:rStyle w:val="DefaultParagraphFont"/>
                <w:b/>
                <w:bCs/>
                <w:snapToGrid/>
                <w:color w:val="000000"/>
                <w:kern w:val="0"/>
                <w:sz w:val="20"/>
                <w:lang w:val="en-US" w:eastAsia="en-US" w:bidi="ar-SA"/>
              </w:rPr>
            </w:pPr>
          </w:p>
        </w:tc>
        <w:tc>
          <w:tcPr>
            <w:tcW w:w="627" w:type="pct"/>
            <w:vMerge/>
            <w:tcBorders>
              <w:top w:val="single" w:sz="8" w:space="0" w:color="auto"/>
              <w:left w:val="single" w:sz="8" w:space="0" w:color="auto"/>
              <w:bottom w:val="single" w:sz="8" w:space="0" w:color="auto"/>
              <w:right w:val="single" w:sz="8" w:space="0" w:color="auto"/>
            </w:tcBorders>
            <w:vAlign w:val="center"/>
            <w:hideMark/>
          </w:tcPr>
          <w:p w:rsidR="00287301" w:rsidRPr="00E26D90" w:rsidP="004E16D7" w14:paraId="4D89DCA3" w14:textId="77777777">
            <w:pPr>
              <w:keepNext/>
              <w:widowControl/>
              <w:suppressAutoHyphens/>
              <w:rPr>
                <w:rStyle w:val="DefaultParagraphFont"/>
                <w:b/>
                <w:bCs/>
                <w:snapToGrid/>
                <w:color w:val="000000"/>
                <w:kern w:val="0"/>
                <w:sz w:val="20"/>
                <w:lang w:val="en-US" w:eastAsia="en-US" w:bidi="ar-SA"/>
              </w:rPr>
            </w:pPr>
          </w:p>
        </w:tc>
        <w:tc>
          <w:tcPr>
            <w:tcW w:w="67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E26D90" w:rsidP="004E16D7" w14:paraId="3CE23EBE" w14:textId="77777777">
            <w:pPr>
              <w:keepNext/>
              <w:widowControl/>
              <w:suppressAutoHyphens/>
              <w:rPr>
                <w:rStyle w:val="DefaultParagraphFont"/>
                <w:b/>
                <w:bCs/>
                <w:snapToGrid/>
                <w:color w:val="000000"/>
                <w:kern w:val="0"/>
                <w:sz w:val="20"/>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F40AD9" w:rsidP="004E16D7" w14:paraId="4E8DDD95" w14:textId="77777777">
            <w:pPr>
              <w:keepNext/>
              <w:widowControl/>
              <w:suppressAutoHyphens/>
              <w:jc w:val="center"/>
              <w:rPr>
                <w:rStyle w:val="DefaultParagraphFont"/>
                <w:b/>
                <w:snapToGrid w:val="0"/>
                <w:color w:val="000000"/>
                <w:kern w:val="0"/>
                <w:sz w:val="20"/>
                <w:lang w:val="en-US" w:eastAsia="en-US" w:bidi="ar-SA"/>
              </w:rPr>
            </w:pPr>
            <w:r w:rsidRPr="00F40AD9">
              <w:rPr>
                <w:b/>
                <w:snapToGrid w:val="0"/>
                <w:color w:val="000000"/>
                <w:kern w:val="0"/>
                <w:sz w:val="20"/>
                <w:lang w:val="en-US" w:eastAsia="en-US" w:bidi="ar-SA"/>
              </w:rPr>
              <w:t>Incum</w:t>
            </w:r>
            <w:r w:rsidRPr="00F40AD9" w:rsidR="008B1544">
              <w:rPr>
                <w:b/>
                <w:snapToGrid w:val="0"/>
                <w:color w:val="000000"/>
                <w:kern w:val="0"/>
                <w:sz w:val="20"/>
                <w:lang w:val="en-US" w:eastAsia="en-US" w:bidi="ar-SA"/>
              </w:rPr>
              <w:t>bent</w:t>
            </w:r>
          </w:p>
        </w:tc>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F40AD9" w:rsidP="004E16D7" w14:paraId="337A7FD0" w14:textId="77777777">
            <w:pPr>
              <w:keepNext/>
              <w:widowControl/>
              <w:suppressAutoHyphens/>
              <w:jc w:val="center"/>
              <w:rPr>
                <w:rStyle w:val="DefaultParagraphFont"/>
                <w:b/>
                <w:snapToGrid w:val="0"/>
                <w:color w:val="000000"/>
                <w:kern w:val="0"/>
                <w:sz w:val="20"/>
                <w:lang w:val="en-US" w:eastAsia="en-US" w:bidi="ar-SA"/>
              </w:rPr>
            </w:pPr>
            <w:r w:rsidRPr="00F40AD9">
              <w:rPr>
                <w:b/>
                <w:snapToGrid w:val="0"/>
                <w:color w:val="000000"/>
                <w:kern w:val="0"/>
                <w:sz w:val="20"/>
                <w:lang w:val="en-US" w:eastAsia="en-US" w:bidi="ar-SA"/>
              </w:rPr>
              <w:t>Rival</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F40AD9" w:rsidP="004E16D7" w14:paraId="7D860A80" w14:textId="77777777">
            <w:pPr>
              <w:keepNext/>
              <w:widowControl/>
              <w:suppressAutoHyphens/>
              <w:jc w:val="center"/>
              <w:rPr>
                <w:rStyle w:val="DefaultParagraphFont"/>
                <w:b/>
                <w:snapToGrid w:val="0"/>
                <w:color w:val="000000"/>
                <w:kern w:val="0"/>
                <w:sz w:val="20"/>
                <w:lang w:val="en-US" w:eastAsia="en-US" w:bidi="ar-SA"/>
              </w:rPr>
            </w:pPr>
            <w:r w:rsidRPr="00F40AD9">
              <w:rPr>
                <w:b/>
                <w:snapToGrid w:val="0"/>
                <w:color w:val="000000"/>
                <w:kern w:val="0"/>
                <w:sz w:val="20"/>
                <w:lang w:val="en-US" w:eastAsia="en-US" w:bidi="ar-SA"/>
              </w:rPr>
              <w:t>Both</w:t>
            </w:r>
          </w:p>
        </w:tc>
        <w:tc>
          <w:tcPr>
            <w:tcW w:w="389" w:type="pct"/>
            <w:vMerge/>
            <w:tcBorders>
              <w:top w:val="single" w:sz="8" w:space="0" w:color="auto"/>
              <w:left w:val="single" w:sz="8" w:space="0" w:color="auto"/>
              <w:bottom w:val="single" w:sz="8" w:space="0" w:color="auto"/>
              <w:right w:val="single" w:sz="8" w:space="0" w:color="auto"/>
            </w:tcBorders>
            <w:vAlign w:val="center"/>
            <w:hideMark/>
          </w:tcPr>
          <w:p w:rsidR="00287301" w:rsidRPr="00E26D90" w:rsidP="004E16D7" w14:paraId="1A4DDCB2" w14:textId="77777777">
            <w:pPr>
              <w:keepNext/>
              <w:widowControl/>
              <w:suppressAutoHyphens/>
              <w:rPr>
                <w:rStyle w:val="DefaultParagraphFont"/>
                <w:b/>
                <w:bCs/>
                <w:snapToGrid/>
                <w:color w:val="000000"/>
                <w:kern w:val="0"/>
                <w:sz w:val="20"/>
                <w:lang w:val="en-US" w:eastAsia="en-US" w:bidi="ar-SA"/>
              </w:rPr>
            </w:pPr>
          </w:p>
        </w:tc>
        <w:tc>
          <w:tcPr>
            <w:tcW w:w="616" w:type="pct"/>
            <w:vMerge/>
            <w:tcBorders>
              <w:top w:val="single" w:sz="8" w:space="0" w:color="auto"/>
              <w:left w:val="single" w:sz="8" w:space="0" w:color="auto"/>
              <w:bottom w:val="single" w:sz="8" w:space="0" w:color="auto"/>
              <w:right w:val="single" w:sz="12" w:space="0" w:color="auto"/>
            </w:tcBorders>
            <w:vAlign w:val="center"/>
            <w:hideMark/>
          </w:tcPr>
          <w:p w:rsidR="00287301" w:rsidRPr="00E26D90" w:rsidP="004E16D7" w14:paraId="38184672" w14:textId="77777777">
            <w:pPr>
              <w:keepNext/>
              <w:widowControl/>
              <w:suppressAutoHyphens/>
              <w:rPr>
                <w:rStyle w:val="DefaultParagraphFont"/>
                <w:b/>
                <w:bCs/>
                <w:snapToGrid/>
                <w:color w:val="000000"/>
                <w:kern w:val="0"/>
                <w:sz w:val="20"/>
                <w:lang w:val="en-US" w:eastAsia="en-US" w:bidi="ar-SA"/>
              </w:rPr>
            </w:pPr>
          </w:p>
        </w:tc>
      </w:tr>
      <w:tr w14:paraId="1CDAE8A8" w14:textId="77777777" w:rsidTr="00EE4D37">
        <w:tblPrEx>
          <w:tblW w:w="5000" w:type="pct"/>
          <w:tblInd w:w="0" w:type="dxa"/>
          <w:tblLayout w:type="fixed"/>
          <w:tblCellMar>
            <w:top w:w="0" w:type="dxa"/>
            <w:left w:w="108" w:type="dxa"/>
            <w:bottom w:w="0" w:type="dxa"/>
            <w:right w:w="108" w:type="dxa"/>
          </w:tblCellMar>
          <w:tblLook w:val="04A0"/>
        </w:tblPrEx>
        <w:trPr>
          <w:trHeight w:hRule="exact" w:val="374"/>
        </w:trPr>
        <w:tc>
          <w:tcPr>
            <w:tcW w:w="989"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870283" w:rsidRPr="00E26D90" w:rsidP="00870283" w14:paraId="17137974" w14:textId="5DFFC75D">
            <w:pPr>
              <w:keepNext/>
              <w:widowControl/>
              <w:suppressAutoHyphens/>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 xml:space="preserve">Basic </w:t>
            </w:r>
          </w:p>
        </w:tc>
        <w:tc>
          <w:tcPr>
            <w:tcW w:w="49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612708E4" w14:textId="0C2083DB">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0.2</w:t>
            </w:r>
          </w:p>
        </w:tc>
        <w:tc>
          <w:tcPr>
            <w:tcW w:w="62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318D040C" w14:textId="566F1DFB">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0.2</w:t>
            </w:r>
          </w:p>
        </w:tc>
        <w:tc>
          <w:tcPr>
            <w:tcW w:w="6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09E10572" w14:textId="7FDE1393">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0.2</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189AAC06" w14:textId="05A1F61A">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0.9†</w:t>
            </w:r>
          </w:p>
        </w:tc>
        <w:tc>
          <w:tcPr>
            <w:tcW w:w="3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00C63235" w14:textId="316AF520">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0.0†</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4E80CE6E" w14:textId="6F4A9082">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6365EE" w:rsidP="00870283" w14:paraId="3E7C2E20" w14:textId="1A96BACC">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0.1†</w:t>
            </w:r>
          </w:p>
        </w:tc>
        <w:tc>
          <w:tcPr>
            <w:tcW w:w="616"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870283" w:rsidP="00870283" w14:paraId="3D02509A" w14:textId="2388E96C">
            <w:pPr>
              <w:widowControl w:val="0"/>
              <w:suppressAutoHyphens/>
              <w:jc w:val="center"/>
              <w:rPr>
                <w:rStyle w:val="DefaultParagraphFont"/>
                <w:snapToGrid w:val="0"/>
                <w:kern w:val="28"/>
                <w:sz w:val="22"/>
                <w:lang w:val="en-US" w:eastAsia="en-US" w:bidi="ar-SA"/>
              </w:rPr>
            </w:pPr>
            <w:r>
              <w:rPr>
                <w:snapToGrid w:val="0"/>
                <w:kern w:val="28"/>
                <w:sz w:val="22"/>
                <w:szCs w:val="22"/>
                <w:lang w:val="en-US" w:eastAsia="en-US" w:bidi="ar-SA"/>
              </w:rPr>
              <w:t>0.0†</w:t>
            </w:r>
          </w:p>
        </w:tc>
      </w:tr>
      <w:tr w14:paraId="0653BC22" w14:textId="77777777" w:rsidTr="00EE4D37">
        <w:tblPrEx>
          <w:tblW w:w="5000" w:type="pct"/>
          <w:tblInd w:w="0" w:type="dxa"/>
          <w:tblLayout w:type="fixed"/>
          <w:tblCellMar>
            <w:top w:w="0" w:type="dxa"/>
            <w:left w:w="108" w:type="dxa"/>
            <w:bottom w:w="0" w:type="dxa"/>
            <w:right w:w="108" w:type="dxa"/>
          </w:tblCellMar>
          <w:tblLook w:val="04A0"/>
        </w:tblPrEx>
        <w:trPr>
          <w:trHeight w:hRule="exact" w:val="374"/>
        </w:trPr>
        <w:tc>
          <w:tcPr>
            <w:tcW w:w="989"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870283" w:rsidRPr="00E26D90" w:rsidP="00870283" w14:paraId="151C3E2A" w14:textId="77777777">
            <w:pPr>
              <w:keepNext/>
              <w:widowControl/>
              <w:suppressAutoHyphens/>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 xml:space="preserve">Expanded basic </w:t>
            </w:r>
          </w:p>
        </w:tc>
        <w:tc>
          <w:tcPr>
            <w:tcW w:w="49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0283" w:rsidRPr="00E26D90" w:rsidP="00870283" w14:paraId="77898F85" w14:textId="0FD001A1">
            <w:pPr>
              <w:keepNext/>
              <w:widowControl w:val="0"/>
              <w:suppressAutoHyphens/>
              <w:jc w:val="center"/>
              <w:rPr>
                <w:rStyle w:val="DefaultParagraphFont"/>
                <w:b/>
                <w:bCs/>
                <w:snapToGrid w:val="0"/>
                <w:color w:val="000000"/>
                <w:kern w:val="28"/>
                <w:sz w:val="20"/>
                <w:lang w:val="en-US" w:eastAsia="en-US" w:bidi="ar-SA"/>
              </w:rPr>
            </w:pPr>
            <w:r>
              <w:rPr>
                <w:snapToGrid w:val="0"/>
                <w:kern w:val="28"/>
                <w:sz w:val="22"/>
                <w:szCs w:val="22"/>
                <w:lang w:val="en-US" w:eastAsia="en-US" w:bidi="ar-SA"/>
              </w:rPr>
              <w:t>3.9</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283" w:rsidP="00870283" w14:paraId="7353DF58" w14:textId="39DB31CA">
            <w:pPr>
              <w:widowControl/>
              <w:suppressAutoHyphens/>
              <w:jc w:val="center"/>
              <w:rPr>
                <w:rStyle w:val="DefaultParagraphFont"/>
                <w:snapToGrid/>
                <w:kern w:val="0"/>
                <w:sz w:val="22"/>
                <w:szCs w:val="22"/>
                <w:lang w:val="en-US" w:eastAsia="en-US" w:bidi="ar-SA"/>
              </w:rPr>
            </w:pPr>
            <w:r>
              <w:rPr>
                <w:snapToGrid w:val="0"/>
                <w:kern w:val="28"/>
                <w:sz w:val="22"/>
                <w:szCs w:val="22"/>
                <w:lang w:val="en-US" w:eastAsia="en-US" w:bidi="ar-SA"/>
              </w:rPr>
              <w:t>3.8</w:t>
            </w:r>
          </w:p>
        </w:tc>
        <w:tc>
          <w:tcPr>
            <w:tcW w:w="675" w:type="pct"/>
            <w:tcBorders>
              <w:top w:val="single" w:sz="4" w:space="0" w:color="auto"/>
              <w:left w:val="nil"/>
              <w:bottom w:val="single" w:sz="4" w:space="0" w:color="auto"/>
              <w:right w:val="single" w:sz="4" w:space="0" w:color="auto"/>
            </w:tcBorders>
            <w:shd w:val="clear" w:color="auto" w:fill="auto"/>
            <w:noWrap/>
            <w:vAlign w:val="bottom"/>
            <w:hideMark/>
          </w:tcPr>
          <w:p w:rsidR="00870283" w:rsidP="00870283" w14:paraId="73AC20E3" w14:textId="2911E3FB">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4.0</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870283" w:rsidP="00870283" w14:paraId="2D76904A" w14:textId="2E63E69B">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3.6</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70283" w:rsidP="00870283" w14:paraId="388A290C" w14:textId="49929AA8">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4.8†</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870283" w:rsidP="00870283" w14:paraId="275573BF" w14:textId="1843EA69">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3.8</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870283" w:rsidP="00870283" w14:paraId="14463DAE" w14:textId="00848DA6">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4.2</w:t>
            </w:r>
          </w:p>
        </w:tc>
        <w:tc>
          <w:tcPr>
            <w:tcW w:w="616" w:type="pct"/>
            <w:tcBorders>
              <w:top w:val="single" w:sz="4" w:space="0" w:color="auto"/>
              <w:left w:val="nil"/>
              <w:bottom w:val="single" w:sz="4" w:space="0" w:color="auto"/>
              <w:right w:val="single" w:sz="12" w:space="0" w:color="auto"/>
            </w:tcBorders>
            <w:shd w:val="clear" w:color="auto" w:fill="auto"/>
            <w:noWrap/>
            <w:vAlign w:val="bottom"/>
            <w:hideMark/>
          </w:tcPr>
          <w:p w:rsidR="00870283" w:rsidP="00870283" w14:paraId="65B90723" w14:textId="783AC210">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3.2</w:t>
            </w:r>
          </w:p>
        </w:tc>
      </w:tr>
      <w:tr w14:paraId="00524E5F" w14:textId="77777777" w:rsidTr="00EE4D37">
        <w:tblPrEx>
          <w:tblW w:w="5000" w:type="pct"/>
          <w:tblInd w:w="0" w:type="dxa"/>
          <w:tblLayout w:type="fixed"/>
          <w:tblCellMar>
            <w:top w:w="0" w:type="dxa"/>
            <w:left w:w="108" w:type="dxa"/>
            <w:bottom w:w="0" w:type="dxa"/>
            <w:right w:w="108" w:type="dxa"/>
          </w:tblCellMar>
          <w:tblLook w:val="04A0"/>
        </w:tblPrEx>
        <w:trPr>
          <w:trHeight w:hRule="exact" w:val="374"/>
        </w:trPr>
        <w:tc>
          <w:tcPr>
            <w:tcW w:w="989" w:type="pct"/>
            <w:tcBorders>
              <w:top w:val="single" w:sz="8" w:space="0" w:color="auto"/>
              <w:left w:val="single" w:sz="12" w:space="0" w:color="auto"/>
              <w:bottom w:val="single" w:sz="12" w:space="0" w:color="auto"/>
              <w:right w:val="single" w:sz="8" w:space="0" w:color="auto"/>
            </w:tcBorders>
            <w:shd w:val="clear" w:color="auto" w:fill="auto"/>
            <w:vAlign w:val="bottom"/>
            <w:hideMark/>
          </w:tcPr>
          <w:p w:rsidR="00870283" w:rsidRPr="00E26D90" w:rsidP="00870283" w14:paraId="556525D7" w14:textId="77777777">
            <w:pPr>
              <w:keepNext/>
              <w:widowControl/>
              <w:suppressAutoHyphens/>
              <w:rPr>
                <w:rStyle w:val="DefaultParagraphFont"/>
                <w:b/>
                <w:bCs/>
                <w:snapToGrid/>
                <w:color w:val="000000"/>
                <w:kern w:val="0"/>
                <w:sz w:val="20"/>
                <w:lang w:val="en-US" w:eastAsia="en-US" w:bidi="ar-SA"/>
              </w:rPr>
            </w:pPr>
            <w:r w:rsidRPr="00E26D90">
              <w:rPr>
                <w:b/>
                <w:bCs/>
                <w:snapToGrid/>
                <w:color w:val="000000"/>
                <w:kern w:val="0"/>
                <w:sz w:val="20"/>
                <w:lang w:val="en-US" w:eastAsia="en-US" w:bidi="ar-SA"/>
              </w:rPr>
              <w:t xml:space="preserve">Next most popular </w:t>
            </w:r>
          </w:p>
        </w:tc>
        <w:tc>
          <w:tcPr>
            <w:tcW w:w="499" w:type="pct"/>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870283" w:rsidRPr="00E26D90" w:rsidP="00870283" w14:paraId="24697981" w14:textId="0133D8D4">
            <w:pPr>
              <w:keepNext/>
              <w:widowControl w:val="0"/>
              <w:suppressAutoHyphens/>
              <w:jc w:val="center"/>
              <w:rPr>
                <w:rStyle w:val="DefaultParagraphFont"/>
                <w:b/>
                <w:bCs/>
                <w:snapToGrid w:val="0"/>
                <w:color w:val="000000"/>
                <w:kern w:val="28"/>
                <w:sz w:val="20"/>
                <w:lang w:val="en-US" w:eastAsia="en-US" w:bidi="ar-SA"/>
              </w:rPr>
            </w:pPr>
            <w:r>
              <w:rPr>
                <w:snapToGrid w:val="0"/>
                <w:kern w:val="28"/>
                <w:sz w:val="22"/>
                <w:szCs w:val="22"/>
                <w:lang w:val="en-US" w:eastAsia="en-US" w:bidi="ar-SA"/>
              </w:rPr>
              <w:t>4.2</w:t>
            </w:r>
          </w:p>
        </w:tc>
        <w:tc>
          <w:tcPr>
            <w:tcW w:w="627" w:type="pct"/>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870283" w:rsidP="00870283" w14:paraId="7D671FE1" w14:textId="3D11E328">
            <w:pPr>
              <w:widowControl/>
              <w:suppressAutoHyphens/>
              <w:jc w:val="center"/>
              <w:rPr>
                <w:rStyle w:val="DefaultParagraphFont"/>
                <w:snapToGrid/>
                <w:kern w:val="0"/>
                <w:sz w:val="22"/>
                <w:szCs w:val="22"/>
                <w:lang w:val="en-US" w:eastAsia="en-US" w:bidi="ar-SA"/>
              </w:rPr>
            </w:pPr>
            <w:r>
              <w:rPr>
                <w:snapToGrid w:val="0"/>
                <w:kern w:val="28"/>
                <w:sz w:val="22"/>
                <w:szCs w:val="22"/>
                <w:lang w:val="en-US" w:eastAsia="en-US" w:bidi="ar-SA"/>
              </w:rPr>
              <w:t>4.0</w:t>
            </w:r>
          </w:p>
        </w:tc>
        <w:tc>
          <w:tcPr>
            <w:tcW w:w="675" w:type="pct"/>
            <w:tcBorders>
              <w:top w:val="single" w:sz="4" w:space="0" w:color="auto"/>
              <w:left w:val="nil"/>
              <w:bottom w:val="single" w:sz="12" w:space="0" w:color="auto"/>
              <w:right w:val="single" w:sz="4" w:space="0" w:color="auto"/>
            </w:tcBorders>
            <w:shd w:val="clear" w:color="auto" w:fill="auto"/>
            <w:noWrap/>
            <w:vAlign w:val="bottom"/>
            <w:hideMark/>
          </w:tcPr>
          <w:p w:rsidR="00870283" w:rsidP="00870283" w14:paraId="783EE8A8" w14:textId="72443A77">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4.3</w:t>
            </w:r>
          </w:p>
        </w:tc>
        <w:tc>
          <w:tcPr>
            <w:tcW w:w="434" w:type="pct"/>
            <w:tcBorders>
              <w:top w:val="single" w:sz="4" w:space="0" w:color="auto"/>
              <w:left w:val="nil"/>
              <w:bottom w:val="single" w:sz="12" w:space="0" w:color="auto"/>
              <w:right w:val="single" w:sz="4" w:space="0" w:color="auto"/>
            </w:tcBorders>
            <w:shd w:val="clear" w:color="auto" w:fill="auto"/>
            <w:noWrap/>
            <w:vAlign w:val="bottom"/>
            <w:hideMark/>
          </w:tcPr>
          <w:p w:rsidR="00870283" w:rsidP="00870283" w14:paraId="207060DB" w14:textId="3E83D0BB">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3.8</w:t>
            </w:r>
          </w:p>
        </w:tc>
        <w:tc>
          <w:tcPr>
            <w:tcW w:w="385" w:type="pct"/>
            <w:tcBorders>
              <w:top w:val="single" w:sz="4" w:space="0" w:color="auto"/>
              <w:left w:val="nil"/>
              <w:bottom w:val="single" w:sz="12" w:space="0" w:color="auto"/>
              <w:right w:val="single" w:sz="4" w:space="0" w:color="auto"/>
            </w:tcBorders>
            <w:shd w:val="clear" w:color="auto" w:fill="auto"/>
            <w:noWrap/>
            <w:vAlign w:val="bottom"/>
            <w:hideMark/>
          </w:tcPr>
          <w:p w:rsidR="00870283" w:rsidP="00870283" w14:paraId="124073B9" w14:textId="61EB662E">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5.4†</w:t>
            </w:r>
          </w:p>
        </w:tc>
        <w:tc>
          <w:tcPr>
            <w:tcW w:w="386" w:type="pct"/>
            <w:tcBorders>
              <w:top w:val="single" w:sz="4" w:space="0" w:color="auto"/>
              <w:left w:val="nil"/>
              <w:bottom w:val="single" w:sz="12" w:space="0" w:color="auto"/>
              <w:right w:val="single" w:sz="4" w:space="0" w:color="auto"/>
            </w:tcBorders>
            <w:shd w:val="clear" w:color="auto" w:fill="auto"/>
            <w:noWrap/>
            <w:vAlign w:val="bottom"/>
            <w:hideMark/>
          </w:tcPr>
          <w:p w:rsidR="00870283" w:rsidP="00870283" w14:paraId="4DA44298" w14:textId="1EBBE128">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4.1</w:t>
            </w:r>
          </w:p>
        </w:tc>
        <w:tc>
          <w:tcPr>
            <w:tcW w:w="389" w:type="pct"/>
            <w:tcBorders>
              <w:top w:val="single" w:sz="4" w:space="0" w:color="auto"/>
              <w:left w:val="nil"/>
              <w:bottom w:val="single" w:sz="12" w:space="0" w:color="auto"/>
              <w:right w:val="single" w:sz="4" w:space="0" w:color="auto"/>
            </w:tcBorders>
            <w:shd w:val="clear" w:color="auto" w:fill="auto"/>
            <w:noWrap/>
            <w:vAlign w:val="bottom"/>
            <w:hideMark/>
          </w:tcPr>
          <w:p w:rsidR="00870283" w:rsidP="00870283" w14:paraId="319B9883" w14:textId="28B98B55">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4.5</w:t>
            </w:r>
          </w:p>
        </w:tc>
        <w:tc>
          <w:tcPr>
            <w:tcW w:w="616" w:type="pct"/>
            <w:tcBorders>
              <w:top w:val="single" w:sz="4" w:space="0" w:color="auto"/>
              <w:left w:val="nil"/>
              <w:bottom w:val="single" w:sz="12" w:space="0" w:color="auto"/>
              <w:right w:val="single" w:sz="12" w:space="0" w:color="auto"/>
            </w:tcBorders>
            <w:shd w:val="clear" w:color="auto" w:fill="auto"/>
            <w:noWrap/>
            <w:vAlign w:val="bottom"/>
            <w:hideMark/>
          </w:tcPr>
          <w:p w:rsidR="00870283" w:rsidP="00870283" w14:paraId="3936A485" w14:textId="71230083">
            <w:pPr>
              <w:widowControl w:val="0"/>
              <w:suppressAutoHyphens/>
              <w:jc w:val="center"/>
              <w:rPr>
                <w:rStyle w:val="DefaultParagraphFont"/>
                <w:snapToGrid w:val="0"/>
                <w:kern w:val="28"/>
                <w:sz w:val="22"/>
                <w:szCs w:val="22"/>
                <w:lang w:val="en-US" w:eastAsia="en-US" w:bidi="ar-SA"/>
              </w:rPr>
            </w:pPr>
            <w:r>
              <w:rPr>
                <w:snapToGrid w:val="0"/>
                <w:kern w:val="28"/>
                <w:sz w:val="22"/>
                <w:szCs w:val="22"/>
                <w:lang w:val="en-US" w:eastAsia="en-US" w:bidi="ar-SA"/>
              </w:rPr>
              <w:t>3.3</w:t>
            </w:r>
          </w:p>
        </w:tc>
      </w:tr>
      <w:tr w14:paraId="2BC45467" w14:textId="77777777" w:rsidTr="003E7B35">
        <w:tblPrEx>
          <w:tblW w:w="5000" w:type="pct"/>
          <w:tblInd w:w="0" w:type="dxa"/>
          <w:tblLayout w:type="fixed"/>
          <w:tblCellMar>
            <w:top w:w="0" w:type="dxa"/>
            <w:left w:w="115" w:type="dxa"/>
            <w:bottom w:w="0" w:type="dxa"/>
            <w:right w:w="115" w:type="dxa"/>
          </w:tblCellMar>
          <w:tblLook w:val="0000"/>
        </w:tblPrEx>
        <w:trPr>
          <w:trHeight w:hRule="exact" w:val="588"/>
        </w:trPr>
        <w:tc>
          <w:tcPr>
            <w:tcW w:w="5000" w:type="pct"/>
            <w:gridSpan w:val="9"/>
            <w:tcBorders>
              <w:top w:val="single" w:sz="12" w:space="0" w:color="auto"/>
              <w:left w:val="nil"/>
              <w:bottom w:val="nil"/>
              <w:right w:val="nil"/>
            </w:tcBorders>
            <w:shd w:val="clear" w:color="auto" w:fill="auto"/>
            <w:vAlign w:val="bottom"/>
          </w:tcPr>
          <w:p w:rsidR="0007658E" w:rsidRPr="00E26D90" w:rsidP="00473C43" w14:paraId="709553FF" w14:textId="003AE22D">
            <w:pPr>
              <w:keepNext/>
              <w:widowControl w:val="0"/>
              <w:suppressAutoHyphens/>
              <w:rPr>
                <w:rStyle w:val="DefaultParagraphFont"/>
                <w:snapToGrid w:val="0"/>
                <w:kern w:val="28"/>
                <w:sz w:val="20"/>
                <w:lang w:val="en-US" w:eastAsia="en-US" w:bidi="ar-SA"/>
              </w:rPr>
            </w:pPr>
            <w:r w:rsidRPr="00E26D90">
              <w:rPr>
                <w:snapToGrid w:val="0"/>
                <w:kern w:val="28"/>
                <w:sz w:val="20"/>
                <w:lang w:val="en-US" w:eastAsia="en-US" w:bidi="ar-SA"/>
              </w:rPr>
              <w:t xml:space="preserve">Source: </w:t>
            </w:r>
            <w:r w:rsidR="00921DD1">
              <w:rPr>
                <w:snapToGrid w:val="0"/>
                <w:kern w:val="28"/>
                <w:sz w:val="20"/>
                <w:lang w:val="en-US" w:eastAsia="en-US" w:bidi="ar-SA"/>
              </w:rPr>
              <w:t xml:space="preserve"> </w:t>
            </w:r>
            <w:r w:rsidRPr="00E26D90" w:rsidR="008634B3">
              <w:rPr>
                <w:snapToGrid w:val="0"/>
                <w:kern w:val="28"/>
                <w:sz w:val="20"/>
                <w:lang w:val="en-US" w:eastAsia="en-US" w:bidi="ar-SA"/>
              </w:rPr>
              <w:t>2016</w:t>
            </w:r>
            <w:r w:rsidRPr="00E26D90">
              <w:rPr>
                <w:snapToGrid w:val="0"/>
                <w:kern w:val="28"/>
                <w:sz w:val="20"/>
                <w:lang w:val="en-US" w:eastAsia="en-US" w:bidi="ar-SA"/>
              </w:rPr>
              <w:t xml:space="preserve"> </w:t>
            </w:r>
            <w:r w:rsidR="00B01548">
              <w:rPr>
                <w:snapToGrid w:val="0"/>
                <w:kern w:val="28"/>
                <w:sz w:val="20"/>
                <w:lang w:val="en-US" w:eastAsia="en-US" w:bidi="ar-SA"/>
              </w:rPr>
              <w:t>s</w:t>
            </w:r>
            <w:r w:rsidRPr="00E26D90">
              <w:rPr>
                <w:snapToGrid w:val="0"/>
                <w:kern w:val="28"/>
                <w:sz w:val="20"/>
                <w:lang w:val="en-US" w:eastAsia="en-US" w:bidi="ar-SA"/>
              </w:rPr>
              <w:t>urvey</w:t>
            </w:r>
            <w:r w:rsidR="00870283">
              <w:rPr>
                <w:snapToGrid w:val="0"/>
                <w:kern w:val="28"/>
                <w:sz w:val="20"/>
                <w:lang w:val="en-US" w:eastAsia="en-US" w:bidi="ar-SA"/>
              </w:rPr>
              <w:t>.</w:t>
            </w:r>
            <w:r w:rsidR="00921DD1">
              <w:rPr>
                <w:snapToGrid w:val="0"/>
                <w:kern w:val="28"/>
                <w:sz w:val="20"/>
                <w:lang w:val="en-US" w:eastAsia="en-US" w:bidi="ar-SA"/>
              </w:rPr>
              <w:t xml:space="preserve"> </w:t>
            </w:r>
            <w:r w:rsidR="00870283">
              <w:rPr>
                <w:snapToGrid w:val="0"/>
                <w:kern w:val="28"/>
                <w:sz w:val="20"/>
                <w:lang w:val="en-US" w:eastAsia="en-US" w:bidi="ar-SA"/>
              </w:rPr>
              <w:t xml:space="preserve"> </w:t>
            </w:r>
            <w:r w:rsidR="00824F05">
              <w:rPr>
                <w:snapToGrid/>
                <w:kern w:val="0"/>
                <w:sz w:val="20"/>
                <w:lang w:val="en-US" w:eastAsia="en-US" w:bidi="ar-SA"/>
              </w:rPr>
              <w:t>†</w:t>
            </w:r>
            <w:r w:rsidR="00473C43">
              <w:rPr>
                <w:snapToGrid/>
                <w:kern w:val="0"/>
                <w:sz w:val="20"/>
                <w:lang w:val="en-US" w:eastAsia="en-US" w:bidi="ar-SA"/>
              </w:rPr>
              <w:t>Indicates</w:t>
            </w:r>
            <w:r w:rsidR="00501EC9">
              <w:rPr>
                <w:snapToGrid/>
                <w:kern w:val="0"/>
                <w:sz w:val="20"/>
                <w:lang w:val="en-US" w:eastAsia="en-US" w:bidi="ar-SA"/>
              </w:rPr>
              <w:t xml:space="preserve"> a</w:t>
            </w:r>
            <w:r w:rsidR="00870283">
              <w:rPr>
                <w:snapToGrid/>
                <w:kern w:val="0"/>
                <w:sz w:val="20"/>
                <w:lang w:val="en-US" w:eastAsia="en-US" w:bidi="ar-SA"/>
              </w:rPr>
              <w:t>verage number of regional sports networks for the indicated group and the noncompetitive group are statistically different at 95% confidence level.</w:t>
            </w:r>
          </w:p>
        </w:tc>
      </w:tr>
    </w:tbl>
    <w:p w:rsidR="00EE4D37" w:rsidP="004E16D7" w14:paraId="25E6B189" w14:textId="54D7EA70">
      <w:pPr>
        <w:pStyle w:val="ParaNum"/>
        <w:numPr>
          <w:ilvl w:val="0"/>
          <w:numId w:val="0"/>
        </w:numPr>
        <w:suppressAutoHyphens/>
        <w:spacing w:after="0"/>
        <w:rPr>
          <w:szCs w:val="22"/>
        </w:rPr>
      </w:pPr>
      <w:bookmarkStart w:id="64" w:name="_Toc384990875"/>
      <w:bookmarkStart w:id="65" w:name="_Toc384991980"/>
      <w:bookmarkStart w:id="66" w:name="_Toc384992816"/>
    </w:p>
    <w:p w:rsidR="00EE4D37" w14:paraId="7A49AC04" w14:textId="77777777">
      <w:pPr>
        <w:widowControl/>
        <w:rPr>
          <w:szCs w:val="22"/>
        </w:rPr>
      </w:pPr>
      <w:r>
        <w:rPr>
          <w:szCs w:val="22"/>
        </w:rPr>
        <w:br w:type="page"/>
      </w:r>
    </w:p>
    <w:p w:rsidR="00167D5D" w:rsidRPr="00167D5D" w:rsidP="00EE4D37" w14:paraId="1E359E80" w14:textId="40884217">
      <w:pPr>
        <w:pStyle w:val="Heading2"/>
      </w:pPr>
      <w:bookmarkStart w:id="67" w:name="_Toc456873886"/>
      <w:bookmarkStart w:id="68" w:name="_Toc456874098"/>
      <w:r w:rsidRPr="00167D5D">
        <w:t>C</w:t>
      </w:r>
      <w:r w:rsidR="00151470">
        <w:t>able</w:t>
      </w:r>
      <w:r w:rsidRPr="00167D5D">
        <w:t xml:space="preserve"> Equipment</w:t>
      </w:r>
      <w:bookmarkEnd w:id="61"/>
      <w:bookmarkEnd w:id="62"/>
      <w:bookmarkEnd w:id="63"/>
      <w:bookmarkEnd w:id="64"/>
      <w:bookmarkEnd w:id="65"/>
      <w:bookmarkEnd w:id="66"/>
      <w:bookmarkEnd w:id="67"/>
      <w:bookmarkEnd w:id="68"/>
    </w:p>
    <w:p w:rsidR="004E348D" w:rsidP="004E16D7" w14:paraId="252B5963" w14:textId="6D71BE23">
      <w:pPr>
        <w:pStyle w:val="Paranum0"/>
        <w:numPr>
          <w:ilvl w:val="0"/>
          <w:numId w:val="12"/>
        </w:numPr>
        <w:tabs>
          <w:tab w:val="clear" w:pos="1080"/>
          <w:tab w:val="num" w:pos="1440"/>
        </w:tabs>
        <w:suppressAutoHyphens/>
        <w:spacing w:after="240"/>
        <w:jc w:val="left"/>
      </w:pPr>
      <w:r w:rsidRPr="00167D5D">
        <w:t xml:space="preserve">Table </w:t>
      </w:r>
      <w:r>
        <w:t>8</w:t>
      </w:r>
      <w:r w:rsidRPr="00167D5D">
        <w:t xml:space="preserve"> shows, as of January 1, </w:t>
      </w:r>
      <w:r>
        <w:t>2016</w:t>
      </w:r>
      <w:r w:rsidRPr="00167D5D">
        <w:t xml:space="preserve">, the average </w:t>
      </w:r>
      <w:r w:rsidR="00DE16EC">
        <w:t>charge a customer paid</w:t>
      </w:r>
      <w:r>
        <w:t xml:space="preserve"> to lease the most common </w:t>
      </w:r>
      <w:r w:rsidR="0046070A">
        <w:t xml:space="preserve">customer premises </w:t>
      </w:r>
      <w:r>
        <w:t>equipment</w:t>
      </w:r>
      <w:r w:rsidR="00DE16EC">
        <w:t>,</w:t>
      </w:r>
      <w:r w:rsidR="00643534">
        <w:t xml:space="preserve"> in the form of</w:t>
      </w:r>
      <w:r w:rsidR="0046070A">
        <w:t xml:space="preserve"> a converter box or other</w:t>
      </w:r>
      <w:r w:rsidR="00DE16EC">
        <w:t xml:space="preserve"> </w:t>
      </w:r>
      <w:r w:rsidR="00E5009A">
        <w:t>equipment necessary to obtain video</w:t>
      </w:r>
      <w:r w:rsidR="0046070A">
        <w:t xml:space="preserve"> programming</w:t>
      </w:r>
      <w:r>
        <w:t>.</w:t>
      </w:r>
      <w:r>
        <w:rPr>
          <w:rStyle w:val="FootnoteReference"/>
        </w:rPr>
        <w:footnoteReference w:id="40"/>
      </w:r>
      <w:r w:rsidR="00DE16EC">
        <w:t xml:space="preserve">  </w:t>
      </w:r>
      <w:r w:rsidR="0046070A">
        <w:t>The</w:t>
      </w:r>
      <w:r>
        <w:t xml:space="preserve"> </w:t>
      </w:r>
      <w:r w:rsidR="00DE16EC">
        <w:t>monthly charge to lease</w:t>
      </w:r>
      <w:r w:rsidR="00A964CD">
        <w:t xml:space="preserve"> the most common equipment </w:t>
      </w:r>
      <w:r w:rsidR="00D37C8F">
        <w:t xml:space="preserve">paid </w:t>
      </w:r>
      <w:r w:rsidR="00A964CD">
        <w:t>b</w:t>
      </w:r>
      <w:r w:rsidR="00E86E2A">
        <w:t>y</w:t>
      </w:r>
      <w:r w:rsidR="0046070A">
        <w:t xml:space="preserve"> c</w:t>
      </w:r>
      <w:r>
        <w:t>ustomers subscribing to basic service only</w:t>
      </w:r>
      <w:r w:rsidR="0046070A">
        <w:t xml:space="preserve"> </w:t>
      </w:r>
      <w:r w:rsidR="00A45137">
        <w:t>(</w:t>
      </w:r>
      <w:r w:rsidRPr="00A45137" w:rsidR="00A45137">
        <w:rPr>
          <w:i/>
        </w:rPr>
        <w:t>i.e.,</w:t>
      </w:r>
      <w:r w:rsidR="00A45137">
        <w:t xml:space="preserve"> not </w:t>
      </w:r>
      <w:r w:rsidR="00D37C8F">
        <w:t>taking</w:t>
      </w:r>
      <w:r w:rsidR="00A45137">
        <w:t xml:space="preserve"> expanded basic</w:t>
      </w:r>
      <w:r w:rsidR="00D37C8F">
        <w:t xml:space="preserve"> service</w:t>
      </w:r>
      <w:r w:rsidR="00A45137">
        <w:t xml:space="preserve">) </w:t>
      </w:r>
      <w:r w:rsidR="0046070A">
        <w:t>averaged $8.15</w:t>
      </w:r>
      <w:r w:rsidR="004D35A0">
        <w:t xml:space="preserve"> for the full sample</w:t>
      </w:r>
      <w:r w:rsidR="0046070A">
        <w:t xml:space="preserve">, </w:t>
      </w:r>
      <w:r w:rsidR="00D37C8F">
        <w:t xml:space="preserve">representing </w:t>
      </w:r>
      <w:r w:rsidR="0046070A">
        <w:t>an increase of 1.2 percent</w:t>
      </w:r>
      <w:r w:rsidR="00A45137">
        <w:t xml:space="preserve"> from the charge in the previous year</w:t>
      </w:r>
      <w:r w:rsidR="0046070A">
        <w:t xml:space="preserve">.  </w:t>
      </w:r>
      <w:r w:rsidR="00A45137">
        <w:t>C</w:t>
      </w:r>
      <w:r w:rsidR="003D1F8E">
        <w:t>harge</w:t>
      </w:r>
      <w:r w:rsidR="00A45137">
        <w:t>s</w:t>
      </w:r>
      <w:r w:rsidR="003D1F8E">
        <w:t xml:space="preserve"> to customers </w:t>
      </w:r>
      <w:r w:rsidR="00D37C8F">
        <w:t>subscribing to</w:t>
      </w:r>
      <w:r w:rsidR="00DE16EC">
        <w:t xml:space="preserve"> </w:t>
      </w:r>
      <w:r w:rsidRPr="00167D5D">
        <w:t>expanded basic service</w:t>
      </w:r>
      <w:r>
        <w:t xml:space="preserve"> </w:t>
      </w:r>
      <w:r w:rsidR="00A45137">
        <w:t>and leasing the most common equipment averaged</w:t>
      </w:r>
      <w:r w:rsidR="0046070A">
        <w:t xml:space="preserve"> $8.25, an </w:t>
      </w:r>
      <w:r w:rsidR="00A45137">
        <w:t xml:space="preserve">annual </w:t>
      </w:r>
      <w:r w:rsidR="0046070A">
        <w:t>increase of 1.3 percent.</w:t>
      </w:r>
      <w:r w:rsidR="00A45137">
        <w:t xml:space="preserve">  </w:t>
      </w:r>
      <w:r w:rsidR="00D37C8F">
        <w:t>The average charge</w:t>
      </w:r>
      <w:r w:rsidR="00ED4D3F">
        <w:t xml:space="preserve"> </w:t>
      </w:r>
      <w:r w:rsidR="00A45137">
        <w:t>paid by</w:t>
      </w:r>
      <w:r w:rsidR="0046070A">
        <w:t xml:space="preserve"> </w:t>
      </w:r>
      <w:r w:rsidR="00DE16EC">
        <w:t xml:space="preserve">customers </w:t>
      </w:r>
      <w:r>
        <w:t>subscrib</w:t>
      </w:r>
      <w:r w:rsidR="00DE16EC">
        <w:t>ing</w:t>
      </w:r>
      <w:r w:rsidR="00E86E2A">
        <w:t xml:space="preserve"> </w:t>
      </w:r>
      <w:r w:rsidR="00A964CD">
        <w:t>t</w:t>
      </w:r>
      <w:r w:rsidR="00DE16EC">
        <w:t>o</w:t>
      </w:r>
      <w:r>
        <w:t xml:space="preserve"> the</w:t>
      </w:r>
      <w:r w:rsidRPr="00167D5D">
        <w:t xml:space="preserve"> next most popular service</w:t>
      </w:r>
      <w:r>
        <w:t xml:space="preserve"> </w:t>
      </w:r>
      <w:r w:rsidR="00161700">
        <w:t xml:space="preserve">to lease the most common equipment </w:t>
      </w:r>
      <w:r w:rsidR="00D37C8F">
        <w:t>was</w:t>
      </w:r>
      <w:r w:rsidR="0046070A">
        <w:t xml:space="preserve"> $9.06, a 5.1 percent</w:t>
      </w:r>
      <w:r w:rsidR="00D37C8F">
        <w:t xml:space="preserve"> annual rate of increase</w:t>
      </w:r>
      <w:r w:rsidR="0046070A">
        <w:t>.</w:t>
      </w:r>
      <w:r w:rsidR="00A0115C">
        <w:t xml:space="preserve">  </w:t>
      </w:r>
      <w:r w:rsidR="003D1F8E">
        <w:t xml:space="preserve">These </w:t>
      </w:r>
      <w:r w:rsidR="00A45137">
        <w:t>equipment lease</w:t>
      </w:r>
      <w:r w:rsidR="003D1F8E">
        <w:t xml:space="preserve"> charges</w:t>
      </w:r>
      <w:r w:rsidR="00A0115C">
        <w:t xml:space="preserve"> represent</w:t>
      </w:r>
      <w:r w:rsidRPr="00C34FBF" w:rsidR="00A0115C">
        <w:t xml:space="preserve"> </w:t>
      </w:r>
      <w:r w:rsidR="00A0115C">
        <w:t xml:space="preserve">the unbundled (separate from the price of programming) </w:t>
      </w:r>
      <w:r w:rsidR="003D1F8E">
        <w:t>amount</w:t>
      </w:r>
      <w:r w:rsidR="00A0115C">
        <w:t xml:space="preserve"> to lease </w:t>
      </w:r>
      <w:r w:rsidR="00D37C8F">
        <w:t>a single</w:t>
      </w:r>
      <w:r w:rsidRPr="00C34FBF" w:rsidR="00A0115C">
        <w:t xml:space="preserve"> </w:t>
      </w:r>
      <w:r w:rsidR="00A0115C">
        <w:t>piece of</w:t>
      </w:r>
      <w:r w:rsidRPr="00C34FBF" w:rsidR="00A0115C">
        <w:t xml:space="preserve"> equipment</w:t>
      </w:r>
      <w:r w:rsidR="00A0115C">
        <w:t>,</w:t>
      </w:r>
      <w:r>
        <w:rPr>
          <w:rStyle w:val="FootnoteReference"/>
        </w:rPr>
        <w:footnoteReference w:id="41"/>
      </w:r>
      <w:r w:rsidRPr="00C34FBF" w:rsidR="00A0115C">
        <w:t xml:space="preserve"> not the charge </w:t>
      </w:r>
      <w:r w:rsidR="00A0115C">
        <w:t>per household</w:t>
      </w:r>
      <w:r w:rsidR="003D1F8E">
        <w:t xml:space="preserve"> for</w:t>
      </w:r>
      <w:r w:rsidR="00E5009A">
        <w:t xml:space="preserve"> the lease of</w:t>
      </w:r>
      <w:r w:rsidR="003D1F8E">
        <w:t xml:space="preserve"> all equipment</w:t>
      </w:r>
      <w:r w:rsidR="00A45137">
        <w:t xml:space="preserve"> </w:t>
      </w:r>
      <w:r w:rsidR="00E5009A">
        <w:t>used by the household</w:t>
      </w:r>
      <w:r w:rsidR="00DE16EC">
        <w:t xml:space="preserve">, </w:t>
      </w:r>
      <w:r w:rsidR="00D37C8F">
        <w:t xml:space="preserve">the latter </w:t>
      </w:r>
      <w:r w:rsidR="006C3631">
        <w:t xml:space="preserve">of </w:t>
      </w:r>
      <w:r w:rsidR="00DE16EC">
        <w:t>which depends on</w:t>
      </w:r>
      <w:r w:rsidRPr="00C34FBF" w:rsidR="00A0115C">
        <w:t xml:space="preserve"> the number and</w:t>
      </w:r>
      <w:r w:rsidR="00D37C8F">
        <w:t xml:space="preserve"> </w:t>
      </w:r>
      <w:r w:rsidR="00A0115C">
        <w:t>quali</w:t>
      </w:r>
      <w:r w:rsidR="00D37C8F">
        <w:t xml:space="preserve">ties </w:t>
      </w:r>
      <w:r w:rsidR="00A0115C">
        <w:t xml:space="preserve">of </w:t>
      </w:r>
      <w:r w:rsidRPr="00C34FBF" w:rsidR="00A0115C">
        <w:t xml:space="preserve">equipment </w:t>
      </w:r>
      <w:r w:rsidR="00D37C8F">
        <w:t>the</w:t>
      </w:r>
      <w:r w:rsidR="003D1F8E">
        <w:t xml:space="preserve"> </w:t>
      </w:r>
      <w:r w:rsidR="00D37C8F">
        <w:t xml:space="preserve">average </w:t>
      </w:r>
      <w:r w:rsidR="003D1F8E">
        <w:t>household</w:t>
      </w:r>
      <w:r w:rsidR="00D37C8F">
        <w:t xml:space="preserve"> leased</w:t>
      </w:r>
      <w:r w:rsidRPr="00C34FBF" w:rsidR="00A0115C">
        <w:t>.</w:t>
      </w:r>
      <w:r w:rsidR="00A0115C">
        <w:t xml:space="preserve">  </w:t>
      </w:r>
    </w:p>
    <w:p w:rsidR="00167D5D" w:rsidRPr="00167D5D" w:rsidP="004E16D7" w14:paraId="13D3BFBA" w14:textId="53D5A597">
      <w:pPr>
        <w:pStyle w:val="Paranum0"/>
        <w:numPr>
          <w:ilvl w:val="0"/>
          <w:numId w:val="12"/>
        </w:numPr>
        <w:tabs>
          <w:tab w:val="clear" w:pos="1080"/>
          <w:tab w:val="num" w:pos="1440"/>
        </w:tabs>
        <w:suppressAutoHyphens/>
        <w:spacing w:after="240"/>
        <w:jc w:val="left"/>
      </w:pPr>
      <w:r>
        <w:t xml:space="preserve">Table 9 shows </w:t>
      </w:r>
      <w:r w:rsidR="00FD1CEF">
        <w:t>the</w:t>
      </w:r>
      <w:r>
        <w:t xml:space="preserve"> </w:t>
      </w:r>
      <w:r w:rsidR="006C3631">
        <w:t xml:space="preserve">percentage of customers </w:t>
      </w:r>
      <w:r w:rsidR="00FD1CEF">
        <w:t xml:space="preserve">that </w:t>
      </w:r>
      <w:r>
        <w:t xml:space="preserve">received </w:t>
      </w:r>
      <w:r w:rsidR="006C3631">
        <w:t xml:space="preserve">particular features when leasing </w:t>
      </w:r>
      <w:r>
        <w:t>the most common</w:t>
      </w:r>
      <w:r w:rsidR="00ED4D3F">
        <w:t xml:space="preserve"> </w:t>
      </w:r>
      <w:r>
        <w:t>equipment</w:t>
      </w:r>
      <w:r w:rsidR="00ED4D3F">
        <w:t>,</w:t>
      </w:r>
      <w:r>
        <w:t xml:space="preserve"> by service level.  </w:t>
      </w:r>
      <w:r w:rsidR="00952FAE">
        <w:t>Eight</w:t>
      </w:r>
      <w:r w:rsidR="00E5009A">
        <w:t xml:space="preserve"> </w:t>
      </w:r>
      <w:r w:rsidR="006C3631">
        <w:t>percent of basic only subscribers</w:t>
      </w:r>
      <w:r w:rsidR="003603EA">
        <w:t xml:space="preserve"> in the full sample</w:t>
      </w:r>
      <w:r w:rsidR="006C3631">
        <w:t xml:space="preserve"> who leased the most common equipment received</w:t>
      </w:r>
      <w:r w:rsidR="00FB4F65">
        <w:t xml:space="preserve"> DVR capability</w:t>
      </w:r>
      <w:r w:rsidR="006C3631">
        <w:t>, compared to</w:t>
      </w:r>
      <w:r w:rsidR="00FB4F65">
        <w:t xml:space="preserve"> 13 percent of </w:t>
      </w:r>
      <w:r w:rsidR="006C3631">
        <w:t xml:space="preserve">expanded basic service </w:t>
      </w:r>
      <w:r w:rsidR="00FB4F65">
        <w:t>subscribers</w:t>
      </w:r>
      <w:r w:rsidR="004A4B39">
        <w:t>,</w:t>
      </w:r>
      <w:r w:rsidR="006C3631">
        <w:t xml:space="preserve"> and </w:t>
      </w:r>
      <w:r w:rsidR="00FB4F65">
        <w:t>16 percent of subscribe</w:t>
      </w:r>
      <w:r w:rsidR="006C3631">
        <w:t>rs</w:t>
      </w:r>
      <w:r w:rsidR="00FB4F65">
        <w:t xml:space="preserve"> t</w:t>
      </w:r>
      <w:r w:rsidR="006C3631">
        <w:t>aking</w:t>
      </w:r>
      <w:r w:rsidR="00FB4F65">
        <w:t xml:space="preserve"> the next most popular service.</w:t>
      </w:r>
      <w:r>
        <w:rPr>
          <w:rStyle w:val="FootnoteReference"/>
        </w:rPr>
        <w:footnoteReference w:id="42"/>
      </w:r>
      <w:r w:rsidR="00FB4F65">
        <w:t xml:space="preserve">  Th</w:t>
      </w:r>
      <w:r w:rsidR="000C1656">
        <w:t>us, a higher level of programming service correlated with a higher percent of subscribers having access to DVR capability.</w:t>
      </w:r>
      <w:r w:rsidR="00BB635E">
        <w:t xml:space="preserve">  The same correlation between service level and </w:t>
      </w:r>
      <w:r w:rsidR="00952FAE">
        <w:t>equipment functionality</w:t>
      </w:r>
      <w:r w:rsidR="00BB635E">
        <w:t xml:space="preserve"> exists for the other features in Table 9: </w:t>
      </w:r>
      <w:r w:rsidR="00E5009A">
        <w:t xml:space="preserve"> </w:t>
      </w:r>
      <w:r w:rsidR="00BB635E">
        <w:t xml:space="preserve">digital </w:t>
      </w:r>
      <w:r w:rsidR="00FB4F65">
        <w:t>high-definition</w:t>
      </w:r>
      <w:r w:rsidR="00BB635E">
        <w:t xml:space="preserve"> (HD)</w:t>
      </w:r>
      <w:r w:rsidR="00FB4F65">
        <w:t xml:space="preserve"> capability, an interactive programming guide (IPG), and </w:t>
      </w:r>
      <w:r w:rsidR="00BB635E">
        <w:t xml:space="preserve">the </w:t>
      </w:r>
      <w:r w:rsidR="00FB4F65">
        <w:t>inclusion of a remote-control unit</w:t>
      </w:r>
      <w:r w:rsidR="00BB635E">
        <w:t xml:space="preserve"> (RCU) when leasing the </w:t>
      </w:r>
      <w:r w:rsidR="003F5EBC">
        <w:t xml:space="preserve">most </w:t>
      </w:r>
      <w:r w:rsidR="00BB635E">
        <w:t>common equipment</w:t>
      </w:r>
      <w:r w:rsidR="00FB4F65">
        <w:t xml:space="preserve">.  </w:t>
      </w:r>
      <w:r w:rsidR="006B01FC">
        <w:t>L</w:t>
      </w:r>
      <w:r w:rsidR="00FB4F65">
        <w:t>ooking at Tables 8 and 9</w:t>
      </w:r>
      <w:r w:rsidR="006B01FC">
        <w:t>,</w:t>
      </w:r>
      <w:r w:rsidR="00FB4F65">
        <w:t xml:space="preserve"> </w:t>
      </w:r>
      <w:r w:rsidR="00877C6E">
        <w:t>at each higher</w:t>
      </w:r>
      <w:r w:rsidR="00FB4F65">
        <w:t xml:space="preserve"> level of service, </w:t>
      </w:r>
      <w:r w:rsidR="006B01FC">
        <w:t>both the</w:t>
      </w:r>
      <w:r w:rsidR="00FB4F65">
        <w:t xml:space="preserve"> equipment lease </w:t>
      </w:r>
      <w:r w:rsidR="006B01FC">
        <w:t xml:space="preserve">charge </w:t>
      </w:r>
      <w:r w:rsidR="00FB4F65">
        <w:t xml:space="preserve">and </w:t>
      </w:r>
      <w:r w:rsidR="006B01FC">
        <w:t xml:space="preserve">number of </w:t>
      </w:r>
      <w:r w:rsidR="00FB4F65">
        <w:t>features</w:t>
      </w:r>
      <w:r w:rsidR="00877C6E">
        <w:t xml:space="preserve"> increase</w:t>
      </w:r>
      <w:r w:rsidR="006B01FC">
        <w:t>.</w:t>
      </w:r>
      <w:r w:rsidR="00E5009A">
        <w:t xml:space="preserve"> </w:t>
      </w:r>
      <w:r w:rsidR="006B01FC">
        <w:t xml:space="preserve"> </w:t>
      </w:r>
      <w:r w:rsidR="00E5009A">
        <w:t xml:space="preserve">Because </w:t>
      </w:r>
      <w:r w:rsidR="00ED4D3F">
        <w:t xml:space="preserve">features on the </w:t>
      </w:r>
      <w:r w:rsidR="006668CB">
        <w:t>most common</w:t>
      </w:r>
      <w:r w:rsidRPr="00167D5D" w:rsidR="006668CB">
        <w:t xml:space="preserve"> equipment</w:t>
      </w:r>
      <w:r w:rsidR="006668CB">
        <w:t xml:space="preserve"> </w:t>
      </w:r>
      <w:r w:rsidRPr="00167D5D" w:rsidR="006668CB">
        <w:t>may change from year-to-year</w:t>
      </w:r>
      <w:r w:rsidR="006668CB">
        <w:t xml:space="preserve">, annual </w:t>
      </w:r>
      <w:r w:rsidR="00ED4D3F">
        <w:t xml:space="preserve">percentage </w:t>
      </w:r>
      <w:r w:rsidR="006668CB">
        <w:t>change</w:t>
      </w:r>
      <w:r w:rsidR="00233642">
        <w:t>s</w:t>
      </w:r>
      <w:r w:rsidR="006668CB">
        <w:t xml:space="preserve"> in</w:t>
      </w:r>
      <w:r w:rsidR="00233642">
        <w:t xml:space="preserve"> </w:t>
      </w:r>
      <w:r w:rsidR="00DE16EC">
        <w:t>equipment lease charge</w:t>
      </w:r>
      <w:r w:rsidR="00233642">
        <w:t>s</w:t>
      </w:r>
      <w:r w:rsidR="00BB635E">
        <w:t>, reported in Table 8,</w:t>
      </w:r>
      <w:r w:rsidR="00DE16EC">
        <w:t xml:space="preserve"> </w:t>
      </w:r>
      <w:r w:rsidRPr="00167D5D" w:rsidR="006668CB">
        <w:t xml:space="preserve">may </w:t>
      </w:r>
      <w:r w:rsidR="004A4B39">
        <w:t>also</w:t>
      </w:r>
      <w:r w:rsidR="006668CB">
        <w:t xml:space="preserve"> </w:t>
      </w:r>
      <w:r w:rsidR="00BB635E">
        <w:t>reflect changes in features and equipment quality</w:t>
      </w:r>
      <w:r w:rsidR="006668CB">
        <w:t>.</w:t>
      </w:r>
    </w:p>
    <w:tbl>
      <w:tblPr>
        <w:tblW w:w="5000" w:type="pct"/>
        <w:jc w:val="center"/>
        <w:tblInd w:w="0" w:type="dxa"/>
        <w:tblLayout w:type="fixed"/>
        <w:tblCellMar>
          <w:top w:w="0" w:type="dxa"/>
          <w:left w:w="108" w:type="dxa"/>
          <w:bottom w:w="0" w:type="dxa"/>
          <w:right w:w="108" w:type="dxa"/>
        </w:tblCellMar>
        <w:tblLook w:val="0000"/>
      </w:tblPr>
      <w:tblGrid>
        <w:gridCol w:w="1691"/>
        <w:gridCol w:w="899"/>
        <w:gridCol w:w="1260"/>
        <w:gridCol w:w="1260"/>
        <w:gridCol w:w="810"/>
        <w:gridCol w:w="810"/>
        <w:gridCol w:w="812"/>
        <w:gridCol w:w="812"/>
        <w:gridCol w:w="771"/>
        <w:gridCol w:w="205"/>
      </w:tblGrid>
      <w:tr w14:paraId="621C7CA2"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1210"/>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6926" w:rsidRPr="00332882" w:rsidP="004E16D7" w14:paraId="3D6EFA8B" w14:textId="77777777">
            <w:pPr>
              <w:keepNext/>
              <w:widowControl/>
              <w:suppressAutoHyphens/>
              <w:jc w:val="center"/>
              <w:rPr>
                <w:rStyle w:val="DefaultParagraphFont"/>
                <w:b/>
                <w:bCs/>
                <w:snapToGrid/>
                <w:kern w:val="0"/>
                <w:sz w:val="22"/>
                <w:szCs w:val="22"/>
                <w:lang w:val="en-US" w:eastAsia="en-US" w:bidi="ar-SA"/>
              </w:rPr>
            </w:pPr>
            <w:r w:rsidRPr="00A66926">
              <w:rPr>
                <w:snapToGrid w:val="0"/>
                <w:kern w:val="28"/>
                <w:sz w:val="22"/>
                <w:lang w:val="en-US" w:eastAsia="en-US" w:bidi="ar-SA"/>
              </w:rPr>
              <w:br w:type="page"/>
            </w:r>
            <w:r w:rsidRPr="00A66926">
              <w:rPr>
                <w:snapToGrid w:val="0"/>
                <w:kern w:val="28"/>
                <w:sz w:val="22"/>
                <w:lang w:val="en-US" w:eastAsia="en-US" w:bidi="ar-SA"/>
              </w:rPr>
              <w:br w:type="page"/>
            </w:r>
            <w:r w:rsidRPr="00A66926">
              <w:rPr>
                <w:snapToGrid w:val="0"/>
                <w:kern w:val="28"/>
                <w:sz w:val="22"/>
                <w:lang w:val="en-US" w:eastAsia="en-US" w:bidi="ar-SA"/>
              </w:rPr>
              <w:br w:type="page"/>
            </w:r>
            <w:r w:rsidRPr="00332882">
              <w:rPr>
                <w:b/>
                <w:bCs/>
                <w:snapToGrid/>
                <w:kern w:val="0"/>
                <w:sz w:val="22"/>
                <w:szCs w:val="22"/>
                <w:lang w:val="en-US" w:eastAsia="en-US" w:bidi="ar-SA"/>
              </w:rPr>
              <w:t>Table 8</w:t>
            </w:r>
          </w:p>
          <w:p w:rsidR="00233642" w:rsidRPr="00332882" w:rsidP="004E16D7" w14:paraId="6AC9828A" w14:textId="094960A5">
            <w:pPr>
              <w:keepNext/>
              <w:widowControl/>
              <w:suppressAutoHyphens/>
              <w:jc w:val="center"/>
              <w:rPr>
                <w:rStyle w:val="DefaultParagraphFont"/>
                <w:b/>
                <w:bCs/>
                <w:snapToGrid/>
                <w:kern w:val="0"/>
                <w:sz w:val="22"/>
                <w:szCs w:val="22"/>
                <w:lang w:val="en-US" w:eastAsia="en-US" w:bidi="ar-SA"/>
              </w:rPr>
            </w:pPr>
            <w:r w:rsidRPr="00332882">
              <w:rPr>
                <w:b/>
                <w:bCs/>
                <w:snapToGrid/>
                <w:kern w:val="0"/>
                <w:sz w:val="22"/>
                <w:szCs w:val="22"/>
                <w:lang w:val="en-US" w:eastAsia="en-US" w:bidi="ar-SA"/>
              </w:rPr>
              <w:t>Average Equipment Lease Charge</w:t>
            </w:r>
          </w:p>
          <w:p w:rsidR="00A66926" w:rsidRPr="00332882" w:rsidP="004E16D7" w14:paraId="250F69BD" w14:textId="71F97AAE">
            <w:pPr>
              <w:keepNext/>
              <w:widowControl/>
              <w:suppressAutoHyphens/>
              <w:jc w:val="center"/>
              <w:rPr>
                <w:rStyle w:val="DefaultParagraphFont"/>
                <w:bCs/>
                <w:snapToGrid/>
                <w:kern w:val="0"/>
                <w:sz w:val="22"/>
                <w:szCs w:val="22"/>
                <w:lang w:val="en-US" w:eastAsia="en-US" w:bidi="ar-SA"/>
              </w:rPr>
            </w:pPr>
            <w:r w:rsidRPr="00332882">
              <w:rPr>
                <w:bCs/>
                <w:snapToGrid/>
                <w:kern w:val="0"/>
                <w:sz w:val="22"/>
                <w:szCs w:val="22"/>
                <w:lang w:val="en-US" w:eastAsia="en-US" w:bidi="ar-SA"/>
              </w:rPr>
              <w:t>Most Common</w:t>
            </w:r>
            <w:r w:rsidRPr="00332882" w:rsidR="00233642">
              <w:rPr>
                <w:bCs/>
                <w:snapToGrid/>
                <w:kern w:val="0"/>
                <w:sz w:val="22"/>
                <w:szCs w:val="22"/>
                <w:lang w:val="en-US" w:eastAsia="en-US" w:bidi="ar-SA"/>
              </w:rPr>
              <w:t>ly Leased</w:t>
            </w:r>
            <w:r w:rsidRPr="00332882">
              <w:rPr>
                <w:bCs/>
                <w:snapToGrid/>
                <w:kern w:val="0"/>
                <w:sz w:val="22"/>
                <w:szCs w:val="22"/>
                <w:lang w:val="en-US" w:eastAsia="en-US" w:bidi="ar-SA"/>
              </w:rPr>
              <w:t xml:space="preserve"> Equipment</w:t>
            </w:r>
          </w:p>
          <w:p w:rsidR="00A66926" w:rsidRPr="00A66926" w:rsidP="004E16D7" w14:paraId="5B583600" w14:textId="77777777">
            <w:pPr>
              <w:keepNext/>
              <w:widowControl/>
              <w:suppressAutoHyphens/>
              <w:jc w:val="center"/>
              <w:rPr>
                <w:rStyle w:val="DefaultParagraphFont"/>
                <w:snapToGrid w:val="0"/>
                <w:kern w:val="28"/>
                <w:sz w:val="22"/>
                <w:lang w:val="en-US" w:eastAsia="en-US" w:bidi="ar-SA"/>
              </w:rPr>
            </w:pPr>
            <w:r w:rsidRPr="00332882">
              <w:rPr>
                <w:bCs/>
                <w:snapToGrid/>
                <w:kern w:val="0"/>
                <w:sz w:val="22"/>
                <w:szCs w:val="22"/>
                <w:lang w:val="en-US" w:eastAsia="en-US" w:bidi="ar-SA"/>
              </w:rPr>
              <w:t xml:space="preserve">January 1, </w:t>
            </w:r>
            <w:r w:rsidRPr="00332882" w:rsidR="008634B3">
              <w:rPr>
                <w:bCs/>
                <w:snapToGrid/>
                <w:kern w:val="0"/>
                <w:sz w:val="22"/>
                <w:szCs w:val="22"/>
                <w:lang w:val="en-US" w:eastAsia="en-US" w:bidi="ar-SA"/>
              </w:rPr>
              <w:t>2016</w:t>
            </w:r>
          </w:p>
        </w:tc>
      </w:tr>
      <w:tr w14:paraId="544D6D7D" w14:textId="77777777" w:rsidTr="00316C18">
        <w:tblPrEx>
          <w:tblW w:w="5000" w:type="pct"/>
          <w:jc w:val="left"/>
          <w:tblInd w:w="0" w:type="dxa"/>
          <w:tblLayout w:type="fixed"/>
          <w:tblCellMar>
            <w:top w:w="0" w:type="dxa"/>
            <w:left w:w="108" w:type="dxa"/>
            <w:bottom w:w="0" w:type="dxa"/>
            <w:right w:w="108" w:type="dxa"/>
          </w:tblCellMar>
          <w:tblLook w:val="04A0"/>
        </w:tblPrEx>
        <w:trPr>
          <w:trHeight w:hRule="exact" w:val="346"/>
          <w:jc w:val="left"/>
        </w:trPr>
        <w:tc>
          <w:tcPr>
            <w:tcW w:w="907"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66926" w:rsidRPr="00BB6145" w:rsidP="004E16D7" w14:paraId="79E63C7F" w14:textId="77777777">
            <w:pPr>
              <w:keepNext/>
              <w:widowControl/>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Cable</w:t>
            </w:r>
          </w:p>
          <w:p w:rsidR="00A66926" w:rsidRPr="00BB6145" w:rsidP="004E16D7" w14:paraId="10ABD8B0" w14:textId="77777777">
            <w:pPr>
              <w:keepNext/>
              <w:widowControl/>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Service</w:t>
            </w:r>
          </w:p>
        </w:tc>
        <w:tc>
          <w:tcPr>
            <w:tcW w:w="482"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A66926" w:rsidRPr="00C34FBF" w:rsidP="004E16D7" w14:paraId="2BA497DA" w14:textId="74A968C2">
            <w:pPr>
              <w:keepNext/>
              <w:widowControl/>
              <w:suppressAutoHyphens/>
              <w:jc w:val="center"/>
              <w:rPr>
                <w:rStyle w:val="DefaultParagraphFont"/>
                <w:b/>
                <w:bCs/>
                <w:snapToGrid/>
                <w:color w:val="000000"/>
                <w:kern w:val="0"/>
                <w:sz w:val="20"/>
                <w:lang w:val="en-US" w:eastAsia="en-US" w:bidi="ar-SA"/>
              </w:rPr>
            </w:pPr>
            <w:r>
              <w:rPr>
                <w:b/>
                <w:bCs/>
                <w:snapToGrid/>
                <w:color w:val="000000"/>
                <w:kern w:val="0"/>
                <w:sz w:val="20"/>
                <w:lang w:val="en-US" w:eastAsia="en-US" w:bidi="ar-SA"/>
              </w:rPr>
              <w:t>Full S</w:t>
            </w:r>
            <w:r w:rsidR="002C6DE4">
              <w:rPr>
                <w:b/>
                <w:bCs/>
                <w:snapToGrid/>
                <w:color w:val="000000"/>
                <w:kern w:val="0"/>
                <w:sz w:val="20"/>
                <w:lang w:val="en-US" w:eastAsia="en-US" w:bidi="ar-SA"/>
              </w:rPr>
              <w:t>ample</w:t>
            </w:r>
          </w:p>
        </w:tc>
        <w:tc>
          <w:tcPr>
            <w:tcW w:w="675"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D1CEF" w:rsidRPr="00BB6145" w:rsidP="004E16D7" w14:paraId="53543B29" w14:textId="77777777">
            <w:pPr>
              <w:keepNext/>
              <w:widowControl/>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Non</w:t>
            </w:r>
            <w:r w:rsidRPr="00BB6145">
              <w:rPr>
                <w:b/>
                <w:bCs/>
                <w:snapToGrid/>
                <w:color w:val="000000"/>
                <w:kern w:val="0"/>
                <w:sz w:val="19"/>
                <w:szCs w:val="19"/>
                <w:lang w:val="en-US" w:eastAsia="en-US" w:bidi="ar-SA"/>
              </w:rPr>
              <w:t>-</w:t>
            </w:r>
          </w:p>
          <w:p w:rsidR="00FD1CEF" w:rsidRPr="00BB6145" w:rsidP="00133293" w14:paraId="64625DB6" w14:textId="2CDB6BB4">
            <w:pPr>
              <w:keepNext/>
              <w:widowControl/>
              <w:suppressAutoHyphens/>
              <w:spacing w:after="120"/>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C</w:t>
            </w:r>
            <w:r w:rsidRPr="00BB6145" w:rsidR="00C34FBF">
              <w:rPr>
                <w:b/>
                <w:bCs/>
                <w:snapToGrid/>
                <w:color w:val="000000"/>
                <w:kern w:val="0"/>
                <w:sz w:val="19"/>
                <w:szCs w:val="19"/>
                <w:lang w:val="en-US" w:eastAsia="en-US" w:bidi="ar-SA"/>
              </w:rPr>
              <w:t>ompetitive</w:t>
            </w:r>
            <w:r w:rsidR="00133293">
              <w:rPr>
                <w:b/>
                <w:bCs/>
                <w:snapToGrid/>
                <w:color w:val="000000"/>
                <w:kern w:val="0"/>
                <w:sz w:val="19"/>
                <w:szCs w:val="19"/>
                <w:lang w:val="en-US" w:eastAsia="en-US" w:bidi="ar-SA"/>
              </w:rPr>
              <w:t xml:space="preserve"> Gro</w:t>
            </w:r>
            <w:r w:rsidRPr="00BB6145">
              <w:rPr>
                <w:b/>
                <w:bCs/>
                <w:snapToGrid/>
                <w:color w:val="000000"/>
                <w:kern w:val="0"/>
                <w:sz w:val="19"/>
                <w:szCs w:val="19"/>
                <w:lang w:val="en-US" w:eastAsia="en-US" w:bidi="ar-SA"/>
              </w:rPr>
              <w:t>up</w:t>
            </w:r>
          </w:p>
        </w:tc>
        <w:tc>
          <w:tcPr>
            <w:tcW w:w="675"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A66926" w:rsidRPr="00BB6145" w:rsidP="004E16D7" w14:paraId="02B9D44F" w14:textId="77777777">
            <w:pPr>
              <w:keepNext/>
              <w:widowControl w:val="0"/>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Effective Competition</w:t>
            </w:r>
          </w:p>
          <w:p w:rsidR="00FD1CEF" w:rsidRPr="00BB6145" w:rsidP="004E16D7" w14:paraId="2CB1EEF4" w14:textId="2E128A6E">
            <w:pPr>
              <w:keepNext/>
              <w:widowControl w:val="0"/>
              <w:suppressAutoHyphens/>
              <w:spacing w:after="120"/>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Group</w:t>
            </w:r>
          </w:p>
        </w:tc>
        <w:tc>
          <w:tcPr>
            <w:tcW w:w="2260" w:type="pct"/>
            <w:gridSpan w:val="6"/>
            <w:tcBorders>
              <w:top w:val="single" w:sz="12" w:space="0" w:color="auto"/>
              <w:left w:val="single" w:sz="8" w:space="0" w:color="auto"/>
              <w:bottom w:val="single" w:sz="8" w:space="0" w:color="auto"/>
              <w:right w:val="single" w:sz="12" w:space="0" w:color="auto"/>
            </w:tcBorders>
            <w:shd w:val="clear" w:color="auto" w:fill="auto"/>
            <w:vAlign w:val="center"/>
          </w:tcPr>
          <w:p w:rsidR="00A66926" w:rsidRPr="00BB6145" w:rsidP="004E16D7" w14:paraId="4128C654" w14:textId="77777777">
            <w:pPr>
              <w:keepNext/>
              <w:widowControl/>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Effective Competition Subgroups</w:t>
            </w:r>
          </w:p>
        </w:tc>
      </w:tr>
      <w:tr w14:paraId="288986E3" w14:textId="77777777" w:rsidTr="00316C18">
        <w:tblPrEx>
          <w:tblW w:w="5000" w:type="pct"/>
          <w:jc w:val="left"/>
          <w:tblInd w:w="0" w:type="dxa"/>
          <w:tblLayout w:type="fixed"/>
          <w:tblCellMar>
            <w:top w:w="0" w:type="dxa"/>
            <w:left w:w="108" w:type="dxa"/>
            <w:bottom w:w="0" w:type="dxa"/>
            <w:right w:w="108" w:type="dxa"/>
          </w:tblCellMar>
          <w:tblLook w:val="04A0"/>
        </w:tblPrEx>
        <w:trPr>
          <w:trHeight w:hRule="exact" w:val="490"/>
          <w:jc w:val="left"/>
        </w:trPr>
        <w:tc>
          <w:tcPr>
            <w:tcW w:w="907" w:type="pct"/>
            <w:vMerge/>
            <w:tcBorders>
              <w:top w:val="single" w:sz="8" w:space="0" w:color="auto"/>
              <w:left w:val="single" w:sz="12" w:space="0" w:color="auto"/>
              <w:bottom w:val="single" w:sz="8" w:space="0" w:color="auto"/>
              <w:right w:val="single" w:sz="8" w:space="0" w:color="auto"/>
            </w:tcBorders>
            <w:vAlign w:val="center"/>
            <w:hideMark/>
          </w:tcPr>
          <w:p w:rsidR="00A66926" w:rsidRPr="002E698C" w:rsidP="004E16D7" w14:paraId="396E409B" w14:textId="616E6963">
            <w:pPr>
              <w:keepNext/>
              <w:widowControl/>
              <w:tabs>
                <w:tab w:val="left" w:pos="1080"/>
                <w:tab w:val="right" w:leader="dot" w:pos="9360"/>
              </w:tabs>
              <w:suppressAutoHyphens/>
              <w:ind w:left="1080" w:right="720" w:hanging="360"/>
              <w:rPr>
                <w:rStyle w:val="DefaultParagraphFont"/>
                <w:b/>
                <w:bCs/>
                <w:snapToGrid/>
                <w:color w:val="000000"/>
                <w:kern w:val="0"/>
                <w:sz w:val="19"/>
                <w:szCs w:val="19"/>
                <w:lang w:val="en-US" w:eastAsia="en-US" w:bidi="ar-SA"/>
              </w:rPr>
            </w:pPr>
          </w:p>
        </w:tc>
        <w:tc>
          <w:tcPr>
            <w:tcW w:w="482" w:type="pct"/>
            <w:vMerge/>
            <w:tcBorders>
              <w:top w:val="single" w:sz="8" w:space="0" w:color="auto"/>
              <w:left w:val="single" w:sz="8" w:space="0" w:color="auto"/>
              <w:bottom w:val="single" w:sz="8" w:space="0" w:color="auto"/>
              <w:right w:val="single" w:sz="8" w:space="0" w:color="auto"/>
            </w:tcBorders>
            <w:vAlign w:val="center"/>
            <w:hideMark/>
          </w:tcPr>
          <w:p w:rsidR="00A66926" w:rsidRPr="00C34FBF" w:rsidP="004E16D7" w14:paraId="55B15F3C" w14:textId="77777777">
            <w:pPr>
              <w:keepNext/>
              <w:widowControl/>
              <w:suppressAutoHyphens/>
              <w:rPr>
                <w:rStyle w:val="DefaultParagraphFont"/>
                <w:b/>
                <w:bCs/>
                <w:snapToGrid/>
                <w:color w:val="000000"/>
                <w:kern w:val="0"/>
                <w:sz w:val="20"/>
                <w:lang w:val="en-US" w:eastAsia="en-US" w:bidi="ar-SA"/>
              </w:rPr>
            </w:pPr>
          </w:p>
        </w:tc>
        <w:tc>
          <w:tcPr>
            <w:tcW w:w="675" w:type="pct"/>
            <w:vMerge/>
            <w:tcBorders>
              <w:top w:val="single" w:sz="8" w:space="0" w:color="auto"/>
              <w:left w:val="single" w:sz="8" w:space="0" w:color="auto"/>
              <w:bottom w:val="single" w:sz="8" w:space="0" w:color="auto"/>
              <w:right w:val="single" w:sz="8" w:space="0" w:color="auto"/>
            </w:tcBorders>
            <w:vAlign w:val="center"/>
            <w:hideMark/>
          </w:tcPr>
          <w:p w:rsidR="00A66926" w:rsidRPr="00C34FBF" w:rsidP="004E16D7" w14:paraId="109F7457" w14:textId="77777777">
            <w:pPr>
              <w:keepNext/>
              <w:widowControl/>
              <w:suppressAutoHyphens/>
              <w:rPr>
                <w:rStyle w:val="DefaultParagraphFont"/>
                <w:b/>
                <w:bCs/>
                <w:snapToGrid/>
                <w:color w:val="000000"/>
                <w:kern w:val="0"/>
                <w:sz w:val="20"/>
                <w:lang w:val="en-US" w:eastAsia="en-US" w:bidi="ar-SA"/>
              </w:rPr>
            </w:pPr>
          </w:p>
        </w:tc>
        <w:tc>
          <w:tcPr>
            <w:tcW w:w="67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C34FBF" w:rsidP="004E16D7" w14:paraId="503EE487" w14:textId="77777777">
            <w:pPr>
              <w:keepNext/>
              <w:widowControl/>
              <w:suppressAutoHyphens/>
              <w:jc w:val="center"/>
              <w:rPr>
                <w:rStyle w:val="DefaultParagraphFont"/>
                <w:b/>
                <w:bCs/>
                <w:snapToGrid/>
                <w:color w:val="000000"/>
                <w:kern w:val="0"/>
                <w:sz w:val="20"/>
                <w:lang w:val="en-US" w:eastAsia="en-US" w:bidi="ar-SA"/>
              </w:rPr>
            </w:pPr>
          </w:p>
        </w:tc>
        <w:tc>
          <w:tcPr>
            <w:tcW w:w="1303"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34FBF" w:rsidRPr="00BB6145" w:rsidP="004E16D7" w14:paraId="17D1EE5B" w14:textId="77777777">
            <w:pPr>
              <w:keepNext/>
              <w:widowControl/>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 xml:space="preserve"> Second Cable</w:t>
            </w:r>
          </w:p>
          <w:p w:rsidR="00A66926" w:rsidRPr="00BB6145" w:rsidP="004E16D7" w14:paraId="6BB1CE55" w14:textId="77777777">
            <w:pPr>
              <w:keepNext/>
              <w:widowControl/>
              <w:suppressAutoHyphens/>
              <w:jc w:val="center"/>
              <w:rPr>
                <w:rStyle w:val="DefaultParagraphFont"/>
                <w:b/>
                <w:bCs/>
                <w:snapToGrid/>
                <w:color w:val="000000"/>
                <w:kern w:val="0"/>
                <w:sz w:val="19"/>
                <w:szCs w:val="19"/>
                <w:lang w:val="en-US" w:eastAsia="en-US" w:bidi="ar-SA"/>
              </w:rPr>
            </w:pPr>
            <w:r w:rsidRPr="00BB6145">
              <w:rPr>
                <w:b/>
                <w:bCs/>
                <w:snapToGrid/>
                <w:color w:val="000000"/>
                <w:kern w:val="0"/>
                <w:sz w:val="19"/>
                <w:szCs w:val="19"/>
                <w:lang w:val="en-US" w:eastAsia="en-US" w:bidi="ar-SA"/>
              </w:rPr>
              <w:t xml:space="preserve"> Operator Overbuild</w:t>
            </w:r>
          </w:p>
        </w:tc>
        <w:tc>
          <w:tcPr>
            <w:tcW w:w="43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BB6145" w:rsidP="004E16D7" w14:paraId="1F457257" w14:textId="77777777">
            <w:pPr>
              <w:keepNext/>
              <w:widowControl/>
              <w:suppressAutoHyphens/>
              <w:jc w:val="center"/>
              <w:rPr>
                <w:rStyle w:val="DefaultParagraphFont"/>
                <w:b/>
                <w:bCs/>
                <w:snapToGrid/>
                <w:color w:val="000000"/>
                <w:kern w:val="0"/>
                <w:sz w:val="19"/>
                <w:szCs w:val="19"/>
                <w:lang w:val="en-US" w:eastAsia="en-US" w:bidi="ar-SA"/>
              </w:rPr>
            </w:pPr>
            <w:r w:rsidRPr="00BB6145">
              <w:rPr>
                <w:b/>
                <w:snapToGrid w:val="0"/>
                <w:color w:val="000000"/>
                <w:kern w:val="0"/>
                <w:sz w:val="19"/>
                <w:szCs w:val="19"/>
                <w:lang w:val="en-US" w:eastAsia="en-US" w:bidi="ar-SA"/>
              </w:rPr>
              <w:t>DBS</w:t>
            </w:r>
          </w:p>
        </w:tc>
        <w:tc>
          <w:tcPr>
            <w:tcW w:w="523" w:type="pct"/>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A66926" w:rsidRPr="00316C18" w:rsidP="004E16D7" w14:paraId="464036F7" w14:textId="21D738EE">
            <w:pPr>
              <w:keepNext/>
              <w:widowControl/>
              <w:suppressAutoHyphens/>
              <w:jc w:val="center"/>
              <w:rPr>
                <w:rStyle w:val="DefaultParagraphFont"/>
                <w:b/>
                <w:bCs/>
                <w:snapToGrid/>
                <w:color w:val="000000"/>
                <w:kern w:val="0"/>
                <w:sz w:val="15"/>
                <w:szCs w:val="15"/>
                <w:lang w:val="en-US" w:eastAsia="en-US" w:bidi="ar-SA"/>
              </w:rPr>
            </w:pPr>
            <w:r w:rsidRPr="00316C18">
              <w:rPr>
                <w:b/>
                <w:bCs/>
                <w:snapToGrid/>
                <w:color w:val="000000"/>
                <w:kern w:val="0"/>
                <w:sz w:val="15"/>
                <w:szCs w:val="15"/>
                <w:lang w:val="en-US" w:eastAsia="en-US" w:bidi="ar-SA"/>
              </w:rPr>
              <w:t xml:space="preserve">Wireless </w:t>
            </w:r>
            <w:r w:rsidRPr="00316C18" w:rsidR="00FD1CEF">
              <w:rPr>
                <w:b/>
                <w:bCs/>
                <w:snapToGrid/>
                <w:color w:val="000000"/>
                <w:kern w:val="0"/>
                <w:sz w:val="15"/>
                <w:szCs w:val="15"/>
                <w:lang w:val="en-US" w:eastAsia="en-US" w:bidi="ar-SA"/>
              </w:rPr>
              <w:t>and</w:t>
            </w:r>
            <w:r w:rsidRPr="00316C18" w:rsidR="00C34FBF">
              <w:rPr>
                <w:b/>
                <w:bCs/>
                <w:snapToGrid/>
                <w:color w:val="000000"/>
                <w:kern w:val="0"/>
                <w:sz w:val="15"/>
                <w:szCs w:val="15"/>
                <w:lang w:val="en-US" w:eastAsia="en-US" w:bidi="ar-SA"/>
              </w:rPr>
              <w:t xml:space="preserve"> Low Penetration Test</w:t>
            </w:r>
          </w:p>
        </w:tc>
      </w:tr>
      <w:tr w14:paraId="479279B0"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518"/>
          <w:jc w:val="center"/>
        </w:trPr>
        <w:tc>
          <w:tcPr>
            <w:tcW w:w="907" w:type="pct"/>
            <w:vMerge/>
            <w:tcBorders>
              <w:top w:val="single" w:sz="8" w:space="0" w:color="auto"/>
              <w:left w:val="single" w:sz="12" w:space="0" w:color="auto"/>
              <w:bottom w:val="single" w:sz="8" w:space="0" w:color="auto"/>
              <w:right w:val="single" w:sz="8" w:space="0" w:color="auto"/>
            </w:tcBorders>
            <w:vAlign w:val="center"/>
            <w:hideMark/>
          </w:tcPr>
          <w:p w:rsidR="00A66926" w:rsidRPr="002E698C" w:rsidP="004E16D7" w14:paraId="3F086E2F" w14:textId="77777777">
            <w:pPr>
              <w:keepNext/>
              <w:widowControl/>
              <w:tabs>
                <w:tab w:val="left" w:pos="1080"/>
                <w:tab w:val="right" w:leader="dot" w:pos="9360"/>
              </w:tabs>
              <w:suppressAutoHyphens/>
              <w:ind w:left="1080" w:right="720" w:hanging="360"/>
              <w:rPr>
                <w:rStyle w:val="DefaultParagraphFont"/>
                <w:b/>
                <w:bCs/>
                <w:snapToGrid/>
                <w:color w:val="000000"/>
                <w:kern w:val="0"/>
                <w:sz w:val="19"/>
                <w:szCs w:val="19"/>
                <w:lang w:val="en-US" w:eastAsia="en-US" w:bidi="ar-SA"/>
              </w:rPr>
            </w:pPr>
          </w:p>
        </w:tc>
        <w:tc>
          <w:tcPr>
            <w:tcW w:w="482" w:type="pct"/>
            <w:vMerge/>
            <w:tcBorders>
              <w:top w:val="single" w:sz="8" w:space="0" w:color="auto"/>
              <w:left w:val="single" w:sz="8" w:space="0" w:color="auto"/>
              <w:bottom w:val="single" w:sz="8" w:space="0" w:color="auto"/>
              <w:right w:val="single" w:sz="8" w:space="0" w:color="auto"/>
            </w:tcBorders>
            <w:vAlign w:val="center"/>
            <w:hideMark/>
          </w:tcPr>
          <w:p w:rsidR="00A66926" w:rsidRPr="00C34FBF" w:rsidP="004E16D7" w14:paraId="4177D1FF" w14:textId="77777777">
            <w:pPr>
              <w:keepNext/>
              <w:widowControl/>
              <w:suppressAutoHyphens/>
              <w:rPr>
                <w:rStyle w:val="DefaultParagraphFont"/>
                <w:b/>
                <w:bCs/>
                <w:snapToGrid/>
                <w:color w:val="000000"/>
                <w:kern w:val="0"/>
                <w:sz w:val="20"/>
                <w:lang w:val="en-US" w:eastAsia="en-US" w:bidi="ar-SA"/>
              </w:rPr>
            </w:pPr>
          </w:p>
        </w:tc>
        <w:tc>
          <w:tcPr>
            <w:tcW w:w="675" w:type="pct"/>
            <w:vMerge/>
            <w:tcBorders>
              <w:top w:val="single" w:sz="8" w:space="0" w:color="auto"/>
              <w:left w:val="single" w:sz="8" w:space="0" w:color="auto"/>
              <w:bottom w:val="single" w:sz="8" w:space="0" w:color="auto"/>
              <w:right w:val="single" w:sz="8" w:space="0" w:color="auto"/>
            </w:tcBorders>
            <w:vAlign w:val="center"/>
            <w:hideMark/>
          </w:tcPr>
          <w:p w:rsidR="00A66926" w:rsidRPr="00C34FBF" w:rsidP="004E16D7" w14:paraId="2CC00412" w14:textId="77777777">
            <w:pPr>
              <w:keepNext/>
              <w:widowControl/>
              <w:suppressAutoHyphens/>
              <w:rPr>
                <w:rStyle w:val="DefaultParagraphFont"/>
                <w:b/>
                <w:bCs/>
                <w:snapToGrid/>
                <w:color w:val="000000"/>
                <w:kern w:val="0"/>
                <w:sz w:val="20"/>
                <w:lang w:val="en-US" w:eastAsia="en-US" w:bidi="ar-SA"/>
              </w:rPr>
            </w:pPr>
          </w:p>
        </w:tc>
        <w:tc>
          <w:tcPr>
            <w:tcW w:w="67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C34FBF" w:rsidP="004E16D7" w14:paraId="5D68F79C" w14:textId="77777777">
            <w:pPr>
              <w:keepNext/>
              <w:widowControl/>
              <w:suppressAutoHyphens/>
              <w:rPr>
                <w:rStyle w:val="DefaultParagraphFont"/>
                <w:b/>
                <w:bCs/>
                <w:snapToGrid/>
                <w:color w:val="000000"/>
                <w:kern w:val="0"/>
                <w:sz w:val="20"/>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BB6145" w:rsidP="004E16D7" w14:paraId="1EF00A0B" w14:textId="77777777">
            <w:pPr>
              <w:keepNext/>
              <w:widowControl/>
              <w:suppressAutoHyphens/>
              <w:jc w:val="center"/>
              <w:rPr>
                <w:rStyle w:val="DefaultParagraphFont"/>
                <w:b/>
                <w:snapToGrid w:val="0"/>
                <w:color w:val="000000"/>
                <w:kern w:val="0"/>
                <w:sz w:val="19"/>
                <w:szCs w:val="19"/>
                <w:lang w:val="en-US" w:eastAsia="en-US" w:bidi="ar-SA"/>
              </w:rPr>
            </w:pPr>
            <w:r w:rsidRPr="00BB6145">
              <w:rPr>
                <w:b/>
                <w:snapToGrid w:val="0"/>
                <w:color w:val="000000"/>
                <w:kern w:val="0"/>
                <w:sz w:val="19"/>
                <w:szCs w:val="19"/>
                <w:lang w:val="en-US" w:eastAsia="en-US" w:bidi="ar-SA"/>
              </w:rPr>
              <w:t>Incumbent</w:t>
            </w:r>
          </w:p>
        </w:tc>
        <w:tc>
          <w:tcPr>
            <w:tcW w:w="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BB6145" w:rsidP="004E16D7" w14:paraId="79BE10D3" w14:textId="77777777">
            <w:pPr>
              <w:keepNext/>
              <w:widowControl/>
              <w:suppressAutoHyphens/>
              <w:jc w:val="center"/>
              <w:rPr>
                <w:rStyle w:val="DefaultParagraphFont"/>
                <w:b/>
                <w:snapToGrid w:val="0"/>
                <w:color w:val="000000"/>
                <w:kern w:val="0"/>
                <w:sz w:val="19"/>
                <w:szCs w:val="19"/>
                <w:lang w:val="en-US" w:eastAsia="en-US" w:bidi="ar-SA"/>
              </w:rPr>
            </w:pPr>
            <w:r w:rsidRPr="00BB6145">
              <w:rPr>
                <w:b/>
                <w:snapToGrid w:val="0"/>
                <w:color w:val="000000"/>
                <w:kern w:val="0"/>
                <w:sz w:val="19"/>
                <w:szCs w:val="19"/>
                <w:lang w:val="en-US" w:eastAsia="en-US" w:bidi="ar-SA"/>
              </w:rPr>
              <w:t>Rival</w:t>
            </w:r>
          </w:p>
        </w:tc>
        <w:tc>
          <w:tcPr>
            <w:tcW w:w="4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BB6145" w:rsidP="004E16D7" w14:paraId="0B985DC6" w14:textId="77777777">
            <w:pPr>
              <w:keepNext/>
              <w:widowControl/>
              <w:suppressAutoHyphens/>
              <w:jc w:val="center"/>
              <w:rPr>
                <w:rStyle w:val="DefaultParagraphFont"/>
                <w:b/>
                <w:snapToGrid w:val="0"/>
                <w:color w:val="000000"/>
                <w:kern w:val="0"/>
                <w:sz w:val="19"/>
                <w:szCs w:val="19"/>
                <w:lang w:val="en-US" w:eastAsia="en-US" w:bidi="ar-SA"/>
              </w:rPr>
            </w:pPr>
            <w:r w:rsidRPr="00BB6145">
              <w:rPr>
                <w:b/>
                <w:snapToGrid w:val="0"/>
                <w:color w:val="000000"/>
                <w:kern w:val="0"/>
                <w:sz w:val="19"/>
                <w:szCs w:val="19"/>
                <w:lang w:val="en-US" w:eastAsia="en-US" w:bidi="ar-SA"/>
              </w:rPr>
              <w:t>Both</w:t>
            </w:r>
          </w:p>
        </w:tc>
        <w:tc>
          <w:tcPr>
            <w:tcW w:w="435" w:type="pct"/>
            <w:vMerge/>
            <w:tcBorders>
              <w:top w:val="single" w:sz="8" w:space="0" w:color="auto"/>
              <w:left w:val="single" w:sz="8" w:space="0" w:color="auto"/>
              <w:bottom w:val="single" w:sz="8" w:space="0" w:color="auto"/>
              <w:right w:val="single" w:sz="8" w:space="0" w:color="auto"/>
            </w:tcBorders>
            <w:vAlign w:val="center"/>
            <w:hideMark/>
          </w:tcPr>
          <w:p w:rsidR="00A66926" w:rsidRPr="00BB6145" w:rsidP="004E16D7" w14:paraId="6F5236CA" w14:textId="77777777">
            <w:pPr>
              <w:keepNext/>
              <w:widowControl/>
              <w:suppressAutoHyphens/>
              <w:rPr>
                <w:rStyle w:val="DefaultParagraphFont"/>
                <w:b/>
                <w:bCs/>
                <w:snapToGrid/>
                <w:color w:val="000000"/>
                <w:kern w:val="0"/>
                <w:sz w:val="19"/>
                <w:szCs w:val="19"/>
                <w:lang w:val="en-US" w:eastAsia="en-US" w:bidi="ar-SA"/>
              </w:rPr>
            </w:pPr>
          </w:p>
        </w:tc>
        <w:tc>
          <w:tcPr>
            <w:tcW w:w="523" w:type="pct"/>
            <w:gridSpan w:val="2"/>
            <w:vMerge/>
            <w:tcBorders>
              <w:top w:val="single" w:sz="8" w:space="0" w:color="auto"/>
              <w:left w:val="single" w:sz="8" w:space="0" w:color="auto"/>
              <w:bottom w:val="single" w:sz="8" w:space="0" w:color="auto"/>
              <w:right w:val="single" w:sz="12" w:space="0" w:color="auto"/>
            </w:tcBorders>
            <w:vAlign w:val="center"/>
            <w:hideMark/>
          </w:tcPr>
          <w:p w:rsidR="00A66926" w:rsidRPr="00C34FBF" w:rsidP="004E16D7" w14:paraId="400CD69F" w14:textId="77777777">
            <w:pPr>
              <w:keepNext/>
              <w:widowControl/>
              <w:suppressAutoHyphens/>
              <w:rPr>
                <w:rStyle w:val="DefaultParagraphFont"/>
                <w:b/>
                <w:bCs/>
                <w:snapToGrid/>
                <w:color w:val="000000"/>
                <w:kern w:val="0"/>
                <w:sz w:val="20"/>
                <w:lang w:val="en-US" w:eastAsia="en-US" w:bidi="ar-SA"/>
              </w:rPr>
            </w:pPr>
          </w:p>
        </w:tc>
      </w:tr>
      <w:tr w14:paraId="3F603B23"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346"/>
          <w:jc w:val="center"/>
        </w:trPr>
        <w:tc>
          <w:tcPr>
            <w:tcW w:w="907" w:type="pct"/>
            <w:tcBorders>
              <w:top w:val="single" w:sz="8" w:space="0" w:color="auto"/>
              <w:left w:val="single" w:sz="12" w:space="0" w:color="auto"/>
              <w:right w:val="single" w:sz="8" w:space="0" w:color="auto"/>
            </w:tcBorders>
            <w:shd w:val="clear" w:color="auto" w:fill="auto"/>
            <w:vAlign w:val="bottom"/>
            <w:hideMark/>
          </w:tcPr>
          <w:p w:rsidR="007E0338" w:rsidRPr="00BB6145" w:rsidP="007E0338" w14:paraId="59532C4D" w14:textId="77777777">
            <w:pPr>
              <w:widowControl w:val="0"/>
              <w:suppressAutoHyphens/>
              <w:rPr>
                <w:rStyle w:val="DefaultParagraphFont"/>
                <w:b/>
                <w:snapToGrid w:val="0"/>
                <w:kern w:val="28"/>
                <w:sz w:val="19"/>
                <w:szCs w:val="19"/>
                <w:lang w:val="en-US" w:eastAsia="en-US" w:bidi="ar-SA"/>
              </w:rPr>
            </w:pPr>
            <w:r w:rsidRPr="00BB6145">
              <w:rPr>
                <w:b/>
                <w:snapToGrid w:val="0"/>
                <w:kern w:val="28"/>
                <w:sz w:val="19"/>
                <w:szCs w:val="19"/>
                <w:lang w:val="en-US" w:eastAsia="en-US" w:bidi="ar-SA"/>
              </w:rPr>
              <w:t>Basic</w:t>
            </w:r>
          </w:p>
        </w:tc>
        <w:tc>
          <w:tcPr>
            <w:tcW w:w="482" w:type="pct"/>
            <w:tcBorders>
              <w:top w:val="single" w:sz="8" w:space="0" w:color="auto"/>
              <w:left w:val="single" w:sz="8" w:space="0" w:color="auto"/>
              <w:right w:val="single" w:sz="8" w:space="0" w:color="auto"/>
            </w:tcBorders>
            <w:shd w:val="clear" w:color="auto" w:fill="auto"/>
            <w:noWrap/>
            <w:vAlign w:val="bottom"/>
          </w:tcPr>
          <w:p w:rsidR="007E0338" w:rsidRPr="005D4D4F" w:rsidP="007E0338" w14:paraId="66D77E3B" w14:textId="772BC1E4">
            <w:pPr>
              <w:widowControl w:val="0"/>
              <w:suppressAutoHyphens/>
              <w:jc w:val="center"/>
              <w:rPr>
                <w:rStyle w:val="DefaultParagraphFont"/>
                <w:b/>
                <w:snapToGrid w:val="0"/>
                <w:kern w:val="28"/>
                <w:sz w:val="20"/>
                <w:lang w:val="en-US" w:eastAsia="en-US" w:bidi="ar-SA"/>
              </w:rPr>
            </w:pPr>
            <w:r w:rsidRPr="005D4D4F">
              <w:rPr>
                <w:b/>
                <w:bCs/>
                <w:snapToGrid w:val="0"/>
                <w:kern w:val="28"/>
                <w:sz w:val="20"/>
                <w:lang w:val="en-US" w:eastAsia="en-US" w:bidi="ar-SA"/>
              </w:rPr>
              <w:t>$8.15</w:t>
            </w:r>
          </w:p>
        </w:tc>
        <w:tc>
          <w:tcPr>
            <w:tcW w:w="675" w:type="pct"/>
            <w:tcBorders>
              <w:top w:val="single" w:sz="8" w:space="0" w:color="auto"/>
              <w:left w:val="single" w:sz="8" w:space="0" w:color="auto"/>
              <w:right w:val="single" w:sz="8" w:space="0" w:color="auto"/>
            </w:tcBorders>
            <w:shd w:val="clear" w:color="auto" w:fill="auto"/>
            <w:noWrap/>
            <w:vAlign w:val="bottom"/>
          </w:tcPr>
          <w:p w:rsidR="007E0338" w:rsidRPr="005D4D4F" w:rsidP="007E0338" w14:paraId="74128BBA" w14:textId="64BA41A9">
            <w:pPr>
              <w:widowControl w:val="0"/>
              <w:suppressAutoHyphens/>
              <w:jc w:val="center"/>
              <w:rPr>
                <w:rStyle w:val="DefaultParagraphFont"/>
                <w:b/>
                <w:snapToGrid w:val="0"/>
                <w:kern w:val="28"/>
                <w:sz w:val="20"/>
                <w:lang w:val="en-US" w:eastAsia="en-US" w:bidi="ar-SA"/>
              </w:rPr>
            </w:pPr>
            <w:r w:rsidRPr="005D4D4F">
              <w:rPr>
                <w:b/>
                <w:bCs/>
                <w:snapToGrid w:val="0"/>
                <w:kern w:val="28"/>
                <w:sz w:val="20"/>
                <w:lang w:val="en-US" w:eastAsia="en-US" w:bidi="ar-SA"/>
              </w:rPr>
              <w:t>$8.12</w:t>
            </w:r>
          </w:p>
        </w:tc>
        <w:tc>
          <w:tcPr>
            <w:tcW w:w="67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068746CD" w14:textId="06A64368">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$8.20</w:t>
            </w:r>
          </w:p>
        </w:tc>
        <w:tc>
          <w:tcPr>
            <w:tcW w:w="434"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0EB3CD10" w14:textId="33749F5C">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$7.80</w:t>
            </w:r>
          </w:p>
        </w:tc>
        <w:tc>
          <w:tcPr>
            <w:tcW w:w="434"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22CEA732" w14:textId="1C125734">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$7.20</w:t>
            </w:r>
          </w:p>
        </w:tc>
        <w:tc>
          <w:tcPr>
            <w:tcW w:w="43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6CF0EE78" w14:textId="06A82403">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$7.70</w:t>
            </w:r>
          </w:p>
        </w:tc>
        <w:tc>
          <w:tcPr>
            <w:tcW w:w="43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71F97278" w14:textId="7B7A2A74">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$8.40</w:t>
            </w:r>
          </w:p>
        </w:tc>
        <w:tc>
          <w:tcPr>
            <w:tcW w:w="523" w:type="pct"/>
            <w:gridSpan w:val="2"/>
            <w:tcBorders>
              <w:top w:val="single" w:sz="8" w:space="0" w:color="auto"/>
              <w:left w:val="single" w:sz="8" w:space="0" w:color="auto"/>
              <w:right w:val="single" w:sz="12" w:space="0" w:color="auto"/>
            </w:tcBorders>
            <w:shd w:val="clear" w:color="auto" w:fill="auto"/>
            <w:noWrap/>
            <w:vAlign w:val="bottom"/>
          </w:tcPr>
          <w:p w:rsidR="007E0338" w:rsidRPr="00DB2B49" w:rsidP="007E0338" w14:paraId="09A94F9F" w14:textId="18BB9A28">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$8.50</w:t>
            </w:r>
          </w:p>
        </w:tc>
      </w:tr>
      <w:tr w14:paraId="2C876F2E"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288"/>
          <w:jc w:val="center"/>
        </w:trPr>
        <w:tc>
          <w:tcPr>
            <w:tcW w:w="907" w:type="pct"/>
            <w:tcBorders>
              <w:left w:val="single" w:sz="12" w:space="0" w:color="auto"/>
              <w:bottom w:val="single" w:sz="8" w:space="0" w:color="auto"/>
              <w:right w:val="single" w:sz="8" w:space="0" w:color="auto"/>
            </w:tcBorders>
            <w:shd w:val="clear" w:color="auto" w:fill="auto"/>
            <w:vAlign w:val="bottom"/>
            <w:hideMark/>
          </w:tcPr>
          <w:p w:rsidR="007E0338" w:rsidRPr="00BB6145" w:rsidP="007E0338" w14:paraId="69C98647" w14:textId="77777777">
            <w:pPr>
              <w:widowControl w:val="0"/>
              <w:suppressAutoHyphens/>
              <w:rPr>
                <w:rStyle w:val="DefaultParagraphFont"/>
                <w:snapToGrid w:val="0"/>
                <w:kern w:val="28"/>
                <w:sz w:val="19"/>
                <w:szCs w:val="19"/>
                <w:lang w:val="en-US" w:eastAsia="en-US" w:bidi="ar-SA"/>
              </w:rPr>
            </w:pPr>
            <w:r w:rsidRPr="00BB6145">
              <w:rPr>
                <w:snapToGrid w:val="0"/>
                <w:kern w:val="28"/>
                <w:sz w:val="19"/>
                <w:szCs w:val="19"/>
                <w:lang w:val="en-US" w:eastAsia="en-US" w:bidi="ar-SA"/>
              </w:rPr>
              <w:t>Annual change</w:t>
            </w:r>
          </w:p>
        </w:tc>
        <w:tc>
          <w:tcPr>
            <w:tcW w:w="482" w:type="pct"/>
            <w:tcBorders>
              <w:top w:val="nil"/>
              <w:left w:val="single" w:sz="8" w:space="0" w:color="auto"/>
              <w:bottom w:val="single" w:sz="8" w:space="0" w:color="auto"/>
              <w:right w:val="single" w:sz="8" w:space="0" w:color="auto"/>
            </w:tcBorders>
            <w:shd w:val="clear" w:color="auto" w:fill="auto"/>
            <w:noWrap/>
            <w:vAlign w:val="bottom"/>
          </w:tcPr>
          <w:p w:rsidR="007E0338" w:rsidRPr="005D4D4F" w:rsidP="007E0338" w14:paraId="73314674" w14:textId="6F67A40E">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1.2%</w:t>
            </w:r>
          </w:p>
        </w:tc>
        <w:tc>
          <w:tcPr>
            <w:tcW w:w="675" w:type="pct"/>
            <w:tcBorders>
              <w:top w:val="nil"/>
              <w:left w:val="single" w:sz="8" w:space="0" w:color="auto"/>
              <w:bottom w:val="single" w:sz="8" w:space="0" w:color="auto"/>
              <w:right w:val="single" w:sz="8" w:space="0" w:color="auto"/>
            </w:tcBorders>
            <w:shd w:val="clear" w:color="auto" w:fill="auto"/>
            <w:noWrap/>
            <w:vAlign w:val="bottom"/>
          </w:tcPr>
          <w:p w:rsidR="007E0338" w:rsidRPr="005D4D4F" w:rsidP="007E0338" w14:paraId="4468C93A" w14:textId="760D9E3A">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2.6%</w:t>
            </w:r>
          </w:p>
        </w:tc>
        <w:tc>
          <w:tcPr>
            <w:tcW w:w="675"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02FC7DEE" w14:textId="7015A74D">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-0.2%</w:t>
            </w:r>
          </w:p>
        </w:tc>
        <w:tc>
          <w:tcPr>
            <w:tcW w:w="434"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2B77CE5B" w14:textId="09C02CB6">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-5.4%</w:t>
            </w:r>
          </w:p>
        </w:tc>
        <w:tc>
          <w:tcPr>
            <w:tcW w:w="434"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2E344A0F" w14:textId="2C7FFFC9">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-2.5%</w:t>
            </w:r>
          </w:p>
        </w:tc>
        <w:tc>
          <w:tcPr>
            <w:tcW w:w="435"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2709F97E" w14:textId="4584884D">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-4.6%</w:t>
            </w:r>
          </w:p>
        </w:tc>
        <w:tc>
          <w:tcPr>
            <w:tcW w:w="435"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44B51AA9" w14:textId="086DDA5A">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1.0%</w:t>
            </w:r>
          </w:p>
        </w:tc>
        <w:tc>
          <w:tcPr>
            <w:tcW w:w="523" w:type="pct"/>
            <w:gridSpan w:val="2"/>
            <w:tcBorders>
              <w:top w:val="nil"/>
              <w:left w:val="single" w:sz="8" w:space="0" w:color="auto"/>
              <w:bottom w:val="single" w:sz="8" w:space="0" w:color="auto"/>
              <w:right w:val="single" w:sz="12" w:space="0" w:color="auto"/>
            </w:tcBorders>
            <w:shd w:val="clear" w:color="auto" w:fill="auto"/>
            <w:noWrap/>
            <w:vAlign w:val="bottom"/>
          </w:tcPr>
          <w:p w:rsidR="007E0338" w:rsidRPr="00DB2B49" w:rsidP="007E0338" w14:paraId="72CC8E99" w14:textId="795E632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7.8%</w:t>
            </w:r>
          </w:p>
        </w:tc>
      </w:tr>
      <w:tr w14:paraId="1B1826FF"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374"/>
          <w:jc w:val="center"/>
        </w:trPr>
        <w:tc>
          <w:tcPr>
            <w:tcW w:w="907" w:type="pct"/>
            <w:tcBorders>
              <w:top w:val="single" w:sz="8" w:space="0" w:color="auto"/>
              <w:left w:val="single" w:sz="12" w:space="0" w:color="auto"/>
              <w:right w:val="single" w:sz="8" w:space="0" w:color="auto"/>
            </w:tcBorders>
            <w:shd w:val="clear" w:color="auto" w:fill="auto"/>
            <w:vAlign w:val="bottom"/>
            <w:hideMark/>
          </w:tcPr>
          <w:p w:rsidR="007E0338" w:rsidRPr="00BB6145" w:rsidP="007E0338" w14:paraId="62C10B41" w14:textId="77777777">
            <w:pPr>
              <w:widowControl w:val="0"/>
              <w:suppressAutoHyphens/>
              <w:rPr>
                <w:rStyle w:val="DefaultParagraphFont"/>
                <w:b/>
                <w:snapToGrid w:val="0"/>
                <w:kern w:val="28"/>
                <w:sz w:val="19"/>
                <w:szCs w:val="19"/>
                <w:lang w:val="en-US" w:eastAsia="en-US" w:bidi="ar-SA"/>
              </w:rPr>
            </w:pPr>
            <w:r w:rsidRPr="00BB6145">
              <w:rPr>
                <w:b/>
                <w:snapToGrid w:val="0"/>
                <w:kern w:val="28"/>
                <w:sz w:val="19"/>
                <w:szCs w:val="19"/>
                <w:lang w:val="en-US" w:eastAsia="en-US" w:bidi="ar-SA"/>
              </w:rPr>
              <w:t>Expanded basic</w:t>
            </w:r>
          </w:p>
        </w:tc>
        <w:tc>
          <w:tcPr>
            <w:tcW w:w="482" w:type="pct"/>
            <w:tcBorders>
              <w:top w:val="single" w:sz="8" w:space="0" w:color="auto"/>
              <w:left w:val="single" w:sz="8" w:space="0" w:color="auto"/>
              <w:right w:val="single" w:sz="8" w:space="0" w:color="auto"/>
            </w:tcBorders>
            <w:shd w:val="clear" w:color="auto" w:fill="auto"/>
            <w:noWrap/>
            <w:vAlign w:val="bottom"/>
          </w:tcPr>
          <w:p w:rsidR="007E0338" w:rsidRPr="005D4D4F" w:rsidP="007E0338" w14:paraId="22D9AAC3" w14:textId="0FCA43C4">
            <w:pPr>
              <w:widowControl w:val="0"/>
              <w:suppressAutoHyphens/>
              <w:jc w:val="center"/>
              <w:rPr>
                <w:rStyle w:val="DefaultParagraphFont"/>
                <w:b/>
                <w:snapToGrid w:val="0"/>
                <w:kern w:val="28"/>
                <w:sz w:val="20"/>
                <w:lang w:val="en-US" w:eastAsia="en-US" w:bidi="ar-SA"/>
              </w:rPr>
            </w:pPr>
            <w:r w:rsidRPr="005D4D4F">
              <w:rPr>
                <w:b/>
                <w:bCs/>
                <w:snapToGrid w:val="0"/>
                <w:kern w:val="28"/>
                <w:sz w:val="20"/>
                <w:lang w:val="en-US" w:eastAsia="en-US" w:bidi="ar-SA"/>
              </w:rPr>
              <w:t>$8.25</w:t>
            </w:r>
          </w:p>
        </w:tc>
        <w:tc>
          <w:tcPr>
            <w:tcW w:w="675" w:type="pct"/>
            <w:tcBorders>
              <w:top w:val="single" w:sz="8" w:space="0" w:color="auto"/>
              <w:left w:val="single" w:sz="8" w:space="0" w:color="auto"/>
              <w:right w:val="single" w:sz="8" w:space="0" w:color="auto"/>
            </w:tcBorders>
            <w:shd w:val="clear" w:color="auto" w:fill="auto"/>
            <w:noWrap/>
            <w:vAlign w:val="bottom"/>
          </w:tcPr>
          <w:p w:rsidR="007E0338" w:rsidRPr="005D4D4F" w:rsidP="007E0338" w14:paraId="1378AEC5" w14:textId="5D96688E">
            <w:pPr>
              <w:widowControl w:val="0"/>
              <w:suppressAutoHyphens/>
              <w:jc w:val="center"/>
              <w:rPr>
                <w:rStyle w:val="DefaultParagraphFont"/>
                <w:b/>
                <w:snapToGrid w:val="0"/>
                <w:kern w:val="28"/>
                <w:sz w:val="20"/>
                <w:lang w:val="en-US" w:eastAsia="en-US" w:bidi="ar-SA"/>
              </w:rPr>
            </w:pPr>
            <w:r w:rsidRPr="005D4D4F">
              <w:rPr>
                <w:b/>
                <w:bCs/>
                <w:snapToGrid w:val="0"/>
                <w:kern w:val="28"/>
                <w:sz w:val="20"/>
                <w:lang w:val="en-US" w:eastAsia="en-US" w:bidi="ar-SA"/>
              </w:rPr>
              <w:t>$8.15</w:t>
            </w:r>
          </w:p>
        </w:tc>
        <w:tc>
          <w:tcPr>
            <w:tcW w:w="67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17D56A53" w14:textId="350E61FA">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$8.30</w:t>
            </w:r>
          </w:p>
        </w:tc>
        <w:tc>
          <w:tcPr>
            <w:tcW w:w="434"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715CB2D0" w14:textId="03D17E14">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$8.10</w:t>
            </w:r>
          </w:p>
        </w:tc>
        <w:tc>
          <w:tcPr>
            <w:tcW w:w="434"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0C44CC67" w14:textId="16DE78F8">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$9.10†</w:t>
            </w:r>
          </w:p>
        </w:tc>
        <w:tc>
          <w:tcPr>
            <w:tcW w:w="43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46624231" w14:textId="6FD3824E">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$8.30</w:t>
            </w:r>
          </w:p>
        </w:tc>
        <w:tc>
          <w:tcPr>
            <w:tcW w:w="43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4292232C" w14:textId="203ADDBA">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$8.40</w:t>
            </w:r>
          </w:p>
        </w:tc>
        <w:tc>
          <w:tcPr>
            <w:tcW w:w="523" w:type="pct"/>
            <w:gridSpan w:val="2"/>
            <w:tcBorders>
              <w:top w:val="single" w:sz="8" w:space="0" w:color="auto"/>
              <w:left w:val="single" w:sz="8" w:space="0" w:color="auto"/>
              <w:right w:val="single" w:sz="12" w:space="0" w:color="auto"/>
            </w:tcBorders>
            <w:shd w:val="clear" w:color="auto" w:fill="auto"/>
            <w:noWrap/>
            <w:vAlign w:val="bottom"/>
          </w:tcPr>
          <w:p w:rsidR="007E0338" w:rsidRPr="00DB2B49" w:rsidP="007E0338" w14:paraId="7B5C32DC" w14:textId="0D58F7EC">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$8.20</w:t>
            </w:r>
          </w:p>
        </w:tc>
      </w:tr>
      <w:tr w14:paraId="35681929"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288"/>
          <w:jc w:val="center"/>
        </w:trPr>
        <w:tc>
          <w:tcPr>
            <w:tcW w:w="907" w:type="pct"/>
            <w:tcBorders>
              <w:left w:val="single" w:sz="12" w:space="0" w:color="auto"/>
              <w:bottom w:val="single" w:sz="8" w:space="0" w:color="auto"/>
              <w:right w:val="single" w:sz="8" w:space="0" w:color="auto"/>
            </w:tcBorders>
            <w:shd w:val="clear" w:color="auto" w:fill="auto"/>
            <w:vAlign w:val="bottom"/>
            <w:hideMark/>
          </w:tcPr>
          <w:p w:rsidR="007E0338" w:rsidRPr="00BB6145" w:rsidP="007E0338" w14:paraId="089CCEE5" w14:textId="77777777">
            <w:pPr>
              <w:widowControl w:val="0"/>
              <w:suppressAutoHyphens/>
              <w:rPr>
                <w:rStyle w:val="DefaultParagraphFont"/>
                <w:snapToGrid w:val="0"/>
                <w:kern w:val="28"/>
                <w:sz w:val="19"/>
                <w:szCs w:val="19"/>
                <w:lang w:val="en-US" w:eastAsia="en-US" w:bidi="ar-SA"/>
              </w:rPr>
            </w:pPr>
            <w:r w:rsidRPr="00BB6145">
              <w:rPr>
                <w:snapToGrid w:val="0"/>
                <w:kern w:val="28"/>
                <w:sz w:val="19"/>
                <w:szCs w:val="19"/>
                <w:lang w:val="en-US" w:eastAsia="en-US" w:bidi="ar-SA"/>
              </w:rPr>
              <w:t>Annual change</w:t>
            </w:r>
          </w:p>
        </w:tc>
        <w:tc>
          <w:tcPr>
            <w:tcW w:w="482" w:type="pct"/>
            <w:tcBorders>
              <w:top w:val="nil"/>
              <w:left w:val="single" w:sz="8" w:space="0" w:color="auto"/>
              <w:bottom w:val="single" w:sz="8" w:space="0" w:color="auto"/>
              <w:right w:val="single" w:sz="8" w:space="0" w:color="auto"/>
            </w:tcBorders>
            <w:shd w:val="clear" w:color="auto" w:fill="auto"/>
            <w:noWrap/>
            <w:vAlign w:val="bottom"/>
          </w:tcPr>
          <w:p w:rsidR="007E0338" w:rsidRPr="005D4D4F" w:rsidP="007E0338" w14:paraId="02B9DAE5" w14:textId="4E3A1792">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1.3%</w:t>
            </w:r>
          </w:p>
        </w:tc>
        <w:tc>
          <w:tcPr>
            <w:tcW w:w="675" w:type="pct"/>
            <w:tcBorders>
              <w:top w:val="nil"/>
              <w:left w:val="single" w:sz="8" w:space="0" w:color="auto"/>
              <w:bottom w:val="single" w:sz="8" w:space="0" w:color="auto"/>
              <w:right w:val="single" w:sz="8" w:space="0" w:color="auto"/>
            </w:tcBorders>
            <w:shd w:val="clear" w:color="auto" w:fill="auto"/>
            <w:noWrap/>
            <w:vAlign w:val="bottom"/>
          </w:tcPr>
          <w:p w:rsidR="007E0338" w:rsidRPr="005D4D4F" w:rsidP="007E0338" w14:paraId="2F0F4368" w14:textId="25A719B4">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2.6%</w:t>
            </w:r>
          </w:p>
        </w:tc>
        <w:tc>
          <w:tcPr>
            <w:tcW w:w="675"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7799B9CF" w14:textId="292BD9EC">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0.3%</w:t>
            </w:r>
          </w:p>
        </w:tc>
        <w:tc>
          <w:tcPr>
            <w:tcW w:w="434"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5F7A208D" w14:textId="12540DA0">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-1.4%</w:t>
            </w:r>
          </w:p>
        </w:tc>
        <w:tc>
          <w:tcPr>
            <w:tcW w:w="434"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6B3F9FDB" w14:textId="3D9B734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-2.9%</w:t>
            </w:r>
          </w:p>
        </w:tc>
        <w:tc>
          <w:tcPr>
            <w:tcW w:w="435"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02E47E36" w14:textId="0FA1BDC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-1.5%</w:t>
            </w:r>
          </w:p>
        </w:tc>
        <w:tc>
          <w:tcPr>
            <w:tcW w:w="435" w:type="pct"/>
            <w:tcBorders>
              <w:top w:val="nil"/>
              <w:left w:val="single" w:sz="8" w:space="0" w:color="auto"/>
              <w:bottom w:val="single" w:sz="8" w:space="0" w:color="auto"/>
              <w:right w:val="single" w:sz="8" w:space="0" w:color="auto"/>
            </w:tcBorders>
            <w:shd w:val="clear" w:color="auto" w:fill="auto"/>
            <w:noWrap/>
            <w:vAlign w:val="bottom"/>
          </w:tcPr>
          <w:p w:rsidR="007E0338" w:rsidRPr="00DB2B49" w:rsidP="007E0338" w14:paraId="12CA9597" w14:textId="4AF9B54F">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0.5%</w:t>
            </w:r>
          </w:p>
        </w:tc>
        <w:tc>
          <w:tcPr>
            <w:tcW w:w="523" w:type="pct"/>
            <w:gridSpan w:val="2"/>
            <w:tcBorders>
              <w:top w:val="nil"/>
              <w:left w:val="single" w:sz="8" w:space="0" w:color="auto"/>
              <w:bottom w:val="single" w:sz="8" w:space="0" w:color="auto"/>
              <w:right w:val="single" w:sz="12" w:space="0" w:color="auto"/>
            </w:tcBorders>
            <w:shd w:val="clear" w:color="auto" w:fill="auto"/>
            <w:noWrap/>
            <w:vAlign w:val="bottom"/>
          </w:tcPr>
          <w:p w:rsidR="007E0338" w:rsidRPr="00DB2B49" w:rsidP="007E0338" w14:paraId="00D98FA3" w14:textId="68AD7EE0">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6.9%</w:t>
            </w:r>
          </w:p>
        </w:tc>
      </w:tr>
      <w:tr w14:paraId="4F55C6DF"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374"/>
          <w:jc w:val="center"/>
        </w:trPr>
        <w:tc>
          <w:tcPr>
            <w:tcW w:w="907" w:type="pct"/>
            <w:tcBorders>
              <w:top w:val="single" w:sz="8" w:space="0" w:color="auto"/>
              <w:left w:val="single" w:sz="12" w:space="0" w:color="auto"/>
              <w:right w:val="single" w:sz="8" w:space="0" w:color="auto"/>
            </w:tcBorders>
            <w:shd w:val="clear" w:color="auto" w:fill="auto"/>
            <w:vAlign w:val="bottom"/>
            <w:hideMark/>
          </w:tcPr>
          <w:p w:rsidR="007E0338" w:rsidRPr="00BB6145" w:rsidP="007E0338" w14:paraId="759A1588" w14:textId="2FBB2EF6">
            <w:pPr>
              <w:widowControl w:val="0"/>
              <w:suppressAutoHyphens/>
              <w:rPr>
                <w:rStyle w:val="DefaultParagraphFont"/>
                <w:b/>
                <w:snapToGrid w:val="0"/>
                <w:kern w:val="28"/>
                <w:sz w:val="18"/>
                <w:szCs w:val="18"/>
                <w:lang w:val="en-US" w:eastAsia="en-US" w:bidi="ar-SA"/>
              </w:rPr>
            </w:pPr>
            <w:r w:rsidRPr="009E2DD3">
              <w:rPr>
                <w:b/>
                <w:snapToGrid w:val="0"/>
                <w:kern w:val="28"/>
                <w:sz w:val="18"/>
                <w:szCs w:val="18"/>
                <w:lang w:val="en-US" w:eastAsia="en-US" w:bidi="ar-SA"/>
              </w:rPr>
              <w:t xml:space="preserve">Next </w:t>
            </w:r>
            <w:r w:rsidRPr="00BB6145">
              <w:rPr>
                <w:b/>
                <w:snapToGrid w:val="0"/>
                <w:kern w:val="28"/>
                <w:sz w:val="18"/>
                <w:szCs w:val="18"/>
                <w:lang w:val="en-US" w:eastAsia="en-US" w:bidi="ar-SA"/>
              </w:rPr>
              <w:t xml:space="preserve">most </w:t>
            </w:r>
            <w:r w:rsidR="00133293">
              <w:rPr>
                <w:b/>
                <w:snapToGrid w:val="0"/>
                <w:kern w:val="28"/>
                <w:sz w:val="18"/>
                <w:szCs w:val="18"/>
                <w:lang w:val="en-US" w:eastAsia="en-US" w:bidi="ar-SA"/>
              </w:rPr>
              <w:t>p</w:t>
            </w:r>
            <w:r w:rsidRPr="00BB6145">
              <w:rPr>
                <w:b/>
                <w:snapToGrid w:val="0"/>
                <w:kern w:val="28"/>
                <w:sz w:val="18"/>
                <w:szCs w:val="18"/>
                <w:lang w:val="en-US" w:eastAsia="en-US" w:bidi="ar-SA"/>
              </w:rPr>
              <w:t>opular</w:t>
            </w:r>
          </w:p>
        </w:tc>
        <w:tc>
          <w:tcPr>
            <w:tcW w:w="482" w:type="pct"/>
            <w:tcBorders>
              <w:top w:val="single" w:sz="8" w:space="0" w:color="auto"/>
              <w:left w:val="single" w:sz="8" w:space="0" w:color="auto"/>
              <w:right w:val="single" w:sz="8" w:space="0" w:color="auto"/>
            </w:tcBorders>
            <w:shd w:val="clear" w:color="auto" w:fill="auto"/>
            <w:noWrap/>
            <w:vAlign w:val="bottom"/>
          </w:tcPr>
          <w:p w:rsidR="007E0338" w:rsidRPr="005D4D4F" w:rsidP="007E0338" w14:paraId="3338ED54" w14:textId="71512B24">
            <w:pPr>
              <w:widowControl w:val="0"/>
              <w:suppressAutoHyphens/>
              <w:jc w:val="center"/>
              <w:rPr>
                <w:rStyle w:val="DefaultParagraphFont"/>
                <w:b/>
                <w:snapToGrid w:val="0"/>
                <w:kern w:val="28"/>
                <w:sz w:val="20"/>
                <w:lang w:val="en-US" w:eastAsia="en-US" w:bidi="ar-SA"/>
              </w:rPr>
            </w:pPr>
            <w:r w:rsidRPr="005D4D4F">
              <w:rPr>
                <w:b/>
                <w:bCs/>
                <w:snapToGrid w:val="0"/>
                <w:kern w:val="28"/>
                <w:sz w:val="20"/>
                <w:lang w:val="en-US" w:eastAsia="en-US" w:bidi="ar-SA"/>
              </w:rPr>
              <w:t>$9.06</w:t>
            </w:r>
          </w:p>
        </w:tc>
        <w:tc>
          <w:tcPr>
            <w:tcW w:w="675" w:type="pct"/>
            <w:tcBorders>
              <w:top w:val="single" w:sz="8" w:space="0" w:color="auto"/>
              <w:left w:val="single" w:sz="8" w:space="0" w:color="auto"/>
              <w:right w:val="single" w:sz="8" w:space="0" w:color="auto"/>
            </w:tcBorders>
            <w:shd w:val="clear" w:color="auto" w:fill="auto"/>
            <w:noWrap/>
            <w:vAlign w:val="bottom"/>
          </w:tcPr>
          <w:p w:rsidR="007E0338" w:rsidRPr="005D4D4F" w:rsidP="007E0338" w14:paraId="29F59126" w14:textId="51F0FDFC">
            <w:pPr>
              <w:widowControl w:val="0"/>
              <w:suppressAutoHyphens/>
              <w:jc w:val="center"/>
              <w:rPr>
                <w:rStyle w:val="DefaultParagraphFont"/>
                <w:b/>
                <w:snapToGrid w:val="0"/>
                <w:kern w:val="28"/>
                <w:sz w:val="20"/>
                <w:lang w:val="en-US" w:eastAsia="en-US" w:bidi="ar-SA"/>
              </w:rPr>
            </w:pPr>
            <w:r w:rsidRPr="005D4D4F">
              <w:rPr>
                <w:b/>
                <w:bCs/>
                <w:snapToGrid w:val="0"/>
                <w:kern w:val="28"/>
                <w:sz w:val="20"/>
                <w:lang w:val="en-US" w:eastAsia="en-US" w:bidi="ar-SA"/>
              </w:rPr>
              <w:t>$8.47</w:t>
            </w:r>
          </w:p>
        </w:tc>
        <w:tc>
          <w:tcPr>
            <w:tcW w:w="67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4CCE2C48" w14:textId="62E935C8">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$9.60†</w:t>
            </w:r>
          </w:p>
        </w:tc>
        <w:tc>
          <w:tcPr>
            <w:tcW w:w="434"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1C8598F4" w14:textId="27C134C4">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$9.30†</w:t>
            </w:r>
          </w:p>
        </w:tc>
        <w:tc>
          <w:tcPr>
            <w:tcW w:w="434"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4C499777" w14:textId="3A120763">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$9.50†</w:t>
            </w:r>
          </w:p>
        </w:tc>
        <w:tc>
          <w:tcPr>
            <w:tcW w:w="43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3E448D5E" w14:textId="60B2460B">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$9.30†</w:t>
            </w:r>
          </w:p>
        </w:tc>
        <w:tc>
          <w:tcPr>
            <w:tcW w:w="435" w:type="pct"/>
            <w:tcBorders>
              <w:top w:val="single" w:sz="8" w:space="0" w:color="auto"/>
              <w:left w:val="single" w:sz="8" w:space="0" w:color="auto"/>
              <w:right w:val="single" w:sz="8" w:space="0" w:color="auto"/>
            </w:tcBorders>
            <w:shd w:val="clear" w:color="auto" w:fill="auto"/>
            <w:noWrap/>
            <w:vAlign w:val="bottom"/>
          </w:tcPr>
          <w:p w:rsidR="007E0338" w:rsidRPr="00DB2B49" w:rsidP="007E0338" w14:paraId="66F02085" w14:textId="3235EF1C">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$9.60†</w:t>
            </w:r>
          </w:p>
        </w:tc>
        <w:tc>
          <w:tcPr>
            <w:tcW w:w="523" w:type="pct"/>
            <w:gridSpan w:val="2"/>
            <w:tcBorders>
              <w:top w:val="single" w:sz="8" w:space="0" w:color="auto"/>
              <w:left w:val="single" w:sz="8" w:space="0" w:color="auto"/>
              <w:right w:val="single" w:sz="12" w:space="0" w:color="auto"/>
            </w:tcBorders>
            <w:shd w:val="clear" w:color="auto" w:fill="auto"/>
            <w:noWrap/>
            <w:vAlign w:val="bottom"/>
          </w:tcPr>
          <w:p w:rsidR="007E0338" w:rsidRPr="00DB2B49" w:rsidP="007E0338" w14:paraId="251C7233" w14:textId="5A22DA37">
            <w:pPr>
              <w:widowControl w:val="0"/>
              <w:suppressAutoHyphens/>
              <w:jc w:val="center"/>
              <w:rPr>
                <w:rStyle w:val="DefaultParagraphFont"/>
                <w:b/>
                <w:snapToGrid w:val="0"/>
                <w:kern w:val="28"/>
                <w:sz w:val="20"/>
                <w:lang w:val="en-US" w:eastAsia="en-US" w:bidi="ar-SA"/>
              </w:rPr>
            </w:pPr>
            <w:r w:rsidRPr="00306FBA">
              <w:rPr>
                <w:b/>
                <w:bCs/>
                <w:snapToGrid w:val="0"/>
                <w:kern w:val="28"/>
                <w:sz w:val="20"/>
                <w:lang w:val="en-US" w:eastAsia="en-US" w:bidi="ar-SA"/>
              </w:rPr>
              <w:t>$10.10†</w:t>
            </w:r>
          </w:p>
        </w:tc>
      </w:tr>
      <w:tr w14:paraId="0CC614CD" w14:textId="77777777" w:rsidTr="00316C18">
        <w:tblPrEx>
          <w:tblW w:w="5000" w:type="pct"/>
          <w:jc w:val="center"/>
          <w:tblInd w:w="0" w:type="dxa"/>
          <w:tblLayout w:type="fixed"/>
          <w:tblCellMar>
            <w:top w:w="0" w:type="dxa"/>
            <w:left w:w="108" w:type="dxa"/>
            <w:bottom w:w="0" w:type="dxa"/>
            <w:right w:w="108" w:type="dxa"/>
          </w:tblCellMar>
          <w:tblLook w:val="0000"/>
        </w:tblPrEx>
        <w:trPr>
          <w:trHeight w:hRule="exact" w:val="288"/>
          <w:jc w:val="center"/>
        </w:trPr>
        <w:tc>
          <w:tcPr>
            <w:tcW w:w="907" w:type="pct"/>
            <w:tcBorders>
              <w:left w:val="single" w:sz="12" w:space="0" w:color="auto"/>
              <w:bottom w:val="single" w:sz="12" w:space="0" w:color="auto"/>
              <w:right w:val="single" w:sz="8" w:space="0" w:color="auto"/>
            </w:tcBorders>
            <w:shd w:val="clear" w:color="auto" w:fill="auto"/>
            <w:vAlign w:val="bottom"/>
            <w:hideMark/>
          </w:tcPr>
          <w:p w:rsidR="007E0338" w:rsidRPr="00316C18" w:rsidP="007E0338" w14:paraId="28BB49A1" w14:textId="77777777">
            <w:pPr>
              <w:widowControl w:val="0"/>
              <w:suppressAutoHyphens/>
              <w:rPr>
                <w:rStyle w:val="DefaultParagraphFont"/>
                <w:snapToGrid w:val="0"/>
                <w:kern w:val="28"/>
                <w:sz w:val="18"/>
                <w:szCs w:val="18"/>
                <w:lang w:val="en-US" w:eastAsia="en-US" w:bidi="ar-SA"/>
              </w:rPr>
            </w:pPr>
            <w:r w:rsidRPr="00316C18">
              <w:rPr>
                <w:snapToGrid w:val="0"/>
                <w:kern w:val="28"/>
                <w:sz w:val="18"/>
                <w:szCs w:val="18"/>
                <w:lang w:val="en-US" w:eastAsia="en-US" w:bidi="ar-SA"/>
              </w:rPr>
              <w:t>Annual change</w:t>
            </w:r>
          </w:p>
        </w:tc>
        <w:tc>
          <w:tcPr>
            <w:tcW w:w="482" w:type="pct"/>
            <w:tcBorders>
              <w:top w:val="nil"/>
              <w:left w:val="single" w:sz="8" w:space="0" w:color="auto"/>
              <w:bottom w:val="single" w:sz="12" w:space="0" w:color="auto"/>
              <w:right w:val="single" w:sz="8" w:space="0" w:color="auto"/>
            </w:tcBorders>
            <w:shd w:val="clear" w:color="auto" w:fill="auto"/>
            <w:noWrap/>
            <w:vAlign w:val="bottom"/>
          </w:tcPr>
          <w:p w:rsidR="007E0338" w:rsidRPr="005D4D4F" w:rsidP="007E0338" w14:paraId="34047F8E" w14:textId="78F7C1EC">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5.1%*</w:t>
            </w:r>
          </w:p>
        </w:tc>
        <w:tc>
          <w:tcPr>
            <w:tcW w:w="675" w:type="pct"/>
            <w:tcBorders>
              <w:top w:val="nil"/>
              <w:left w:val="single" w:sz="8" w:space="0" w:color="auto"/>
              <w:bottom w:val="single" w:sz="12" w:space="0" w:color="auto"/>
              <w:right w:val="single" w:sz="8" w:space="0" w:color="auto"/>
            </w:tcBorders>
            <w:shd w:val="clear" w:color="auto" w:fill="auto"/>
            <w:noWrap/>
            <w:vAlign w:val="bottom"/>
          </w:tcPr>
          <w:p w:rsidR="007E0338" w:rsidRPr="005D4D4F" w:rsidP="007E0338" w14:paraId="2B9E2ACD" w14:textId="53D77BAF">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4.0%</w:t>
            </w:r>
          </w:p>
        </w:tc>
        <w:tc>
          <w:tcPr>
            <w:tcW w:w="675" w:type="pct"/>
            <w:tcBorders>
              <w:top w:val="nil"/>
              <w:left w:val="single" w:sz="8" w:space="0" w:color="auto"/>
              <w:bottom w:val="single" w:sz="12" w:space="0" w:color="auto"/>
              <w:right w:val="single" w:sz="8" w:space="0" w:color="auto"/>
            </w:tcBorders>
            <w:shd w:val="clear" w:color="auto" w:fill="auto"/>
            <w:noWrap/>
            <w:vAlign w:val="bottom"/>
          </w:tcPr>
          <w:p w:rsidR="007E0338" w:rsidRPr="00DB2B49" w:rsidP="007E0338" w14:paraId="6DDCC77F" w14:textId="061A500B">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6.1%*</w:t>
            </w:r>
          </w:p>
        </w:tc>
        <w:tc>
          <w:tcPr>
            <w:tcW w:w="434" w:type="pct"/>
            <w:tcBorders>
              <w:top w:val="nil"/>
              <w:left w:val="single" w:sz="8" w:space="0" w:color="auto"/>
              <w:bottom w:val="single" w:sz="12" w:space="0" w:color="auto"/>
              <w:right w:val="single" w:sz="8" w:space="0" w:color="auto"/>
            </w:tcBorders>
            <w:shd w:val="clear" w:color="auto" w:fill="auto"/>
            <w:noWrap/>
            <w:vAlign w:val="bottom"/>
          </w:tcPr>
          <w:p w:rsidR="007E0338" w:rsidRPr="00DB2B49" w:rsidP="007E0338" w14:paraId="49DE48D9" w14:textId="3A7D643A">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7.0%*</w:t>
            </w:r>
          </w:p>
        </w:tc>
        <w:tc>
          <w:tcPr>
            <w:tcW w:w="434" w:type="pct"/>
            <w:tcBorders>
              <w:top w:val="nil"/>
              <w:left w:val="single" w:sz="8" w:space="0" w:color="auto"/>
              <w:bottom w:val="single" w:sz="12" w:space="0" w:color="auto"/>
              <w:right w:val="single" w:sz="8" w:space="0" w:color="auto"/>
            </w:tcBorders>
            <w:shd w:val="clear" w:color="auto" w:fill="auto"/>
            <w:noWrap/>
            <w:vAlign w:val="bottom"/>
          </w:tcPr>
          <w:p w:rsidR="007E0338" w:rsidRPr="00DB2B49" w:rsidP="007E0338" w14:paraId="6F9D9475" w14:textId="777AE1AE">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-0.4%</w:t>
            </w:r>
          </w:p>
        </w:tc>
        <w:tc>
          <w:tcPr>
            <w:tcW w:w="435" w:type="pct"/>
            <w:tcBorders>
              <w:top w:val="nil"/>
              <w:left w:val="single" w:sz="8" w:space="0" w:color="auto"/>
              <w:bottom w:val="single" w:sz="12" w:space="0" w:color="auto"/>
              <w:right w:val="single" w:sz="8" w:space="0" w:color="auto"/>
            </w:tcBorders>
            <w:shd w:val="clear" w:color="auto" w:fill="auto"/>
            <w:noWrap/>
            <w:vAlign w:val="bottom"/>
          </w:tcPr>
          <w:p w:rsidR="007E0338" w:rsidRPr="00DB2B49" w:rsidP="007E0338" w14:paraId="0B552E5D" w14:textId="4030BD8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5.7%*</w:t>
            </w:r>
          </w:p>
        </w:tc>
        <w:tc>
          <w:tcPr>
            <w:tcW w:w="435" w:type="pct"/>
            <w:tcBorders>
              <w:top w:val="nil"/>
              <w:left w:val="single" w:sz="8" w:space="0" w:color="auto"/>
              <w:bottom w:val="single" w:sz="12" w:space="0" w:color="auto"/>
              <w:right w:val="single" w:sz="8" w:space="0" w:color="auto"/>
            </w:tcBorders>
            <w:shd w:val="clear" w:color="auto" w:fill="auto"/>
            <w:noWrap/>
            <w:vAlign w:val="bottom"/>
          </w:tcPr>
          <w:p w:rsidR="007E0338" w:rsidRPr="00DB2B49" w:rsidP="007E0338" w14:paraId="5DE061F3" w14:textId="28E3E4D9">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6.3%*</w:t>
            </w:r>
          </w:p>
        </w:tc>
        <w:tc>
          <w:tcPr>
            <w:tcW w:w="523" w:type="pct"/>
            <w:gridSpan w:val="2"/>
            <w:tcBorders>
              <w:top w:val="nil"/>
              <w:left w:val="single" w:sz="8" w:space="0" w:color="auto"/>
              <w:bottom w:val="single" w:sz="12" w:space="0" w:color="auto"/>
              <w:right w:val="single" w:sz="12" w:space="0" w:color="auto"/>
            </w:tcBorders>
            <w:shd w:val="clear" w:color="auto" w:fill="auto"/>
            <w:noWrap/>
            <w:vAlign w:val="bottom"/>
          </w:tcPr>
          <w:p w:rsidR="007E0338" w:rsidRPr="00DB2B49" w:rsidP="007E0338" w14:paraId="041AA204" w14:textId="49CF1586">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4.8%</w:t>
            </w:r>
          </w:p>
        </w:tc>
      </w:tr>
      <w:tr w14:paraId="1B28BA34" w14:textId="77777777" w:rsidTr="00316C18">
        <w:tblPrEx>
          <w:tblW w:w="5000" w:type="pct"/>
          <w:jc w:val="center"/>
          <w:tblInd w:w="0" w:type="dxa"/>
          <w:tblLayout w:type="fixed"/>
          <w:tblCellMar>
            <w:top w:w="0" w:type="dxa"/>
            <w:left w:w="108" w:type="dxa"/>
            <w:bottom w:w="0" w:type="dxa"/>
            <w:right w:w="108" w:type="dxa"/>
          </w:tblCellMar>
          <w:tblLook w:val="0000"/>
        </w:tblPrEx>
        <w:trPr>
          <w:gridAfter w:val="1"/>
          <w:wAfter w:w="110" w:type="dxa"/>
          <w:trHeight w:hRule="exact" w:val="792"/>
          <w:jc w:val="center"/>
        </w:trPr>
        <w:tc>
          <w:tcPr>
            <w:tcW w:w="4890" w:type="pct"/>
            <w:gridSpan w:val="9"/>
            <w:tcBorders>
              <w:top w:val="single" w:sz="18" w:space="0" w:color="auto"/>
            </w:tcBorders>
            <w:shd w:val="clear" w:color="auto" w:fill="auto"/>
            <w:vAlign w:val="bottom"/>
            <w:hideMark/>
          </w:tcPr>
          <w:p w:rsidR="00A66926" w:rsidRPr="003C5EF9" w:rsidP="00473C43" w14:paraId="2618A96E" w14:textId="5B416A74">
            <w:pPr>
              <w:keepNext/>
              <w:widowControl/>
              <w:suppressAutoHyphens/>
              <w:rPr>
                <w:rStyle w:val="DefaultParagraphFont"/>
                <w:snapToGrid/>
                <w:color w:val="000000"/>
                <w:kern w:val="0"/>
                <w:sz w:val="20"/>
                <w:lang w:val="en-US" w:eastAsia="en-US" w:bidi="ar-SA"/>
              </w:rPr>
            </w:pPr>
            <w:r w:rsidRPr="00126EC1">
              <w:rPr>
                <w:snapToGrid/>
                <w:color w:val="000000"/>
                <w:kern w:val="0"/>
                <w:sz w:val="20"/>
                <w:lang w:val="en-US" w:eastAsia="en-US" w:bidi="ar-SA"/>
              </w:rPr>
              <w:t>Source</w:t>
            </w:r>
            <w:r>
              <w:rPr>
                <w:snapToGrid/>
                <w:color w:val="000000"/>
                <w:kern w:val="0"/>
                <w:sz w:val="20"/>
                <w:lang w:val="en-US" w:eastAsia="en-US" w:bidi="ar-SA"/>
              </w:rPr>
              <w:t>:</w:t>
            </w:r>
            <w:r w:rsidRPr="00126EC1">
              <w:rPr>
                <w:snapToGrid/>
                <w:color w:val="000000"/>
                <w:kern w:val="0"/>
                <w:sz w:val="20"/>
                <w:lang w:val="en-US" w:eastAsia="en-US" w:bidi="ar-SA"/>
              </w:rPr>
              <w:t xml:space="preserve"> </w:t>
            </w:r>
            <w:r w:rsidR="00921DD1">
              <w:rPr>
                <w:snapToGrid/>
                <w:color w:val="000000"/>
                <w:kern w:val="0"/>
                <w:sz w:val="20"/>
                <w:lang w:val="en-US" w:eastAsia="en-US" w:bidi="ar-SA"/>
              </w:rPr>
              <w:t xml:space="preserve"> </w:t>
            </w:r>
            <w:r w:rsidRPr="00126EC1">
              <w:rPr>
                <w:snapToGrid/>
                <w:color w:val="000000"/>
                <w:kern w:val="0"/>
                <w:sz w:val="20"/>
                <w:lang w:val="en-US" w:eastAsia="en-US" w:bidi="ar-SA"/>
              </w:rPr>
              <w:t>Attachment</w:t>
            </w:r>
            <w:r>
              <w:rPr>
                <w:snapToGrid/>
                <w:color w:val="000000"/>
                <w:kern w:val="0"/>
                <w:sz w:val="20"/>
                <w:lang w:val="en-US" w:eastAsia="en-US" w:bidi="ar-SA"/>
              </w:rPr>
              <w:t xml:space="preserve"> 5</w:t>
            </w:r>
            <w:r w:rsidRPr="00126EC1">
              <w:rPr>
                <w:snapToGrid/>
                <w:color w:val="000000"/>
                <w:kern w:val="0"/>
                <w:sz w:val="20"/>
                <w:lang w:val="en-US" w:eastAsia="en-US" w:bidi="ar-SA"/>
              </w:rPr>
              <w:t>.  *</w:t>
            </w:r>
            <w:r w:rsidR="00473C43">
              <w:rPr>
                <w:snapToGrid/>
                <w:color w:val="000000"/>
                <w:kern w:val="0"/>
                <w:sz w:val="20"/>
                <w:lang w:val="en-US" w:eastAsia="en-US" w:bidi="ar-SA"/>
              </w:rPr>
              <w:t>Indicates a</w:t>
            </w:r>
            <w:r w:rsidR="009C6D7D">
              <w:rPr>
                <w:snapToGrid/>
                <w:color w:val="000000"/>
                <w:kern w:val="0"/>
                <w:sz w:val="20"/>
                <w:lang w:val="en-US" w:eastAsia="en-US" w:bidi="ar-SA"/>
              </w:rPr>
              <w:t>nnual</w:t>
            </w:r>
            <w:r>
              <w:rPr>
                <w:snapToGrid/>
                <w:color w:val="000000"/>
                <w:kern w:val="0"/>
                <w:sz w:val="20"/>
                <w:lang w:val="en-US" w:eastAsia="en-US" w:bidi="ar-SA"/>
              </w:rPr>
              <w:t xml:space="preserve"> change is st</w:t>
            </w:r>
            <w:r w:rsidRPr="00126EC1">
              <w:rPr>
                <w:snapToGrid/>
                <w:color w:val="000000"/>
                <w:kern w:val="0"/>
                <w:sz w:val="20"/>
                <w:lang w:val="en-US" w:eastAsia="en-US" w:bidi="ar-SA"/>
              </w:rPr>
              <w:t xml:space="preserve">atistically significant at the 95% </w:t>
            </w:r>
            <w:r>
              <w:rPr>
                <w:snapToGrid/>
                <w:color w:val="000000"/>
                <w:kern w:val="0"/>
                <w:sz w:val="20"/>
                <w:lang w:val="en-US" w:eastAsia="en-US" w:bidi="ar-SA"/>
              </w:rPr>
              <w:t xml:space="preserve">confidence </w:t>
            </w:r>
            <w:r w:rsidRPr="00126EC1">
              <w:rPr>
                <w:snapToGrid/>
                <w:color w:val="000000"/>
                <w:kern w:val="0"/>
                <w:sz w:val="20"/>
                <w:lang w:val="en-US" w:eastAsia="en-US" w:bidi="ar-SA"/>
              </w:rPr>
              <w:t>level</w:t>
            </w:r>
            <w:r w:rsidR="00E13CA6">
              <w:rPr>
                <w:snapToGrid/>
                <w:color w:val="000000"/>
                <w:kern w:val="0"/>
                <w:sz w:val="20"/>
                <w:lang w:val="en-US" w:eastAsia="en-US" w:bidi="ar-SA"/>
              </w:rPr>
              <w:t>.</w:t>
            </w:r>
            <w:r w:rsidR="007E0338">
              <w:rPr>
                <w:snapToGrid/>
                <w:color w:val="000000"/>
                <w:kern w:val="0"/>
                <w:sz w:val="20"/>
                <w:lang w:val="en-US" w:eastAsia="en-US" w:bidi="ar-SA"/>
              </w:rPr>
              <w:t xml:space="preserve"> </w:t>
            </w:r>
            <w:r w:rsidR="00921DD1">
              <w:rPr>
                <w:snapToGrid/>
                <w:color w:val="000000"/>
                <w:kern w:val="0"/>
                <w:sz w:val="20"/>
                <w:lang w:val="en-US" w:eastAsia="en-US" w:bidi="ar-SA"/>
              </w:rPr>
              <w:t xml:space="preserve"> </w:t>
            </w:r>
            <w:r w:rsidR="00824F05">
              <w:rPr>
                <w:snapToGrid/>
                <w:kern w:val="0"/>
                <w:sz w:val="20"/>
                <w:lang w:val="en-US" w:eastAsia="en-US" w:bidi="ar-SA"/>
              </w:rPr>
              <w:t>†</w:t>
            </w:r>
            <w:r w:rsidR="00473C43">
              <w:rPr>
                <w:snapToGrid/>
                <w:kern w:val="0"/>
                <w:sz w:val="20"/>
                <w:lang w:val="en-US" w:eastAsia="en-US" w:bidi="ar-SA"/>
              </w:rPr>
              <w:t>Indicates</w:t>
            </w:r>
            <w:r w:rsidR="00DA59A6">
              <w:rPr>
                <w:snapToGrid/>
                <w:kern w:val="0"/>
                <w:sz w:val="20"/>
                <w:lang w:val="en-US" w:eastAsia="en-US" w:bidi="ar-SA"/>
              </w:rPr>
              <w:t xml:space="preserve"> a</w:t>
            </w:r>
            <w:r w:rsidR="007E0338">
              <w:rPr>
                <w:snapToGrid/>
                <w:kern w:val="0"/>
                <w:sz w:val="20"/>
                <w:lang w:val="en-US" w:eastAsia="en-US" w:bidi="ar-SA"/>
              </w:rPr>
              <w:t>verage equipment lease charge for the indicated group and the noncompetitive group are statistically different at 95% confidence level.</w:t>
            </w:r>
          </w:p>
        </w:tc>
      </w:tr>
    </w:tbl>
    <w:p w:rsidR="00167D5D" w:rsidP="005776C6" w14:paraId="047C1D2F" w14:textId="2490547C">
      <w:pPr>
        <w:widowControl/>
        <w:suppressAutoHyphens/>
        <w:spacing w:before="120"/>
      </w:pPr>
    </w:p>
    <w:tbl>
      <w:tblPr>
        <w:tblW w:w="5000" w:type="pct"/>
        <w:tblInd w:w="0" w:type="dxa"/>
        <w:tblLayout w:type="fixed"/>
        <w:tblCellMar>
          <w:top w:w="0" w:type="dxa"/>
          <w:left w:w="108" w:type="dxa"/>
          <w:bottom w:w="0" w:type="dxa"/>
          <w:right w:w="108" w:type="dxa"/>
        </w:tblCellMar>
        <w:tblLook w:val="0000"/>
      </w:tblPr>
      <w:tblGrid>
        <w:gridCol w:w="1064"/>
        <w:gridCol w:w="810"/>
        <w:gridCol w:w="90"/>
        <w:gridCol w:w="812"/>
        <w:gridCol w:w="1168"/>
        <w:gridCol w:w="1260"/>
        <w:gridCol w:w="812"/>
        <w:gridCol w:w="810"/>
        <w:gridCol w:w="814"/>
        <w:gridCol w:w="718"/>
        <w:gridCol w:w="972"/>
      </w:tblGrid>
      <w:tr w14:paraId="3E2FDCE6" w14:textId="77777777" w:rsidTr="00BB6145">
        <w:tblPrEx>
          <w:tblW w:w="5000" w:type="pct"/>
          <w:tblInd w:w="0" w:type="dxa"/>
          <w:tblLayout w:type="fixed"/>
          <w:tblCellMar>
            <w:top w:w="0" w:type="dxa"/>
            <w:left w:w="108" w:type="dxa"/>
            <w:bottom w:w="0" w:type="dxa"/>
            <w:right w:w="108" w:type="dxa"/>
          </w:tblCellMar>
          <w:tblLook w:val="0000"/>
        </w:tblPrEx>
        <w:trPr>
          <w:trHeight w:hRule="exact" w:val="121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167D5D" w:rsidRPr="005D4D4F" w:rsidP="004E16D7" w14:paraId="287D87FC" w14:textId="77777777">
            <w:pPr>
              <w:keepNext/>
              <w:widowControl/>
              <w:suppressAutoHyphens/>
              <w:jc w:val="center"/>
              <w:rPr>
                <w:rStyle w:val="DefaultParagraphFont"/>
                <w:b/>
                <w:bCs/>
                <w:snapToGrid/>
                <w:kern w:val="0"/>
                <w:sz w:val="22"/>
                <w:szCs w:val="22"/>
                <w:lang w:val="en-US" w:eastAsia="en-US" w:bidi="ar-SA"/>
              </w:rPr>
            </w:pPr>
            <w:r w:rsidRPr="005D4D4F">
              <w:rPr>
                <w:b/>
                <w:bCs/>
                <w:snapToGrid/>
                <w:kern w:val="0"/>
                <w:sz w:val="22"/>
                <w:szCs w:val="22"/>
                <w:lang w:val="en-US" w:eastAsia="en-US" w:bidi="ar-SA"/>
              </w:rPr>
              <w:t>Table 9</w:t>
            </w:r>
          </w:p>
          <w:p w:rsidR="00167D5D" w:rsidRPr="005D4D4F" w:rsidP="004E16D7" w14:paraId="2C63598A" w14:textId="34D01541">
            <w:pPr>
              <w:keepNext/>
              <w:widowControl/>
              <w:suppressAutoHyphens/>
              <w:jc w:val="center"/>
              <w:rPr>
                <w:rStyle w:val="DefaultParagraphFont"/>
                <w:bCs/>
                <w:snapToGrid/>
                <w:kern w:val="0"/>
                <w:sz w:val="22"/>
                <w:szCs w:val="22"/>
                <w:lang w:val="en-US" w:eastAsia="en-US" w:bidi="ar-SA"/>
              </w:rPr>
            </w:pPr>
            <w:r w:rsidRPr="005D4D4F">
              <w:rPr>
                <w:b/>
                <w:bCs/>
                <w:snapToGrid/>
                <w:kern w:val="0"/>
                <w:sz w:val="22"/>
                <w:szCs w:val="22"/>
                <w:lang w:val="en-US" w:eastAsia="en-US" w:bidi="ar-SA"/>
              </w:rPr>
              <w:t xml:space="preserve"> Equipment</w:t>
            </w:r>
            <w:r w:rsidRPr="005D4D4F" w:rsidR="00233642">
              <w:rPr>
                <w:b/>
                <w:bCs/>
                <w:snapToGrid/>
                <w:kern w:val="0"/>
                <w:sz w:val="22"/>
                <w:szCs w:val="22"/>
                <w:lang w:val="en-US" w:eastAsia="en-US" w:bidi="ar-SA"/>
              </w:rPr>
              <w:t xml:space="preserve"> Features</w:t>
            </w:r>
            <w:r w:rsidRPr="005D4D4F" w:rsidR="00772F9D">
              <w:rPr>
                <w:b/>
                <w:bCs/>
                <w:snapToGrid/>
                <w:kern w:val="0"/>
                <w:sz w:val="22"/>
                <w:szCs w:val="22"/>
                <w:lang w:val="en-US" w:eastAsia="en-US" w:bidi="ar-SA"/>
              </w:rPr>
              <w:t xml:space="preserve"> Offered</w:t>
            </w:r>
          </w:p>
          <w:p w:rsidR="00772F9D" w:rsidRPr="005D4D4F" w:rsidP="004E16D7" w14:paraId="5C740335" w14:textId="24DCD523">
            <w:pPr>
              <w:keepNext/>
              <w:widowControl/>
              <w:suppressAutoHyphens/>
              <w:jc w:val="center"/>
              <w:rPr>
                <w:rStyle w:val="DefaultParagraphFont"/>
                <w:bCs/>
                <w:snapToGrid/>
                <w:kern w:val="0"/>
                <w:sz w:val="22"/>
                <w:szCs w:val="22"/>
                <w:lang w:val="en-US" w:eastAsia="en-US" w:bidi="ar-SA"/>
              </w:rPr>
            </w:pPr>
            <w:r w:rsidRPr="005D4D4F">
              <w:rPr>
                <w:bCs/>
                <w:snapToGrid/>
                <w:kern w:val="0"/>
                <w:sz w:val="22"/>
                <w:szCs w:val="22"/>
                <w:lang w:val="en-US" w:eastAsia="en-US" w:bidi="ar-SA"/>
              </w:rPr>
              <w:t>Most Commonly Leased Equipment</w:t>
            </w:r>
          </w:p>
          <w:p w:rsidR="00167D5D" w:rsidRPr="004D3CE2" w:rsidP="004E16D7" w14:paraId="08F51B95" w14:textId="51C061C7">
            <w:pPr>
              <w:keepNext/>
              <w:widowControl/>
              <w:suppressAutoHyphens/>
              <w:jc w:val="center"/>
              <w:rPr>
                <w:rStyle w:val="DefaultParagraphFont"/>
                <w:b/>
                <w:bCs/>
                <w:snapToGrid/>
                <w:kern w:val="0"/>
                <w:sz w:val="22"/>
                <w:szCs w:val="22"/>
                <w:lang w:val="en-US" w:eastAsia="en-US" w:bidi="ar-SA"/>
              </w:rPr>
            </w:pPr>
            <w:r w:rsidRPr="005D4D4F">
              <w:rPr>
                <w:snapToGrid/>
                <w:kern w:val="0"/>
                <w:sz w:val="22"/>
                <w:szCs w:val="22"/>
                <w:lang w:val="en-US" w:eastAsia="en-US" w:bidi="ar-SA"/>
              </w:rPr>
              <w:t xml:space="preserve">January 1, </w:t>
            </w:r>
            <w:r w:rsidRPr="005D4D4F" w:rsidR="008634B3">
              <w:rPr>
                <w:snapToGrid/>
                <w:kern w:val="0"/>
                <w:sz w:val="22"/>
                <w:szCs w:val="22"/>
                <w:lang w:val="en-US" w:eastAsia="en-US" w:bidi="ar-SA"/>
              </w:rPr>
              <w:t>2016</w:t>
            </w:r>
          </w:p>
        </w:tc>
      </w:tr>
      <w:tr w14:paraId="231EBEB5" w14:textId="77777777" w:rsidTr="002E698C">
        <w:tblPrEx>
          <w:tblW w:w="5000" w:type="pct"/>
          <w:tblInd w:w="0" w:type="dxa"/>
          <w:tblLayout w:type="fixed"/>
          <w:tblCellMar>
            <w:top w:w="0" w:type="dxa"/>
            <w:left w:w="108" w:type="dxa"/>
            <w:bottom w:w="0" w:type="dxa"/>
            <w:right w:w="108" w:type="dxa"/>
          </w:tblCellMar>
          <w:tblLook w:val="0000"/>
        </w:tblPrEx>
        <w:trPr>
          <w:trHeight w:hRule="exact" w:val="480"/>
        </w:trPr>
        <w:tc>
          <w:tcPr>
            <w:tcW w:w="571" w:type="pct"/>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167D5D" w:rsidRPr="00BB6145" w:rsidP="004E16D7" w14:paraId="4D3A3F1E"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 xml:space="preserve">Cable </w:t>
            </w:r>
          </w:p>
          <w:p w:rsidR="00167D5D" w:rsidRPr="00BB6145" w:rsidP="004E16D7" w14:paraId="4E943A63"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Service</w:t>
            </w:r>
          </w:p>
        </w:tc>
        <w:tc>
          <w:tcPr>
            <w:tcW w:w="482" w:type="pct"/>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167D5D" w:rsidRPr="00BB6145" w:rsidP="004E16D7" w14:paraId="2790D5A9"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Feature</w:t>
            </w:r>
          </w:p>
        </w:tc>
        <w:tc>
          <w:tcPr>
            <w:tcW w:w="435" w:type="pct"/>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167D5D" w:rsidRPr="00BB6145" w:rsidP="004E16D7" w14:paraId="7A618B3C" w14:textId="4CEFDB4B">
            <w:pPr>
              <w:keepNext/>
              <w:widowControl/>
              <w:suppressAutoHyphens/>
              <w:jc w:val="center"/>
              <w:rPr>
                <w:rStyle w:val="DefaultParagraphFont"/>
                <w:b/>
                <w:snapToGrid w:val="0"/>
                <w:kern w:val="0"/>
                <w:sz w:val="18"/>
                <w:szCs w:val="18"/>
                <w:lang w:val="en-US" w:eastAsia="en-US" w:bidi="ar-SA"/>
              </w:rPr>
            </w:pPr>
            <w:r w:rsidRPr="00BB6145">
              <w:rPr>
                <w:b/>
                <w:snapToGrid w:val="0"/>
                <w:kern w:val="0"/>
                <w:sz w:val="18"/>
                <w:szCs w:val="18"/>
                <w:lang w:val="en-US" w:eastAsia="en-US" w:bidi="ar-SA"/>
              </w:rPr>
              <w:t>Full Sample</w:t>
            </w:r>
          </w:p>
        </w:tc>
        <w:tc>
          <w:tcPr>
            <w:tcW w:w="626" w:type="pct"/>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3F5EBC" w:rsidRPr="00BB6145" w:rsidP="004E16D7" w14:paraId="014E0582" w14:textId="77777777">
            <w:pPr>
              <w:keepNext/>
              <w:widowControl/>
              <w:suppressAutoHyphens/>
              <w:jc w:val="center"/>
              <w:rPr>
                <w:rStyle w:val="DefaultParagraphFont"/>
                <w:b/>
                <w:snapToGrid w:val="0"/>
                <w:kern w:val="0"/>
                <w:sz w:val="18"/>
                <w:szCs w:val="18"/>
                <w:lang w:val="en-US" w:eastAsia="en-US" w:bidi="ar-SA"/>
              </w:rPr>
            </w:pPr>
            <w:r w:rsidRPr="00BB6145">
              <w:rPr>
                <w:b/>
                <w:snapToGrid w:val="0"/>
                <w:kern w:val="0"/>
                <w:sz w:val="18"/>
                <w:szCs w:val="18"/>
                <w:lang w:val="en-US" w:eastAsia="en-US" w:bidi="ar-SA"/>
              </w:rPr>
              <w:t>Non</w:t>
            </w:r>
            <w:r w:rsidRPr="00BB6145">
              <w:rPr>
                <w:b/>
                <w:snapToGrid w:val="0"/>
                <w:kern w:val="0"/>
                <w:sz w:val="18"/>
                <w:szCs w:val="18"/>
                <w:lang w:val="en-US" w:eastAsia="en-US" w:bidi="ar-SA"/>
              </w:rPr>
              <w:t>-</w:t>
            </w:r>
          </w:p>
          <w:p w:rsidR="00167D5D" w:rsidRPr="00BB6145" w:rsidP="004E16D7" w14:paraId="0B276AA5" w14:textId="0A5486D9">
            <w:pPr>
              <w:keepNext/>
              <w:widowControl/>
              <w:suppressAutoHyphens/>
              <w:jc w:val="center"/>
              <w:rPr>
                <w:rStyle w:val="DefaultParagraphFont"/>
                <w:b/>
                <w:snapToGrid w:val="0"/>
                <w:kern w:val="0"/>
                <w:sz w:val="18"/>
                <w:szCs w:val="18"/>
                <w:lang w:val="en-US" w:eastAsia="en-US" w:bidi="ar-SA"/>
              </w:rPr>
            </w:pPr>
            <w:r w:rsidRPr="00BB6145">
              <w:rPr>
                <w:b/>
                <w:snapToGrid w:val="0"/>
                <w:kern w:val="0"/>
                <w:sz w:val="18"/>
                <w:szCs w:val="18"/>
                <w:lang w:val="en-US" w:eastAsia="en-US" w:bidi="ar-SA"/>
              </w:rPr>
              <w:t>competitive</w:t>
            </w:r>
            <w:r w:rsidRPr="00BB6145" w:rsidR="003F5EBC">
              <w:rPr>
                <w:b/>
                <w:snapToGrid w:val="0"/>
                <w:kern w:val="0"/>
                <w:sz w:val="18"/>
                <w:szCs w:val="18"/>
                <w:lang w:val="en-US" w:eastAsia="en-US" w:bidi="ar-SA"/>
              </w:rPr>
              <w:t xml:space="preserve"> Group</w:t>
            </w:r>
          </w:p>
        </w:tc>
        <w:tc>
          <w:tcPr>
            <w:tcW w:w="675" w:type="pct"/>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3F5EBC" w:rsidRPr="00BB6145" w:rsidP="004E16D7" w14:paraId="5D7F4B43" w14:textId="77777777">
            <w:pPr>
              <w:keepNext/>
              <w:widowControl w:val="0"/>
              <w:suppressAutoHyphens/>
              <w:jc w:val="center"/>
              <w:rPr>
                <w:rStyle w:val="DefaultParagraphFont"/>
                <w:b/>
                <w:snapToGrid w:val="0"/>
                <w:kern w:val="0"/>
                <w:sz w:val="18"/>
                <w:szCs w:val="18"/>
                <w:lang w:val="en-US" w:eastAsia="en-US" w:bidi="ar-SA"/>
              </w:rPr>
            </w:pPr>
            <w:r w:rsidRPr="00BB6145">
              <w:rPr>
                <w:b/>
                <w:snapToGrid w:val="0"/>
                <w:kern w:val="0"/>
                <w:sz w:val="18"/>
                <w:szCs w:val="18"/>
                <w:lang w:val="en-US" w:eastAsia="en-US" w:bidi="ar-SA"/>
              </w:rPr>
              <w:t xml:space="preserve">Effective </w:t>
            </w:r>
          </w:p>
          <w:p w:rsidR="003F5EBC" w:rsidRPr="00BB6145" w:rsidP="004E16D7" w14:paraId="67C5D96B" w14:textId="777720B4">
            <w:pPr>
              <w:keepNext/>
              <w:widowControl w:val="0"/>
              <w:suppressAutoHyphens/>
              <w:jc w:val="center"/>
              <w:rPr>
                <w:rStyle w:val="DefaultParagraphFont"/>
                <w:b/>
                <w:snapToGrid w:val="0"/>
                <w:kern w:val="0"/>
                <w:sz w:val="18"/>
                <w:szCs w:val="18"/>
                <w:lang w:val="en-US" w:eastAsia="en-US" w:bidi="ar-SA"/>
              </w:rPr>
            </w:pPr>
            <w:r w:rsidRPr="00BB6145">
              <w:rPr>
                <w:b/>
                <w:bCs/>
                <w:snapToGrid/>
                <w:kern w:val="0"/>
                <w:sz w:val="18"/>
                <w:szCs w:val="18"/>
                <w:lang w:val="en-US" w:eastAsia="en-US" w:bidi="ar-SA"/>
              </w:rPr>
              <w:t>Compe</w:t>
            </w:r>
            <w:r w:rsidRPr="00BB6145">
              <w:rPr>
                <w:b/>
                <w:snapToGrid w:val="0"/>
                <w:kern w:val="0"/>
                <w:sz w:val="18"/>
                <w:szCs w:val="18"/>
                <w:lang w:val="en-US" w:eastAsia="en-US" w:bidi="ar-SA"/>
              </w:rPr>
              <w:t>tition</w:t>
            </w:r>
          </w:p>
          <w:p w:rsidR="00167D5D" w:rsidRPr="00BB6145" w:rsidP="004E16D7" w14:paraId="0232FA83" w14:textId="33E08EB5">
            <w:pPr>
              <w:keepNext/>
              <w:widowControl w:val="0"/>
              <w:suppressAutoHyphens/>
              <w:spacing w:after="120"/>
              <w:jc w:val="center"/>
              <w:rPr>
                <w:rStyle w:val="DefaultParagraphFont"/>
                <w:b/>
                <w:snapToGrid w:val="0"/>
                <w:kern w:val="0"/>
                <w:sz w:val="18"/>
                <w:szCs w:val="18"/>
                <w:lang w:val="en-US" w:eastAsia="en-US" w:bidi="ar-SA"/>
              </w:rPr>
            </w:pPr>
            <w:r w:rsidRPr="00BB6145">
              <w:rPr>
                <w:b/>
                <w:snapToGrid w:val="0"/>
                <w:kern w:val="0"/>
                <w:sz w:val="18"/>
                <w:szCs w:val="18"/>
                <w:lang w:val="en-US" w:eastAsia="en-US" w:bidi="ar-SA"/>
              </w:rPr>
              <w:t>Group</w:t>
            </w:r>
            <w:r w:rsidRPr="00BB6145">
              <w:rPr>
                <w:b/>
                <w:snapToGrid w:val="0"/>
                <w:kern w:val="0"/>
                <w:sz w:val="18"/>
                <w:szCs w:val="18"/>
                <w:lang w:val="en-US" w:eastAsia="en-US" w:bidi="ar-SA"/>
              </w:rPr>
              <w:t xml:space="preserve"> </w:t>
            </w:r>
          </w:p>
        </w:tc>
        <w:tc>
          <w:tcPr>
            <w:tcW w:w="2211" w:type="pct"/>
            <w:gridSpan w:val="5"/>
            <w:tcBorders>
              <w:top w:val="single" w:sz="12" w:space="0" w:color="auto"/>
              <w:left w:val="single" w:sz="8" w:space="0" w:color="auto"/>
              <w:bottom w:val="single" w:sz="8" w:space="0" w:color="auto"/>
              <w:right w:val="single" w:sz="12" w:space="0" w:color="auto"/>
            </w:tcBorders>
            <w:shd w:val="clear" w:color="auto" w:fill="auto"/>
            <w:vAlign w:val="bottom"/>
          </w:tcPr>
          <w:p w:rsidR="00167D5D" w:rsidRPr="00BB6145" w:rsidP="004E16D7" w14:paraId="78C11A66"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Effective Competition Subgroups</w:t>
            </w:r>
          </w:p>
        </w:tc>
      </w:tr>
      <w:tr w14:paraId="6A320D24" w14:textId="77777777" w:rsidTr="00BB6145">
        <w:tblPrEx>
          <w:tblW w:w="5000" w:type="pct"/>
          <w:tblInd w:w="0" w:type="dxa"/>
          <w:tblLayout w:type="fixed"/>
          <w:tblCellMar>
            <w:top w:w="0" w:type="dxa"/>
            <w:left w:w="108" w:type="dxa"/>
            <w:bottom w:w="0" w:type="dxa"/>
            <w:right w:w="108" w:type="dxa"/>
          </w:tblCellMar>
          <w:tblLook w:val="0000"/>
        </w:tblPrEx>
        <w:trPr>
          <w:trHeight w:hRule="exact" w:val="518"/>
        </w:trPr>
        <w:tc>
          <w:tcPr>
            <w:tcW w:w="571" w:type="pct"/>
            <w:vMerge/>
            <w:tcBorders>
              <w:top w:val="single" w:sz="8" w:space="0" w:color="auto"/>
              <w:left w:val="single" w:sz="12" w:space="0" w:color="auto"/>
              <w:bottom w:val="single" w:sz="8" w:space="0" w:color="auto"/>
              <w:right w:val="single" w:sz="8" w:space="0" w:color="auto"/>
            </w:tcBorders>
            <w:vAlign w:val="bottom"/>
          </w:tcPr>
          <w:p w:rsidR="00167D5D" w:rsidRPr="00BB6145" w:rsidP="004E16D7" w14:paraId="6D86F5B3" w14:textId="29360925">
            <w:pPr>
              <w:keepNext/>
              <w:widowControl/>
              <w:suppressAutoHyphens/>
              <w:rPr>
                <w:rStyle w:val="DefaultParagraphFont"/>
                <w:b/>
                <w:snapToGrid w:val="0"/>
                <w:kern w:val="0"/>
                <w:sz w:val="19"/>
                <w:szCs w:val="19"/>
                <w:lang w:val="en-US" w:eastAsia="en-US" w:bidi="ar-SA"/>
              </w:rPr>
            </w:pPr>
          </w:p>
        </w:tc>
        <w:tc>
          <w:tcPr>
            <w:tcW w:w="482" w:type="pct"/>
            <w:gridSpan w:val="2"/>
            <w:vMerge/>
            <w:tcBorders>
              <w:top w:val="single" w:sz="8" w:space="0" w:color="auto"/>
              <w:left w:val="single" w:sz="8" w:space="0" w:color="auto"/>
              <w:bottom w:val="single" w:sz="8" w:space="0" w:color="auto"/>
              <w:right w:val="single" w:sz="8" w:space="0" w:color="auto"/>
            </w:tcBorders>
            <w:vAlign w:val="bottom"/>
          </w:tcPr>
          <w:p w:rsidR="00167D5D" w:rsidRPr="00BB6145" w:rsidP="004E16D7" w14:paraId="6D8CCCF6" w14:textId="77777777">
            <w:pPr>
              <w:keepNext/>
              <w:widowControl/>
              <w:suppressAutoHyphens/>
              <w:rPr>
                <w:rStyle w:val="DefaultParagraphFont"/>
                <w:b/>
                <w:snapToGrid w:val="0"/>
                <w:kern w:val="0"/>
                <w:sz w:val="19"/>
                <w:szCs w:val="19"/>
                <w:lang w:val="en-US" w:eastAsia="en-US" w:bidi="ar-SA"/>
              </w:rPr>
            </w:pPr>
          </w:p>
        </w:tc>
        <w:tc>
          <w:tcPr>
            <w:tcW w:w="435" w:type="pct"/>
            <w:vMerge/>
            <w:tcBorders>
              <w:top w:val="single" w:sz="8" w:space="0" w:color="auto"/>
              <w:left w:val="single" w:sz="8" w:space="0" w:color="auto"/>
              <w:bottom w:val="single" w:sz="8" w:space="0" w:color="auto"/>
              <w:right w:val="single" w:sz="8" w:space="0" w:color="auto"/>
            </w:tcBorders>
            <w:vAlign w:val="bottom"/>
          </w:tcPr>
          <w:p w:rsidR="00167D5D" w:rsidRPr="00BB6145" w:rsidP="004E16D7" w14:paraId="4D9FD9CD" w14:textId="77777777">
            <w:pPr>
              <w:keepNext/>
              <w:widowControl/>
              <w:suppressAutoHyphens/>
              <w:rPr>
                <w:rStyle w:val="DefaultParagraphFont"/>
                <w:b/>
                <w:snapToGrid w:val="0"/>
                <w:kern w:val="0"/>
                <w:sz w:val="19"/>
                <w:szCs w:val="19"/>
                <w:lang w:val="en-US" w:eastAsia="en-US" w:bidi="ar-SA"/>
              </w:rPr>
            </w:pPr>
          </w:p>
        </w:tc>
        <w:tc>
          <w:tcPr>
            <w:tcW w:w="626" w:type="pct"/>
            <w:vMerge/>
            <w:tcBorders>
              <w:top w:val="single" w:sz="8" w:space="0" w:color="auto"/>
              <w:left w:val="single" w:sz="8" w:space="0" w:color="auto"/>
              <w:bottom w:val="single" w:sz="8" w:space="0" w:color="auto"/>
              <w:right w:val="single" w:sz="8" w:space="0" w:color="auto"/>
            </w:tcBorders>
            <w:vAlign w:val="bottom"/>
          </w:tcPr>
          <w:p w:rsidR="00167D5D" w:rsidRPr="00BB6145" w:rsidP="004E16D7" w14:paraId="08735EA0" w14:textId="77777777">
            <w:pPr>
              <w:keepNext/>
              <w:widowControl/>
              <w:suppressAutoHyphens/>
              <w:rPr>
                <w:rStyle w:val="DefaultParagraphFont"/>
                <w:b/>
                <w:snapToGrid w:val="0"/>
                <w:kern w:val="0"/>
                <w:sz w:val="19"/>
                <w:szCs w:val="19"/>
                <w:lang w:val="en-US" w:eastAsia="en-US" w:bidi="ar-SA"/>
              </w:rPr>
            </w:pPr>
          </w:p>
        </w:tc>
        <w:tc>
          <w:tcPr>
            <w:tcW w:w="675" w:type="pct"/>
            <w:vMerge/>
            <w:tcBorders>
              <w:top w:val="single" w:sz="8" w:space="0" w:color="auto"/>
              <w:left w:val="single" w:sz="8" w:space="0" w:color="auto"/>
              <w:bottom w:val="single" w:sz="8" w:space="0" w:color="auto"/>
              <w:right w:val="single" w:sz="8" w:space="0" w:color="auto"/>
            </w:tcBorders>
            <w:shd w:val="clear" w:color="auto" w:fill="auto"/>
            <w:vAlign w:val="center"/>
          </w:tcPr>
          <w:p w:rsidR="00167D5D" w:rsidRPr="00BB6145" w:rsidP="004E16D7" w14:paraId="4D01C8BC" w14:textId="77777777">
            <w:pPr>
              <w:keepNext/>
              <w:widowControl/>
              <w:suppressAutoHyphens/>
              <w:jc w:val="center"/>
              <w:rPr>
                <w:rStyle w:val="DefaultParagraphFont"/>
                <w:b/>
                <w:snapToGrid w:val="0"/>
                <w:kern w:val="0"/>
                <w:sz w:val="19"/>
                <w:szCs w:val="19"/>
                <w:lang w:val="en-US" w:eastAsia="en-US" w:bidi="ar-SA"/>
              </w:rPr>
            </w:pPr>
          </w:p>
        </w:tc>
        <w:tc>
          <w:tcPr>
            <w:tcW w:w="1305" w:type="pct"/>
            <w:gridSpan w:val="3"/>
            <w:tcBorders>
              <w:top w:val="single" w:sz="8" w:space="0" w:color="auto"/>
              <w:left w:val="single" w:sz="8" w:space="0" w:color="auto"/>
              <w:bottom w:val="single" w:sz="8" w:space="0" w:color="auto"/>
              <w:right w:val="single" w:sz="8" w:space="0" w:color="auto"/>
            </w:tcBorders>
            <w:shd w:val="clear" w:color="auto" w:fill="auto"/>
            <w:vAlign w:val="bottom"/>
          </w:tcPr>
          <w:p w:rsidR="00973EC6" w:rsidRPr="00BB6145" w:rsidP="004E16D7" w14:paraId="587EBF5E"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Second Cable</w:t>
            </w:r>
          </w:p>
          <w:p w:rsidR="00167D5D" w:rsidRPr="00BB6145" w:rsidP="004E16D7" w14:paraId="118068A5"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Operator Overbuild</w:t>
            </w:r>
          </w:p>
        </w:tc>
        <w:tc>
          <w:tcPr>
            <w:tcW w:w="38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BB6145" w:rsidP="004E16D7" w14:paraId="063B4036"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DBS</w:t>
            </w:r>
          </w:p>
        </w:tc>
        <w:tc>
          <w:tcPr>
            <w:tcW w:w="521" w:type="pct"/>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3F5EBC" w:rsidRPr="00BB6145" w:rsidP="004E16D7" w14:paraId="6D9C8D04" w14:textId="77777777">
            <w:pPr>
              <w:keepNext/>
              <w:widowControl/>
              <w:suppressAutoHyphens/>
              <w:jc w:val="center"/>
              <w:rPr>
                <w:rStyle w:val="DefaultParagraphFont"/>
                <w:b/>
                <w:snapToGrid w:val="0"/>
                <w:kern w:val="0"/>
                <w:sz w:val="15"/>
                <w:szCs w:val="15"/>
                <w:lang w:val="en-US" w:eastAsia="en-US" w:bidi="ar-SA"/>
              </w:rPr>
            </w:pPr>
            <w:r w:rsidRPr="00BB6145">
              <w:rPr>
                <w:b/>
                <w:snapToGrid w:val="0"/>
                <w:kern w:val="0"/>
                <w:sz w:val="15"/>
                <w:szCs w:val="15"/>
                <w:lang w:val="en-US" w:eastAsia="en-US" w:bidi="ar-SA"/>
              </w:rPr>
              <w:t>Wireless</w:t>
            </w:r>
            <w:r w:rsidRPr="00BB6145" w:rsidR="00973EC6">
              <w:rPr>
                <w:b/>
                <w:snapToGrid w:val="0"/>
                <w:kern w:val="0"/>
                <w:sz w:val="15"/>
                <w:szCs w:val="15"/>
                <w:lang w:val="en-US" w:eastAsia="en-US" w:bidi="ar-SA"/>
              </w:rPr>
              <w:t xml:space="preserve"> </w:t>
            </w:r>
          </w:p>
          <w:p w:rsidR="003F5EBC" w:rsidRPr="00BB6145" w:rsidP="004E16D7" w14:paraId="32D00D12" w14:textId="3C0FE440">
            <w:pPr>
              <w:keepNext/>
              <w:widowControl/>
              <w:suppressAutoHyphens/>
              <w:jc w:val="center"/>
              <w:rPr>
                <w:rStyle w:val="DefaultParagraphFont"/>
                <w:b/>
                <w:snapToGrid w:val="0"/>
                <w:kern w:val="0"/>
                <w:sz w:val="15"/>
                <w:szCs w:val="15"/>
                <w:lang w:val="en-US" w:eastAsia="en-US" w:bidi="ar-SA"/>
              </w:rPr>
            </w:pPr>
            <w:r w:rsidRPr="00BB6145">
              <w:rPr>
                <w:b/>
                <w:snapToGrid w:val="0"/>
                <w:kern w:val="0"/>
                <w:sz w:val="15"/>
                <w:szCs w:val="15"/>
                <w:lang w:val="en-US" w:eastAsia="en-US" w:bidi="ar-SA"/>
              </w:rPr>
              <w:t>and</w:t>
            </w:r>
            <w:r w:rsidRPr="00BB6145" w:rsidR="00973EC6">
              <w:rPr>
                <w:b/>
                <w:snapToGrid w:val="0"/>
                <w:kern w:val="0"/>
                <w:sz w:val="15"/>
                <w:szCs w:val="15"/>
                <w:lang w:val="en-US" w:eastAsia="en-US" w:bidi="ar-SA"/>
              </w:rPr>
              <w:t xml:space="preserve"> </w:t>
            </w:r>
            <w:r w:rsidRPr="00BB6145" w:rsidR="00167D5D">
              <w:rPr>
                <w:b/>
                <w:snapToGrid w:val="0"/>
                <w:kern w:val="0"/>
                <w:sz w:val="15"/>
                <w:szCs w:val="15"/>
                <w:lang w:val="en-US" w:eastAsia="en-US" w:bidi="ar-SA"/>
              </w:rPr>
              <w:t xml:space="preserve">Low </w:t>
            </w:r>
          </w:p>
          <w:p w:rsidR="00167D5D" w:rsidRPr="00BB6145" w:rsidP="004E16D7" w14:paraId="2A1B08EC" w14:textId="72923232">
            <w:pPr>
              <w:keepNext/>
              <w:widowControl/>
              <w:suppressAutoHyphens/>
              <w:jc w:val="center"/>
              <w:rPr>
                <w:rStyle w:val="DefaultParagraphFont"/>
                <w:b/>
                <w:snapToGrid w:val="0"/>
                <w:kern w:val="0"/>
                <w:sz w:val="19"/>
                <w:szCs w:val="19"/>
                <w:lang w:val="en-US" w:eastAsia="en-US" w:bidi="ar-SA"/>
              </w:rPr>
            </w:pPr>
            <w:r w:rsidRPr="00BB6145">
              <w:rPr>
                <w:b/>
                <w:snapToGrid w:val="0"/>
                <w:kern w:val="0"/>
                <w:sz w:val="15"/>
                <w:szCs w:val="15"/>
                <w:lang w:val="en-US" w:eastAsia="en-US" w:bidi="ar-SA"/>
              </w:rPr>
              <w:t>Pen</w:t>
            </w:r>
            <w:r w:rsidRPr="00BB6145" w:rsidR="004E15E2">
              <w:rPr>
                <w:b/>
                <w:snapToGrid w:val="0"/>
                <w:kern w:val="0"/>
                <w:sz w:val="15"/>
                <w:szCs w:val="15"/>
                <w:lang w:val="en-US" w:eastAsia="en-US" w:bidi="ar-SA"/>
              </w:rPr>
              <w:t>etration</w:t>
            </w:r>
            <w:r w:rsidRPr="00BB6145" w:rsidR="00973EC6">
              <w:rPr>
                <w:b/>
                <w:snapToGrid w:val="0"/>
                <w:kern w:val="0"/>
                <w:sz w:val="15"/>
                <w:szCs w:val="15"/>
                <w:lang w:val="en-US" w:eastAsia="en-US" w:bidi="ar-SA"/>
              </w:rPr>
              <w:t xml:space="preserve"> Test</w:t>
            </w:r>
            <w:r w:rsidRPr="00BB6145">
              <w:rPr>
                <w:b/>
                <w:snapToGrid w:val="0"/>
                <w:kern w:val="0"/>
                <w:sz w:val="19"/>
                <w:szCs w:val="19"/>
                <w:lang w:val="en-US" w:eastAsia="en-US" w:bidi="ar-SA"/>
              </w:rPr>
              <w:t xml:space="preserve"> </w:t>
            </w:r>
          </w:p>
        </w:tc>
      </w:tr>
      <w:tr w14:paraId="3864788D" w14:textId="77777777" w:rsidTr="00BB6145">
        <w:tblPrEx>
          <w:tblW w:w="5000" w:type="pct"/>
          <w:tblInd w:w="0" w:type="dxa"/>
          <w:tblLayout w:type="fixed"/>
          <w:tblCellMar>
            <w:top w:w="0" w:type="dxa"/>
            <w:left w:w="108" w:type="dxa"/>
            <w:bottom w:w="0" w:type="dxa"/>
            <w:right w:w="108" w:type="dxa"/>
          </w:tblCellMar>
          <w:tblLook w:val="0000"/>
        </w:tblPrEx>
        <w:trPr>
          <w:trHeight w:hRule="exact" w:val="518"/>
        </w:trPr>
        <w:tc>
          <w:tcPr>
            <w:tcW w:w="571" w:type="pct"/>
            <w:vMerge/>
            <w:tcBorders>
              <w:top w:val="single" w:sz="8" w:space="0" w:color="auto"/>
              <w:left w:val="single" w:sz="12" w:space="0" w:color="auto"/>
              <w:bottom w:val="single" w:sz="12" w:space="0" w:color="auto"/>
              <w:right w:val="single" w:sz="8" w:space="0" w:color="auto"/>
            </w:tcBorders>
            <w:vAlign w:val="bottom"/>
          </w:tcPr>
          <w:p w:rsidR="00167D5D" w:rsidRPr="00BB6145" w:rsidP="004E16D7" w14:paraId="1D2EFBE4" w14:textId="77777777">
            <w:pPr>
              <w:keepNext/>
              <w:widowControl/>
              <w:suppressAutoHyphens/>
              <w:rPr>
                <w:rStyle w:val="DefaultParagraphFont"/>
                <w:b/>
                <w:bCs/>
                <w:snapToGrid/>
                <w:kern w:val="0"/>
                <w:sz w:val="19"/>
                <w:szCs w:val="19"/>
                <w:lang w:val="en-US" w:eastAsia="en-US" w:bidi="ar-SA"/>
              </w:rPr>
            </w:pPr>
          </w:p>
        </w:tc>
        <w:tc>
          <w:tcPr>
            <w:tcW w:w="482" w:type="pct"/>
            <w:gridSpan w:val="2"/>
            <w:vMerge/>
            <w:tcBorders>
              <w:top w:val="single" w:sz="8" w:space="0" w:color="auto"/>
              <w:left w:val="single" w:sz="8" w:space="0" w:color="auto"/>
              <w:bottom w:val="single" w:sz="12" w:space="0" w:color="auto"/>
              <w:right w:val="single" w:sz="8" w:space="0" w:color="auto"/>
            </w:tcBorders>
            <w:vAlign w:val="bottom"/>
          </w:tcPr>
          <w:p w:rsidR="00167D5D" w:rsidRPr="00973EC6" w:rsidP="004E16D7" w14:paraId="2E821D31" w14:textId="77777777">
            <w:pPr>
              <w:keepNext/>
              <w:widowControl/>
              <w:suppressAutoHyphens/>
              <w:rPr>
                <w:rStyle w:val="DefaultParagraphFont"/>
                <w:b/>
                <w:bCs/>
                <w:snapToGrid/>
                <w:kern w:val="0"/>
                <w:sz w:val="20"/>
                <w:lang w:val="en-US" w:eastAsia="en-US" w:bidi="ar-SA"/>
              </w:rPr>
            </w:pPr>
          </w:p>
        </w:tc>
        <w:tc>
          <w:tcPr>
            <w:tcW w:w="435" w:type="pct"/>
            <w:vMerge/>
            <w:tcBorders>
              <w:top w:val="single" w:sz="8" w:space="0" w:color="auto"/>
              <w:left w:val="single" w:sz="8" w:space="0" w:color="auto"/>
              <w:bottom w:val="single" w:sz="12" w:space="0" w:color="auto"/>
              <w:right w:val="single" w:sz="8" w:space="0" w:color="auto"/>
            </w:tcBorders>
            <w:vAlign w:val="bottom"/>
          </w:tcPr>
          <w:p w:rsidR="00167D5D" w:rsidRPr="00973EC6" w:rsidP="004E16D7" w14:paraId="50A69F97" w14:textId="77777777">
            <w:pPr>
              <w:keepNext/>
              <w:widowControl/>
              <w:suppressAutoHyphens/>
              <w:rPr>
                <w:rStyle w:val="DefaultParagraphFont"/>
                <w:b/>
                <w:bCs/>
                <w:snapToGrid/>
                <w:kern w:val="0"/>
                <w:sz w:val="20"/>
                <w:lang w:val="en-US" w:eastAsia="en-US" w:bidi="ar-SA"/>
              </w:rPr>
            </w:pPr>
          </w:p>
        </w:tc>
        <w:tc>
          <w:tcPr>
            <w:tcW w:w="626" w:type="pct"/>
            <w:vMerge/>
            <w:tcBorders>
              <w:top w:val="single" w:sz="8" w:space="0" w:color="auto"/>
              <w:left w:val="single" w:sz="8" w:space="0" w:color="auto"/>
              <w:bottom w:val="single" w:sz="12" w:space="0" w:color="auto"/>
              <w:right w:val="single" w:sz="8" w:space="0" w:color="auto"/>
            </w:tcBorders>
            <w:vAlign w:val="bottom"/>
          </w:tcPr>
          <w:p w:rsidR="00167D5D" w:rsidRPr="00973EC6" w:rsidP="004E16D7" w14:paraId="234545F0" w14:textId="77777777">
            <w:pPr>
              <w:keepNext/>
              <w:widowControl/>
              <w:suppressAutoHyphens/>
              <w:rPr>
                <w:rStyle w:val="DefaultParagraphFont"/>
                <w:b/>
                <w:bCs/>
                <w:snapToGrid/>
                <w:kern w:val="0"/>
                <w:sz w:val="20"/>
                <w:lang w:val="en-US" w:eastAsia="en-US" w:bidi="ar-SA"/>
              </w:rPr>
            </w:pPr>
          </w:p>
        </w:tc>
        <w:tc>
          <w:tcPr>
            <w:tcW w:w="675" w:type="pct"/>
            <w:vMerge/>
            <w:tcBorders>
              <w:top w:val="single" w:sz="8" w:space="0" w:color="auto"/>
              <w:left w:val="single" w:sz="8" w:space="0" w:color="auto"/>
              <w:bottom w:val="single" w:sz="12" w:space="0" w:color="auto"/>
              <w:right w:val="single" w:sz="8" w:space="0" w:color="auto"/>
            </w:tcBorders>
            <w:shd w:val="clear" w:color="auto" w:fill="auto"/>
            <w:vAlign w:val="bottom"/>
          </w:tcPr>
          <w:p w:rsidR="00167D5D" w:rsidRPr="00973EC6" w:rsidP="004E16D7" w14:paraId="3398D91C" w14:textId="77777777">
            <w:pPr>
              <w:keepNext/>
              <w:widowControl/>
              <w:suppressAutoHyphens/>
              <w:rPr>
                <w:rStyle w:val="DefaultParagraphFont"/>
                <w:b/>
                <w:bCs/>
                <w:snapToGrid/>
                <w:kern w:val="0"/>
                <w:sz w:val="20"/>
                <w:lang w:val="en-US" w:eastAsia="en-US" w:bidi="ar-SA"/>
              </w:rPr>
            </w:pPr>
          </w:p>
        </w:tc>
        <w:tc>
          <w:tcPr>
            <w:tcW w:w="435" w:type="pct"/>
            <w:tcBorders>
              <w:top w:val="single" w:sz="8" w:space="0" w:color="auto"/>
              <w:left w:val="single" w:sz="8" w:space="0" w:color="auto"/>
              <w:bottom w:val="single" w:sz="12" w:space="0" w:color="auto"/>
              <w:right w:val="single" w:sz="8" w:space="0" w:color="auto"/>
            </w:tcBorders>
            <w:shd w:val="clear" w:color="auto" w:fill="auto"/>
            <w:vAlign w:val="center"/>
          </w:tcPr>
          <w:p w:rsidR="00167D5D" w:rsidRPr="00BB6145" w:rsidP="004E16D7" w14:paraId="09CDE79C"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Incumbent</w:t>
            </w:r>
          </w:p>
        </w:tc>
        <w:tc>
          <w:tcPr>
            <w:tcW w:w="434" w:type="pct"/>
            <w:tcBorders>
              <w:top w:val="single" w:sz="8" w:space="0" w:color="auto"/>
              <w:left w:val="single" w:sz="8" w:space="0" w:color="auto"/>
              <w:bottom w:val="single" w:sz="12" w:space="0" w:color="auto"/>
              <w:right w:val="single" w:sz="8" w:space="0" w:color="auto"/>
            </w:tcBorders>
            <w:shd w:val="clear" w:color="auto" w:fill="auto"/>
            <w:vAlign w:val="center"/>
          </w:tcPr>
          <w:p w:rsidR="00167D5D" w:rsidRPr="00BB6145" w:rsidP="004E16D7" w14:paraId="3B3AF662"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Rival</w:t>
            </w:r>
          </w:p>
        </w:tc>
        <w:tc>
          <w:tcPr>
            <w:tcW w:w="436" w:type="pct"/>
            <w:tcBorders>
              <w:top w:val="single" w:sz="8" w:space="0" w:color="auto"/>
              <w:left w:val="single" w:sz="8" w:space="0" w:color="auto"/>
              <w:bottom w:val="single" w:sz="12" w:space="0" w:color="auto"/>
              <w:right w:val="single" w:sz="8" w:space="0" w:color="auto"/>
            </w:tcBorders>
            <w:shd w:val="clear" w:color="auto" w:fill="auto"/>
            <w:vAlign w:val="center"/>
          </w:tcPr>
          <w:p w:rsidR="00167D5D" w:rsidRPr="00BB6145" w:rsidP="004E16D7" w14:paraId="600AD59B" w14:textId="77777777">
            <w:pPr>
              <w:keepNext/>
              <w:widowControl/>
              <w:suppressAutoHyphens/>
              <w:jc w:val="center"/>
              <w:rPr>
                <w:rStyle w:val="DefaultParagraphFont"/>
                <w:b/>
                <w:snapToGrid w:val="0"/>
                <w:kern w:val="0"/>
                <w:sz w:val="19"/>
                <w:szCs w:val="19"/>
                <w:lang w:val="en-US" w:eastAsia="en-US" w:bidi="ar-SA"/>
              </w:rPr>
            </w:pPr>
            <w:r w:rsidRPr="00BB6145">
              <w:rPr>
                <w:b/>
                <w:snapToGrid w:val="0"/>
                <w:kern w:val="0"/>
                <w:sz w:val="19"/>
                <w:szCs w:val="19"/>
                <w:lang w:val="en-US" w:eastAsia="en-US" w:bidi="ar-SA"/>
              </w:rPr>
              <w:t>Both</w:t>
            </w:r>
          </w:p>
        </w:tc>
        <w:tc>
          <w:tcPr>
            <w:tcW w:w="385" w:type="pct"/>
            <w:vMerge/>
            <w:tcBorders>
              <w:top w:val="single" w:sz="8" w:space="0" w:color="auto"/>
              <w:left w:val="single" w:sz="8" w:space="0" w:color="auto"/>
              <w:bottom w:val="single" w:sz="12" w:space="0" w:color="auto"/>
              <w:right w:val="single" w:sz="8" w:space="0" w:color="auto"/>
            </w:tcBorders>
            <w:vAlign w:val="bottom"/>
          </w:tcPr>
          <w:p w:rsidR="00167D5D" w:rsidRPr="00973EC6" w:rsidP="004E16D7" w14:paraId="1AB18A81" w14:textId="77777777">
            <w:pPr>
              <w:keepNext/>
              <w:widowControl/>
              <w:suppressAutoHyphens/>
              <w:rPr>
                <w:rStyle w:val="DefaultParagraphFont"/>
                <w:b/>
                <w:snapToGrid w:val="0"/>
                <w:kern w:val="0"/>
                <w:sz w:val="20"/>
                <w:lang w:val="en-US" w:eastAsia="en-US" w:bidi="ar-SA"/>
              </w:rPr>
            </w:pPr>
          </w:p>
        </w:tc>
        <w:tc>
          <w:tcPr>
            <w:tcW w:w="521" w:type="pct"/>
            <w:vMerge/>
            <w:tcBorders>
              <w:top w:val="single" w:sz="8" w:space="0" w:color="auto"/>
              <w:left w:val="single" w:sz="8" w:space="0" w:color="auto"/>
              <w:bottom w:val="single" w:sz="12" w:space="0" w:color="auto"/>
              <w:right w:val="single" w:sz="12" w:space="0" w:color="auto"/>
            </w:tcBorders>
            <w:vAlign w:val="bottom"/>
          </w:tcPr>
          <w:p w:rsidR="00167D5D" w:rsidRPr="00973EC6" w:rsidP="004E16D7" w14:paraId="281B3F9F" w14:textId="77777777">
            <w:pPr>
              <w:keepNext/>
              <w:widowControl/>
              <w:suppressAutoHyphens/>
              <w:rPr>
                <w:rStyle w:val="DefaultParagraphFont"/>
                <w:b/>
                <w:bCs/>
                <w:snapToGrid/>
                <w:kern w:val="0"/>
                <w:sz w:val="20"/>
                <w:lang w:val="en-US" w:eastAsia="en-US" w:bidi="ar-SA"/>
              </w:rPr>
            </w:pPr>
          </w:p>
        </w:tc>
      </w:tr>
      <w:tr w14:paraId="3B7403D9" w14:textId="77777777" w:rsidTr="00BB6145">
        <w:tblPrEx>
          <w:tblW w:w="5000" w:type="pct"/>
          <w:tblInd w:w="0" w:type="dxa"/>
          <w:tblLayout w:type="fixed"/>
          <w:tblCellMar>
            <w:top w:w="0" w:type="dxa"/>
            <w:left w:w="108" w:type="dxa"/>
            <w:bottom w:w="0" w:type="dxa"/>
            <w:right w:w="108" w:type="dxa"/>
          </w:tblCellMar>
          <w:tblLook w:val="0000"/>
        </w:tblPrEx>
        <w:trPr>
          <w:trHeight w:hRule="exact" w:val="288"/>
        </w:trPr>
        <w:tc>
          <w:tcPr>
            <w:tcW w:w="571" w:type="pct"/>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604F19" w:rsidRPr="00BB6145" w:rsidP="00604F19" w14:paraId="01717F23" w14:textId="77777777">
            <w:pPr>
              <w:keepNext/>
              <w:widowControl/>
              <w:suppressAutoHyphens/>
              <w:rPr>
                <w:rStyle w:val="DefaultParagraphFont"/>
                <w:b/>
                <w:snapToGrid w:val="0"/>
                <w:kern w:val="0"/>
                <w:sz w:val="19"/>
                <w:szCs w:val="19"/>
                <w:lang w:val="en-US" w:eastAsia="en-US" w:bidi="ar-SA"/>
              </w:rPr>
            </w:pPr>
            <w:r w:rsidRPr="00BB6145">
              <w:rPr>
                <w:b/>
                <w:snapToGrid w:val="0"/>
                <w:kern w:val="0"/>
                <w:sz w:val="19"/>
                <w:szCs w:val="19"/>
                <w:lang w:val="en-US" w:eastAsia="en-US" w:bidi="ar-SA"/>
              </w:rPr>
              <w:t>Basic</w:t>
            </w:r>
          </w:p>
        </w:tc>
        <w:tc>
          <w:tcPr>
            <w:tcW w:w="434"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7A2700E2"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DVR</w:t>
            </w:r>
          </w:p>
        </w:tc>
        <w:tc>
          <w:tcPr>
            <w:tcW w:w="483" w:type="pct"/>
            <w:gridSpan w:val="2"/>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4559CD85" w14:textId="28BCB5BF">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8%</w:t>
            </w:r>
          </w:p>
        </w:tc>
        <w:tc>
          <w:tcPr>
            <w:tcW w:w="626"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212E5098" w14:textId="6A9530A2">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w:t>
            </w:r>
          </w:p>
        </w:tc>
        <w:tc>
          <w:tcPr>
            <w:tcW w:w="67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08D69291" w14:textId="779DBA15">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w:t>
            </w:r>
          </w:p>
        </w:tc>
        <w:tc>
          <w:tcPr>
            <w:tcW w:w="43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2AC172C2" w14:textId="78F89E9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23%†</w:t>
            </w:r>
          </w:p>
        </w:tc>
        <w:tc>
          <w:tcPr>
            <w:tcW w:w="434"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5A5C4B26" w14:textId="74E883C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w:t>
            </w:r>
          </w:p>
        </w:tc>
        <w:tc>
          <w:tcPr>
            <w:tcW w:w="436"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21BBE65F" w14:textId="17147EC7">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20%†</w:t>
            </w:r>
          </w:p>
        </w:tc>
        <w:tc>
          <w:tcPr>
            <w:tcW w:w="38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40817DC3" w14:textId="08505A29">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3%†</w:t>
            </w:r>
          </w:p>
        </w:tc>
        <w:tc>
          <w:tcPr>
            <w:tcW w:w="521" w:type="pct"/>
            <w:tcBorders>
              <w:top w:val="single" w:sz="12" w:space="0" w:color="auto"/>
              <w:left w:val="nil"/>
              <w:bottom w:val="single" w:sz="8" w:space="0" w:color="auto"/>
              <w:right w:val="single" w:sz="12" w:space="0" w:color="auto"/>
            </w:tcBorders>
            <w:shd w:val="clear" w:color="auto" w:fill="auto"/>
            <w:vAlign w:val="bottom"/>
          </w:tcPr>
          <w:p w:rsidR="00604F19" w:rsidRPr="00604F19" w:rsidP="00604F19" w14:paraId="42C284F8" w14:textId="0D9F7D69">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3%†</w:t>
            </w:r>
          </w:p>
        </w:tc>
      </w:tr>
      <w:tr w14:paraId="3EF39736"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8" w:space="0" w:color="auto"/>
              <w:right w:val="single" w:sz="8" w:space="0" w:color="auto"/>
            </w:tcBorders>
            <w:vAlign w:val="center"/>
          </w:tcPr>
          <w:p w:rsidR="00604F19" w:rsidRPr="002E698C" w:rsidP="00604F19" w14:paraId="6CC468EE" w14:textId="77777777">
            <w:pPr>
              <w:keepNext/>
              <w:widowControl/>
              <w:tabs>
                <w:tab w:val="left" w:pos="1080"/>
                <w:tab w:val="right" w:leader="dot" w:pos="9360"/>
              </w:tabs>
              <w:suppressAutoHyphens/>
              <w:ind w:left="1080" w:right="720" w:hanging="360"/>
              <w:rPr>
                <w:rStyle w:val="DefaultParagraphFont"/>
                <w:b/>
                <w:snapToGrid w:val="0"/>
                <w:kern w:val="0"/>
                <w:sz w:val="19"/>
                <w:szCs w:val="19"/>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45FA6F24"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HD</w:t>
            </w:r>
          </w:p>
        </w:tc>
        <w:tc>
          <w:tcPr>
            <w:tcW w:w="4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33869B82" w14:textId="0AF03B61">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44%</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4E08A57D" w14:textId="3D22AFB0">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37%</w:t>
            </w:r>
          </w:p>
        </w:tc>
        <w:tc>
          <w:tcPr>
            <w:tcW w:w="67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3CC18F64" w14:textId="3A9AE68F">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52%†</w:t>
            </w:r>
          </w:p>
        </w:tc>
        <w:tc>
          <w:tcPr>
            <w:tcW w:w="43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68A6C724" w14:textId="638BC561">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74%†</w:t>
            </w: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6132ABC8" w14:textId="041FF462">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63%†</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6FF51396" w14:textId="58EEF46B">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72%†</w:t>
            </w:r>
          </w:p>
        </w:tc>
        <w:tc>
          <w:tcPr>
            <w:tcW w:w="38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27FD4BF8" w14:textId="62239C23">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46%†</w:t>
            </w:r>
          </w:p>
        </w:tc>
        <w:tc>
          <w:tcPr>
            <w:tcW w:w="521" w:type="pct"/>
            <w:tcBorders>
              <w:top w:val="single" w:sz="8" w:space="0" w:color="auto"/>
              <w:left w:val="nil"/>
              <w:bottom w:val="single" w:sz="8" w:space="0" w:color="auto"/>
              <w:right w:val="single" w:sz="12" w:space="0" w:color="auto"/>
            </w:tcBorders>
            <w:shd w:val="clear" w:color="auto" w:fill="auto"/>
            <w:vAlign w:val="bottom"/>
          </w:tcPr>
          <w:p w:rsidR="00604F19" w:rsidRPr="00604F19" w:rsidP="00604F19" w14:paraId="3B5820EA" w14:textId="0B29E0CE">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49%</w:t>
            </w:r>
          </w:p>
        </w:tc>
      </w:tr>
      <w:tr w14:paraId="1A0EC5FD"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8" w:space="0" w:color="auto"/>
              <w:right w:val="single" w:sz="8" w:space="0" w:color="auto"/>
            </w:tcBorders>
            <w:vAlign w:val="center"/>
          </w:tcPr>
          <w:p w:rsidR="00604F19" w:rsidRPr="002E698C" w:rsidP="00604F19" w14:paraId="21FCC32B" w14:textId="77777777">
            <w:pPr>
              <w:keepNext/>
              <w:widowControl/>
              <w:tabs>
                <w:tab w:val="left" w:pos="1080"/>
                <w:tab w:val="right" w:leader="dot" w:pos="9360"/>
              </w:tabs>
              <w:suppressAutoHyphens/>
              <w:ind w:left="1080" w:right="720" w:hanging="360"/>
              <w:rPr>
                <w:rStyle w:val="DefaultParagraphFont"/>
                <w:b/>
                <w:snapToGrid w:val="0"/>
                <w:kern w:val="0"/>
                <w:sz w:val="19"/>
                <w:szCs w:val="19"/>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78D80636"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IPG</w:t>
            </w:r>
          </w:p>
        </w:tc>
        <w:tc>
          <w:tcPr>
            <w:tcW w:w="4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12732B4C" w14:textId="5612885B">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71%</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6750C8D1" w14:textId="2005FADB">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68%</w:t>
            </w:r>
          </w:p>
        </w:tc>
        <w:tc>
          <w:tcPr>
            <w:tcW w:w="67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2134DB56" w14:textId="60A1FC80">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74%</w:t>
            </w:r>
          </w:p>
        </w:tc>
        <w:tc>
          <w:tcPr>
            <w:tcW w:w="43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03CF2AD1" w14:textId="4160A725">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69%</w:t>
            </w: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3DAA4CB9" w14:textId="33F91ED1">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23%†</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494E22E8" w14:textId="772012BC">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62%</w:t>
            </w:r>
          </w:p>
        </w:tc>
        <w:tc>
          <w:tcPr>
            <w:tcW w:w="38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559E05FB" w14:textId="247BBC32">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77%†</w:t>
            </w:r>
          </w:p>
        </w:tc>
        <w:tc>
          <w:tcPr>
            <w:tcW w:w="521" w:type="pct"/>
            <w:tcBorders>
              <w:top w:val="single" w:sz="8" w:space="0" w:color="auto"/>
              <w:left w:val="nil"/>
              <w:bottom w:val="single" w:sz="8" w:space="0" w:color="auto"/>
              <w:right w:val="single" w:sz="12" w:space="0" w:color="auto"/>
            </w:tcBorders>
            <w:shd w:val="clear" w:color="auto" w:fill="auto"/>
            <w:vAlign w:val="bottom"/>
          </w:tcPr>
          <w:p w:rsidR="00604F19" w:rsidRPr="00604F19" w:rsidP="00604F19" w14:paraId="2A585703" w14:textId="39EF946B">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84%†</w:t>
            </w:r>
          </w:p>
        </w:tc>
      </w:tr>
      <w:tr w14:paraId="7253C13D"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12" w:space="0" w:color="auto"/>
              <w:right w:val="single" w:sz="8" w:space="0" w:color="auto"/>
            </w:tcBorders>
            <w:vAlign w:val="center"/>
          </w:tcPr>
          <w:p w:rsidR="00604F19" w:rsidRPr="002E698C" w:rsidP="00604F19" w14:paraId="43CE41B8" w14:textId="77777777">
            <w:pPr>
              <w:keepNext/>
              <w:widowControl/>
              <w:tabs>
                <w:tab w:val="left" w:pos="1080"/>
                <w:tab w:val="right" w:leader="dot" w:pos="9360"/>
              </w:tabs>
              <w:suppressAutoHyphens/>
              <w:ind w:left="1080" w:right="720" w:hanging="360"/>
              <w:rPr>
                <w:rStyle w:val="DefaultParagraphFont"/>
                <w:b/>
                <w:snapToGrid w:val="0"/>
                <w:kern w:val="0"/>
                <w:sz w:val="19"/>
                <w:szCs w:val="19"/>
                <w:lang w:val="en-US" w:eastAsia="en-US" w:bidi="ar-SA"/>
              </w:rPr>
            </w:pPr>
          </w:p>
        </w:tc>
        <w:tc>
          <w:tcPr>
            <w:tcW w:w="434"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5ABBFC45"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RCU</w:t>
            </w:r>
          </w:p>
        </w:tc>
        <w:tc>
          <w:tcPr>
            <w:tcW w:w="483" w:type="pct"/>
            <w:gridSpan w:val="2"/>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78C9C764" w14:textId="7DFFD8BD">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85%</w:t>
            </w:r>
          </w:p>
        </w:tc>
        <w:tc>
          <w:tcPr>
            <w:tcW w:w="626"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6FF34FD8" w14:textId="5B2ACBD6">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79%</w:t>
            </w:r>
          </w:p>
        </w:tc>
        <w:tc>
          <w:tcPr>
            <w:tcW w:w="675"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644B0FDF" w14:textId="371DA6F0">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90%†</w:t>
            </w:r>
          </w:p>
        </w:tc>
        <w:tc>
          <w:tcPr>
            <w:tcW w:w="435"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2EACC856" w14:textId="079A056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89%†</w:t>
            </w:r>
          </w:p>
        </w:tc>
        <w:tc>
          <w:tcPr>
            <w:tcW w:w="434"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358E5B6B" w14:textId="3ACE0D72">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94%†</w:t>
            </w:r>
          </w:p>
        </w:tc>
        <w:tc>
          <w:tcPr>
            <w:tcW w:w="436"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3155D8FC" w14:textId="0DE69DC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90%†</w:t>
            </w:r>
          </w:p>
        </w:tc>
        <w:tc>
          <w:tcPr>
            <w:tcW w:w="385"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45720F77" w14:textId="633F296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90%†</w:t>
            </w:r>
          </w:p>
        </w:tc>
        <w:tc>
          <w:tcPr>
            <w:tcW w:w="521" w:type="pct"/>
            <w:tcBorders>
              <w:top w:val="single" w:sz="8" w:space="0" w:color="auto"/>
              <w:left w:val="nil"/>
              <w:bottom w:val="single" w:sz="12" w:space="0" w:color="auto"/>
              <w:right w:val="single" w:sz="12" w:space="0" w:color="auto"/>
            </w:tcBorders>
            <w:shd w:val="clear" w:color="auto" w:fill="auto"/>
            <w:vAlign w:val="bottom"/>
          </w:tcPr>
          <w:p w:rsidR="00604F19" w:rsidRPr="00604F19" w:rsidP="00604F19" w14:paraId="43C832DB" w14:textId="0923BC3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97%†</w:t>
            </w:r>
          </w:p>
        </w:tc>
      </w:tr>
      <w:tr w14:paraId="1514B6F8" w14:textId="77777777" w:rsidTr="00BB6145">
        <w:tblPrEx>
          <w:tblW w:w="5000" w:type="pct"/>
          <w:tblInd w:w="0" w:type="dxa"/>
          <w:tblLayout w:type="fixed"/>
          <w:tblCellMar>
            <w:top w:w="0" w:type="dxa"/>
            <w:left w:w="108" w:type="dxa"/>
            <w:bottom w:w="0" w:type="dxa"/>
            <w:right w:w="108" w:type="dxa"/>
          </w:tblCellMar>
          <w:tblLook w:val="0000"/>
        </w:tblPrEx>
        <w:trPr>
          <w:trHeight w:hRule="exact" w:val="288"/>
        </w:trPr>
        <w:tc>
          <w:tcPr>
            <w:tcW w:w="571" w:type="pct"/>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604F19" w:rsidRPr="00BB6145" w:rsidP="00604F19" w14:paraId="12293E85" w14:textId="77777777">
            <w:pPr>
              <w:keepNext/>
              <w:widowControl/>
              <w:suppressAutoHyphens/>
              <w:rPr>
                <w:rStyle w:val="DefaultParagraphFont"/>
                <w:b/>
                <w:snapToGrid w:val="0"/>
                <w:kern w:val="0"/>
                <w:sz w:val="19"/>
                <w:szCs w:val="19"/>
                <w:lang w:val="en-US" w:eastAsia="en-US" w:bidi="ar-SA"/>
              </w:rPr>
            </w:pPr>
            <w:r w:rsidRPr="00BB6145">
              <w:rPr>
                <w:b/>
                <w:snapToGrid w:val="0"/>
                <w:kern w:val="0"/>
                <w:sz w:val="19"/>
                <w:szCs w:val="19"/>
                <w:lang w:val="en-US" w:eastAsia="en-US" w:bidi="ar-SA"/>
              </w:rPr>
              <w:t>Expanded basic</w:t>
            </w:r>
          </w:p>
        </w:tc>
        <w:tc>
          <w:tcPr>
            <w:tcW w:w="434"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53502372"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DVR</w:t>
            </w:r>
          </w:p>
        </w:tc>
        <w:tc>
          <w:tcPr>
            <w:tcW w:w="483" w:type="pct"/>
            <w:gridSpan w:val="2"/>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446CAFEB" w14:textId="2C58CC89">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13%</w:t>
            </w:r>
          </w:p>
        </w:tc>
        <w:tc>
          <w:tcPr>
            <w:tcW w:w="626"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18A5AC9B" w14:textId="65AB7CC8">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11%</w:t>
            </w:r>
          </w:p>
        </w:tc>
        <w:tc>
          <w:tcPr>
            <w:tcW w:w="67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26DB6ECE" w14:textId="3AF8707C">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14%</w:t>
            </w:r>
          </w:p>
        </w:tc>
        <w:tc>
          <w:tcPr>
            <w:tcW w:w="43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4B36AD07" w14:textId="68000B1A">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39%†</w:t>
            </w:r>
          </w:p>
        </w:tc>
        <w:tc>
          <w:tcPr>
            <w:tcW w:w="434"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0B98B75E" w14:textId="64B6DE47">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w:t>
            </w:r>
          </w:p>
        </w:tc>
        <w:tc>
          <w:tcPr>
            <w:tcW w:w="436"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7CBF521C" w14:textId="567A30F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34%†</w:t>
            </w:r>
          </w:p>
        </w:tc>
        <w:tc>
          <w:tcPr>
            <w:tcW w:w="38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52BDE884" w14:textId="28B57881">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8%</w:t>
            </w:r>
          </w:p>
        </w:tc>
        <w:tc>
          <w:tcPr>
            <w:tcW w:w="521" w:type="pct"/>
            <w:tcBorders>
              <w:top w:val="single" w:sz="12" w:space="0" w:color="auto"/>
              <w:left w:val="nil"/>
              <w:bottom w:val="single" w:sz="8" w:space="0" w:color="auto"/>
              <w:right w:val="single" w:sz="12" w:space="0" w:color="auto"/>
            </w:tcBorders>
            <w:shd w:val="clear" w:color="auto" w:fill="auto"/>
            <w:vAlign w:val="bottom"/>
          </w:tcPr>
          <w:p w:rsidR="00604F19" w:rsidRPr="00604F19" w:rsidP="00604F19" w14:paraId="5A8E02F7" w14:textId="54DCC19B">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13%</w:t>
            </w:r>
          </w:p>
        </w:tc>
      </w:tr>
      <w:tr w14:paraId="0AC8AFF8"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8" w:space="0" w:color="auto"/>
              <w:right w:val="single" w:sz="8" w:space="0" w:color="auto"/>
            </w:tcBorders>
            <w:vAlign w:val="center"/>
          </w:tcPr>
          <w:p w:rsidR="00604F19" w:rsidRPr="002E698C" w:rsidP="00604F19" w14:paraId="56BBF786" w14:textId="77777777">
            <w:pPr>
              <w:keepNext/>
              <w:widowControl/>
              <w:tabs>
                <w:tab w:val="left" w:pos="1080"/>
                <w:tab w:val="right" w:leader="dot" w:pos="9360"/>
              </w:tabs>
              <w:suppressAutoHyphens/>
              <w:ind w:left="1080" w:right="720" w:hanging="360"/>
              <w:rPr>
                <w:rStyle w:val="DefaultParagraphFont"/>
                <w:b/>
                <w:snapToGrid w:val="0"/>
                <w:kern w:val="0"/>
                <w:sz w:val="19"/>
                <w:szCs w:val="19"/>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0413A8B3"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HD</w:t>
            </w:r>
          </w:p>
        </w:tc>
        <w:tc>
          <w:tcPr>
            <w:tcW w:w="4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013B866A" w14:textId="16E99371">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46%</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63A04A80" w14:textId="19CA13DF">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39%</w:t>
            </w:r>
          </w:p>
        </w:tc>
        <w:tc>
          <w:tcPr>
            <w:tcW w:w="67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175700F9" w14:textId="33FC41DC">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53%†</w:t>
            </w:r>
          </w:p>
        </w:tc>
        <w:tc>
          <w:tcPr>
            <w:tcW w:w="43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7FCD01AE" w14:textId="6F7753A2">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73%†</w:t>
            </w: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76C67D5F" w14:textId="4FD06F5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58%†</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37C4ADCF" w14:textId="0A4BBE90">
            <w:pPr>
              <w:widowControl w:val="0"/>
              <w:suppressAutoHyphens/>
              <w:jc w:val="center"/>
              <w:rPr>
                <w:rStyle w:val="DefaultParagraphFont"/>
                <w:snapToGrid w:val="0"/>
                <w:kern w:val="28"/>
                <w:sz w:val="20"/>
                <w:lang w:val="en-US" w:eastAsia="en-US" w:bidi="ar-SA"/>
              </w:rPr>
            </w:pPr>
            <w:r w:rsidRPr="002E698C">
              <w:rPr>
                <w:snapToGrid w:val="0"/>
                <w:kern w:val="28"/>
                <w:sz w:val="20"/>
                <w:lang w:val="en-US" w:eastAsia="en-US" w:bidi="ar-SA"/>
              </w:rPr>
              <w:t>71%†</w:t>
            </w:r>
          </w:p>
        </w:tc>
        <w:tc>
          <w:tcPr>
            <w:tcW w:w="38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0F4CA143" w14:textId="16DA5403">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48%</w:t>
            </w:r>
          </w:p>
        </w:tc>
        <w:tc>
          <w:tcPr>
            <w:tcW w:w="521" w:type="pct"/>
            <w:tcBorders>
              <w:top w:val="single" w:sz="8" w:space="0" w:color="auto"/>
              <w:left w:val="nil"/>
              <w:bottom w:val="single" w:sz="8" w:space="0" w:color="auto"/>
              <w:right w:val="single" w:sz="12" w:space="0" w:color="auto"/>
            </w:tcBorders>
            <w:shd w:val="clear" w:color="auto" w:fill="auto"/>
            <w:vAlign w:val="bottom"/>
          </w:tcPr>
          <w:p w:rsidR="00604F19" w:rsidRPr="00604F19" w:rsidP="00604F19" w14:paraId="09D350A0" w14:textId="50D5A552">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52%</w:t>
            </w:r>
          </w:p>
        </w:tc>
      </w:tr>
      <w:tr w14:paraId="1445B8DE"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8" w:space="0" w:color="auto"/>
              <w:right w:val="single" w:sz="8" w:space="0" w:color="auto"/>
            </w:tcBorders>
            <w:vAlign w:val="center"/>
          </w:tcPr>
          <w:p w:rsidR="00604F19" w:rsidRPr="002E698C" w:rsidP="00604F19" w14:paraId="50136627" w14:textId="77777777">
            <w:pPr>
              <w:keepNext/>
              <w:widowControl/>
              <w:tabs>
                <w:tab w:val="left" w:pos="1080"/>
                <w:tab w:val="right" w:leader="dot" w:pos="9360"/>
              </w:tabs>
              <w:suppressAutoHyphens/>
              <w:ind w:left="1080" w:right="720" w:hanging="360"/>
              <w:rPr>
                <w:rStyle w:val="DefaultParagraphFont"/>
                <w:b/>
                <w:snapToGrid w:val="0"/>
                <w:kern w:val="0"/>
                <w:sz w:val="19"/>
                <w:szCs w:val="19"/>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1342D4B1"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IPG</w:t>
            </w:r>
          </w:p>
        </w:tc>
        <w:tc>
          <w:tcPr>
            <w:tcW w:w="4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05E63AB5" w14:textId="3353FD71">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91%</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6C66F244" w14:textId="382EA4B4">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89%</w:t>
            </w:r>
          </w:p>
        </w:tc>
        <w:tc>
          <w:tcPr>
            <w:tcW w:w="67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4469039A" w14:textId="2F341767">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94%†</w:t>
            </w:r>
          </w:p>
        </w:tc>
        <w:tc>
          <w:tcPr>
            <w:tcW w:w="43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0BBC102D" w14:textId="7C72915F">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93%</w:t>
            </w: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48C55109" w14:textId="523FEA3D">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98%†</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54C29312" w14:textId="790A0265">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94%</w:t>
            </w:r>
          </w:p>
        </w:tc>
        <w:tc>
          <w:tcPr>
            <w:tcW w:w="38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4790FA59" w14:textId="100ACD89">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95%†</w:t>
            </w:r>
          </w:p>
        </w:tc>
        <w:tc>
          <w:tcPr>
            <w:tcW w:w="521" w:type="pct"/>
            <w:tcBorders>
              <w:top w:val="single" w:sz="8" w:space="0" w:color="auto"/>
              <w:left w:val="nil"/>
              <w:bottom w:val="single" w:sz="8" w:space="0" w:color="auto"/>
              <w:right w:val="single" w:sz="12" w:space="0" w:color="auto"/>
            </w:tcBorders>
            <w:shd w:val="clear" w:color="auto" w:fill="auto"/>
            <w:vAlign w:val="bottom"/>
          </w:tcPr>
          <w:p w:rsidR="00604F19" w:rsidRPr="00604F19" w:rsidP="00604F19" w14:paraId="1FE0F5E3" w14:textId="097BC987">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87%</w:t>
            </w:r>
          </w:p>
        </w:tc>
      </w:tr>
      <w:tr w14:paraId="52D6CB8D"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12" w:space="0" w:color="auto"/>
              <w:right w:val="single" w:sz="8" w:space="0" w:color="auto"/>
            </w:tcBorders>
            <w:vAlign w:val="center"/>
          </w:tcPr>
          <w:p w:rsidR="00604F19" w:rsidRPr="002E698C" w:rsidP="00604F19" w14:paraId="51D1E75A" w14:textId="77777777">
            <w:pPr>
              <w:keepNext/>
              <w:widowControl/>
              <w:tabs>
                <w:tab w:val="left" w:pos="1080"/>
                <w:tab w:val="right" w:leader="dot" w:pos="9360"/>
              </w:tabs>
              <w:suppressAutoHyphens/>
              <w:ind w:left="1080" w:right="720" w:hanging="360"/>
              <w:rPr>
                <w:rStyle w:val="DefaultParagraphFont"/>
                <w:b/>
                <w:snapToGrid w:val="0"/>
                <w:kern w:val="0"/>
                <w:sz w:val="19"/>
                <w:szCs w:val="19"/>
                <w:lang w:val="en-US" w:eastAsia="en-US" w:bidi="ar-SA"/>
              </w:rPr>
            </w:pPr>
          </w:p>
        </w:tc>
        <w:tc>
          <w:tcPr>
            <w:tcW w:w="434"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7CA54534"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RCU</w:t>
            </w:r>
          </w:p>
        </w:tc>
        <w:tc>
          <w:tcPr>
            <w:tcW w:w="483" w:type="pct"/>
            <w:gridSpan w:val="2"/>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6B5CD01A" w14:textId="40841603">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95%</w:t>
            </w:r>
          </w:p>
        </w:tc>
        <w:tc>
          <w:tcPr>
            <w:tcW w:w="626"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62A86B28" w14:textId="264D4B4E">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92%</w:t>
            </w:r>
          </w:p>
        </w:tc>
        <w:tc>
          <w:tcPr>
            <w:tcW w:w="675"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7223C528" w14:textId="6CEF01D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98%†</w:t>
            </w:r>
          </w:p>
        </w:tc>
        <w:tc>
          <w:tcPr>
            <w:tcW w:w="435"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614F7163" w14:textId="28260E4A">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95%†</w:t>
            </w:r>
          </w:p>
        </w:tc>
        <w:tc>
          <w:tcPr>
            <w:tcW w:w="434"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3FBDC57F" w14:textId="56FEF27D">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92%</w:t>
            </w:r>
          </w:p>
        </w:tc>
        <w:tc>
          <w:tcPr>
            <w:tcW w:w="436"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6E4E6D81" w14:textId="0DA99BCD">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95%</w:t>
            </w:r>
          </w:p>
        </w:tc>
        <w:tc>
          <w:tcPr>
            <w:tcW w:w="385"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604F19" w:rsidP="00604F19" w14:paraId="51CBDBEF" w14:textId="3ECABAA6">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99%†</w:t>
            </w:r>
          </w:p>
        </w:tc>
        <w:tc>
          <w:tcPr>
            <w:tcW w:w="521" w:type="pct"/>
            <w:tcBorders>
              <w:top w:val="single" w:sz="8" w:space="0" w:color="auto"/>
              <w:left w:val="nil"/>
              <w:bottom w:val="single" w:sz="12" w:space="0" w:color="auto"/>
              <w:right w:val="single" w:sz="12" w:space="0" w:color="auto"/>
            </w:tcBorders>
            <w:shd w:val="clear" w:color="auto" w:fill="auto"/>
            <w:vAlign w:val="bottom"/>
          </w:tcPr>
          <w:p w:rsidR="00604F19" w:rsidRPr="00604F19" w:rsidP="00604F19" w14:paraId="14C13339" w14:textId="02674E7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98%†</w:t>
            </w:r>
          </w:p>
        </w:tc>
      </w:tr>
      <w:tr w14:paraId="2714201D"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604F19" w:rsidRPr="00BB6145" w:rsidP="00604F19" w14:paraId="154BC2C2" w14:textId="77777777">
            <w:pPr>
              <w:keepNext/>
              <w:widowControl/>
              <w:suppressAutoHyphens/>
              <w:rPr>
                <w:rStyle w:val="DefaultParagraphFont"/>
                <w:b/>
                <w:snapToGrid w:val="0"/>
                <w:kern w:val="0"/>
                <w:sz w:val="19"/>
                <w:szCs w:val="19"/>
                <w:lang w:val="en-US" w:eastAsia="en-US" w:bidi="ar-SA"/>
              </w:rPr>
            </w:pPr>
            <w:r w:rsidRPr="00BB6145">
              <w:rPr>
                <w:b/>
                <w:snapToGrid w:val="0"/>
                <w:kern w:val="0"/>
                <w:sz w:val="19"/>
                <w:szCs w:val="19"/>
                <w:lang w:val="en-US" w:eastAsia="en-US" w:bidi="ar-SA"/>
              </w:rPr>
              <w:t>Next most popular</w:t>
            </w:r>
          </w:p>
        </w:tc>
        <w:tc>
          <w:tcPr>
            <w:tcW w:w="434"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167B3A7C"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DVR</w:t>
            </w:r>
          </w:p>
        </w:tc>
        <w:tc>
          <w:tcPr>
            <w:tcW w:w="483" w:type="pct"/>
            <w:gridSpan w:val="2"/>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107F6EC2" w14:textId="4E83A810">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16%</w:t>
            </w:r>
          </w:p>
        </w:tc>
        <w:tc>
          <w:tcPr>
            <w:tcW w:w="626"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5D4D4F" w:rsidP="00604F19" w14:paraId="03C8B570" w14:textId="2BD35750">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12%</w:t>
            </w:r>
          </w:p>
        </w:tc>
        <w:tc>
          <w:tcPr>
            <w:tcW w:w="67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45E53C90" w14:textId="503A151A">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20%†</w:t>
            </w:r>
          </w:p>
        </w:tc>
        <w:tc>
          <w:tcPr>
            <w:tcW w:w="43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065146F8" w14:textId="5F487989">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45%†</w:t>
            </w:r>
          </w:p>
        </w:tc>
        <w:tc>
          <w:tcPr>
            <w:tcW w:w="434"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771C45B9" w14:textId="7A6B6D9C">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9%</w:t>
            </w:r>
          </w:p>
        </w:tc>
        <w:tc>
          <w:tcPr>
            <w:tcW w:w="436"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12ABBBCD" w14:textId="0658E8A5">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39%†</w:t>
            </w:r>
          </w:p>
        </w:tc>
        <w:tc>
          <w:tcPr>
            <w:tcW w:w="385" w:type="pct"/>
            <w:tcBorders>
              <w:top w:val="single" w:sz="12" w:space="0" w:color="auto"/>
              <w:left w:val="single" w:sz="8" w:space="0" w:color="auto"/>
              <w:bottom w:val="single" w:sz="8" w:space="0" w:color="auto"/>
              <w:right w:val="single" w:sz="8" w:space="0" w:color="auto"/>
            </w:tcBorders>
            <w:shd w:val="clear" w:color="auto" w:fill="auto"/>
            <w:vAlign w:val="bottom"/>
          </w:tcPr>
          <w:p w:rsidR="00604F19" w:rsidRPr="00604F19" w:rsidP="00604F19" w14:paraId="61506909" w14:textId="1BE1B5DF">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14%</w:t>
            </w:r>
          </w:p>
        </w:tc>
        <w:tc>
          <w:tcPr>
            <w:tcW w:w="521" w:type="pct"/>
            <w:tcBorders>
              <w:top w:val="single" w:sz="12" w:space="0" w:color="auto"/>
              <w:left w:val="nil"/>
              <w:bottom w:val="single" w:sz="8" w:space="0" w:color="auto"/>
              <w:right w:val="single" w:sz="12" w:space="0" w:color="auto"/>
            </w:tcBorders>
            <w:shd w:val="clear" w:color="auto" w:fill="auto"/>
            <w:vAlign w:val="bottom"/>
          </w:tcPr>
          <w:p w:rsidR="00604F19" w:rsidRPr="00604F19" w:rsidP="00604F19" w14:paraId="64DA55A2" w14:textId="3D0ADAC4">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13%</w:t>
            </w:r>
          </w:p>
        </w:tc>
      </w:tr>
      <w:tr w14:paraId="4A2105A2"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8" w:space="0" w:color="auto"/>
              <w:right w:val="single" w:sz="8" w:space="0" w:color="auto"/>
            </w:tcBorders>
            <w:vAlign w:val="center"/>
          </w:tcPr>
          <w:p w:rsidR="00604F19" w:rsidRPr="00973EC6" w:rsidP="00604F19" w14:paraId="4A20C077" w14:textId="77777777">
            <w:pPr>
              <w:keepNext/>
              <w:widowControl/>
              <w:suppressAutoHyphens/>
              <w:rPr>
                <w:rStyle w:val="DefaultParagraphFont"/>
                <w:b/>
                <w:snapToGrid w:val="0"/>
                <w:kern w:val="0"/>
                <w:sz w:val="20"/>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65847D74"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HD</w:t>
            </w:r>
          </w:p>
        </w:tc>
        <w:tc>
          <w:tcPr>
            <w:tcW w:w="4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26CDBE62" w14:textId="02FA143E">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52%</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3E0D7704" w14:textId="4EE72F91">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42%</w:t>
            </w:r>
          </w:p>
        </w:tc>
        <w:tc>
          <w:tcPr>
            <w:tcW w:w="67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259B9DE3" w14:textId="6477783A">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61%†</w:t>
            </w:r>
          </w:p>
        </w:tc>
        <w:tc>
          <w:tcPr>
            <w:tcW w:w="43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5E04C13D" w14:textId="564C3FE8">
            <w:pPr>
              <w:widowControl w:val="0"/>
              <w:suppressAutoHyphens/>
              <w:jc w:val="center"/>
              <w:rPr>
                <w:rStyle w:val="DefaultParagraphFont"/>
                <w:snapToGrid w:val="0"/>
                <w:kern w:val="28"/>
                <w:sz w:val="20"/>
                <w:lang w:val="en-US" w:eastAsia="en-US" w:bidi="ar-SA"/>
              </w:rPr>
            </w:pPr>
            <w:r w:rsidRPr="00306FBA">
              <w:rPr>
                <w:snapToGrid w:val="0"/>
                <w:kern w:val="28"/>
                <w:sz w:val="20"/>
                <w:lang w:val="en-US" w:eastAsia="en-US" w:bidi="ar-SA"/>
              </w:rPr>
              <w:t>81%†</w:t>
            </w: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77762EB4" w14:textId="463C8444">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63%†</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0BEA9EAA" w14:textId="1AAB0E81">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78%†</w:t>
            </w:r>
          </w:p>
        </w:tc>
        <w:tc>
          <w:tcPr>
            <w:tcW w:w="38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42D58931" w14:textId="2F58309F">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56%†</w:t>
            </w:r>
          </w:p>
        </w:tc>
        <w:tc>
          <w:tcPr>
            <w:tcW w:w="521" w:type="pct"/>
            <w:tcBorders>
              <w:top w:val="single" w:sz="8" w:space="0" w:color="auto"/>
              <w:left w:val="nil"/>
              <w:bottom w:val="single" w:sz="8" w:space="0" w:color="auto"/>
              <w:right w:val="single" w:sz="12" w:space="0" w:color="auto"/>
            </w:tcBorders>
            <w:shd w:val="clear" w:color="auto" w:fill="auto"/>
            <w:vAlign w:val="bottom"/>
          </w:tcPr>
          <w:p w:rsidR="00604F19" w:rsidRPr="00604F19" w:rsidP="00604F19" w14:paraId="14FD07CD" w14:textId="654E21B8">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65%†</w:t>
            </w:r>
          </w:p>
        </w:tc>
      </w:tr>
      <w:tr w14:paraId="52198574" w14:textId="77777777" w:rsidTr="00BB6145">
        <w:tblPrEx>
          <w:tblW w:w="5000" w:type="pct"/>
          <w:tblInd w:w="0" w:type="dxa"/>
          <w:tblLayout w:type="fixed"/>
          <w:tblCellMar>
            <w:top w:w="0" w:type="dxa"/>
            <w:left w:w="108" w:type="dxa"/>
            <w:bottom w:w="0" w:type="dxa"/>
            <w:right w:w="108" w:type="dxa"/>
          </w:tblCellMar>
          <w:tblLook w:val="0000"/>
        </w:tblPrEx>
        <w:trPr>
          <w:trHeight w:hRule="exact" w:val="259"/>
        </w:trPr>
        <w:tc>
          <w:tcPr>
            <w:tcW w:w="571" w:type="pct"/>
            <w:vMerge/>
            <w:tcBorders>
              <w:top w:val="single" w:sz="8" w:space="0" w:color="auto"/>
              <w:left w:val="single" w:sz="12" w:space="0" w:color="auto"/>
              <w:bottom w:val="single" w:sz="8" w:space="0" w:color="auto"/>
              <w:right w:val="single" w:sz="8" w:space="0" w:color="auto"/>
            </w:tcBorders>
            <w:vAlign w:val="center"/>
          </w:tcPr>
          <w:p w:rsidR="00604F19" w:rsidRPr="00973EC6" w:rsidP="00604F19" w14:paraId="6FE20099" w14:textId="77777777">
            <w:pPr>
              <w:keepNext/>
              <w:widowControl/>
              <w:suppressAutoHyphens/>
              <w:rPr>
                <w:rStyle w:val="DefaultParagraphFont"/>
                <w:b/>
                <w:snapToGrid w:val="0"/>
                <w:kern w:val="0"/>
                <w:sz w:val="20"/>
                <w:lang w:val="en-US" w:eastAsia="en-US" w:bidi="ar-SA"/>
              </w:rPr>
            </w:pP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4C3DEB3D"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IPG</w:t>
            </w:r>
          </w:p>
        </w:tc>
        <w:tc>
          <w:tcPr>
            <w:tcW w:w="483"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7E764E29" w14:textId="61D8A8BF">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96%</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5D4D4F" w:rsidP="00604F19" w14:paraId="1BA17448" w14:textId="4FCEA351">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93%</w:t>
            </w:r>
          </w:p>
        </w:tc>
        <w:tc>
          <w:tcPr>
            <w:tcW w:w="67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1BF6AB86" w14:textId="01708782">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99%†</w:t>
            </w:r>
          </w:p>
        </w:tc>
        <w:tc>
          <w:tcPr>
            <w:tcW w:w="43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611F0473" w14:textId="550B3CC6">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98%†</w:t>
            </w:r>
          </w:p>
        </w:tc>
        <w:tc>
          <w:tcPr>
            <w:tcW w:w="434"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7DFAA8A2" w14:textId="2B275AC3">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95%</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14244E88" w14:textId="1FD1C02F">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98%†</w:t>
            </w:r>
          </w:p>
        </w:tc>
        <w:tc>
          <w:tcPr>
            <w:tcW w:w="385" w:type="pct"/>
            <w:tcBorders>
              <w:top w:val="single" w:sz="8" w:space="0" w:color="auto"/>
              <w:left w:val="single" w:sz="8" w:space="0" w:color="auto"/>
              <w:bottom w:val="single" w:sz="8" w:space="0" w:color="auto"/>
              <w:right w:val="single" w:sz="8" w:space="0" w:color="auto"/>
            </w:tcBorders>
            <w:shd w:val="clear" w:color="auto" w:fill="auto"/>
            <w:vAlign w:val="bottom"/>
          </w:tcPr>
          <w:p w:rsidR="00604F19" w:rsidRPr="00604F19" w:rsidP="00604F19" w14:paraId="4FE57EAA" w14:textId="4CC6A0A4">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100%†</w:t>
            </w:r>
          </w:p>
        </w:tc>
        <w:tc>
          <w:tcPr>
            <w:tcW w:w="521" w:type="pct"/>
            <w:tcBorders>
              <w:top w:val="single" w:sz="8" w:space="0" w:color="auto"/>
              <w:left w:val="nil"/>
              <w:bottom w:val="single" w:sz="4" w:space="0" w:color="auto"/>
              <w:right w:val="single" w:sz="12" w:space="0" w:color="auto"/>
            </w:tcBorders>
            <w:shd w:val="clear" w:color="auto" w:fill="auto"/>
            <w:vAlign w:val="bottom"/>
          </w:tcPr>
          <w:p w:rsidR="00604F19" w:rsidRPr="00604F19" w:rsidP="00604F19" w14:paraId="32390FA2" w14:textId="7B0D9E0C">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100%†</w:t>
            </w:r>
          </w:p>
        </w:tc>
      </w:tr>
      <w:tr w14:paraId="45A0566D" w14:textId="77777777" w:rsidTr="00BB6145">
        <w:tblPrEx>
          <w:tblW w:w="5000" w:type="pct"/>
          <w:tblInd w:w="0" w:type="dxa"/>
          <w:tblLayout w:type="fixed"/>
          <w:tblCellMar>
            <w:top w:w="0" w:type="dxa"/>
            <w:left w:w="108" w:type="dxa"/>
            <w:bottom w:w="0" w:type="dxa"/>
            <w:right w:w="108" w:type="dxa"/>
          </w:tblCellMar>
          <w:tblLook w:val="0000"/>
        </w:tblPrEx>
        <w:trPr>
          <w:trHeight w:hRule="exact" w:val="245"/>
        </w:trPr>
        <w:tc>
          <w:tcPr>
            <w:tcW w:w="571" w:type="pct"/>
            <w:vMerge/>
            <w:tcBorders>
              <w:top w:val="single" w:sz="8" w:space="0" w:color="auto"/>
              <w:left w:val="single" w:sz="12" w:space="0" w:color="auto"/>
              <w:bottom w:val="single" w:sz="12" w:space="0" w:color="auto"/>
              <w:right w:val="single" w:sz="8" w:space="0" w:color="auto"/>
            </w:tcBorders>
            <w:vAlign w:val="center"/>
          </w:tcPr>
          <w:p w:rsidR="00604F19" w:rsidRPr="00973EC6" w:rsidP="00604F19" w14:paraId="3821978C" w14:textId="77777777">
            <w:pPr>
              <w:keepNext/>
              <w:widowControl/>
              <w:suppressAutoHyphens/>
              <w:rPr>
                <w:rStyle w:val="DefaultParagraphFont"/>
                <w:b/>
                <w:snapToGrid w:val="0"/>
                <w:kern w:val="0"/>
                <w:sz w:val="20"/>
                <w:lang w:val="en-US" w:eastAsia="en-US" w:bidi="ar-SA"/>
              </w:rPr>
            </w:pPr>
          </w:p>
        </w:tc>
        <w:tc>
          <w:tcPr>
            <w:tcW w:w="434" w:type="pct"/>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7BBF989E" w14:textId="77777777">
            <w:pPr>
              <w:keepNext/>
              <w:widowControl/>
              <w:suppressAutoHyphens/>
              <w:rPr>
                <w:rStyle w:val="DefaultParagraphFont"/>
                <w:b/>
                <w:snapToGrid w:val="0"/>
                <w:kern w:val="0"/>
                <w:sz w:val="20"/>
                <w:lang w:val="en-US" w:eastAsia="en-US" w:bidi="ar-SA"/>
              </w:rPr>
            </w:pPr>
            <w:r w:rsidRPr="005D4D4F">
              <w:rPr>
                <w:b/>
                <w:snapToGrid w:val="0"/>
                <w:kern w:val="0"/>
                <w:sz w:val="20"/>
                <w:lang w:val="en-US" w:eastAsia="en-US" w:bidi="ar-SA"/>
              </w:rPr>
              <w:t>RCU</w:t>
            </w:r>
          </w:p>
        </w:tc>
        <w:tc>
          <w:tcPr>
            <w:tcW w:w="483" w:type="pct"/>
            <w:gridSpan w:val="2"/>
            <w:tcBorders>
              <w:top w:val="single" w:sz="8" w:space="0" w:color="auto"/>
              <w:left w:val="single" w:sz="8" w:space="0" w:color="auto"/>
              <w:bottom w:val="single" w:sz="12" w:space="0" w:color="auto"/>
              <w:right w:val="single" w:sz="8" w:space="0" w:color="auto"/>
            </w:tcBorders>
            <w:shd w:val="clear" w:color="auto" w:fill="auto"/>
            <w:vAlign w:val="bottom"/>
          </w:tcPr>
          <w:p w:rsidR="00604F19" w:rsidRPr="005D4D4F" w:rsidP="00604F19" w14:paraId="004EDF89" w14:textId="72EA5560">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95%</w:t>
            </w:r>
          </w:p>
        </w:tc>
        <w:tc>
          <w:tcPr>
            <w:tcW w:w="626" w:type="pct"/>
            <w:tcBorders>
              <w:top w:val="single" w:sz="8" w:space="0" w:color="auto"/>
              <w:left w:val="nil"/>
              <w:bottom w:val="single" w:sz="12" w:space="0" w:color="auto"/>
              <w:right w:val="single" w:sz="8" w:space="0" w:color="auto"/>
            </w:tcBorders>
            <w:shd w:val="clear" w:color="auto" w:fill="auto"/>
            <w:vAlign w:val="bottom"/>
          </w:tcPr>
          <w:p w:rsidR="00604F19" w:rsidRPr="005D4D4F" w:rsidP="00604F19" w14:paraId="6CE2413D" w14:textId="22DA3F49">
            <w:pPr>
              <w:widowControl w:val="0"/>
              <w:suppressAutoHyphens/>
              <w:jc w:val="center"/>
              <w:rPr>
                <w:rStyle w:val="DefaultParagraphFont"/>
                <w:snapToGrid w:val="0"/>
                <w:kern w:val="28"/>
                <w:sz w:val="20"/>
                <w:lang w:val="en-US" w:eastAsia="en-US" w:bidi="ar-SA"/>
              </w:rPr>
            </w:pPr>
            <w:r w:rsidRPr="005D4D4F">
              <w:rPr>
                <w:snapToGrid w:val="0"/>
                <w:kern w:val="28"/>
                <w:sz w:val="20"/>
                <w:lang w:val="en-US" w:eastAsia="en-US" w:bidi="ar-SA"/>
              </w:rPr>
              <w:t>93%</w:t>
            </w:r>
          </w:p>
        </w:tc>
        <w:tc>
          <w:tcPr>
            <w:tcW w:w="675" w:type="pct"/>
            <w:tcBorders>
              <w:top w:val="single" w:sz="8" w:space="0" w:color="auto"/>
              <w:left w:val="nil"/>
              <w:bottom w:val="single" w:sz="12" w:space="0" w:color="auto"/>
              <w:right w:val="single" w:sz="8" w:space="0" w:color="auto"/>
            </w:tcBorders>
            <w:shd w:val="clear" w:color="auto" w:fill="auto"/>
            <w:vAlign w:val="bottom"/>
          </w:tcPr>
          <w:p w:rsidR="00604F19" w:rsidRPr="00604F19" w:rsidP="00604F19" w14:paraId="3EEDC363" w14:textId="547536D5">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98%†</w:t>
            </w:r>
          </w:p>
        </w:tc>
        <w:tc>
          <w:tcPr>
            <w:tcW w:w="435" w:type="pct"/>
            <w:tcBorders>
              <w:top w:val="single" w:sz="8" w:space="0" w:color="auto"/>
              <w:left w:val="nil"/>
              <w:bottom w:val="single" w:sz="12" w:space="0" w:color="auto"/>
              <w:right w:val="single" w:sz="8" w:space="0" w:color="auto"/>
            </w:tcBorders>
            <w:shd w:val="clear" w:color="auto" w:fill="auto"/>
            <w:vAlign w:val="bottom"/>
          </w:tcPr>
          <w:p w:rsidR="00604F19" w:rsidRPr="00604F19" w:rsidP="00604F19" w14:paraId="426D895A" w14:textId="2FC5689D">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97%†</w:t>
            </w:r>
          </w:p>
        </w:tc>
        <w:tc>
          <w:tcPr>
            <w:tcW w:w="434" w:type="pct"/>
            <w:tcBorders>
              <w:top w:val="single" w:sz="8" w:space="0" w:color="auto"/>
              <w:left w:val="nil"/>
              <w:bottom w:val="single" w:sz="12" w:space="0" w:color="auto"/>
              <w:right w:val="single" w:sz="8" w:space="0" w:color="auto"/>
            </w:tcBorders>
            <w:shd w:val="clear" w:color="auto" w:fill="auto"/>
            <w:vAlign w:val="bottom"/>
          </w:tcPr>
          <w:p w:rsidR="00604F19" w:rsidRPr="00604F19" w:rsidP="00604F19" w14:paraId="7F3B1A1B" w14:textId="434B23B4">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88%</w:t>
            </w:r>
          </w:p>
        </w:tc>
        <w:tc>
          <w:tcPr>
            <w:tcW w:w="436" w:type="pct"/>
            <w:tcBorders>
              <w:top w:val="single" w:sz="8" w:space="0" w:color="auto"/>
              <w:left w:val="nil"/>
              <w:bottom w:val="single" w:sz="12" w:space="0" w:color="auto"/>
              <w:right w:val="single" w:sz="8" w:space="0" w:color="auto"/>
            </w:tcBorders>
            <w:shd w:val="clear" w:color="auto" w:fill="auto"/>
            <w:vAlign w:val="bottom"/>
          </w:tcPr>
          <w:p w:rsidR="00604F19" w:rsidRPr="00604F19" w:rsidP="00604F19" w14:paraId="19658AE7" w14:textId="34A593F9">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96%†</w:t>
            </w:r>
          </w:p>
        </w:tc>
        <w:tc>
          <w:tcPr>
            <w:tcW w:w="385" w:type="pct"/>
            <w:tcBorders>
              <w:top w:val="single" w:sz="8" w:space="0" w:color="auto"/>
              <w:left w:val="nil"/>
              <w:bottom w:val="single" w:sz="12" w:space="0" w:color="auto"/>
              <w:right w:val="single" w:sz="8" w:space="0" w:color="auto"/>
            </w:tcBorders>
            <w:shd w:val="clear" w:color="auto" w:fill="auto"/>
            <w:vAlign w:val="bottom"/>
          </w:tcPr>
          <w:p w:rsidR="00604F19" w:rsidRPr="00604F19" w:rsidP="00604F19" w14:paraId="678E7497" w14:textId="4F2A7A4B">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99%†</w:t>
            </w:r>
          </w:p>
        </w:tc>
        <w:tc>
          <w:tcPr>
            <w:tcW w:w="521" w:type="pct"/>
            <w:tcBorders>
              <w:top w:val="nil"/>
              <w:left w:val="nil"/>
              <w:bottom w:val="single" w:sz="12" w:space="0" w:color="auto"/>
              <w:right w:val="single" w:sz="12" w:space="0" w:color="auto"/>
            </w:tcBorders>
            <w:shd w:val="clear" w:color="auto" w:fill="auto"/>
            <w:vAlign w:val="bottom"/>
          </w:tcPr>
          <w:p w:rsidR="00604F19" w:rsidRPr="00604F19" w:rsidP="00604F19" w14:paraId="5F1BB94B" w14:textId="2BA269FC">
            <w:pPr>
              <w:widowControl w:val="0"/>
              <w:suppressAutoHyphens/>
              <w:jc w:val="center"/>
              <w:rPr>
                <w:rStyle w:val="DefaultParagraphFont"/>
                <w:snapToGrid w:val="0"/>
                <w:kern w:val="28"/>
                <w:sz w:val="20"/>
                <w:lang w:val="en-US" w:eastAsia="en-US" w:bidi="ar-SA"/>
              </w:rPr>
            </w:pPr>
            <w:r w:rsidRPr="00127DB2">
              <w:rPr>
                <w:snapToGrid w:val="0"/>
                <w:kern w:val="28"/>
                <w:sz w:val="20"/>
                <w:lang w:val="en-US" w:eastAsia="en-US" w:bidi="ar-SA"/>
              </w:rPr>
              <w:t>100%†</w:t>
            </w:r>
          </w:p>
        </w:tc>
      </w:tr>
      <w:tr w14:paraId="7D3B9D0E" w14:textId="77777777" w:rsidTr="00BB6145">
        <w:tblPrEx>
          <w:tblW w:w="5000" w:type="pct"/>
          <w:tblInd w:w="0" w:type="dxa"/>
          <w:tblLayout w:type="fixed"/>
          <w:tblCellMar>
            <w:top w:w="0" w:type="dxa"/>
            <w:left w:w="108" w:type="dxa"/>
            <w:bottom w:w="0" w:type="dxa"/>
            <w:right w:w="108" w:type="dxa"/>
          </w:tblCellMar>
          <w:tblLook w:val="0000"/>
        </w:tblPrEx>
        <w:trPr>
          <w:trHeight w:hRule="exact" w:val="885"/>
        </w:trPr>
        <w:tc>
          <w:tcPr>
            <w:tcW w:w="5000" w:type="pct"/>
            <w:gridSpan w:val="11"/>
            <w:tcBorders>
              <w:top w:val="single" w:sz="12" w:space="0" w:color="auto"/>
            </w:tcBorders>
            <w:vAlign w:val="center"/>
          </w:tcPr>
          <w:p w:rsidR="00973EC6" w:rsidP="00604F19" w14:paraId="18689942" w14:textId="38237DE5">
            <w:pPr>
              <w:widowControl w:val="0"/>
              <w:suppressAutoHyphens/>
              <w:rPr>
                <w:rStyle w:val="DefaultParagraphFont"/>
                <w:snapToGrid/>
                <w:kern w:val="0"/>
                <w:sz w:val="20"/>
                <w:lang w:val="en-US" w:eastAsia="en-US" w:bidi="ar-SA"/>
              </w:rPr>
            </w:pPr>
            <w:r w:rsidRPr="00973EC6">
              <w:rPr>
                <w:snapToGrid w:val="0"/>
                <w:kern w:val="28"/>
                <w:sz w:val="20"/>
                <w:lang w:val="en-US" w:eastAsia="en-US" w:bidi="ar-SA"/>
              </w:rPr>
              <w:t>Source:</w:t>
            </w:r>
            <w:r w:rsidR="00921DD1">
              <w:rPr>
                <w:snapToGrid w:val="0"/>
                <w:kern w:val="28"/>
                <w:sz w:val="20"/>
                <w:lang w:val="en-US" w:eastAsia="en-US" w:bidi="ar-SA"/>
              </w:rPr>
              <w:t xml:space="preserve"> </w:t>
            </w:r>
            <w:r w:rsidRPr="00973EC6">
              <w:rPr>
                <w:snapToGrid w:val="0"/>
                <w:kern w:val="28"/>
                <w:sz w:val="20"/>
                <w:lang w:val="en-US" w:eastAsia="en-US" w:bidi="ar-SA"/>
              </w:rPr>
              <w:t xml:space="preserve"> 2016 </w:t>
            </w:r>
            <w:r w:rsidR="00AA0CF2">
              <w:rPr>
                <w:snapToGrid w:val="0"/>
                <w:kern w:val="28"/>
                <w:sz w:val="20"/>
                <w:lang w:val="en-US" w:eastAsia="en-US" w:bidi="ar-SA"/>
              </w:rPr>
              <w:t>s</w:t>
            </w:r>
            <w:r w:rsidRPr="00973EC6">
              <w:rPr>
                <w:snapToGrid w:val="0"/>
                <w:kern w:val="28"/>
                <w:sz w:val="20"/>
                <w:lang w:val="en-US" w:eastAsia="en-US" w:bidi="ar-SA"/>
              </w:rPr>
              <w:t>urvey.</w:t>
            </w:r>
            <w:r w:rsidR="00604F19">
              <w:rPr>
                <w:snapToGrid w:val="0"/>
                <w:kern w:val="28"/>
                <w:sz w:val="20"/>
                <w:lang w:val="en-US" w:eastAsia="en-US" w:bidi="ar-SA"/>
              </w:rPr>
              <w:t xml:space="preserve"> </w:t>
            </w:r>
            <w:r w:rsidR="00921DD1">
              <w:rPr>
                <w:snapToGrid w:val="0"/>
                <w:kern w:val="28"/>
                <w:sz w:val="20"/>
                <w:lang w:val="en-US" w:eastAsia="en-US" w:bidi="ar-SA"/>
              </w:rPr>
              <w:t xml:space="preserve"> </w:t>
            </w:r>
            <w:r w:rsidR="00824F05">
              <w:rPr>
                <w:snapToGrid/>
                <w:kern w:val="0"/>
                <w:sz w:val="20"/>
                <w:lang w:val="en-US" w:eastAsia="en-US" w:bidi="ar-SA"/>
              </w:rPr>
              <w:t>†</w:t>
            </w:r>
            <w:r w:rsidR="00473C43">
              <w:rPr>
                <w:snapToGrid/>
                <w:kern w:val="0"/>
                <w:sz w:val="20"/>
                <w:lang w:val="en-US" w:eastAsia="en-US" w:bidi="ar-SA"/>
              </w:rPr>
              <w:t>Indicates</w:t>
            </w:r>
            <w:r w:rsidR="00604F19">
              <w:rPr>
                <w:snapToGrid/>
                <w:kern w:val="0"/>
                <w:sz w:val="20"/>
                <w:lang w:val="en-US" w:eastAsia="en-US" w:bidi="ar-SA"/>
              </w:rPr>
              <w:t xml:space="preserve"> percentage of subscribers in the indicated group receiving a particular feature and the percentage of subscribers in the noncompetitive group re</w:t>
            </w:r>
            <w:r w:rsidR="00136D0E">
              <w:rPr>
                <w:snapToGrid/>
                <w:kern w:val="0"/>
                <w:sz w:val="20"/>
                <w:lang w:val="en-US" w:eastAsia="en-US" w:bidi="ar-SA"/>
              </w:rPr>
              <w:t xml:space="preserve">ceiving </w:t>
            </w:r>
            <w:r w:rsidR="00604F19">
              <w:rPr>
                <w:snapToGrid/>
                <w:kern w:val="0"/>
                <w:sz w:val="20"/>
                <w:lang w:val="en-US" w:eastAsia="en-US" w:bidi="ar-SA"/>
              </w:rPr>
              <w:t>the same feature are statistically different at 95% confidence level.</w:t>
            </w:r>
          </w:p>
          <w:p w:rsidR="00604F19" w:rsidRPr="00973EC6" w:rsidP="00604F19" w14:paraId="332067D1" w14:textId="10EF414A">
            <w:pPr>
              <w:widowControl w:val="0"/>
              <w:suppressAutoHyphens/>
              <w:rPr>
                <w:rStyle w:val="DefaultParagraphFont"/>
                <w:snapToGrid w:val="0"/>
                <w:kern w:val="28"/>
                <w:sz w:val="20"/>
                <w:lang w:val="en-US" w:eastAsia="en-US" w:bidi="ar-SA"/>
              </w:rPr>
            </w:pPr>
          </w:p>
        </w:tc>
      </w:tr>
    </w:tbl>
    <w:p w:rsidR="00F26D39" w:rsidP="00EE4D37" w14:paraId="2FFD2BD5" w14:textId="3A9C8320">
      <w:pPr>
        <w:pStyle w:val="Heading2"/>
      </w:pPr>
      <w:bookmarkStart w:id="69" w:name="_Toc456873887"/>
      <w:bookmarkStart w:id="70" w:name="_Toc456874099"/>
      <w:r>
        <w:t>Broadcast Retransmission Consent</w:t>
      </w:r>
    </w:p>
    <w:p w:rsidR="00167D5D" w:rsidRPr="00BB6A72" w14:paraId="5EBC5E46" w14:textId="23B3622F">
      <w:pPr>
        <w:pStyle w:val="Paranum0"/>
        <w:numPr>
          <w:ilvl w:val="0"/>
          <w:numId w:val="12"/>
        </w:numPr>
        <w:tabs>
          <w:tab w:val="clear" w:pos="1080"/>
          <w:tab w:val="num" w:pos="1440"/>
        </w:tabs>
        <w:suppressAutoHyphens/>
        <w:spacing w:after="240"/>
        <w:jc w:val="left"/>
        <w:rPr>
          <w:szCs w:val="22"/>
        </w:rPr>
      </w:pPr>
      <w:bookmarkEnd w:id="69"/>
      <w:bookmarkEnd w:id="70"/>
      <w:r w:rsidRPr="00BB6A72">
        <w:t>Section 110 of the STELA Reauthorization Act of 2014 (</w:t>
      </w:r>
      <w:r w:rsidRPr="00BB6A72" w:rsidR="005A3519">
        <w:t>STELAR</w:t>
      </w:r>
      <w:r w:rsidRPr="00BB6A72">
        <w:t>)</w:t>
      </w:r>
      <w:r w:rsidRPr="00BB6A72" w:rsidR="005A3519">
        <w:t xml:space="preserve"> requires the Commission </w:t>
      </w:r>
      <w:r w:rsidRPr="00BB6A72" w:rsidR="00263A25">
        <w:t xml:space="preserve">to </w:t>
      </w:r>
      <w:r w:rsidRPr="00BB6A72" w:rsidR="005A3519">
        <w:t>report on retransmission consent fees</w:t>
      </w:r>
      <w:r w:rsidR="001D0156">
        <w:t xml:space="preserve"> paid by cable operators to broadcast stations or groups</w:t>
      </w:r>
      <w:r w:rsidRPr="00BB6A72" w:rsidR="005A3519">
        <w:t>.</w:t>
      </w:r>
      <w:r>
        <w:rPr>
          <w:rStyle w:val="FootnoteReference"/>
          <w:sz w:val="22"/>
          <w:szCs w:val="22"/>
        </w:rPr>
        <w:footnoteReference w:id="43"/>
      </w:r>
      <w:r w:rsidRPr="00BB6A72" w:rsidR="005A3519">
        <w:t xml:space="preserve">  Therefore, the survey asked</w:t>
      </w:r>
      <w:r w:rsidRPr="00BB6A72" w:rsidR="005A3519">
        <w:rPr>
          <w:szCs w:val="22"/>
        </w:rPr>
        <w:t xml:space="preserve"> operators </w:t>
      </w:r>
      <w:r w:rsidR="00C31C48">
        <w:rPr>
          <w:szCs w:val="22"/>
        </w:rPr>
        <w:t xml:space="preserve">to </w:t>
      </w:r>
      <w:r w:rsidRPr="00BB6A72" w:rsidR="005A3519">
        <w:rPr>
          <w:szCs w:val="22"/>
        </w:rPr>
        <w:t xml:space="preserve">report the aggregate amount </w:t>
      </w:r>
      <w:r w:rsidRPr="00BB6A72" w:rsidR="00263A25">
        <w:rPr>
          <w:szCs w:val="22"/>
        </w:rPr>
        <w:t>of</w:t>
      </w:r>
      <w:r w:rsidRPr="00BB6A72" w:rsidR="005A3519">
        <w:rPr>
          <w:szCs w:val="22"/>
        </w:rPr>
        <w:t xml:space="preserve"> retransmission consent fees paid to broadcasters</w:t>
      </w:r>
      <w:r w:rsidR="00AA0CF2">
        <w:rPr>
          <w:szCs w:val="22"/>
        </w:rPr>
        <w:t xml:space="preserve"> and </w:t>
      </w:r>
      <w:r w:rsidRPr="00D13B49" w:rsidR="00AA0CF2">
        <w:rPr>
          <w:szCs w:val="22"/>
        </w:rPr>
        <w:t xml:space="preserve">the number of subscribers </w:t>
      </w:r>
      <w:r w:rsidR="0066645B">
        <w:rPr>
          <w:szCs w:val="22"/>
        </w:rPr>
        <w:t>covered by</w:t>
      </w:r>
      <w:r w:rsidR="00AA0CF2">
        <w:rPr>
          <w:szCs w:val="22"/>
        </w:rPr>
        <w:t xml:space="preserve"> retransmission consent payment</w:t>
      </w:r>
      <w:r w:rsidR="0066645B">
        <w:rPr>
          <w:szCs w:val="22"/>
        </w:rPr>
        <w:t>s</w:t>
      </w:r>
      <w:r w:rsidRPr="00BB6A72" w:rsidR="005A3519">
        <w:rPr>
          <w:szCs w:val="22"/>
        </w:rPr>
        <w:t xml:space="preserve"> </w:t>
      </w:r>
      <w:r w:rsidR="00AA0CF2">
        <w:rPr>
          <w:szCs w:val="22"/>
        </w:rPr>
        <w:t>in</w:t>
      </w:r>
      <w:r w:rsidRPr="00BB6A72" w:rsidR="005A3519">
        <w:rPr>
          <w:szCs w:val="22"/>
        </w:rPr>
        <w:t xml:space="preserve"> </w:t>
      </w:r>
      <w:r w:rsidR="00AA0CF2">
        <w:rPr>
          <w:szCs w:val="22"/>
        </w:rPr>
        <w:t>2014 and 2015.</w:t>
      </w:r>
      <w:r w:rsidR="00C31C48">
        <w:rPr>
          <w:szCs w:val="22"/>
        </w:rPr>
        <w:t xml:space="preserve"> </w:t>
      </w:r>
      <w:r w:rsidRPr="00BB6A72" w:rsidR="005A3519">
        <w:rPr>
          <w:szCs w:val="22"/>
        </w:rPr>
        <w:t xml:space="preserve">The instructions requested that </w:t>
      </w:r>
      <w:r w:rsidRPr="00BB6A72" w:rsidR="004F3BA0">
        <w:rPr>
          <w:szCs w:val="22"/>
        </w:rPr>
        <w:t xml:space="preserve">respondents exclude </w:t>
      </w:r>
      <w:r w:rsidR="002F3127">
        <w:rPr>
          <w:szCs w:val="22"/>
        </w:rPr>
        <w:t>other</w:t>
      </w:r>
      <w:r w:rsidRPr="00BB6A72" w:rsidR="004F3BA0">
        <w:rPr>
          <w:szCs w:val="22"/>
        </w:rPr>
        <w:t xml:space="preserve"> fees</w:t>
      </w:r>
      <w:r w:rsidR="00DA59A6">
        <w:rPr>
          <w:szCs w:val="22"/>
        </w:rPr>
        <w:t xml:space="preserve"> </w:t>
      </w:r>
      <w:r w:rsidRPr="00BB6A72" w:rsidR="005A3519">
        <w:rPr>
          <w:szCs w:val="22"/>
        </w:rPr>
        <w:t>such as copyright fees.</w:t>
      </w:r>
      <w:r w:rsidR="00AA0CF2">
        <w:rPr>
          <w:szCs w:val="22"/>
        </w:rPr>
        <w:t xml:space="preserve"> In addition, operators reported the number of broadcast stations carried pursuant to retransmission consent agreement.</w:t>
      </w:r>
    </w:p>
    <w:p w:rsidR="00633968" w:rsidP="00C87B34" w14:paraId="2D767147" w14:textId="0C8A77F9">
      <w:pPr>
        <w:pStyle w:val="Paranum0"/>
        <w:numPr>
          <w:ilvl w:val="0"/>
          <w:numId w:val="12"/>
        </w:numPr>
        <w:suppressAutoHyphens/>
        <w:spacing w:after="240"/>
        <w:jc w:val="left"/>
        <w:rPr>
          <w:szCs w:val="22"/>
        </w:rPr>
      </w:pPr>
      <w:r w:rsidRPr="00BB6A72">
        <w:rPr>
          <w:szCs w:val="22"/>
        </w:rPr>
        <w:t xml:space="preserve">Table 10 presents information on retransmission consent compensation. </w:t>
      </w:r>
      <w:r w:rsidR="00393840">
        <w:rPr>
          <w:szCs w:val="22"/>
        </w:rPr>
        <w:t xml:space="preserve"> </w:t>
      </w:r>
      <w:r w:rsidRPr="00BB6A72">
        <w:rPr>
          <w:szCs w:val="22"/>
        </w:rPr>
        <w:t xml:space="preserve">Average annual retransmission consent fees </w:t>
      </w:r>
      <w:r w:rsidR="002D39AF">
        <w:rPr>
          <w:szCs w:val="22"/>
        </w:rPr>
        <w:t xml:space="preserve">calculated on a </w:t>
      </w:r>
      <w:r w:rsidRPr="00BB6A72">
        <w:rPr>
          <w:szCs w:val="22"/>
        </w:rPr>
        <w:t xml:space="preserve">per subscriber </w:t>
      </w:r>
      <w:r w:rsidR="009E6A92">
        <w:rPr>
          <w:szCs w:val="22"/>
        </w:rPr>
        <w:t xml:space="preserve">basis </w:t>
      </w:r>
      <w:r w:rsidRPr="00BB6A72">
        <w:rPr>
          <w:szCs w:val="22"/>
        </w:rPr>
        <w:t>increased by about one-third, rising from $42.6</w:t>
      </w:r>
      <w:r>
        <w:rPr>
          <w:szCs w:val="22"/>
        </w:rPr>
        <w:t>7</w:t>
      </w:r>
      <w:r w:rsidRPr="00BB6A72">
        <w:rPr>
          <w:szCs w:val="22"/>
        </w:rPr>
        <w:t xml:space="preserve"> to $57.</w:t>
      </w:r>
      <w:r>
        <w:rPr>
          <w:szCs w:val="22"/>
        </w:rPr>
        <w:t>21</w:t>
      </w:r>
      <w:r w:rsidRPr="00BB6A72">
        <w:rPr>
          <w:szCs w:val="22"/>
        </w:rPr>
        <w:t xml:space="preserve"> from 2014 to 2015.</w:t>
      </w:r>
      <w:r>
        <w:rPr>
          <w:rStyle w:val="FootnoteReference"/>
          <w:szCs w:val="22"/>
        </w:rPr>
        <w:footnoteReference w:id="44"/>
      </w:r>
      <w:r w:rsidRPr="00BB6A72">
        <w:rPr>
          <w:szCs w:val="22"/>
        </w:rPr>
        <w:t xml:space="preserve"> </w:t>
      </w:r>
      <w:r w:rsidR="00393840">
        <w:rPr>
          <w:szCs w:val="22"/>
        </w:rPr>
        <w:t xml:space="preserve"> </w:t>
      </w:r>
      <w:r w:rsidRPr="00BB6A72">
        <w:rPr>
          <w:szCs w:val="22"/>
        </w:rPr>
        <w:t xml:space="preserve">The number of broadcast stations </w:t>
      </w:r>
      <w:r w:rsidRPr="00E2307B">
        <w:rPr>
          <w:szCs w:val="22"/>
        </w:rPr>
        <w:t xml:space="preserve">carried </w:t>
      </w:r>
      <w:r w:rsidRPr="00E2307B" w:rsidR="0017725E">
        <w:rPr>
          <w:szCs w:val="22"/>
        </w:rPr>
        <w:t xml:space="preserve">per cable system </w:t>
      </w:r>
      <w:r w:rsidRPr="00E2307B">
        <w:rPr>
          <w:szCs w:val="22"/>
        </w:rPr>
        <w:t xml:space="preserve">under retransmission consent </w:t>
      </w:r>
      <w:r w:rsidRPr="00E2307B" w:rsidR="0080186F">
        <w:rPr>
          <w:szCs w:val="22"/>
        </w:rPr>
        <w:t>agreements did</w:t>
      </w:r>
      <w:r w:rsidRPr="00E2307B" w:rsidR="00E21668">
        <w:rPr>
          <w:szCs w:val="22"/>
        </w:rPr>
        <w:t xml:space="preserve"> not change between</w:t>
      </w:r>
      <w:r w:rsidRPr="00E2307B">
        <w:rPr>
          <w:szCs w:val="22"/>
        </w:rPr>
        <w:t xml:space="preserve"> 2014 and 2015: about nine broadcast stations were carried </w:t>
      </w:r>
      <w:r w:rsidRPr="00E2307B" w:rsidR="0017725E">
        <w:rPr>
          <w:szCs w:val="22"/>
        </w:rPr>
        <w:t xml:space="preserve">per cable system </w:t>
      </w:r>
      <w:r w:rsidRPr="00E2307B">
        <w:rPr>
          <w:szCs w:val="22"/>
        </w:rPr>
        <w:t xml:space="preserve">under retransmission consent </w:t>
      </w:r>
      <w:r w:rsidRPr="00E2307B">
        <w:rPr>
          <w:szCs w:val="22"/>
        </w:rPr>
        <w:t>each year.</w:t>
      </w:r>
      <w:r w:rsidRPr="00BB6A72">
        <w:rPr>
          <w:szCs w:val="22"/>
        </w:rPr>
        <w:t xml:space="preserve"> </w:t>
      </w:r>
      <w:r w:rsidR="00393840">
        <w:rPr>
          <w:szCs w:val="22"/>
        </w:rPr>
        <w:t xml:space="preserve"> </w:t>
      </w:r>
      <w:r w:rsidRPr="00BB6A72">
        <w:rPr>
          <w:szCs w:val="22"/>
        </w:rPr>
        <w:t>Therefore, fees paid per subscriber per station also increased by approximately one-third.</w:t>
      </w:r>
      <w:r w:rsidR="002235A5">
        <w:rPr>
          <w:szCs w:val="22"/>
        </w:rPr>
        <w:t xml:space="preserve"> </w:t>
      </w:r>
      <w:r w:rsidRPr="00BB6A72">
        <w:rPr>
          <w:szCs w:val="22"/>
        </w:rPr>
        <w:t xml:space="preserve"> </w:t>
      </w:r>
      <w:r w:rsidR="001D0156">
        <w:rPr>
          <w:szCs w:val="22"/>
        </w:rPr>
        <w:t>Average m</w:t>
      </w:r>
      <w:r w:rsidRPr="00BB6A72">
        <w:rPr>
          <w:szCs w:val="22"/>
        </w:rPr>
        <w:t xml:space="preserve">onthly retransmission consent fees paid </w:t>
      </w:r>
      <w:r w:rsidRPr="00C87B34" w:rsidR="00C87B34">
        <w:rPr>
          <w:szCs w:val="22"/>
        </w:rPr>
        <w:t xml:space="preserve">by cable systems to broadcast stations </w:t>
      </w:r>
      <w:r w:rsidR="00386501">
        <w:rPr>
          <w:szCs w:val="22"/>
        </w:rPr>
        <w:t xml:space="preserve">on a </w:t>
      </w:r>
      <w:r w:rsidRPr="00BB6A72">
        <w:rPr>
          <w:szCs w:val="22"/>
        </w:rPr>
        <w:t xml:space="preserve">per subscriber per station </w:t>
      </w:r>
      <w:r w:rsidR="00386501">
        <w:rPr>
          <w:szCs w:val="22"/>
        </w:rPr>
        <w:t xml:space="preserve">basis </w:t>
      </w:r>
      <w:r w:rsidRPr="00BB6A72">
        <w:rPr>
          <w:szCs w:val="22"/>
        </w:rPr>
        <w:t>increased from $0.45 to $0.61 from 2014 to 2015.</w:t>
      </w:r>
      <w:r>
        <w:rPr>
          <w:rStyle w:val="FootnoteReference"/>
        </w:rPr>
        <w:footnoteReference w:id="45"/>
      </w:r>
      <w:r w:rsidR="00393840">
        <w:rPr>
          <w:szCs w:val="22"/>
        </w:rPr>
        <w:t xml:space="preserve"> </w:t>
      </w:r>
      <w:r w:rsidR="00FE5B71">
        <w:rPr>
          <w:szCs w:val="22"/>
        </w:rPr>
        <w:t xml:space="preserve"> </w:t>
      </w:r>
      <w:r w:rsidRPr="00BB6A72">
        <w:rPr>
          <w:szCs w:val="22"/>
        </w:rPr>
        <w:t xml:space="preserve">In the sample, a total of $1.6 billion in retransmission consent fees were reported for 2014. </w:t>
      </w:r>
      <w:r w:rsidR="002235A5">
        <w:rPr>
          <w:szCs w:val="22"/>
        </w:rPr>
        <w:t xml:space="preserve"> </w:t>
      </w:r>
      <w:r w:rsidRPr="00BB6A72">
        <w:rPr>
          <w:szCs w:val="22"/>
        </w:rPr>
        <w:t xml:space="preserve">In 2015, the total was $2.2 billion. </w:t>
      </w:r>
      <w:r w:rsidR="00393840">
        <w:rPr>
          <w:szCs w:val="22"/>
        </w:rPr>
        <w:t xml:space="preserve"> </w:t>
      </w:r>
      <w:r w:rsidRPr="00BB6A72">
        <w:rPr>
          <w:szCs w:val="22"/>
        </w:rPr>
        <w:t>Operators</w:t>
      </w:r>
      <w:r>
        <w:rPr>
          <w:szCs w:val="22"/>
        </w:rPr>
        <w:t xml:space="preserve"> in the sample</w:t>
      </w:r>
      <w:r w:rsidRPr="00BB6A72">
        <w:rPr>
          <w:szCs w:val="22"/>
        </w:rPr>
        <w:t xml:space="preserve"> reported fees for about 43 million subscribers each year. </w:t>
      </w:r>
    </w:p>
    <w:p w:rsidR="00E37013" w:rsidRPr="00BB6A72" w:rsidP="00BB6A72" w14:paraId="1CC1F2D0" w14:textId="21651EC8">
      <w:pPr>
        <w:widowControl/>
        <w:rPr>
          <w:szCs w:val="22"/>
        </w:rPr>
      </w:pPr>
      <w:r>
        <w:rPr>
          <w:szCs w:val="22"/>
        </w:rPr>
        <w:br w:type="page"/>
      </w:r>
    </w:p>
    <w:tbl>
      <w:tblPr>
        <w:tblW w:w="5000" w:type="pct"/>
        <w:tblInd w:w="0" w:type="dxa"/>
        <w:tblCellMar>
          <w:top w:w="0" w:type="dxa"/>
          <w:left w:w="108" w:type="dxa"/>
          <w:bottom w:w="0" w:type="dxa"/>
          <w:right w:w="108" w:type="dxa"/>
        </w:tblCellMar>
        <w:tblLook w:val="04A0"/>
      </w:tblPr>
      <w:tblGrid>
        <w:gridCol w:w="4413"/>
        <w:gridCol w:w="1761"/>
        <w:gridCol w:w="1761"/>
        <w:gridCol w:w="1395"/>
      </w:tblGrid>
      <w:tr w14:paraId="2D1DFDD1" w14:textId="77777777" w:rsidTr="00405C25">
        <w:tblPrEx>
          <w:tblW w:w="5000" w:type="pct"/>
          <w:tblInd w:w="0" w:type="dxa"/>
          <w:tblCellMar>
            <w:top w:w="0" w:type="dxa"/>
            <w:left w:w="108" w:type="dxa"/>
            <w:bottom w:w="0" w:type="dxa"/>
            <w:right w:w="108" w:type="dxa"/>
          </w:tblCellMar>
          <w:tblLook w:val="04A0"/>
        </w:tblPrEx>
        <w:trPr>
          <w:cantSplit/>
          <w:trHeight w:hRule="exact" w:val="1152"/>
        </w:trPr>
        <w:tc>
          <w:tcPr>
            <w:tcW w:w="9350"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52C10" w:rsidP="000A4C5C" w14:paraId="2DE0CBBA" w14:textId="23F45EF0">
            <w:pPr>
              <w:widowControl/>
              <w:jc w:val="center"/>
              <w:rPr>
                <w:rStyle w:val="DefaultParagraphFont"/>
                <w:b/>
                <w:bCs/>
                <w:snapToGrid/>
                <w:kern w:val="0"/>
                <w:sz w:val="22"/>
                <w:szCs w:val="22"/>
                <w:lang w:val="en-US" w:eastAsia="en-US" w:bidi="ar-SA"/>
              </w:rPr>
            </w:pPr>
            <w:r>
              <w:rPr>
                <w:b/>
                <w:bCs/>
                <w:snapToGrid/>
                <w:kern w:val="0"/>
                <w:sz w:val="22"/>
                <w:szCs w:val="22"/>
                <w:lang w:val="en-US" w:eastAsia="en-US" w:bidi="ar-SA"/>
              </w:rPr>
              <w:t>Table 10</w:t>
            </w:r>
          </w:p>
          <w:p w:rsidR="00633968" w:rsidRPr="00C52C10" w:rsidP="0066645B" w14:paraId="3ADF8C81" w14:textId="106E1760">
            <w:pPr>
              <w:widowControl/>
              <w:jc w:val="center"/>
              <w:rPr>
                <w:rStyle w:val="DefaultParagraphFont"/>
                <w:b/>
                <w:bCs/>
                <w:snapToGrid/>
                <w:kern w:val="0"/>
                <w:sz w:val="22"/>
                <w:szCs w:val="22"/>
                <w:lang w:val="en-US" w:eastAsia="en-US" w:bidi="ar-SA"/>
              </w:rPr>
            </w:pPr>
            <w:r>
              <w:rPr>
                <w:b/>
                <w:bCs/>
                <w:snapToGrid/>
                <w:kern w:val="0"/>
                <w:sz w:val="22"/>
                <w:szCs w:val="22"/>
                <w:lang w:val="en-US" w:eastAsia="en-US" w:bidi="ar-SA"/>
              </w:rPr>
              <w:t>Retransmission Consent Fees and Subscribers</w:t>
            </w:r>
          </w:p>
        </w:tc>
      </w:tr>
      <w:tr w14:paraId="18CD42EB" w14:textId="77777777" w:rsidTr="00BB6A72">
        <w:tblPrEx>
          <w:tblW w:w="5000" w:type="pct"/>
          <w:tblInd w:w="0" w:type="dxa"/>
          <w:tblCellMar>
            <w:top w:w="0" w:type="dxa"/>
            <w:left w:w="108" w:type="dxa"/>
            <w:bottom w:w="0" w:type="dxa"/>
            <w:right w:w="108" w:type="dxa"/>
          </w:tblCellMar>
          <w:tblLook w:val="04A0"/>
        </w:tblPrEx>
        <w:trPr>
          <w:cantSplit/>
          <w:trHeight w:val="570"/>
        </w:trPr>
        <w:tc>
          <w:tcPr>
            <w:tcW w:w="442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52C10" w:rsidRPr="00C52C10" w:rsidP="00C52C10" w14:paraId="3B362E51" w14:textId="6A837B64">
            <w:pPr>
              <w:widowControl/>
              <w:jc w:val="center"/>
              <w:rPr>
                <w:rStyle w:val="DefaultParagraphFont"/>
                <w:b/>
                <w:bCs/>
                <w:snapToGrid/>
                <w:kern w:val="0"/>
                <w:sz w:val="22"/>
                <w:szCs w:val="22"/>
                <w:lang w:val="en-US" w:eastAsia="en-US" w:bidi="ar-SA"/>
              </w:rPr>
            </w:pPr>
            <w:r w:rsidRPr="00C52C10">
              <w:rPr>
                <w:b/>
                <w:bCs/>
                <w:snapToGrid/>
                <w:kern w:val="0"/>
                <w:sz w:val="22"/>
                <w:szCs w:val="22"/>
                <w:lang w:val="en-US" w:eastAsia="en-US" w:bidi="ar-SA"/>
              </w:rPr>
              <w:t> </w:t>
            </w:r>
          </w:p>
        </w:tc>
        <w:tc>
          <w:tcPr>
            <w:tcW w:w="17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52C10" w:rsidRPr="00C52C10" w:rsidP="00C52C10" w14:paraId="289BA40E" w14:textId="77777777">
            <w:pPr>
              <w:widowControl/>
              <w:jc w:val="center"/>
              <w:rPr>
                <w:rStyle w:val="DefaultParagraphFont"/>
                <w:b/>
                <w:bCs/>
                <w:snapToGrid/>
                <w:kern w:val="0"/>
                <w:sz w:val="22"/>
                <w:szCs w:val="22"/>
                <w:lang w:val="en-US" w:eastAsia="en-US" w:bidi="ar-SA"/>
              </w:rPr>
            </w:pPr>
            <w:r w:rsidRPr="00C52C10">
              <w:rPr>
                <w:b/>
                <w:bCs/>
                <w:snapToGrid/>
                <w:kern w:val="0"/>
                <w:sz w:val="22"/>
                <w:szCs w:val="22"/>
                <w:lang w:val="en-US" w:eastAsia="en-US" w:bidi="ar-SA"/>
              </w:rPr>
              <w:t>2014</w:t>
            </w:r>
          </w:p>
        </w:tc>
        <w:tc>
          <w:tcPr>
            <w:tcW w:w="176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52C10" w:rsidRPr="00C52C10" w:rsidP="00C52C10" w14:paraId="75F183A0" w14:textId="77777777">
            <w:pPr>
              <w:widowControl/>
              <w:jc w:val="center"/>
              <w:rPr>
                <w:rStyle w:val="DefaultParagraphFont"/>
                <w:b/>
                <w:bCs/>
                <w:snapToGrid/>
                <w:kern w:val="0"/>
                <w:sz w:val="22"/>
                <w:szCs w:val="22"/>
                <w:lang w:val="en-US" w:eastAsia="en-US" w:bidi="ar-SA"/>
              </w:rPr>
            </w:pPr>
            <w:r w:rsidRPr="00C52C10">
              <w:rPr>
                <w:b/>
                <w:bCs/>
                <w:snapToGrid/>
                <w:kern w:val="0"/>
                <w:sz w:val="22"/>
                <w:szCs w:val="22"/>
                <w:lang w:val="en-US" w:eastAsia="en-US" w:bidi="ar-SA"/>
              </w:rPr>
              <w:t>2015</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C52C10" w:rsidP="00C52C10" w14:paraId="4D538976" w14:textId="77777777">
            <w:pPr>
              <w:widowControl/>
              <w:jc w:val="center"/>
              <w:rPr>
                <w:rStyle w:val="DefaultParagraphFont"/>
                <w:b/>
                <w:bCs/>
                <w:snapToGrid/>
                <w:kern w:val="0"/>
                <w:sz w:val="22"/>
                <w:szCs w:val="22"/>
                <w:lang w:val="en-US" w:eastAsia="en-US" w:bidi="ar-SA"/>
              </w:rPr>
            </w:pPr>
            <w:r w:rsidRPr="00C52C10">
              <w:rPr>
                <w:b/>
                <w:bCs/>
                <w:snapToGrid/>
                <w:kern w:val="0"/>
                <w:sz w:val="22"/>
                <w:szCs w:val="22"/>
                <w:lang w:val="en-US" w:eastAsia="en-US" w:bidi="ar-SA"/>
              </w:rPr>
              <w:t>Percent Change</w:t>
            </w:r>
          </w:p>
        </w:tc>
      </w:tr>
      <w:tr w14:paraId="24FE2F0C"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158CFD0D" w14:textId="38AFCA9F">
            <w:pPr>
              <w:widowControl/>
              <w:rPr>
                <w:rStyle w:val="DefaultParagraphFont"/>
                <w:b/>
                <w:bCs/>
                <w:snapToGrid/>
                <w:kern w:val="0"/>
                <w:sz w:val="20"/>
                <w:lang w:val="en-US" w:eastAsia="en-US" w:bidi="ar-SA"/>
              </w:rPr>
            </w:pPr>
            <w:r w:rsidRPr="00BB6A72">
              <w:rPr>
                <w:b/>
                <w:bCs/>
                <w:snapToGrid/>
                <w:kern w:val="0"/>
                <w:sz w:val="20"/>
                <w:lang w:val="en-US" w:eastAsia="en-US" w:bidi="ar-SA"/>
              </w:rPr>
              <w:t>Average annual retransmission consent fees paid per cable system</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5CD4A0BB" w14:textId="4AFD02DD">
            <w:pPr>
              <w:widowControl/>
              <w:jc w:val="center"/>
              <w:rPr>
                <w:rStyle w:val="DefaultParagraphFont"/>
                <w:snapToGrid/>
                <w:kern w:val="0"/>
                <w:sz w:val="20"/>
                <w:lang w:val="en-US" w:eastAsia="en-US" w:bidi="ar-SA"/>
              </w:rPr>
            </w:pPr>
            <w:r w:rsidRPr="00BB6A72">
              <w:rPr>
                <w:snapToGrid/>
                <w:kern w:val="0"/>
                <w:sz w:val="20"/>
                <w:lang w:val="en-US" w:eastAsia="en-US" w:bidi="ar-SA"/>
              </w:rPr>
              <w:t>$13,620,191</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64270AEF" w14:textId="6763AE9A">
            <w:pPr>
              <w:widowControl/>
              <w:jc w:val="center"/>
              <w:rPr>
                <w:rStyle w:val="DefaultParagraphFont"/>
                <w:snapToGrid/>
                <w:kern w:val="0"/>
                <w:sz w:val="20"/>
                <w:lang w:val="en-US" w:eastAsia="en-US" w:bidi="ar-SA"/>
              </w:rPr>
            </w:pPr>
            <w:r w:rsidRPr="00BB6A72">
              <w:rPr>
                <w:snapToGrid/>
                <w:kern w:val="0"/>
                <w:sz w:val="20"/>
                <w:lang w:val="en-US" w:eastAsia="en-US" w:bidi="ar-SA"/>
              </w:rPr>
              <w:t>$18,235,472</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48DB6D55" w14:textId="762E2D5F">
            <w:pPr>
              <w:widowControl/>
              <w:jc w:val="center"/>
              <w:rPr>
                <w:rStyle w:val="DefaultParagraphFont"/>
                <w:snapToGrid/>
                <w:kern w:val="0"/>
                <w:sz w:val="20"/>
                <w:lang w:val="en-US" w:eastAsia="en-US" w:bidi="ar-SA"/>
              </w:rPr>
            </w:pPr>
            <w:r w:rsidRPr="00BB6A72">
              <w:rPr>
                <w:snapToGrid/>
                <w:kern w:val="0"/>
                <w:sz w:val="20"/>
                <w:lang w:val="en-US" w:eastAsia="en-US" w:bidi="ar-SA"/>
              </w:rPr>
              <w:t>33.9%*</w:t>
            </w:r>
          </w:p>
        </w:tc>
      </w:tr>
      <w:tr w14:paraId="6330E857"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465F98AE" w14:textId="5A8A6C17">
            <w:pPr>
              <w:widowControl/>
              <w:rPr>
                <w:rStyle w:val="DefaultParagraphFont"/>
                <w:b/>
                <w:bCs/>
                <w:snapToGrid/>
                <w:kern w:val="0"/>
                <w:sz w:val="20"/>
                <w:lang w:val="en-US" w:eastAsia="en-US" w:bidi="ar-SA"/>
              </w:rPr>
            </w:pPr>
            <w:r w:rsidRPr="00BB6A72">
              <w:rPr>
                <w:b/>
                <w:bCs/>
                <w:snapToGrid/>
                <w:kern w:val="0"/>
                <w:sz w:val="20"/>
                <w:lang w:val="en-US" w:eastAsia="en-US" w:bidi="ar-SA"/>
              </w:rPr>
              <w:t>Average number of subscribers subject to retransmission consent per cable system</w:t>
            </w:r>
            <w:r>
              <w:rPr>
                <w:rStyle w:val="FootnoteReference"/>
                <w:bCs/>
                <w:snapToGrid/>
                <w:kern w:val="0"/>
              </w:rPr>
              <w:footnoteReference w:id="46"/>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5C712353"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374,454</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B65185E"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370,643</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064B998"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-1.0%</w:t>
            </w:r>
          </w:p>
        </w:tc>
      </w:tr>
      <w:tr w14:paraId="640FC16E"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664E2FA3" w14:textId="77777777">
            <w:pPr>
              <w:widowControl/>
              <w:rPr>
                <w:rStyle w:val="DefaultParagraphFont"/>
                <w:b/>
                <w:bCs/>
                <w:snapToGrid/>
                <w:kern w:val="0"/>
                <w:sz w:val="20"/>
                <w:lang w:val="en-US" w:eastAsia="en-US" w:bidi="ar-SA"/>
              </w:rPr>
            </w:pPr>
            <w:r w:rsidRPr="00BB6A72">
              <w:rPr>
                <w:b/>
                <w:bCs/>
                <w:snapToGrid/>
                <w:kern w:val="0"/>
                <w:sz w:val="20"/>
                <w:lang w:val="en-US" w:eastAsia="en-US" w:bidi="ar-SA"/>
              </w:rPr>
              <w:t>Average annual retransmission consent fees paid per subscriber</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60867ED8"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$42.67</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22BCFD43"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$57.21</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474CB02E"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34.1%*</w:t>
            </w:r>
          </w:p>
        </w:tc>
      </w:tr>
      <w:tr w14:paraId="398FF5F7"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04C1141A" w14:textId="77777777">
            <w:pPr>
              <w:widowControl/>
              <w:rPr>
                <w:rStyle w:val="DefaultParagraphFont"/>
                <w:b/>
                <w:bCs/>
                <w:snapToGrid/>
                <w:kern w:val="0"/>
                <w:sz w:val="20"/>
                <w:lang w:val="en-US" w:eastAsia="en-US" w:bidi="ar-SA"/>
              </w:rPr>
            </w:pPr>
            <w:r w:rsidRPr="00BB6A72">
              <w:rPr>
                <w:b/>
                <w:bCs/>
                <w:snapToGrid/>
                <w:kern w:val="0"/>
                <w:sz w:val="20"/>
                <w:lang w:val="en-US" w:eastAsia="en-US" w:bidi="ar-SA"/>
              </w:rPr>
              <w:t xml:space="preserve">Average number of broadcast stations </w:t>
            </w:r>
          </w:p>
          <w:p w:rsidR="00C52C10" w:rsidRPr="00BB6A72" w:rsidP="00C52C10" w14:paraId="4B7C884E" w14:textId="7E2CCF35">
            <w:pPr>
              <w:widowControl/>
              <w:rPr>
                <w:rStyle w:val="DefaultParagraphFont"/>
                <w:b/>
                <w:bCs/>
                <w:snapToGrid/>
                <w:kern w:val="0"/>
                <w:sz w:val="20"/>
                <w:lang w:val="en-US" w:eastAsia="en-US" w:bidi="ar-SA"/>
              </w:rPr>
            </w:pPr>
            <w:r w:rsidRPr="00BB6A72">
              <w:rPr>
                <w:b/>
                <w:bCs/>
                <w:snapToGrid/>
                <w:kern w:val="0"/>
                <w:sz w:val="20"/>
                <w:lang w:val="en-US" w:eastAsia="en-US" w:bidi="ar-SA"/>
              </w:rPr>
              <w:t>carried pursuant to retransmission consent per cable system</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0385EF08"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9.34</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442FBF74"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9.43</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6D08BCC"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0.9%</w:t>
            </w:r>
          </w:p>
        </w:tc>
      </w:tr>
      <w:tr w14:paraId="5C4705F4"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62DBCB16" w14:textId="41E1D039">
            <w:pPr>
              <w:widowControl/>
              <w:rPr>
                <w:rStyle w:val="DefaultParagraphFont"/>
                <w:b/>
                <w:bCs/>
                <w:snapToGrid/>
                <w:kern w:val="0"/>
                <w:sz w:val="20"/>
                <w:lang w:val="en-US" w:eastAsia="en-US" w:bidi="ar-SA"/>
              </w:rPr>
            </w:pPr>
            <w:r w:rsidRPr="00BB6A72">
              <w:rPr>
                <w:b/>
                <w:bCs/>
                <w:snapToGrid/>
                <w:kern w:val="0"/>
                <w:sz w:val="20"/>
                <w:lang w:val="en-US" w:eastAsia="en-US" w:bidi="ar-SA"/>
              </w:rPr>
              <w:t>Average monthly retransmission consent fees paid per cable subscriber per station</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250AFA56" w14:textId="0EFDE7F6">
            <w:pPr>
              <w:widowControl/>
              <w:jc w:val="center"/>
              <w:rPr>
                <w:rStyle w:val="DefaultParagraphFont"/>
                <w:snapToGrid/>
                <w:kern w:val="0"/>
                <w:sz w:val="20"/>
                <w:lang w:val="en-US" w:eastAsia="en-US" w:bidi="ar-SA"/>
              </w:rPr>
            </w:pPr>
            <w:r w:rsidRPr="00BB6A72">
              <w:rPr>
                <w:snapToGrid/>
                <w:kern w:val="0"/>
                <w:sz w:val="20"/>
                <w:lang w:val="en-US" w:eastAsia="en-US" w:bidi="ar-SA"/>
              </w:rPr>
              <w:t>$0.45</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31328BEF" w14:textId="3DB88642">
            <w:pPr>
              <w:widowControl/>
              <w:jc w:val="center"/>
              <w:rPr>
                <w:rStyle w:val="DefaultParagraphFont"/>
                <w:snapToGrid/>
                <w:kern w:val="0"/>
                <w:sz w:val="20"/>
                <w:lang w:val="en-US" w:eastAsia="en-US" w:bidi="ar-SA"/>
              </w:rPr>
            </w:pPr>
            <w:r w:rsidRPr="00BB6A72">
              <w:rPr>
                <w:snapToGrid/>
                <w:kern w:val="0"/>
                <w:sz w:val="20"/>
                <w:lang w:val="en-US" w:eastAsia="en-US" w:bidi="ar-SA"/>
              </w:rPr>
              <w:t>$0.61</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B2F2FBB" w14:textId="6B036D29">
            <w:pPr>
              <w:widowControl/>
              <w:jc w:val="center"/>
              <w:rPr>
                <w:rStyle w:val="DefaultParagraphFont"/>
                <w:snapToGrid/>
                <w:kern w:val="0"/>
                <w:sz w:val="20"/>
                <w:lang w:val="en-US" w:eastAsia="en-US" w:bidi="ar-SA"/>
              </w:rPr>
            </w:pPr>
            <w:r w:rsidRPr="00BB6A72">
              <w:rPr>
                <w:snapToGrid/>
                <w:kern w:val="0"/>
                <w:sz w:val="20"/>
                <w:lang w:val="en-US" w:eastAsia="en-US" w:bidi="ar-SA"/>
              </w:rPr>
              <w:t>35.6%*</w:t>
            </w:r>
          </w:p>
        </w:tc>
      </w:tr>
      <w:tr w14:paraId="1ACEBD9A"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2BBC4692" w14:textId="3B455851">
            <w:pPr>
              <w:widowControl/>
              <w:rPr>
                <w:rStyle w:val="DefaultParagraphFont"/>
                <w:b/>
                <w:bCs/>
                <w:snapToGrid/>
                <w:kern w:val="0"/>
                <w:sz w:val="20"/>
                <w:lang w:val="en-US" w:eastAsia="en-US" w:bidi="ar-SA"/>
              </w:rPr>
            </w:pPr>
            <w:r w:rsidRPr="00BB6A72">
              <w:rPr>
                <w:b/>
                <w:bCs/>
                <w:snapToGrid/>
                <w:kern w:val="0"/>
                <w:sz w:val="20"/>
                <w:lang w:val="en-US" w:eastAsia="en-US" w:bidi="ar-SA"/>
              </w:rPr>
              <w:t>Total retransmission consent fees reported in sample</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0EC1C36"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$1,646,487,680</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2D034745"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$2,216,816,896</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1D1DB16"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34.6%</w:t>
            </w:r>
          </w:p>
        </w:tc>
      </w:tr>
      <w:tr w14:paraId="100B3E20" w14:textId="77777777" w:rsidTr="00BB6A72">
        <w:tblPrEx>
          <w:tblW w:w="5000" w:type="pct"/>
          <w:tblInd w:w="0" w:type="dxa"/>
          <w:tblCellMar>
            <w:top w:w="0" w:type="dxa"/>
            <w:left w:w="108" w:type="dxa"/>
            <w:bottom w:w="0" w:type="dxa"/>
            <w:right w:w="108" w:type="dxa"/>
          </w:tblCellMar>
          <w:tblLook w:val="04A0"/>
        </w:tblPrEx>
        <w:trPr>
          <w:cantSplit/>
          <w:trHeight w:hRule="exact" w:val="864"/>
        </w:trPr>
        <w:tc>
          <w:tcPr>
            <w:tcW w:w="44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084C71EC" w14:textId="77777777">
            <w:pPr>
              <w:widowControl/>
              <w:rPr>
                <w:rStyle w:val="DefaultParagraphFont"/>
                <w:b/>
                <w:bCs/>
                <w:snapToGrid/>
                <w:kern w:val="0"/>
                <w:sz w:val="20"/>
                <w:lang w:val="en-US" w:eastAsia="en-US" w:bidi="ar-SA"/>
              </w:rPr>
            </w:pPr>
            <w:r w:rsidRPr="00BB6A72">
              <w:rPr>
                <w:b/>
                <w:bCs/>
                <w:snapToGrid/>
                <w:kern w:val="0"/>
                <w:sz w:val="20"/>
                <w:lang w:val="en-US" w:eastAsia="en-US" w:bidi="ar-SA"/>
              </w:rPr>
              <w:t>Total subscribers under retransmission consent reported in sample</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77BB2E51"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43,110,624</w:t>
            </w:r>
          </w:p>
        </w:tc>
        <w:tc>
          <w:tcPr>
            <w:tcW w:w="176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62ECD37B"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43,009,208</w:t>
            </w:r>
          </w:p>
        </w:tc>
        <w:tc>
          <w:tcPr>
            <w:tcW w:w="13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52C10" w:rsidRPr="00BB6A72" w:rsidP="00C52C10" w14:paraId="327A11D7" w14:textId="77777777">
            <w:pPr>
              <w:widowControl/>
              <w:jc w:val="center"/>
              <w:rPr>
                <w:rStyle w:val="DefaultParagraphFont"/>
                <w:snapToGrid/>
                <w:kern w:val="0"/>
                <w:sz w:val="20"/>
                <w:lang w:val="en-US" w:eastAsia="en-US" w:bidi="ar-SA"/>
              </w:rPr>
            </w:pPr>
            <w:r w:rsidRPr="00BB6A72">
              <w:rPr>
                <w:snapToGrid/>
                <w:kern w:val="0"/>
                <w:sz w:val="20"/>
                <w:lang w:val="en-US" w:eastAsia="en-US" w:bidi="ar-SA"/>
              </w:rPr>
              <w:t>-0.2%</w:t>
            </w:r>
          </w:p>
        </w:tc>
      </w:tr>
    </w:tbl>
    <w:p w:rsidR="005A3519" w:rsidRPr="00BB6A72" w:rsidP="00BB6A72" w14:paraId="59B144ED" w14:textId="4D5BEFA0">
      <w:pPr>
        <w:pStyle w:val="Paranum0"/>
        <w:tabs>
          <w:tab w:val="clear" w:pos="1080"/>
        </w:tabs>
        <w:suppressAutoHyphens/>
        <w:spacing w:after="240"/>
        <w:ind w:firstLine="0"/>
        <w:jc w:val="left"/>
        <w:rPr>
          <w:sz w:val="20"/>
        </w:rPr>
      </w:pPr>
      <w:r w:rsidRPr="000A4C5C">
        <w:rPr>
          <w:sz w:val="20"/>
        </w:rPr>
        <w:t xml:space="preserve">Source: </w:t>
      </w:r>
      <w:r w:rsidR="00921DD1">
        <w:rPr>
          <w:sz w:val="20"/>
        </w:rPr>
        <w:t xml:space="preserve"> </w:t>
      </w:r>
      <w:r w:rsidRPr="000A4C5C">
        <w:rPr>
          <w:sz w:val="20"/>
        </w:rPr>
        <w:t>2016 s</w:t>
      </w:r>
      <w:r w:rsidRPr="00BB6A72" w:rsidR="00361674">
        <w:rPr>
          <w:sz w:val="20"/>
        </w:rPr>
        <w:t xml:space="preserve">urvey. </w:t>
      </w:r>
      <w:r w:rsidR="00921DD1">
        <w:rPr>
          <w:sz w:val="20"/>
        </w:rPr>
        <w:t xml:space="preserve"> </w:t>
      </w:r>
      <w:r w:rsidRPr="00BB6A72" w:rsidR="00361674">
        <w:rPr>
          <w:sz w:val="20"/>
        </w:rPr>
        <w:t xml:space="preserve">*Indicates annual change is statistically significant at the 95% confidence level. </w:t>
      </w:r>
      <w:r w:rsidR="00921DD1">
        <w:rPr>
          <w:sz w:val="20"/>
        </w:rPr>
        <w:t xml:space="preserve"> </w:t>
      </w:r>
      <w:r w:rsidRPr="00BB6A72" w:rsidR="00361674">
        <w:rPr>
          <w:sz w:val="20"/>
        </w:rPr>
        <w:t xml:space="preserve">Note: </w:t>
      </w:r>
      <w:r w:rsidR="00921DD1">
        <w:rPr>
          <w:sz w:val="20"/>
        </w:rPr>
        <w:t xml:space="preserve"> </w:t>
      </w:r>
      <w:r w:rsidRPr="00BB6A72" w:rsidR="00361674">
        <w:rPr>
          <w:sz w:val="20"/>
        </w:rPr>
        <w:t xml:space="preserve">It is not appropriate to apply a test of statistical significance to total retransmission consent fees or total subscribers under retransmission consent. </w:t>
      </w:r>
      <w:r w:rsidR="00921DD1">
        <w:rPr>
          <w:sz w:val="20"/>
        </w:rPr>
        <w:t xml:space="preserve"> </w:t>
      </w:r>
      <w:r w:rsidRPr="00BB6A72" w:rsidR="00361674">
        <w:rPr>
          <w:sz w:val="20"/>
        </w:rPr>
        <w:t>In the sample, total retransmission consent fees and total subscribers are known quantities.</w:t>
      </w:r>
    </w:p>
    <w:p w:rsidR="00405C25" w:rsidP="00E81F3B" w14:paraId="70CF3DB5" w14:textId="60A801A7">
      <w:pPr>
        <w:pStyle w:val="Paranum0"/>
        <w:numPr>
          <w:ilvl w:val="0"/>
          <w:numId w:val="12"/>
        </w:numPr>
        <w:tabs>
          <w:tab w:val="clear" w:pos="1080"/>
          <w:tab w:val="num" w:pos="1440"/>
        </w:tabs>
        <w:suppressAutoHyphens/>
        <w:spacing w:after="240"/>
        <w:jc w:val="left"/>
      </w:pPr>
      <w:r w:rsidRPr="00BB6A72">
        <w:t>To track changes in retransmission consent fees over time, Table 11 provides an index that reflects the annual changes reported in the two surveys that have collected retransmission consent data.</w:t>
      </w:r>
      <w:r>
        <w:rPr>
          <w:vertAlign w:val="superscript"/>
        </w:rPr>
        <w:footnoteReference w:id="47"/>
      </w:r>
      <w:r w:rsidRPr="00BB6A72">
        <w:t xml:space="preserve">  </w:t>
      </w:r>
      <w:r>
        <w:t>T</w:t>
      </w:r>
      <w:r w:rsidRPr="00BB6A72">
        <w:t xml:space="preserve">he base year of the index </w:t>
      </w:r>
      <w:r>
        <w:t xml:space="preserve">is 2013 </w:t>
      </w:r>
      <w:r w:rsidRPr="00BB6A72">
        <w:t>and the index’s value for 2014 reflects the increase in retransmission consent fees from 2013 t</w:t>
      </w:r>
      <w:r w:rsidRPr="0066645B" w:rsidR="000A4C5C">
        <w:t>o 2014 as reported in the 2015 s</w:t>
      </w:r>
      <w:r w:rsidRPr="00BB6A72">
        <w:t xml:space="preserve">urvey, the first </w:t>
      </w:r>
      <w:r>
        <w:t>s</w:t>
      </w:r>
      <w:r w:rsidRPr="00BB6A72">
        <w:t>urvey that collected</w:t>
      </w:r>
      <w:bookmarkStart w:id="74" w:name="_Hlk481951709"/>
      <w:r w:rsidRPr="00BB6A72">
        <w:t xml:space="preserve"> data on retransmission consent fees.</w:t>
      </w:r>
      <w:r>
        <w:rPr>
          <w:vertAlign w:val="superscript"/>
        </w:rPr>
        <w:footnoteReference w:id="48"/>
      </w:r>
      <w:r w:rsidRPr="00BB6A72">
        <w:t xml:space="preserve">  The index shows that the growth of retransmission consent fees has slowed. </w:t>
      </w:r>
      <w:r w:rsidR="00E81F3B">
        <w:t xml:space="preserve"> </w:t>
      </w:r>
      <w:r w:rsidRPr="00BB6A72">
        <w:t xml:space="preserve">Over </w:t>
      </w:r>
      <w:r w:rsidR="00CC072C">
        <w:t xml:space="preserve">the </w:t>
      </w:r>
      <w:r w:rsidRPr="00BB6A72">
        <w:t>2013-2014</w:t>
      </w:r>
      <w:r w:rsidR="00CC072C">
        <w:t xml:space="preserve"> </w:t>
      </w:r>
      <w:r w:rsidRPr="005B35F0" w:rsidR="00CC072C">
        <w:t>period</w:t>
      </w:r>
      <w:r w:rsidRPr="00BB6A72">
        <w:t xml:space="preserve">, retransmission consent fees per subscriber increased by 50 percent while </w:t>
      </w:r>
      <w:r w:rsidR="00CC072C">
        <w:t xml:space="preserve">the </w:t>
      </w:r>
      <w:r w:rsidRPr="00BB6A72">
        <w:t>2014-2015</w:t>
      </w:r>
      <w:r w:rsidR="00CC072C">
        <w:t xml:space="preserve"> </w:t>
      </w:r>
      <w:r w:rsidRPr="005B35F0" w:rsidR="00CC072C">
        <w:t>period</w:t>
      </w:r>
      <w:r w:rsidRPr="00BB6A72">
        <w:t xml:space="preserve"> showed an increase in fees per subscriber of 34</w:t>
      </w:r>
      <w:r>
        <w:t>.1</w:t>
      </w:r>
      <w:r w:rsidRPr="00BB6A72">
        <w:t xml:space="preserve"> percent. </w:t>
      </w:r>
      <w:r w:rsidR="00E81F3B">
        <w:t xml:space="preserve"> </w:t>
      </w:r>
      <w:r w:rsidRPr="00BB6A72">
        <w:t>Over the 2013-2015</w:t>
      </w:r>
      <w:r w:rsidR="00CC072C">
        <w:t xml:space="preserve"> </w:t>
      </w:r>
      <w:r w:rsidRPr="005B35F0" w:rsidR="00CC072C">
        <w:t>period</w:t>
      </w:r>
      <w:r w:rsidRPr="00BB6A72">
        <w:t>, the compound average annual rate of increase was 47.8 percent and 41.8 percent for retransmission consent fees and fees per subscriber</w:t>
      </w:r>
      <w:bookmarkEnd w:id="74"/>
      <w:r w:rsidR="00CC072C">
        <w:t>,</w:t>
      </w:r>
      <w:r w:rsidRPr="00BB6A72">
        <w:t xml:space="preserve"> respectively.</w:t>
      </w:r>
    </w:p>
    <w:tbl>
      <w:tblPr>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Look w:val="04A0"/>
      </w:tblPr>
      <w:tblGrid>
        <w:gridCol w:w="1881"/>
        <w:gridCol w:w="3732"/>
        <w:gridCol w:w="3717"/>
      </w:tblGrid>
      <w:tr w14:paraId="43F6AE9B" w14:textId="77777777" w:rsidTr="001366A4">
        <w:tblPrEx>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Look w:val="04A0"/>
        </w:tblPrEx>
        <w:trPr>
          <w:trHeight w:val="1008"/>
        </w:trPr>
        <w:tc>
          <w:tcPr>
            <w:tcW w:w="5000" w:type="pct"/>
            <w:gridSpan w:val="3"/>
            <w:shd w:val="clear" w:color="auto" w:fill="auto"/>
            <w:noWrap/>
            <w:vAlign w:val="center"/>
            <w:hideMark/>
          </w:tcPr>
          <w:p w:rsidR="00405C25" w:rsidP="001366A4" w14:paraId="6153E6BE" w14:textId="77777777">
            <w:pPr>
              <w:widowControl/>
              <w:jc w:val="center"/>
              <w:rPr>
                <w:rStyle w:val="DefaultParagraphFont"/>
                <w:b/>
                <w:bCs/>
                <w:snapToGrid/>
                <w:color w:val="000000"/>
                <w:kern w:val="0"/>
                <w:sz w:val="22"/>
                <w:szCs w:val="22"/>
                <w:lang w:val="en-US" w:eastAsia="en-US" w:bidi="ar-SA"/>
              </w:rPr>
            </w:pPr>
            <w:r w:rsidRPr="00BB6A72">
              <w:rPr>
                <w:b/>
                <w:bCs/>
                <w:snapToGrid/>
                <w:color w:val="000000"/>
                <w:kern w:val="0"/>
                <w:sz w:val="22"/>
                <w:szCs w:val="22"/>
                <w:lang w:val="en-US" w:eastAsia="en-US" w:bidi="ar-SA"/>
              </w:rPr>
              <w:t>Table 11</w:t>
            </w:r>
          </w:p>
          <w:p w:rsidR="00405C25" w:rsidP="001366A4" w14:paraId="6AC7DEC3" w14:textId="77777777">
            <w:pPr>
              <w:widowControl/>
              <w:jc w:val="center"/>
              <w:rPr>
                <w:rStyle w:val="DefaultParagraphFont"/>
                <w:b/>
                <w:bCs/>
                <w:snapToGrid/>
                <w:color w:val="000000"/>
                <w:kern w:val="0"/>
                <w:sz w:val="22"/>
                <w:szCs w:val="22"/>
                <w:lang w:val="en-US" w:eastAsia="en-US" w:bidi="ar-SA"/>
              </w:rPr>
            </w:pPr>
            <w:r>
              <w:rPr>
                <w:b/>
                <w:bCs/>
                <w:snapToGrid/>
                <w:color w:val="000000"/>
                <w:kern w:val="0"/>
                <w:sz w:val="22"/>
                <w:szCs w:val="22"/>
                <w:lang w:val="en-US" w:eastAsia="en-US" w:bidi="ar-SA"/>
              </w:rPr>
              <w:t>Changes in Retransmission Consent Fees</w:t>
            </w:r>
          </w:p>
          <w:p w:rsidR="00405C25" w:rsidRPr="00BB6A72" w:rsidP="001366A4" w14:paraId="10B9D395" w14:textId="77777777">
            <w:pPr>
              <w:widowControl/>
              <w:jc w:val="center"/>
              <w:rPr>
                <w:rStyle w:val="DefaultParagraphFont"/>
                <w:bCs/>
                <w:snapToGrid/>
                <w:color w:val="000000"/>
                <w:kern w:val="0"/>
                <w:sz w:val="22"/>
                <w:szCs w:val="22"/>
                <w:lang w:val="en-US" w:eastAsia="en-US" w:bidi="ar-SA"/>
              </w:rPr>
            </w:pPr>
            <w:r w:rsidRPr="00BB6A72">
              <w:rPr>
                <w:bCs/>
                <w:snapToGrid/>
                <w:color w:val="000000"/>
                <w:kern w:val="0"/>
                <w:sz w:val="22"/>
                <w:szCs w:val="22"/>
                <w:lang w:val="en-US" w:eastAsia="en-US" w:bidi="ar-SA"/>
              </w:rPr>
              <w:t>2013-2015</w:t>
            </w:r>
          </w:p>
        </w:tc>
      </w:tr>
      <w:tr w14:paraId="774F0561" w14:textId="77777777" w:rsidTr="001366A4">
        <w:tblPrEx>
          <w:tblW w:w="5000" w:type="pct"/>
          <w:tblInd w:w="0" w:type="dxa"/>
          <w:tblCellMar>
            <w:top w:w="0" w:type="dxa"/>
            <w:left w:w="108" w:type="dxa"/>
            <w:bottom w:w="0" w:type="dxa"/>
            <w:right w:w="108" w:type="dxa"/>
          </w:tblCellMar>
          <w:tblLook w:val="04A0"/>
        </w:tblPrEx>
        <w:trPr>
          <w:trHeight w:val="900"/>
        </w:trPr>
        <w:tc>
          <w:tcPr>
            <w:tcW w:w="1008" w:type="pct"/>
            <w:shd w:val="clear" w:color="auto" w:fill="auto"/>
            <w:noWrap/>
            <w:vAlign w:val="center"/>
            <w:hideMark/>
          </w:tcPr>
          <w:p w:rsidR="00405C25" w:rsidRPr="00361674" w:rsidP="001366A4" w14:paraId="699541FA" w14:textId="77777777">
            <w:pPr>
              <w:widowControl/>
              <w:jc w:val="center"/>
              <w:rPr>
                <w:rStyle w:val="DefaultParagraphFont"/>
                <w:b/>
                <w:bCs/>
                <w:snapToGrid/>
                <w:color w:val="000000"/>
                <w:kern w:val="0"/>
                <w:sz w:val="22"/>
                <w:szCs w:val="22"/>
                <w:lang w:val="en-US" w:eastAsia="en-US" w:bidi="ar-SA"/>
              </w:rPr>
            </w:pPr>
            <w:r w:rsidRPr="00361674">
              <w:rPr>
                <w:b/>
                <w:bCs/>
                <w:snapToGrid/>
                <w:color w:val="000000"/>
                <w:kern w:val="0"/>
                <w:sz w:val="22"/>
                <w:szCs w:val="22"/>
                <w:lang w:val="en-US" w:eastAsia="en-US" w:bidi="ar-SA"/>
              </w:rPr>
              <w:t>Year</w:t>
            </w:r>
          </w:p>
        </w:tc>
        <w:tc>
          <w:tcPr>
            <w:tcW w:w="2000" w:type="pct"/>
            <w:shd w:val="clear" w:color="auto" w:fill="auto"/>
            <w:vAlign w:val="center"/>
            <w:hideMark/>
          </w:tcPr>
          <w:p w:rsidR="00405C25" w:rsidRPr="00361674" w:rsidP="001366A4" w14:paraId="1E111393" w14:textId="77777777">
            <w:pPr>
              <w:widowControl/>
              <w:jc w:val="center"/>
              <w:rPr>
                <w:rStyle w:val="DefaultParagraphFont"/>
                <w:b/>
                <w:bCs/>
                <w:snapToGrid/>
                <w:color w:val="000000"/>
                <w:kern w:val="0"/>
                <w:sz w:val="22"/>
                <w:szCs w:val="22"/>
                <w:lang w:val="en-US" w:eastAsia="en-US" w:bidi="ar-SA"/>
              </w:rPr>
            </w:pPr>
            <w:r w:rsidRPr="00361674">
              <w:rPr>
                <w:b/>
                <w:bCs/>
                <w:snapToGrid/>
                <w:color w:val="000000"/>
                <w:kern w:val="0"/>
                <w:sz w:val="22"/>
                <w:szCs w:val="22"/>
                <w:lang w:val="en-US" w:eastAsia="en-US" w:bidi="ar-SA"/>
              </w:rPr>
              <w:t>Retransmission Consent</w:t>
            </w:r>
          </w:p>
          <w:p w:rsidR="00405C25" w:rsidRPr="00361674" w:rsidP="001366A4" w14:paraId="1028BCA1" w14:textId="77777777">
            <w:pPr>
              <w:widowControl/>
              <w:jc w:val="center"/>
              <w:rPr>
                <w:rStyle w:val="DefaultParagraphFont"/>
                <w:b/>
                <w:bCs/>
                <w:snapToGrid/>
                <w:color w:val="000000"/>
                <w:kern w:val="0"/>
                <w:sz w:val="22"/>
                <w:szCs w:val="22"/>
                <w:lang w:val="en-US" w:eastAsia="en-US" w:bidi="ar-SA"/>
              </w:rPr>
            </w:pPr>
            <w:r w:rsidRPr="00361674">
              <w:rPr>
                <w:b/>
                <w:bCs/>
                <w:snapToGrid/>
                <w:color w:val="000000"/>
                <w:kern w:val="0"/>
                <w:sz w:val="22"/>
                <w:szCs w:val="22"/>
                <w:lang w:val="en-US" w:eastAsia="en-US" w:bidi="ar-SA"/>
              </w:rPr>
              <w:t xml:space="preserve"> Fee Index</w:t>
            </w:r>
          </w:p>
        </w:tc>
        <w:tc>
          <w:tcPr>
            <w:tcW w:w="1992" w:type="pct"/>
            <w:shd w:val="clear" w:color="auto" w:fill="auto"/>
            <w:vAlign w:val="center"/>
            <w:hideMark/>
          </w:tcPr>
          <w:p w:rsidR="00405C25" w:rsidRPr="00361674" w:rsidP="001366A4" w14:paraId="05D9383F" w14:textId="77777777">
            <w:pPr>
              <w:widowControl/>
              <w:jc w:val="center"/>
              <w:rPr>
                <w:rStyle w:val="DefaultParagraphFont"/>
                <w:b/>
                <w:bCs/>
                <w:snapToGrid/>
                <w:color w:val="000000"/>
                <w:kern w:val="0"/>
                <w:sz w:val="22"/>
                <w:szCs w:val="22"/>
                <w:lang w:val="en-US" w:eastAsia="en-US" w:bidi="ar-SA"/>
              </w:rPr>
            </w:pPr>
            <w:r w:rsidRPr="00361674">
              <w:rPr>
                <w:b/>
                <w:bCs/>
                <w:snapToGrid/>
                <w:color w:val="000000"/>
                <w:kern w:val="0"/>
                <w:sz w:val="22"/>
                <w:szCs w:val="22"/>
                <w:lang w:val="en-US" w:eastAsia="en-US" w:bidi="ar-SA"/>
              </w:rPr>
              <w:t xml:space="preserve">Retransmission Consent </w:t>
            </w:r>
          </w:p>
          <w:p w:rsidR="00405C25" w:rsidRPr="00361674" w:rsidP="001366A4" w14:paraId="794F6E7F" w14:textId="77777777">
            <w:pPr>
              <w:widowControl/>
              <w:jc w:val="center"/>
              <w:rPr>
                <w:rStyle w:val="DefaultParagraphFont"/>
                <w:b/>
                <w:bCs/>
                <w:snapToGrid/>
                <w:color w:val="000000"/>
                <w:kern w:val="0"/>
                <w:sz w:val="22"/>
                <w:szCs w:val="22"/>
                <w:lang w:val="en-US" w:eastAsia="en-US" w:bidi="ar-SA"/>
              </w:rPr>
            </w:pPr>
            <w:r w:rsidRPr="00361674">
              <w:rPr>
                <w:b/>
                <w:bCs/>
                <w:snapToGrid/>
                <w:color w:val="000000"/>
                <w:kern w:val="0"/>
                <w:sz w:val="22"/>
                <w:szCs w:val="22"/>
                <w:lang w:val="en-US" w:eastAsia="en-US" w:bidi="ar-SA"/>
              </w:rPr>
              <w:t>Fees per Subscriber Index</w:t>
            </w:r>
          </w:p>
        </w:tc>
      </w:tr>
      <w:tr w14:paraId="4F28C381" w14:textId="77777777" w:rsidTr="001366A4">
        <w:tblPrEx>
          <w:tblW w:w="5000" w:type="pct"/>
          <w:tblInd w:w="0" w:type="dxa"/>
          <w:tblCellMar>
            <w:top w:w="0" w:type="dxa"/>
            <w:left w:w="108" w:type="dxa"/>
            <w:bottom w:w="0" w:type="dxa"/>
            <w:right w:w="108" w:type="dxa"/>
          </w:tblCellMar>
          <w:tblLook w:val="04A0"/>
        </w:tblPrEx>
        <w:trPr>
          <w:trHeight w:val="315"/>
        </w:trPr>
        <w:tc>
          <w:tcPr>
            <w:tcW w:w="1008" w:type="pct"/>
            <w:shd w:val="clear" w:color="auto" w:fill="auto"/>
            <w:noWrap/>
            <w:vAlign w:val="bottom"/>
            <w:hideMark/>
          </w:tcPr>
          <w:p w:rsidR="00405C25" w:rsidRPr="00361674" w:rsidP="001366A4" w14:paraId="2D8E5532" w14:textId="77777777">
            <w:pPr>
              <w:widowControl/>
              <w:jc w:val="center"/>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2013</w:t>
            </w:r>
          </w:p>
        </w:tc>
        <w:tc>
          <w:tcPr>
            <w:tcW w:w="2000" w:type="pct"/>
            <w:shd w:val="clear" w:color="auto" w:fill="auto"/>
            <w:noWrap/>
            <w:vAlign w:val="center"/>
            <w:hideMark/>
          </w:tcPr>
          <w:p w:rsidR="00405C25" w:rsidRPr="00361674" w:rsidP="001366A4" w14:paraId="48673BDA"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100</w:t>
            </w:r>
          </w:p>
        </w:tc>
        <w:tc>
          <w:tcPr>
            <w:tcW w:w="1992" w:type="pct"/>
            <w:shd w:val="clear" w:color="auto" w:fill="auto"/>
            <w:noWrap/>
            <w:vAlign w:val="center"/>
            <w:hideMark/>
          </w:tcPr>
          <w:p w:rsidR="00405C25" w:rsidRPr="00361674" w:rsidP="001366A4" w14:paraId="3B6FE81F"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100</w:t>
            </w:r>
          </w:p>
        </w:tc>
      </w:tr>
      <w:tr w14:paraId="4AD1EF36" w14:textId="77777777" w:rsidTr="001366A4">
        <w:tblPrEx>
          <w:tblW w:w="5000" w:type="pct"/>
          <w:tblInd w:w="0" w:type="dxa"/>
          <w:tblCellMar>
            <w:top w:w="0" w:type="dxa"/>
            <w:left w:w="108" w:type="dxa"/>
            <w:bottom w:w="0" w:type="dxa"/>
            <w:right w:w="108" w:type="dxa"/>
          </w:tblCellMar>
          <w:tblLook w:val="04A0"/>
        </w:tblPrEx>
        <w:trPr>
          <w:trHeight w:val="300"/>
        </w:trPr>
        <w:tc>
          <w:tcPr>
            <w:tcW w:w="1008" w:type="pct"/>
            <w:shd w:val="clear" w:color="auto" w:fill="auto"/>
            <w:noWrap/>
            <w:vAlign w:val="bottom"/>
            <w:hideMark/>
          </w:tcPr>
          <w:p w:rsidR="00405C25" w:rsidRPr="00361674" w:rsidP="001366A4" w14:paraId="69E10853" w14:textId="77777777">
            <w:pPr>
              <w:widowControl/>
              <w:jc w:val="center"/>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2014</w:t>
            </w:r>
          </w:p>
        </w:tc>
        <w:tc>
          <w:tcPr>
            <w:tcW w:w="2000" w:type="pct"/>
            <w:shd w:val="clear" w:color="auto" w:fill="auto"/>
            <w:noWrap/>
            <w:vAlign w:val="center"/>
            <w:hideMark/>
          </w:tcPr>
          <w:p w:rsidR="00405C25" w:rsidRPr="00361674" w:rsidP="001366A4" w14:paraId="79093788"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163.2</w:t>
            </w:r>
          </w:p>
        </w:tc>
        <w:tc>
          <w:tcPr>
            <w:tcW w:w="1992" w:type="pct"/>
            <w:shd w:val="clear" w:color="auto" w:fill="auto"/>
            <w:noWrap/>
            <w:vAlign w:val="center"/>
            <w:hideMark/>
          </w:tcPr>
          <w:p w:rsidR="00405C25" w:rsidRPr="00361674" w:rsidP="001366A4" w14:paraId="71A4655F"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150.0</w:t>
            </w:r>
          </w:p>
        </w:tc>
      </w:tr>
      <w:tr w14:paraId="6E9EE56C" w14:textId="77777777" w:rsidTr="001366A4">
        <w:tblPrEx>
          <w:tblW w:w="5000" w:type="pct"/>
          <w:tblInd w:w="0" w:type="dxa"/>
          <w:tblCellMar>
            <w:top w:w="0" w:type="dxa"/>
            <w:left w:w="108" w:type="dxa"/>
            <w:bottom w:w="0" w:type="dxa"/>
            <w:right w:w="108" w:type="dxa"/>
          </w:tblCellMar>
          <w:tblLook w:val="04A0"/>
        </w:tblPrEx>
        <w:trPr>
          <w:trHeight w:val="300"/>
        </w:trPr>
        <w:tc>
          <w:tcPr>
            <w:tcW w:w="1008" w:type="pct"/>
            <w:shd w:val="clear" w:color="auto" w:fill="auto"/>
            <w:noWrap/>
            <w:vAlign w:val="bottom"/>
            <w:hideMark/>
          </w:tcPr>
          <w:p w:rsidR="00405C25" w:rsidRPr="00361674" w:rsidP="001366A4" w14:paraId="72D2D4A3" w14:textId="77777777">
            <w:pPr>
              <w:widowControl/>
              <w:jc w:val="center"/>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2015</w:t>
            </w:r>
          </w:p>
        </w:tc>
        <w:tc>
          <w:tcPr>
            <w:tcW w:w="2000" w:type="pct"/>
            <w:shd w:val="clear" w:color="auto" w:fill="auto"/>
            <w:noWrap/>
            <w:vAlign w:val="center"/>
            <w:hideMark/>
          </w:tcPr>
          <w:p w:rsidR="00405C25" w:rsidRPr="00361674" w:rsidP="001366A4" w14:paraId="1D34723E"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218.5</w:t>
            </w:r>
          </w:p>
        </w:tc>
        <w:tc>
          <w:tcPr>
            <w:tcW w:w="1992" w:type="pct"/>
            <w:shd w:val="clear" w:color="auto" w:fill="auto"/>
            <w:noWrap/>
            <w:vAlign w:val="center"/>
            <w:hideMark/>
          </w:tcPr>
          <w:p w:rsidR="00405C25" w:rsidRPr="00361674" w:rsidP="001366A4" w14:paraId="000F8646"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201.2</w:t>
            </w:r>
          </w:p>
        </w:tc>
      </w:tr>
      <w:tr w14:paraId="4C28E33B" w14:textId="77777777" w:rsidTr="001366A4">
        <w:tblPrEx>
          <w:tblW w:w="5000" w:type="pct"/>
          <w:tblInd w:w="0" w:type="dxa"/>
          <w:tblCellMar>
            <w:top w:w="0" w:type="dxa"/>
            <w:left w:w="108" w:type="dxa"/>
            <w:bottom w:w="0" w:type="dxa"/>
            <w:right w:w="108" w:type="dxa"/>
          </w:tblCellMar>
          <w:tblLook w:val="04A0"/>
        </w:tblPrEx>
        <w:trPr>
          <w:trHeight w:val="360"/>
        </w:trPr>
        <w:tc>
          <w:tcPr>
            <w:tcW w:w="5000" w:type="pct"/>
            <w:gridSpan w:val="3"/>
            <w:shd w:val="clear" w:color="auto" w:fill="auto"/>
            <w:noWrap/>
            <w:vAlign w:val="center"/>
            <w:hideMark/>
          </w:tcPr>
          <w:p w:rsidR="00405C25" w:rsidRPr="00361674" w:rsidP="001366A4" w14:paraId="60D450B4" w14:textId="77777777">
            <w:pPr>
              <w:widowControl/>
              <w:jc w:val="center"/>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Compound Average Annual Rate of Change</w:t>
            </w:r>
          </w:p>
        </w:tc>
      </w:tr>
      <w:tr w14:paraId="4E028EDE" w14:textId="77777777" w:rsidTr="001366A4">
        <w:tblPrEx>
          <w:tblW w:w="5000" w:type="pct"/>
          <w:tblInd w:w="0" w:type="dxa"/>
          <w:tblCellMar>
            <w:top w:w="0" w:type="dxa"/>
            <w:left w:w="108" w:type="dxa"/>
            <w:bottom w:w="0" w:type="dxa"/>
            <w:right w:w="108" w:type="dxa"/>
          </w:tblCellMar>
          <w:tblLook w:val="04A0"/>
        </w:tblPrEx>
        <w:trPr>
          <w:trHeight w:val="300"/>
        </w:trPr>
        <w:tc>
          <w:tcPr>
            <w:tcW w:w="1008" w:type="pct"/>
            <w:shd w:val="clear" w:color="auto" w:fill="auto"/>
            <w:noWrap/>
            <w:vAlign w:val="center"/>
            <w:hideMark/>
          </w:tcPr>
          <w:p w:rsidR="00405C25" w:rsidRPr="00361674" w:rsidP="001366A4" w14:paraId="57A2201B" w14:textId="77777777">
            <w:pPr>
              <w:widowControl/>
              <w:jc w:val="center"/>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2013-2015</w:t>
            </w:r>
          </w:p>
        </w:tc>
        <w:tc>
          <w:tcPr>
            <w:tcW w:w="2000" w:type="pct"/>
            <w:shd w:val="clear" w:color="auto" w:fill="auto"/>
            <w:noWrap/>
            <w:vAlign w:val="center"/>
            <w:hideMark/>
          </w:tcPr>
          <w:p w:rsidR="00405C25" w:rsidRPr="00361674" w:rsidP="001366A4" w14:paraId="01B68534"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47.8%</w:t>
            </w:r>
          </w:p>
        </w:tc>
        <w:tc>
          <w:tcPr>
            <w:tcW w:w="1992" w:type="pct"/>
            <w:shd w:val="clear" w:color="auto" w:fill="auto"/>
            <w:noWrap/>
            <w:vAlign w:val="center"/>
            <w:hideMark/>
          </w:tcPr>
          <w:p w:rsidR="00405C25" w:rsidRPr="00361674" w:rsidP="001366A4" w14:paraId="5220C3C0" w14:textId="77777777">
            <w:pPr>
              <w:widowControl/>
              <w:jc w:val="right"/>
              <w:rPr>
                <w:rStyle w:val="DefaultParagraphFont"/>
                <w:snapToGrid/>
                <w:color w:val="000000"/>
                <w:kern w:val="0"/>
                <w:sz w:val="22"/>
                <w:szCs w:val="22"/>
                <w:lang w:val="en-US" w:eastAsia="en-US" w:bidi="ar-SA"/>
              </w:rPr>
            </w:pPr>
            <w:r w:rsidRPr="00361674">
              <w:rPr>
                <w:snapToGrid/>
                <w:color w:val="000000"/>
                <w:kern w:val="0"/>
                <w:sz w:val="22"/>
                <w:szCs w:val="22"/>
                <w:lang w:val="en-US" w:eastAsia="en-US" w:bidi="ar-SA"/>
              </w:rPr>
              <w:t>41.8%</w:t>
            </w:r>
          </w:p>
        </w:tc>
      </w:tr>
    </w:tbl>
    <w:p w:rsidR="000C06BA" w:rsidP="0080186F" w14:paraId="348533CE" w14:textId="3552E8DE">
      <w:pPr>
        <w:pStyle w:val="Paranum0"/>
        <w:tabs>
          <w:tab w:val="clear" w:pos="1080"/>
        </w:tabs>
        <w:suppressAutoHyphens/>
        <w:spacing w:after="240"/>
        <w:ind w:firstLine="0"/>
        <w:jc w:val="left"/>
        <w:rPr>
          <w:sz w:val="20"/>
        </w:rPr>
      </w:pPr>
      <w:r w:rsidRPr="0066645B">
        <w:rPr>
          <w:sz w:val="20"/>
        </w:rPr>
        <w:t xml:space="preserve">Source: </w:t>
      </w:r>
      <w:r w:rsidR="00921DD1">
        <w:rPr>
          <w:sz w:val="20"/>
        </w:rPr>
        <w:t xml:space="preserve"> </w:t>
      </w:r>
      <w:r w:rsidRPr="0066645B">
        <w:rPr>
          <w:sz w:val="20"/>
        </w:rPr>
        <w:t>2015 and 2016 s</w:t>
      </w:r>
      <w:r w:rsidRPr="00BB6A72" w:rsidR="00361674">
        <w:rPr>
          <w:sz w:val="20"/>
        </w:rPr>
        <w:t>urveys.</w:t>
      </w:r>
      <w:r w:rsidR="0080186F">
        <w:rPr>
          <w:sz w:val="20"/>
        </w:rPr>
        <w:t xml:space="preserve"> </w:t>
      </w:r>
    </w:p>
    <w:p w:rsidR="001851D0" w14:paraId="48BC5721" w14:textId="4E446653">
      <w:pPr>
        <w:widowControl/>
        <w:rPr>
          <w:snapToGrid/>
          <w:kern w:val="0"/>
          <w:sz w:val="20"/>
        </w:rPr>
      </w:pPr>
      <w:r>
        <w:rPr>
          <w:sz w:val="20"/>
        </w:rPr>
        <w:br w:type="page"/>
      </w:r>
    </w:p>
    <w:p w:rsidR="00167D5D" w:rsidRPr="00742635" w:rsidP="00E2307B" w14:paraId="0F2A8536" w14:textId="77777777">
      <w:pPr>
        <w:pStyle w:val="Heading1"/>
        <w:spacing w:before="480"/>
        <w:rPr>
          <w:rFonts w:ascii="Times New Roman" w:hAnsi="Times New Roman"/>
          <w:szCs w:val="22"/>
        </w:rPr>
      </w:pPr>
      <w:bookmarkStart w:id="75" w:name="_Toc384990877"/>
      <w:bookmarkStart w:id="76" w:name="_Toc384991982"/>
      <w:bookmarkStart w:id="77" w:name="_Toc384992818"/>
      <w:bookmarkStart w:id="78" w:name="_Toc456873888"/>
      <w:bookmarkStart w:id="79" w:name="_Toc456874100"/>
      <w:r w:rsidRPr="00742635">
        <w:rPr>
          <w:rFonts w:ascii="Times New Roman" w:hAnsi="Times New Roman"/>
          <w:szCs w:val="22"/>
        </w:rPr>
        <w:t>CONCLUSIONS</w:t>
      </w:r>
      <w:bookmarkEnd w:id="75"/>
      <w:bookmarkEnd w:id="76"/>
      <w:bookmarkEnd w:id="77"/>
      <w:bookmarkEnd w:id="78"/>
      <w:bookmarkEnd w:id="79"/>
    </w:p>
    <w:p w:rsidR="00167D5D" w:rsidRPr="005E704B" w:rsidP="004E16D7" w14:paraId="6D451F63" w14:textId="6ED8FE5B">
      <w:pPr>
        <w:pStyle w:val="Paranum0"/>
        <w:numPr>
          <w:ilvl w:val="0"/>
          <w:numId w:val="12"/>
        </w:numPr>
        <w:tabs>
          <w:tab w:val="clear" w:pos="1080"/>
          <w:tab w:val="num" w:pos="1440"/>
        </w:tabs>
        <w:suppressAutoHyphens/>
        <w:spacing w:after="240"/>
        <w:jc w:val="left"/>
        <w:rPr>
          <w:szCs w:val="22"/>
        </w:rPr>
      </w:pPr>
      <w:r w:rsidRPr="00742635">
        <w:rPr>
          <w:szCs w:val="22"/>
        </w:rPr>
        <w:t xml:space="preserve">Basic cable service prices grew </w:t>
      </w:r>
      <w:r w:rsidR="00853BF1">
        <w:rPr>
          <w:szCs w:val="22"/>
        </w:rPr>
        <w:t>4.</w:t>
      </w:r>
      <w:r w:rsidR="00111CBA">
        <w:rPr>
          <w:szCs w:val="22"/>
        </w:rPr>
        <w:t>4</w:t>
      </w:r>
      <w:r w:rsidRPr="00742635">
        <w:rPr>
          <w:szCs w:val="22"/>
        </w:rPr>
        <w:t xml:space="preserve"> percent </w:t>
      </w:r>
      <w:r w:rsidR="00752EC7">
        <w:rPr>
          <w:szCs w:val="22"/>
        </w:rPr>
        <w:t>over</w:t>
      </w:r>
      <w:r w:rsidRPr="00742635">
        <w:rPr>
          <w:szCs w:val="22"/>
        </w:rPr>
        <w:t xml:space="preserve"> the 12 months ending January 1, </w:t>
      </w:r>
      <w:r w:rsidR="008634B3">
        <w:rPr>
          <w:szCs w:val="22"/>
        </w:rPr>
        <w:t>2016</w:t>
      </w:r>
      <w:r w:rsidRPr="00742635">
        <w:rPr>
          <w:szCs w:val="22"/>
        </w:rPr>
        <w:t xml:space="preserve">.  </w:t>
      </w:r>
      <w:r w:rsidR="00853BF1">
        <w:rPr>
          <w:szCs w:val="22"/>
        </w:rPr>
        <w:t>Prices for e</w:t>
      </w:r>
      <w:r w:rsidRPr="00742635">
        <w:rPr>
          <w:szCs w:val="22"/>
        </w:rPr>
        <w:t xml:space="preserve">xpanded basic </w:t>
      </w:r>
      <w:r w:rsidR="00853BF1">
        <w:rPr>
          <w:szCs w:val="22"/>
        </w:rPr>
        <w:t>service</w:t>
      </w:r>
      <w:r w:rsidRPr="00742635">
        <w:rPr>
          <w:szCs w:val="22"/>
        </w:rPr>
        <w:t xml:space="preserve"> increased by </w:t>
      </w:r>
      <w:r w:rsidR="00853BF1">
        <w:rPr>
          <w:szCs w:val="22"/>
        </w:rPr>
        <w:t>3.4</w:t>
      </w:r>
      <w:r w:rsidRPr="00742635">
        <w:rPr>
          <w:szCs w:val="22"/>
        </w:rPr>
        <w:t xml:space="preserve"> percent </w:t>
      </w:r>
      <w:r w:rsidR="00752EC7">
        <w:rPr>
          <w:szCs w:val="22"/>
        </w:rPr>
        <w:t>over the same period</w:t>
      </w:r>
      <w:r w:rsidR="00263A25">
        <w:rPr>
          <w:szCs w:val="22"/>
        </w:rPr>
        <w:t xml:space="preserve">. </w:t>
      </w:r>
      <w:r w:rsidR="00396E11">
        <w:rPr>
          <w:szCs w:val="22"/>
        </w:rPr>
        <w:t xml:space="preserve"> </w:t>
      </w:r>
      <w:r w:rsidR="00263A25">
        <w:rPr>
          <w:szCs w:val="22"/>
        </w:rPr>
        <w:t>This compares to an</w:t>
      </w:r>
      <w:r w:rsidR="00752EC7">
        <w:rPr>
          <w:szCs w:val="22"/>
        </w:rPr>
        <w:t xml:space="preserve"> </w:t>
      </w:r>
      <w:r w:rsidRPr="00742635">
        <w:rPr>
          <w:szCs w:val="22"/>
        </w:rPr>
        <w:t>average annual rate</w:t>
      </w:r>
      <w:r w:rsidR="00DF439E">
        <w:rPr>
          <w:szCs w:val="22"/>
        </w:rPr>
        <w:t xml:space="preserve"> increase for expanded basic service</w:t>
      </w:r>
      <w:r w:rsidRPr="00742635">
        <w:rPr>
          <w:szCs w:val="22"/>
        </w:rPr>
        <w:t xml:space="preserve"> of 4.</w:t>
      </w:r>
      <w:r w:rsidR="00853BF1">
        <w:rPr>
          <w:szCs w:val="22"/>
        </w:rPr>
        <w:t>4</w:t>
      </w:r>
      <w:r w:rsidRPr="00742635">
        <w:rPr>
          <w:szCs w:val="22"/>
        </w:rPr>
        <w:t xml:space="preserve"> percent over the </w:t>
      </w:r>
      <w:r w:rsidR="00853BF1">
        <w:rPr>
          <w:szCs w:val="22"/>
        </w:rPr>
        <w:t xml:space="preserve">latest </w:t>
      </w:r>
      <w:r w:rsidRPr="00742635">
        <w:rPr>
          <w:szCs w:val="22"/>
        </w:rPr>
        <w:t>five-year period</w:t>
      </w:r>
      <w:r w:rsidR="00263A25">
        <w:rPr>
          <w:szCs w:val="22"/>
        </w:rPr>
        <w:t xml:space="preserve">, </w:t>
      </w:r>
      <w:r w:rsidRPr="00742635">
        <w:rPr>
          <w:szCs w:val="22"/>
        </w:rPr>
        <w:t>201</w:t>
      </w:r>
      <w:r w:rsidR="00853BF1">
        <w:rPr>
          <w:szCs w:val="22"/>
        </w:rPr>
        <w:t>1</w:t>
      </w:r>
      <w:r w:rsidRPr="00742635">
        <w:rPr>
          <w:szCs w:val="22"/>
        </w:rPr>
        <w:t>-</w:t>
      </w:r>
      <w:r w:rsidR="008634B3">
        <w:rPr>
          <w:szCs w:val="22"/>
        </w:rPr>
        <w:t>2016</w:t>
      </w:r>
      <w:r w:rsidR="00853BF1">
        <w:rPr>
          <w:szCs w:val="22"/>
        </w:rPr>
        <w:t>.</w:t>
      </w:r>
      <w:r w:rsidRPr="00742635">
        <w:rPr>
          <w:szCs w:val="22"/>
        </w:rPr>
        <w:t xml:space="preserve">  Equipment</w:t>
      </w:r>
      <w:r w:rsidR="00853BF1">
        <w:rPr>
          <w:szCs w:val="22"/>
        </w:rPr>
        <w:t xml:space="preserve"> lease</w:t>
      </w:r>
      <w:r w:rsidRPr="00742635">
        <w:rPr>
          <w:szCs w:val="22"/>
        </w:rPr>
        <w:t xml:space="preserve"> prices for basic and expanded basic services increased by </w:t>
      </w:r>
      <w:r w:rsidR="00FE0439">
        <w:rPr>
          <w:szCs w:val="22"/>
        </w:rPr>
        <w:t>1</w:t>
      </w:r>
      <w:r w:rsidR="00850609">
        <w:rPr>
          <w:szCs w:val="22"/>
        </w:rPr>
        <w:t>.2</w:t>
      </w:r>
      <w:r w:rsidRPr="00742635">
        <w:rPr>
          <w:szCs w:val="22"/>
        </w:rPr>
        <w:t xml:space="preserve"> percent and </w:t>
      </w:r>
      <w:r w:rsidR="00FE0439">
        <w:rPr>
          <w:szCs w:val="22"/>
        </w:rPr>
        <w:t>1</w:t>
      </w:r>
      <w:r w:rsidR="00850609">
        <w:rPr>
          <w:szCs w:val="22"/>
        </w:rPr>
        <w:t>.</w:t>
      </w:r>
      <w:r w:rsidR="00FE0439">
        <w:rPr>
          <w:szCs w:val="22"/>
        </w:rPr>
        <w:t>3</w:t>
      </w:r>
      <w:r w:rsidRPr="00742635">
        <w:rPr>
          <w:szCs w:val="22"/>
        </w:rPr>
        <w:t xml:space="preserve"> percent, respectively, for the 12 months ending January 1, </w:t>
      </w:r>
      <w:r w:rsidR="008634B3">
        <w:rPr>
          <w:szCs w:val="22"/>
        </w:rPr>
        <w:t>2016</w:t>
      </w:r>
      <w:r w:rsidRPr="00742635">
        <w:rPr>
          <w:szCs w:val="22"/>
        </w:rPr>
        <w:t xml:space="preserve">.  These </w:t>
      </w:r>
      <w:r w:rsidR="00752EC7">
        <w:rPr>
          <w:szCs w:val="22"/>
        </w:rPr>
        <w:t>cable</w:t>
      </w:r>
      <w:r w:rsidRPr="00742635">
        <w:rPr>
          <w:szCs w:val="22"/>
        </w:rPr>
        <w:t xml:space="preserve"> increases compare to a </w:t>
      </w:r>
      <w:r w:rsidR="00850609">
        <w:rPr>
          <w:szCs w:val="22"/>
        </w:rPr>
        <w:t>1.</w:t>
      </w:r>
      <w:r w:rsidR="00FE0439">
        <w:rPr>
          <w:szCs w:val="22"/>
        </w:rPr>
        <w:t>4</w:t>
      </w:r>
      <w:r w:rsidRPr="00742635" w:rsidR="00FE0439">
        <w:rPr>
          <w:szCs w:val="22"/>
        </w:rPr>
        <w:t xml:space="preserve"> </w:t>
      </w:r>
      <w:r w:rsidRPr="00742635">
        <w:rPr>
          <w:szCs w:val="22"/>
        </w:rPr>
        <w:t xml:space="preserve">percent </w:t>
      </w:r>
      <w:r w:rsidR="00850609">
        <w:rPr>
          <w:szCs w:val="22"/>
        </w:rPr>
        <w:t xml:space="preserve">increase in </w:t>
      </w:r>
      <w:r w:rsidRPr="00742635">
        <w:rPr>
          <w:szCs w:val="22"/>
        </w:rPr>
        <w:t>general inflation as measured by the CPI (All Items) for the same one-year period.</w:t>
      </w:r>
    </w:p>
    <w:p w:rsidR="005E704B" w:rsidRPr="00BA7571" w:rsidP="004E16D7" w14:paraId="0FD210B4" w14:textId="26031F49">
      <w:pPr>
        <w:pStyle w:val="Paranum0"/>
        <w:numPr>
          <w:ilvl w:val="0"/>
          <w:numId w:val="12"/>
        </w:numPr>
        <w:tabs>
          <w:tab w:val="clear" w:pos="1080"/>
          <w:tab w:val="num" w:pos="1440"/>
        </w:tabs>
        <w:suppressAutoHyphens/>
        <w:spacing w:after="240"/>
        <w:jc w:val="left"/>
        <w:rPr>
          <w:szCs w:val="22"/>
        </w:rPr>
      </w:pPr>
      <w:r w:rsidRPr="00BA7571">
        <w:rPr>
          <w:szCs w:val="22"/>
        </w:rPr>
        <w:t>Compared to noncompetitive communities (i.e.</w:t>
      </w:r>
      <w:r w:rsidRPr="00BA7571">
        <w:rPr>
          <w:i/>
          <w:szCs w:val="22"/>
        </w:rPr>
        <w:t>,</w:t>
      </w:r>
      <w:r w:rsidRPr="00BA7571">
        <w:rPr>
          <w:szCs w:val="22"/>
        </w:rPr>
        <w:t xml:space="preserve"> those without a finding of effective competition), </w:t>
      </w:r>
      <w:r w:rsidRPr="00BA7571" w:rsidR="00115634">
        <w:rPr>
          <w:szCs w:val="22"/>
        </w:rPr>
        <w:t xml:space="preserve">basic service </w:t>
      </w:r>
      <w:r w:rsidRPr="00BA7571">
        <w:rPr>
          <w:szCs w:val="22"/>
        </w:rPr>
        <w:t xml:space="preserve">prices on January 1, </w:t>
      </w:r>
      <w:r w:rsidRPr="00BA7571" w:rsidR="008634B3">
        <w:rPr>
          <w:szCs w:val="22"/>
        </w:rPr>
        <w:t>2016</w:t>
      </w:r>
      <w:r w:rsidRPr="00BA7571" w:rsidR="00263A25">
        <w:rPr>
          <w:szCs w:val="22"/>
        </w:rPr>
        <w:t xml:space="preserve"> </w:t>
      </w:r>
      <w:r w:rsidRPr="00BA7571">
        <w:rPr>
          <w:szCs w:val="22"/>
        </w:rPr>
        <w:t>were</w:t>
      </w:r>
      <w:r w:rsidRPr="00BA7571" w:rsidR="00263A25">
        <w:rPr>
          <w:szCs w:val="22"/>
        </w:rPr>
        <w:t>, on average,</w:t>
      </w:r>
      <w:r w:rsidRPr="00BA7571">
        <w:rPr>
          <w:szCs w:val="22"/>
        </w:rPr>
        <w:t xml:space="preserve"> </w:t>
      </w:r>
      <w:r w:rsidRPr="00BA7571" w:rsidR="00115634">
        <w:rPr>
          <w:szCs w:val="22"/>
        </w:rPr>
        <w:t>3.1</w:t>
      </w:r>
      <w:r w:rsidRPr="00BA7571">
        <w:rPr>
          <w:szCs w:val="22"/>
        </w:rPr>
        <w:t xml:space="preserve"> percent lower in communities with a</w:t>
      </w:r>
      <w:r w:rsidRPr="00BA7571" w:rsidR="00396E11">
        <w:rPr>
          <w:szCs w:val="22"/>
        </w:rPr>
        <w:t>n</w:t>
      </w:r>
      <w:r w:rsidRPr="00BA7571">
        <w:rPr>
          <w:szCs w:val="22"/>
        </w:rPr>
        <w:t xml:space="preserve"> FCC finding of effective competition</w:t>
      </w:r>
      <w:r w:rsidRPr="00BA7571" w:rsidR="00C7709D">
        <w:rPr>
          <w:szCs w:val="22"/>
        </w:rPr>
        <w:t xml:space="preserve"> but the effective competition communities had a 28.8 percent lower price per channel</w:t>
      </w:r>
      <w:r w:rsidRPr="00BA7571">
        <w:rPr>
          <w:szCs w:val="22"/>
        </w:rPr>
        <w:t xml:space="preserve">.  </w:t>
      </w:r>
      <w:r w:rsidRPr="00BA7571" w:rsidR="00061C56">
        <w:rPr>
          <w:szCs w:val="22"/>
        </w:rPr>
        <w:t xml:space="preserve">For </w:t>
      </w:r>
      <w:r w:rsidRPr="00BA7571">
        <w:rPr>
          <w:szCs w:val="22"/>
        </w:rPr>
        <w:t xml:space="preserve">expanded basic service, the average price that cable operators charged was </w:t>
      </w:r>
      <w:r w:rsidRPr="00BA7571" w:rsidR="00850609">
        <w:rPr>
          <w:szCs w:val="22"/>
        </w:rPr>
        <w:t>4.7</w:t>
      </w:r>
      <w:r w:rsidRPr="00BA7571">
        <w:rPr>
          <w:szCs w:val="22"/>
        </w:rPr>
        <w:t xml:space="preserve"> percent </w:t>
      </w:r>
      <w:r w:rsidRPr="00BA7571" w:rsidR="00115634">
        <w:rPr>
          <w:szCs w:val="22"/>
        </w:rPr>
        <w:t xml:space="preserve">higher </w:t>
      </w:r>
      <w:r w:rsidRPr="00BA7571" w:rsidR="00FE0439">
        <w:rPr>
          <w:szCs w:val="22"/>
        </w:rPr>
        <w:t xml:space="preserve">in </w:t>
      </w:r>
      <w:r w:rsidRPr="00BA7571">
        <w:rPr>
          <w:szCs w:val="22"/>
        </w:rPr>
        <w:t>effective competition communities</w:t>
      </w:r>
      <w:r w:rsidRPr="00BA7571" w:rsidR="00115634">
        <w:rPr>
          <w:szCs w:val="22"/>
        </w:rPr>
        <w:t xml:space="preserve"> than in noncompetitive communities</w:t>
      </w:r>
      <w:r w:rsidRPr="00BA7571" w:rsidR="00EC08FE">
        <w:rPr>
          <w:szCs w:val="22"/>
        </w:rPr>
        <w:t xml:space="preserve">, but the effective competition communities had </w:t>
      </w:r>
      <w:r w:rsidRPr="00BA7571" w:rsidR="00316C18">
        <w:rPr>
          <w:szCs w:val="22"/>
        </w:rPr>
        <w:t>an</w:t>
      </w:r>
      <w:r w:rsidR="007C1B72">
        <w:rPr>
          <w:szCs w:val="22"/>
        </w:rPr>
        <w:t xml:space="preserve"> </w:t>
      </w:r>
      <w:r w:rsidR="000B55BA">
        <w:rPr>
          <w:szCs w:val="22"/>
        </w:rPr>
        <w:t>18.3</w:t>
      </w:r>
      <w:r w:rsidRPr="00BA7571" w:rsidR="00C7709D">
        <w:rPr>
          <w:szCs w:val="22"/>
        </w:rPr>
        <w:t xml:space="preserve"> </w:t>
      </w:r>
      <w:r w:rsidRPr="00BA7571" w:rsidR="00EC08FE">
        <w:rPr>
          <w:szCs w:val="22"/>
        </w:rPr>
        <w:t>percent lower price per channel</w:t>
      </w:r>
      <w:r w:rsidRPr="00BA7571">
        <w:rPr>
          <w:szCs w:val="22"/>
        </w:rPr>
        <w:t>.  Th</w:t>
      </w:r>
      <w:r w:rsidR="00BA7571">
        <w:rPr>
          <w:szCs w:val="22"/>
        </w:rPr>
        <w:t>ese findings</w:t>
      </w:r>
      <w:r w:rsidRPr="00BA7571">
        <w:rPr>
          <w:szCs w:val="22"/>
        </w:rPr>
        <w:t xml:space="preserve"> reflect</w:t>
      </w:r>
      <w:r w:rsidRPr="00BA7571" w:rsidR="00061C56">
        <w:rPr>
          <w:szCs w:val="22"/>
        </w:rPr>
        <w:t xml:space="preserve"> the fact</w:t>
      </w:r>
      <w:r w:rsidRPr="00BA7571">
        <w:rPr>
          <w:szCs w:val="22"/>
        </w:rPr>
        <w:t xml:space="preserve"> that cable operators in effective competition communities generally offer more channels compared to cable operators in noncompetitive communities.</w:t>
      </w:r>
      <w:bookmarkStart w:id="80" w:name="_Toc235506591"/>
      <w:bookmarkStart w:id="81" w:name="_Toc235591790"/>
      <w:bookmarkStart w:id="82" w:name="_Toc248805874"/>
    </w:p>
    <w:p w:rsidR="00752EC7" w:rsidRPr="00E30BD1" w:rsidP="00386501" w14:paraId="08D7870F" w14:textId="44FAE6BB">
      <w:pPr>
        <w:pStyle w:val="Paranum0"/>
        <w:numPr>
          <w:ilvl w:val="0"/>
          <w:numId w:val="12"/>
        </w:numPr>
        <w:tabs>
          <w:tab w:val="clear" w:pos="1080"/>
        </w:tabs>
        <w:suppressAutoHyphens/>
        <w:jc w:val="left"/>
      </w:pPr>
      <w:bookmarkStart w:id="83" w:name="_Toc384990879"/>
      <w:bookmarkStart w:id="84" w:name="_Toc384991983"/>
      <w:bookmarkStart w:id="85" w:name="_Toc384992819"/>
      <w:r w:rsidRPr="00BB6A72">
        <w:t xml:space="preserve">Annual retransmission consent fees paid by cable systems to television broadcasters increased by about one-third from 2014 to 2015 on average.  </w:t>
      </w:r>
      <w:r w:rsidR="00386501">
        <w:t>A</w:t>
      </w:r>
      <w:r w:rsidRPr="00386501" w:rsidR="00386501">
        <w:t>verage annual retransmission consent fees paid by cable systems to television broadcast stations calculated on a per-subscriber basis increased by about one-third, rising from $42.67 to $57.21 over the same period.</w:t>
      </w:r>
      <w:r w:rsidR="00386501">
        <w:t xml:space="preserve">  </w:t>
      </w:r>
      <w:r w:rsidRPr="00BB6A72">
        <w:t>During the 2013-2015</w:t>
      </w:r>
      <w:r w:rsidR="00A6058B">
        <w:t xml:space="preserve"> </w:t>
      </w:r>
      <w:r w:rsidRPr="0066645B" w:rsidR="00A6058B">
        <w:t>period</w:t>
      </w:r>
      <w:r w:rsidRPr="00BB6A72">
        <w:t xml:space="preserve">, </w:t>
      </w:r>
      <w:r w:rsidR="0099409D">
        <w:t>the average</w:t>
      </w:r>
      <w:r w:rsidRPr="00BB6A72">
        <w:t xml:space="preserve"> annual increase in retransmission consent fees </w:t>
      </w:r>
      <w:r w:rsidR="0099409D">
        <w:t>was</w:t>
      </w:r>
      <w:r w:rsidRPr="00BB6A72">
        <w:t xml:space="preserve"> 47.8 percent </w:t>
      </w:r>
      <w:r w:rsidR="0099409D">
        <w:t xml:space="preserve">and the </w:t>
      </w:r>
      <w:r w:rsidRPr="0066645B" w:rsidR="0099409D">
        <w:t>average</w:t>
      </w:r>
      <w:r w:rsidRPr="00BB6A72">
        <w:t xml:space="preserve"> annual increase in fees per subscriber </w:t>
      </w:r>
      <w:r w:rsidR="0099409D">
        <w:t>was</w:t>
      </w:r>
      <w:r w:rsidR="00D87B2C">
        <w:t xml:space="preserve"> 41.8</w:t>
      </w:r>
      <w:r w:rsidRPr="0066645B" w:rsidR="0099409D">
        <w:t xml:space="preserve"> percent</w:t>
      </w:r>
      <w:r w:rsidRPr="00BB6A72">
        <w:t>.</w:t>
      </w:r>
    </w:p>
    <w:p w:rsidR="00752EC7" w:rsidRPr="001851D0" w:rsidP="00DB11B1" w14:paraId="7683A33B" w14:textId="03B50A99">
      <w:pPr>
        <w:pStyle w:val="Paranum0"/>
        <w:widowControl/>
        <w:numPr>
          <w:ilvl w:val="0"/>
          <w:numId w:val="12"/>
        </w:numPr>
        <w:tabs>
          <w:tab w:val="clear" w:pos="1080"/>
          <w:tab w:val="num" w:pos="1440"/>
        </w:tabs>
        <w:suppressAutoHyphens/>
        <w:spacing w:after="240"/>
        <w:jc w:val="left"/>
        <w:rPr>
          <w:szCs w:val="22"/>
        </w:rPr>
      </w:pPr>
      <w:r w:rsidRPr="001851D0">
        <w:rPr>
          <w:szCs w:val="22"/>
        </w:rPr>
        <w:t>DBS providers offer programming services similar to</w:t>
      </w:r>
      <w:r w:rsidRPr="001851D0" w:rsidR="00953D13">
        <w:rPr>
          <w:szCs w:val="22"/>
        </w:rPr>
        <w:t xml:space="preserve"> those offered</w:t>
      </w:r>
      <w:r w:rsidRPr="001851D0">
        <w:rPr>
          <w:szCs w:val="22"/>
        </w:rPr>
        <w:t xml:space="preserve"> by cable operators.  Accordingly, the Report compare</w:t>
      </w:r>
      <w:r w:rsidRPr="001851D0" w:rsidR="00274CCF">
        <w:rPr>
          <w:szCs w:val="22"/>
        </w:rPr>
        <w:t>d</w:t>
      </w:r>
      <w:r w:rsidRPr="001851D0">
        <w:rPr>
          <w:szCs w:val="22"/>
        </w:rPr>
        <w:t xml:space="preserve"> expanded basic service to the DBS services found </w:t>
      </w:r>
      <w:r w:rsidRPr="001851D0" w:rsidR="00396E11">
        <w:rPr>
          <w:szCs w:val="22"/>
        </w:rPr>
        <w:t xml:space="preserve">to be </w:t>
      </w:r>
      <w:r w:rsidRPr="001851D0" w:rsidR="00274CCF">
        <w:rPr>
          <w:szCs w:val="22"/>
        </w:rPr>
        <w:t xml:space="preserve">the </w:t>
      </w:r>
      <w:r w:rsidRPr="001851D0">
        <w:rPr>
          <w:szCs w:val="22"/>
        </w:rPr>
        <w:t>most comparable</w:t>
      </w:r>
      <w:r w:rsidRPr="001851D0" w:rsidR="00274CCF">
        <w:rPr>
          <w:szCs w:val="22"/>
        </w:rPr>
        <w:t>.  As of J</w:t>
      </w:r>
      <w:r w:rsidRPr="008932BF">
        <w:t>anuary 1, 2016, the</w:t>
      </w:r>
      <w:r>
        <w:t xml:space="preserve"> average</w:t>
      </w:r>
      <w:r w:rsidRPr="008932BF">
        <w:t xml:space="preserve"> price</w:t>
      </w:r>
      <w:r w:rsidR="00274CCF">
        <w:t xml:space="preserve"> of</w:t>
      </w:r>
      <w:r>
        <w:t xml:space="preserve"> </w:t>
      </w:r>
      <w:r w:rsidRPr="008932BF">
        <w:t>expanded basic</w:t>
      </w:r>
      <w:r>
        <w:t xml:space="preserve"> </w:t>
      </w:r>
      <w:r w:rsidRPr="008932BF">
        <w:t>($71.3</w:t>
      </w:r>
      <w:r w:rsidR="00111CBA">
        <w:t>7</w:t>
      </w:r>
      <w:r w:rsidRPr="008932BF">
        <w:t xml:space="preserve">) </w:t>
      </w:r>
      <w:r>
        <w:t>was</w:t>
      </w:r>
      <w:r w:rsidRPr="008932BF">
        <w:t xml:space="preserve"> </w:t>
      </w:r>
      <w:r>
        <w:t xml:space="preserve">slightly more than the average price for </w:t>
      </w:r>
      <w:r w:rsidR="007D5892">
        <w:t>DIRECTV</w:t>
      </w:r>
      <w:r>
        <w:t>’s Choice</w:t>
      </w:r>
      <w:r w:rsidRPr="008932BF">
        <w:t xml:space="preserve"> </w:t>
      </w:r>
      <w:r>
        <w:t xml:space="preserve">package </w:t>
      </w:r>
      <w:r w:rsidRPr="008932BF">
        <w:t>($70.95)</w:t>
      </w:r>
      <w:r>
        <w:t>,</w:t>
      </w:r>
      <w:r w:rsidRPr="008932BF">
        <w:t xml:space="preserve"> and </w:t>
      </w:r>
      <w:r>
        <w:t xml:space="preserve">higher than </w:t>
      </w:r>
      <w:r w:rsidR="007D5892">
        <w:t>DISH</w:t>
      </w:r>
      <w:r w:rsidRPr="008932BF">
        <w:t xml:space="preserve"> Network</w:t>
      </w:r>
      <w:r>
        <w:t xml:space="preserve">’s AT120+ </w:t>
      </w:r>
      <w:r w:rsidRPr="008932BF">
        <w:t>($64.99)</w:t>
      </w:r>
      <w:r>
        <w:t>.   Cable operators</w:t>
      </w:r>
      <w:r w:rsidR="00953D13">
        <w:t>,</w:t>
      </w:r>
      <w:r>
        <w:t xml:space="preserve"> on average</w:t>
      </w:r>
      <w:r w:rsidR="00953D13">
        <w:t>,</w:t>
      </w:r>
      <w:r>
        <w:t xml:space="preserve"> offered 1</w:t>
      </w:r>
      <w:r w:rsidR="00115634">
        <w:t>81</w:t>
      </w:r>
      <w:r>
        <w:t xml:space="preserve"> channels with expanded basic, while the comparable services of </w:t>
      </w:r>
      <w:r w:rsidR="007D5892">
        <w:t>DIRECTV</w:t>
      </w:r>
      <w:r>
        <w:t xml:space="preserve"> and </w:t>
      </w:r>
      <w:r w:rsidR="007D5892">
        <w:t>DISH</w:t>
      </w:r>
      <w:r>
        <w:t xml:space="preserve"> Network </w:t>
      </w:r>
      <w:r w:rsidR="00953D13">
        <w:t xml:space="preserve">offered </w:t>
      </w:r>
      <w:r>
        <w:t>16</w:t>
      </w:r>
      <w:r w:rsidRPr="008932BF">
        <w:t xml:space="preserve">8 </w:t>
      </w:r>
      <w:r>
        <w:t xml:space="preserve">and 160 </w:t>
      </w:r>
      <w:r w:rsidRPr="008932BF">
        <w:t>channels</w:t>
      </w:r>
      <w:r>
        <w:t xml:space="preserve"> respectively.  </w:t>
      </w:r>
      <w:r w:rsidR="00274CCF">
        <w:t xml:space="preserve">Expanded basic service </w:t>
      </w:r>
      <w:r w:rsidR="00953D13">
        <w:t xml:space="preserve">has, on average, </w:t>
      </w:r>
      <w:r w:rsidR="00274CCF">
        <w:t>a higher</w:t>
      </w:r>
      <w:r w:rsidRPr="008932BF">
        <w:t xml:space="preserve"> price per channel</w:t>
      </w:r>
      <w:r>
        <w:t xml:space="preserve"> (</w:t>
      </w:r>
      <w:r w:rsidRPr="008932BF">
        <w:t>4</w:t>
      </w:r>
      <w:r w:rsidR="009852C4">
        <w:t>7</w:t>
      </w:r>
      <w:r w:rsidRPr="008932BF">
        <w:t xml:space="preserve"> cents</w:t>
      </w:r>
      <w:r w:rsidR="00953D13">
        <w:t xml:space="preserve"> per channel</w:t>
      </w:r>
      <w:r>
        <w:t xml:space="preserve">) than </w:t>
      </w:r>
      <w:r w:rsidR="007D5892">
        <w:t>DIRECTV</w:t>
      </w:r>
      <w:r>
        <w:t xml:space="preserve"> </w:t>
      </w:r>
      <w:r w:rsidRPr="008932BF">
        <w:t>(42 cents</w:t>
      </w:r>
      <w:r w:rsidR="00953D13">
        <w:t xml:space="preserve"> per channel</w:t>
      </w:r>
      <w:r w:rsidR="00FE0439">
        <w:t>)</w:t>
      </w:r>
      <w:r w:rsidRPr="008932BF">
        <w:t xml:space="preserve"> and </w:t>
      </w:r>
      <w:r w:rsidR="007D5892">
        <w:t>DISH</w:t>
      </w:r>
      <w:r w:rsidRPr="008932BF">
        <w:t xml:space="preserve"> Network (41 cents</w:t>
      </w:r>
      <w:r w:rsidR="00953D13">
        <w:t xml:space="preserve"> per channel</w:t>
      </w:r>
      <w:r w:rsidRPr="008932BF">
        <w:t>)</w:t>
      </w:r>
      <w:r w:rsidR="00FE0439">
        <w:t>.</w:t>
      </w:r>
    </w:p>
    <w:p w:rsidR="00167D5D" w:rsidRPr="00742635" w:rsidP="004E16D7" w14:paraId="4F6510BB" w14:textId="7780E2F0">
      <w:pPr>
        <w:pStyle w:val="Heading1"/>
        <w:numPr>
          <w:ilvl w:val="0"/>
          <w:numId w:val="0"/>
        </w:numPr>
        <w:rPr>
          <w:szCs w:val="22"/>
        </w:rPr>
      </w:pPr>
      <w:bookmarkStart w:id="86" w:name="_Toc456873889"/>
      <w:bookmarkStart w:id="87" w:name="_Toc456874101"/>
      <w:r w:rsidRPr="00742635">
        <w:rPr>
          <w:szCs w:val="22"/>
        </w:rPr>
        <w:t>V.</w:t>
      </w:r>
      <w:r w:rsidRPr="00742635">
        <w:rPr>
          <w:szCs w:val="22"/>
        </w:rPr>
        <w:tab/>
        <w:t>o</w:t>
      </w:r>
      <w:bookmarkStart w:id="88" w:name="comebackhere"/>
      <w:bookmarkEnd w:id="88"/>
      <w:r w:rsidR="0020171D">
        <w:rPr>
          <w:szCs w:val="22"/>
        </w:rPr>
        <w:t xml:space="preserve">RDERING </w:t>
      </w:r>
      <w:r w:rsidRPr="00742635">
        <w:rPr>
          <w:szCs w:val="22"/>
        </w:rPr>
        <w:t>CLAUSE</w:t>
      </w:r>
      <w:bookmarkEnd w:id="80"/>
      <w:bookmarkEnd w:id="81"/>
      <w:bookmarkEnd w:id="82"/>
      <w:bookmarkEnd w:id="83"/>
      <w:bookmarkEnd w:id="84"/>
      <w:bookmarkEnd w:id="85"/>
      <w:bookmarkEnd w:id="86"/>
      <w:bookmarkEnd w:id="87"/>
    </w:p>
    <w:p w:rsidR="00167D5D" w:rsidRPr="00742635" w:rsidP="004E16D7" w14:paraId="733FBE4E" w14:textId="77777777">
      <w:pPr>
        <w:pStyle w:val="Paranum0"/>
        <w:numPr>
          <w:ilvl w:val="0"/>
          <w:numId w:val="12"/>
        </w:numPr>
        <w:tabs>
          <w:tab w:val="clear" w:pos="1080"/>
          <w:tab w:val="num" w:pos="1440"/>
        </w:tabs>
        <w:suppressAutoHyphens/>
        <w:spacing w:after="240"/>
        <w:jc w:val="left"/>
        <w:rPr>
          <w:szCs w:val="22"/>
        </w:rPr>
      </w:pPr>
      <w:r w:rsidRPr="00742635">
        <w:rPr>
          <w:szCs w:val="22"/>
        </w:rPr>
        <w:t>IT IS ORDERED that this Report be issued pursuant to authority contained in Section 623(k) of the Communications Act of 1934, as amended, 47 U.S.C. § 543(k).</w:t>
      </w:r>
    </w:p>
    <w:p w:rsidR="00167D5D" w:rsidRPr="00742635" w:rsidP="004E16D7" w14:paraId="6F74B782" w14:textId="77777777">
      <w:pPr>
        <w:pStyle w:val="ParaNum"/>
        <w:numPr>
          <w:ilvl w:val="0"/>
          <w:numId w:val="0"/>
        </w:numPr>
        <w:suppressAutoHyphens/>
        <w:rPr>
          <w:szCs w:val="22"/>
        </w:rPr>
      </w:pPr>
    </w:p>
    <w:p w:rsidR="00167D5D" w:rsidRPr="00742635" w:rsidP="004E16D7" w14:paraId="6BB0FC1F" w14:textId="77777777">
      <w:pPr>
        <w:pStyle w:val="ParaNum"/>
        <w:numPr>
          <w:ilvl w:val="0"/>
          <w:numId w:val="0"/>
        </w:numPr>
        <w:suppressAutoHyphens/>
        <w:ind w:left="4410"/>
        <w:rPr>
          <w:szCs w:val="22"/>
        </w:rPr>
      </w:pPr>
      <w:r w:rsidRPr="00742635">
        <w:rPr>
          <w:szCs w:val="22"/>
        </w:rPr>
        <w:t>FEDERAL COMMUNICATIONS COMMISSION</w:t>
      </w:r>
    </w:p>
    <w:p w:rsidR="00167D5D" w:rsidRPr="00742635" w:rsidP="004E16D7" w14:paraId="48B18EE0" w14:textId="77777777">
      <w:pPr>
        <w:pStyle w:val="ParaNum"/>
        <w:numPr>
          <w:ilvl w:val="0"/>
          <w:numId w:val="0"/>
        </w:numPr>
        <w:suppressAutoHyphens/>
        <w:ind w:left="4410"/>
        <w:rPr>
          <w:szCs w:val="22"/>
        </w:rPr>
      </w:pPr>
    </w:p>
    <w:p w:rsidR="00167D5D" w:rsidRPr="00742635" w:rsidP="004E16D7" w14:paraId="5EC314FE" w14:textId="77777777">
      <w:pPr>
        <w:pStyle w:val="ParaNum"/>
        <w:numPr>
          <w:ilvl w:val="0"/>
          <w:numId w:val="0"/>
        </w:numPr>
        <w:suppressAutoHyphens/>
        <w:ind w:left="4410"/>
        <w:rPr>
          <w:szCs w:val="22"/>
        </w:rPr>
      </w:pPr>
    </w:p>
    <w:p w:rsidR="00167D5D" w:rsidRPr="00742635" w:rsidP="004E16D7" w14:paraId="7D094A82" w14:textId="77777777">
      <w:pPr>
        <w:pStyle w:val="ParaNum"/>
        <w:numPr>
          <w:ilvl w:val="0"/>
          <w:numId w:val="0"/>
        </w:numPr>
        <w:suppressAutoHyphens/>
        <w:ind w:left="4410"/>
        <w:rPr>
          <w:szCs w:val="22"/>
        </w:rPr>
      </w:pPr>
    </w:p>
    <w:p w:rsidR="00167D5D" w:rsidRPr="00742635" w:rsidP="004E16D7" w14:paraId="687C4F31" w14:textId="08EBA4AF">
      <w:pPr>
        <w:pStyle w:val="ParaNum"/>
        <w:numPr>
          <w:ilvl w:val="0"/>
          <w:numId w:val="0"/>
        </w:numPr>
        <w:suppressAutoHyphens/>
        <w:ind w:left="4410"/>
        <w:rPr>
          <w:szCs w:val="22"/>
        </w:rPr>
      </w:pPr>
      <w:r w:rsidRPr="00853BF1">
        <w:rPr>
          <w:szCs w:val="22"/>
        </w:rPr>
        <w:t xml:space="preserve">Michelle </w:t>
      </w:r>
      <w:r w:rsidR="00396E11">
        <w:rPr>
          <w:szCs w:val="22"/>
        </w:rPr>
        <w:t xml:space="preserve">M. </w:t>
      </w:r>
      <w:r w:rsidRPr="00853BF1">
        <w:rPr>
          <w:szCs w:val="22"/>
        </w:rPr>
        <w:t>Carey</w:t>
      </w:r>
    </w:p>
    <w:p w:rsidR="00167D5D" w:rsidRPr="00742635" w:rsidP="004E16D7" w14:paraId="03F6EF49" w14:textId="6BD8A0D2">
      <w:pPr>
        <w:pStyle w:val="ParaNum"/>
        <w:numPr>
          <w:ilvl w:val="0"/>
          <w:numId w:val="0"/>
        </w:numPr>
        <w:suppressAutoHyphens/>
        <w:ind w:left="4410"/>
        <w:rPr>
          <w:szCs w:val="22"/>
        </w:rPr>
      </w:pPr>
      <w:r w:rsidRPr="00742635">
        <w:rPr>
          <w:szCs w:val="22"/>
        </w:rPr>
        <w:t>Chief, Media Bureau</w:t>
      </w:r>
    </w:p>
    <w:p w:rsidR="00ED0187" w:rsidP="004E16D7" w14:paraId="334666E3" w14:textId="77777777">
      <w:pPr>
        <w:widowControl/>
        <w:suppressAutoHyphens/>
        <w:ind w:left="4410"/>
        <w:rPr>
          <w:szCs w:val="22"/>
        </w:rPr>
      </w:pPr>
    </w:p>
    <w:p w:rsidR="00BE6C03" w:rsidP="004E16D7" w14:paraId="2EE5E21D" w14:textId="77777777">
      <w:pPr>
        <w:widowControl/>
        <w:suppressAutoHyphens/>
        <w:ind w:left="4410"/>
        <w:rPr>
          <w:szCs w:val="22"/>
        </w:rPr>
        <w:sectPr w:rsidSect="00E04DC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pgNumType w:start="1"/>
          <w:cols w:space="720"/>
          <w:noEndnote/>
          <w:docGrid w:linePitch="299"/>
        </w:sectPr>
      </w:pPr>
    </w:p>
    <w:p w:rsidR="00BE6C03" w:rsidP="004E16D7" w14:paraId="44204F99" w14:textId="77777777">
      <w:pPr>
        <w:widowControl/>
        <w:suppressAutoHyphens/>
      </w:pPr>
    </w:p>
    <w:tbl>
      <w:tblPr>
        <w:tblW w:w="4999" w:type="pct"/>
        <w:tblInd w:w="1" w:type="dxa"/>
        <w:tblCellMar>
          <w:top w:w="0" w:type="dxa"/>
          <w:left w:w="108" w:type="dxa"/>
          <w:bottom w:w="0" w:type="dxa"/>
          <w:right w:w="108" w:type="dxa"/>
        </w:tblCellMar>
        <w:tblLook w:val="04A0"/>
      </w:tblPr>
      <w:tblGrid>
        <w:gridCol w:w="3523"/>
        <w:gridCol w:w="1677"/>
        <w:gridCol w:w="1442"/>
        <w:gridCol w:w="1229"/>
        <w:gridCol w:w="1457"/>
      </w:tblGrid>
      <w:tr w14:paraId="19C666DC" w14:textId="77777777" w:rsidTr="00A46F4A">
        <w:tblPrEx>
          <w:tblW w:w="4999" w:type="pct"/>
          <w:tblInd w:w="1" w:type="dxa"/>
          <w:tblCellMar>
            <w:top w:w="0" w:type="dxa"/>
            <w:left w:w="108" w:type="dxa"/>
            <w:bottom w:w="0" w:type="dxa"/>
            <w:right w:w="108" w:type="dxa"/>
          </w:tblCellMar>
          <w:tblLook w:val="04A0"/>
        </w:tblPrEx>
        <w:trPr>
          <w:trHeight w:hRule="exact" w:val="1440"/>
        </w:trPr>
        <w:tc>
          <w:tcPr>
            <w:tcW w:w="5000" w:type="pct"/>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rsidR="00CD6D4D" w:rsidP="004E16D7" w14:paraId="269A6AFD" w14:textId="77777777">
            <w:pPr>
              <w:widowControl/>
              <w:suppressAutoHyphens/>
              <w:jc w:val="center"/>
              <w:rPr>
                <w:rStyle w:val="DefaultParagraphFont"/>
                <w:b/>
                <w:bCs/>
                <w:snapToGrid/>
                <w:color w:val="000000"/>
                <w:kern w:val="0"/>
                <w:sz w:val="24"/>
                <w:szCs w:val="24"/>
                <w:lang w:val="en-US" w:eastAsia="en-US" w:bidi="ar-SA"/>
              </w:rPr>
            </w:pPr>
            <w:r w:rsidRPr="00FE0728">
              <w:rPr>
                <w:b/>
                <w:bCs/>
                <w:snapToGrid/>
                <w:color w:val="000000"/>
                <w:kern w:val="0"/>
                <w:sz w:val="24"/>
                <w:szCs w:val="24"/>
                <w:lang w:val="en-US" w:eastAsia="en-US" w:bidi="ar-SA"/>
              </w:rPr>
              <w:t>Attachment 1</w:t>
            </w:r>
          </w:p>
          <w:p w:rsidR="00FE0728" w:rsidP="004E16D7" w14:paraId="0D072D8D" w14:textId="77777777">
            <w:pPr>
              <w:widowControl/>
              <w:suppressAutoHyphens/>
              <w:jc w:val="center"/>
              <w:rPr>
                <w:rStyle w:val="DefaultParagraphFont"/>
                <w:b/>
                <w:bCs/>
                <w:snapToGrid/>
                <w:color w:val="000000"/>
                <w:kern w:val="0"/>
                <w:sz w:val="24"/>
                <w:szCs w:val="24"/>
                <w:lang w:val="en-US" w:eastAsia="en-US" w:bidi="ar-SA"/>
              </w:rPr>
            </w:pPr>
            <w:r>
              <w:rPr>
                <w:b/>
                <w:bCs/>
                <w:snapToGrid/>
                <w:color w:val="000000"/>
                <w:kern w:val="0"/>
                <w:sz w:val="24"/>
                <w:szCs w:val="24"/>
                <w:lang w:val="en-US" w:eastAsia="en-US" w:bidi="ar-SA"/>
              </w:rPr>
              <w:t>Cable Price Survey</w:t>
            </w:r>
          </w:p>
          <w:p w:rsidR="00FE0728" w:rsidP="004E16D7" w14:paraId="676B3231" w14:textId="77777777">
            <w:pPr>
              <w:widowControl/>
              <w:suppressAutoHyphens/>
              <w:jc w:val="center"/>
              <w:rPr>
                <w:rStyle w:val="DefaultParagraphFont"/>
                <w:b/>
                <w:bCs/>
                <w:snapToGrid/>
                <w:color w:val="000000"/>
                <w:kern w:val="0"/>
                <w:sz w:val="24"/>
                <w:szCs w:val="24"/>
                <w:lang w:val="en-US" w:eastAsia="en-US" w:bidi="ar-SA"/>
              </w:rPr>
            </w:pPr>
            <w:r>
              <w:rPr>
                <w:b/>
                <w:bCs/>
                <w:snapToGrid/>
                <w:color w:val="000000"/>
                <w:kern w:val="0"/>
                <w:sz w:val="24"/>
                <w:szCs w:val="24"/>
                <w:lang w:val="en-US" w:eastAsia="en-US" w:bidi="ar-SA"/>
              </w:rPr>
              <w:t>Sampling Groups</w:t>
            </w:r>
          </w:p>
          <w:p w:rsidR="00CD6D4D" w:rsidRPr="00FE0728" w:rsidP="004E16D7" w14:paraId="167175F1" w14:textId="77777777">
            <w:pPr>
              <w:widowControl/>
              <w:suppressAutoHyphens/>
              <w:jc w:val="center"/>
              <w:rPr>
                <w:rStyle w:val="DefaultParagraphFont"/>
                <w:bCs/>
                <w:snapToGrid/>
                <w:color w:val="000000"/>
                <w:kern w:val="0"/>
                <w:sz w:val="24"/>
                <w:szCs w:val="24"/>
                <w:lang w:val="en-US" w:eastAsia="en-US" w:bidi="ar-SA"/>
              </w:rPr>
            </w:pPr>
            <w:r w:rsidRPr="00CD6D4D">
              <w:rPr>
                <w:bCs/>
                <w:snapToGrid/>
                <w:color w:val="000000"/>
                <w:kern w:val="0"/>
                <w:sz w:val="24"/>
                <w:szCs w:val="24"/>
                <w:lang w:val="en-US" w:eastAsia="en-US" w:bidi="ar-SA"/>
              </w:rPr>
              <w:t>January 1, 2016</w:t>
            </w:r>
          </w:p>
        </w:tc>
      </w:tr>
      <w:tr w14:paraId="56ABB0F9" w14:textId="77777777" w:rsidTr="00A46F4A">
        <w:tblPrEx>
          <w:tblW w:w="4999" w:type="pct"/>
          <w:tblInd w:w="1" w:type="dxa"/>
          <w:tblCellMar>
            <w:top w:w="0" w:type="dxa"/>
            <w:left w:w="108" w:type="dxa"/>
            <w:bottom w:w="0" w:type="dxa"/>
            <w:right w:w="108" w:type="dxa"/>
          </w:tblCellMar>
          <w:tblLook w:val="04A0"/>
        </w:tblPrEx>
        <w:trPr>
          <w:trHeight w:hRule="exact" w:val="144"/>
        </w:trPr>
        <w:tc>
          <w:tcPr>
            <w:tcW w:w="1888"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FE0728" w:rsidP="004E16D7" w14:paraId="6B64C443" w14:textId="77777777">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Sampl</w:t>
            </w:r>
            <w:r w:rsidR="00BA0486">
              <w:rPr>
                <w:b/>
                <w:bCs/>
                <w:snapToGrid/>
                <w:color w:val="000000"/>
                <w:kern w:val="0"/>
                <w:sz w:val="22"/>
                <w:szCs w:val="22"/>
                <w:lang w:val="en-US" w:eastAsia="en-US" w:bidi="ar-SA"/>
              </w:rPr>
              <w:t>ing</w:t>
            </w:r>
            <w:r w:rsidRPr="00FE0728">
              <w:rPr>
                <w:b/>
                <w:bCs/>
                <w:snapToGrid/>
                <w:color w:val="000000"/>
                <w:kern w:val="0"/>
                <w:sz w:val="22"/>
                <w:szCs w:val="22"/>
                <w:lang w:val="en-US" w:eastAsia="en-US" w:bidi="ar-SA"/>
              </w:rPr>
              <w:t xml:space="preserve"> Groups</w:t>
            </w:r>
          </w:p>
          <w:p w:rsidR="00BA0486" w:rsidRPr="00FE0728" w:rsidP="004E16D7" w14:paraId="13CA1CFA" w14:textId="77777777">
            <w:pPr>
              <w:widowControl/>
              <w:suppressAutoHyphens/>
              <w:jc w:val="center"/>
              <w:rPr>
                <w:rStyle w:val="DefaultParagraphFont"/>
                <w:b/>
                <w:bCs/>
                <w:snapToGrid/>
                <w:color w:val="000000"/>
                <w:kern w:val="0"/>
                <w:sz w:val="22"/>
                <w:szCs w:val="22"/>
                <w:lang w:val="en-US" w:eastAsia="en-US" w:bidi="ar-SA"/>
              </w:rPr>
            </w:pPr>
            <w:r>
              <w:rPr>
                <w:b/>
                <w:bCs/>
                <w:snapToGrid/>
                <w:color w:val="000000"/>
                <w:kern w:val="0"/>
                <w:sz w:val="22"/>
                <w:szCs w:val="22"/>
                <w:lang w:val="en-US" w:eastAsia="en-US" w:bidi="ar-SA"/>
              </w:rPr>
              <w:t>and Subgroups</w:t>
            </w:r>
          </w:p>
        </w:tc>
        <w:tc>
          <w:tcPr>
            <w:tcW w:w="899"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E6310C" w:rsidP="004E16D7" w14:paraId="4232F346" w14:textId="77777777">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Number</w:t>
            </w:r>
          </w:p>
          <w:p w:rsidR="00E6310C" w:rsidP="004E16D7" w14:paraId="4BDB4625" w14:textId="77777777">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 xml:space="preserve"> of Cable</w:t>
            </w:r>
          </w:p>
          <w:p w:rsidR="00FE0728" w:rsidRPr="00FE0728" w:rsidP="004E16D7" w14:paraId="4BC6662E" w14:textId="361EE3D7">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 xml:space="preserve"> Communities</w:t>
            </w:r>
          </w:p>
        </w:tc>
        <w:tc>
          <w:tcPr>
            <w:tcW w:w="773"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E0728" w:rsidRPr="00FE0728" w:rsidP="004E16D7" w14:paraId="154AD7DE" w14:textId="77777777">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Percent of National Subscribers</w:t>
            </w:r>
          </w:p>
        </w:tc>
        <w:tc>
          <w:tcPr>
            <w:tcW w:w="659"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FE0728" w:rsidRPr="00FE0728" w:rsidP="004E16D7" w14:paraId="73481B5D" w14:textId="77777777">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Survey Sample Size</w:t>
            </w:r>
          </w:p>
        </w:tc>
        <w:tc>
          <w:tcPr>
            <w:tcW w:w="781" w:type="pct"/>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rsidR="00E6310C" w:rsidP="004E16D7" w14:paraId="5A17863F" w14:textId="3C5AB107">
            <w:pPr>
              <w:widowControl/>
              <w:suppressAutoHyphens/>
              <w:jc w:val="center"/>
              <w:rPr>
                <w:rStyle w:val="DefaultParagraphFont"/>
                <w:b/>
                <w:bCs/>
                <w:snapToGrid/>
                <w:color w:val="000000"/>
                <w:kern w:val="0"/>
                <w:sz w:val="22"/>
                <w:szCs w:val="22"/>
                <w:lang w:val="en-US" w:eastAsia="en-US" w:bidi="ar-SA"/>
              </w:rPr>
            </w:pPr>
            <w:r>
              <w:rPr>
                <w:b/>
                <w:bCs/>
                <w:snapToGrid/>
                <w:color w:val="000000"/>
                <w:kern w:val="0"/>
                <w:sz w:val="22"/>
                <w:szCs w:val="22"/>
                <w:lang w:val="en-US" w:eastAsia="en-US" w:bidi="ar-SA"/>
              </w:rPr>
              <w:t>Number</w:t>
            </w:r>
          </w:p>
          <w:p w:rsidR="00FE0728" w:rsidRPr="00FE0728" w:rsidP="004E16D7" w14:paraId="304EB613" w14:textId="5386023E">
            <w:pPr>
              <w:widowControl/>
              <w:suppressAutoHyphens/>
              <w:jc w:val="center"/>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 xml:space="preserve"> </w:t>
            </w:r>
            <w:r w:rsidRPr="00FE0728" w:rsidR="00F40AD9">
              <w:rPr>
                <w:b/>
                <w:bCs/>
                <w:snapToGrid/>
                <w:color w:val="000000"/>
                <w:kern w:val="0"/>
                <w:sz w:val="22"/>
                <w:szCs w:val="22"/>
                <w:lang w:val="en-US" w:eastAsia="en-US" w:bidi="ar-SA"/>
              </w:rPr>
              <w:t>of Survey</w:t>
            </w:r>
            <w:r w:rsidRPr="00FE0728">
              <w:rPr>
                <w:b/>
                <w:bCs/>
                <w:snapToGrid/>
                <w:color w:val="000000"/>
                <w:kern w:val="0"/>
                <w:sz w:val="22"/>
                <w:szCs w:val="22"/>
                <w:lang w:val="en-US" w:eastAsia="en-US" w:bidi="ar-SA"/>
              </w:rPr>
              <w:t xml:space="preserve"> Responses</w:t>
            </w:r>
          </w:p>
        </w:tc>
      </w:tr>
      <w:tr w14:paraId="3C8C8950" w14:textId="77777777" w:rsidTr="00A46F4A">
        <w:tblPrEx>
          <w:tblW w:w="4999" w:type="pct"/>
          <w:tblInd w:w="1" w:type="dxa"/>
          <w:tblCellMar>
            <w:top w:w="0" w:type="dxa"/>
            <w:left w:w="108" w:type="dxa"/>
            <w:bottom w:w="0" w:type="dxa"/>
            <w:right w:w="108" w:type="dxa"/>
          </w:tblCellMar>
          <w:tblLook w:val="04A0"/>
        </w:tblPrEx>
        <w:trPr>
          <w:trHeight w:val="560"/>
        </w:trPr>
        <w:tc>
          <w:tcPr>
            <w:tcW w:w="1888" w:type="pct"/>
            <w:vMerge/>
            <w:tcBorders>
              <w:top w:val="single" w:sz="12" w:space="0" w:color="auto"/>
              <w:left w:val="single" w:sz="12" w:space="0" w:color="auto"/>
              <w:bottom w:val="single" w:sz="8" w:space="0" w:color="auto"/>
              <w:right w:val="single" w:sz="8" w:space="0" w:color="auto"/>
            </w:tcBorders>
            <w:vAlign w:val="center"/>
            <w:hideMark/>
          </w:tcPr>
          <w:p w:rsidR="00FE0728" w:rsidRPr="00FE0728" w:rsidP="004E16D7" w14:paraId="13B11188" w14:textId="77777777">
            <w:pPr>
              <w:widowControl/>
              <w:suppressAutoHyphens/>
              <w:rPr>
                <w:rStyle w:val="DefaultParagraphFont"/>
                <w:b/>
                <w:bCs/>
                <w:snapToGrid/>
                <w:color w:val="000000"/>
                <w:kern w:val="0"/>
                <w:sz w:val="22"/>
                <w:szCs w:val="22"/>
                <w:lang w:val="en-US" w:eastAsia="en-US" w:bidi="ar-SA"/>
              </w:rPr>
            </w:pPr>
          </w:p>
        </w:tc>
        <w:tc>
          <w:tcPr>
            <w:tcW w:w="899" w:type="pct"/>
            <w:vMerge/>
            <w:tcBorders>
              <w:top w:val="single" w:sz="12" w:space="0" w:color="auto"/>
              <w:left w:val="single" w:sz="8" w:space="0" w:color="auto"/>
              <w:bottom w:val="single" w:sz="8" w:space="0" w:color="auto"/>
              <w:right w:val="single" w:sz="8" w:space="0" w:color="auto"/>
            </w:tcBorders>
            <w:vAlign w:val="center"/>
            <w:hideMark/>
          </w:tcPr>
          <w:p w:rsidR="00FE0728" w:rsidRPr="00FE0728" w:rsidP="004E16D7" w14:paraId="0AFA566A" w14:textId="77777777">
            <w:pPr>
              <w:widowControl/>
              <w:suppressAutoHyphens/>
              <w:rPr>
                <w:rStyle w:val="DefaultParagraphFont"/>
                <w:b/>
                <w:bCs/>
                <w:snapToGrid/>
                <w:color w:val="000000"/>
                <w:kern w:val="0"/>
                <w:sz w:val="22"/>
                <w:szCs w:val="22"/>
                <w:lang w:val="en-US" w:eastAsia="en-US" w:bidi="ar-SA"/>
              </w:rPr>
            </w:pPr>
          </w:p>
        </w:tc>
        <w:tc>
          <w:tcPr>
            <w:tcW w:w="773" w:type="pct"/>
            <w:vMerge/>
            <w:tcBorders>
              <w:top w:val="single" w:sz="12" w:space="0" w:color="auto"/>
              <w:left w:val="single" w:sz="8" w:space="0" w:color="auto"/>
              <w:bottom w:val="single" w:sz="8" w:space="0" w:color="auto"/>
              <w:right w:val="single" w:sz="8" w:space="0" w:color="auto"/>
            </w:tcBorders>
            <w:vAlign w:val="center"/>
            <w:hideMark/>
          </w:tcPr>
          <w:p w:rsidR="00FE0728" w:rsidRPr="00FE0728" w:rsidP="004E16D7" w14:paraId="40D1E957" w14:textId="77777777">
            <w:pPr>
              <w:widowControl/>
              <w:suppressAutoHyphens/>
              <w:rPr>
                <w:rStyle w:val="DefaultParagraphFont"/>
                <w:b/>
                <w:bCs/>
                <w:snapToGrid/>
                <w:color w:val="000000"/>
                <w:kern w:val="0"/>
                <w:sz w:val="22"/>
                <w:szCs w:val="22"/>
                <w:lang w:val="en-US" w:eastAsia="en-US" w:bidi="ar-SA"/>
              </w:rPr>
            </w:pPr>
          </w:p>
        </w:tc>
        <w:tc>
          <w:tcPr>
            <w:tcW w:w="659" w:type="pct"/>
            <w:vMerge/>
            <w:tcBorders>
              <w:top w:val="single" w:sz="12" w:space="0" w:color="auto"/>
              <w:left w:val="single" w:sz="8" w:space="0" w:color="auto"/>
              <w:bottom w:val="single" w:sz="8" w:space="0" w:color="auto"/>
              <w:right w:val="single" w:sz="8" w:space="0" w:color="auto"/>
            </w:tcBorders>
            <w:vAlign w:val="center"/>
            <w:hideMark/>
          </w:tcPr>
          <w:p w:rsidR="00FE0728" w:rsidRPr="00FE0728" w:rsidP="004E16D7" w14:paraId="4FF1775C" w14:textId="77777777">
            <w:pPr>
              <w:widowControl/>
              <w:suppressAutoHyphens/>
              <w:rPr>
                <w:rStyle w:val="DefaultParagraphFont"/>
                <w:b/>
                <w:bCs/>
                <w:snapToGrid/>
                <w:color w:val="000000"/>
                <w:kern w:val="0"/>
                <w:sz w:val="22"/>
                <w:szCs w:val="22"/>
                <w:lang w:val="en-US" w:eastAsia="en-US" w:bidi="ar-SA"/>
              </w:rPr>
            </w:pPr>
          </w:p>
        </w:tc>
        <w:tc>
          <w:tcPr>
            <w:tcW w:w="781" w:type="pct"/>
            <w:vMerge/>
            <w:tcBorders>
              <w:top w:val="single" w:sz="12" w:space="0" w:color="auto"/>
              <w:left w:val="single" w:sz="8" w:space="0" w:color="auto"/>
              <w:bottom w:val="single" w:sz="8" w:space="0" w:color="auto"/>
              <w:right w:val="single" w:sz="12" w:space="0" w:color="auto"/>
            </w:tcBorders>
            <w:vAlign w:val="center"/>
            <w:hideMark/>
          </w:tcPr>
          <w:p w:rsidR="00FE0728" w:rsidRPr="00FE0728" w:rsidP="004E16D7" w14:paraId="7D7CEC92" w14:textId="77777777">
            <w:pPr>
              <w:widowControl/>
              <w:suppressAutoHyphens/>
              <w:rPr>
                <w:rStyle w:val="DefaultParagraphFont"/>
                <w:b/>
                <w:bCs/>
                <w:snapToGrid/>
                <w:color w:val="000000"/>
                <w:kern w:val="0"/>
                <w:sz w:val="22"/>
                <w:szCs w:val="22"/>
                <w:lang w:val="en-US" w:eastAsia="en-US" w:bidi="ar-SA"/>
              </w:rPr>
            </w:pPr>
          </w:p>
        </w:tc>
      </w:tr>
      <w:tr w14:paraId="535D5D1F" w14:textId="77777777" w:rsidTr="00A46F4A">
        <w:tblPrEx>
          <w:tblW w:w="4999" w:type="pct"/>
          <w:tblInd w:w="1" w:type="dxa"/>
          <w:tblCellMar>
            <w:top w:w="0" w:type="dxa"/>
            <w:left w:w="108" w:type="dxa"/>
            <w:bottom w:w="0" w:type="dxa"/>
            <w:right w:w="108" w:type="dxa"/>
          </w:tblCellMar>
          <w:tblLook w:val="04A0"/>
        </w:tblPrEx>
        <w:trPr>
          <w:trHeight w:val="253"/>
        </w:trPr>
        <w:tc>
          <w:tcPr>
            <w:tcW w:w="1888" w:type="pct"/>
            <w:vMerge/>
            <w:tcBorders>
              <w:top w:val="single" w:sz="12" w:space="0" w:color="auto"/>
              <w:left w:val="single" w:sz="12" w:space="0" w:color="auto"/>
              <w:bottom w:val="single" w:sz="8" w:space="0" w:color="auto"/>
              <w:right w:val="single" w:sz="8" w:space="0" w:color="auto"/>
            </w:tcBorders>
            <w:vAlign w:val="center"/>
            <w:hideMark/>
          </w:tcPr>
          <w:p w:rsidR="00FE0728" w:rsidRPr="00FE0728" w:rsidP="004E16D7" w14:paraId="767C87AB" w14:textId="77777777">
            <w:pPr>
              <w:widowControl/>
              <w:suppressAutoHyphens/>
              <w:rPr>
                <w:rStyle w:val="DefaultParagraphFont"/>
                <w:b/>
                <w:bCs/>
                <w:snapToGrid/>
                <w:color w:val="000000"/>
                <w:kern w:val="0"/>
                <w:sz w:val="22"/>
                <w:szCs w:val="22"/>
                <w:lang w:val="en-US" w:eastAsia="en-US" w:bidi="ar-SA"/>
              </w:rPr>
            </w:pPr>
          </w:p>
        </w:tc>
        <w:tc>
          <w:tcPr>
            <w:tcW w:w="899" w:type="pct"/>
            <w:vMerge/>
            <w:tcBorders>
              <w:top w:val="single" w:sz="12" w:space="0" w:color="auto"/>
              <w:left w:val="single" w:sz="8" w:space="0" w:color="auto"/>
              <w:bottom w:val="single" w:sz="8" w:space="0" w:color="auto"/>
              <w:right w:val="single" w:sz="8" w:space="0" w:color="auto"/>
            </w:tcBorders>
            <w:vAlign w:val="center"/>
            <w:hideMark/>
          </w:tcPr>
          <w:p w:rsidR="00FE0728" w:rsidRPr="00FE0728" w:rsidP="004E16D7" w14:paraId="226DA183" w14:textId="77777777">
            <w:pPr>
              <w:widowControl/>
              <w:suppressAutoHyphens/>
              <w:rPr>
                <w:rStyle w:val="DefaultParagraphFont"/>
                <w:b/>
                <w:bCs/>
                <w:snapToGrid/>
                <w:color w:val="000000"/>
                <w:kern w:val="0"/>
                <w:sz w:val="22"/>
                <w:szCs w:val="22"/>
                <w:lang w:val="en-US" w:eastAsia="en-US" w:bidi="ar-SA"/>
              </w:rPr>
            </w:pPr>
          </w:p>
        </w:tc>
        <w:tc>
          <w:tcPr>
            <w:tcW w:w="773" w:type="pct"/>
            <w:vMerge/>
            <w:tcBorders>
              <w:top w:val="single" w:sz="12" w:space="0" w:color="auto"/>
              <w:left w:val="single" w:sz="8" w:space="0" w:color="auto"/>
              <w:bottom w:val="single" w:sz="8" w:space="0" w:color="auto"/>
              <w:right w:val="single" w:sz="8" w:space="0" w:color="auto"/>
            </w:tcBorders>
            <w:vAlign w:val="center"/>
            <w:hideMark/>
          </w:tcPr>
          <w:p w:rsidR="00FE0728" w:rsidRPr="00FE0728" w:rsidP="004E16D7" w14:paraId="62D9D1C4" w14:textId="77777777">
            <w:pPr>
              <w:widowControl/>
              <w:suppressAutoHyphens/>
              <w:rPr>
                <w:rStyle w:val="DefaultParagraphFont"/>
                <w:b/>
                <w:bCs/>
                <w:snapToGrid/>
                <w:color w:val="000000"/>
                <w:kern w:val="0"/>
                <w:sz w:val="22"/>
                <w:szCs w:val="22"/>
                <w:lang w:val="en-US" w:eastAsia="en-US" w:bidi="ar-SA"/>
              </w:rPr>
            </w:pPr>
          </w:p>
        </w:tc>
        <w:tc>
          <w:tcPr>
            <w:tcW w:w="659" w:type="pct"/>
            <w:vMerge/>
            <w:tcBorders>
              <w:top w:val="single" w:sz="12" w:space="0" w:color="auto"/>
              <w:left w:val="single" w:sz="8" w:space="0" w:color="auto"/>
              <w:bottom w:val="single" w:sz="8" w:space="0" w:color="auto"/>
              <w:right w:val="single" w:sz="8" w:space="0" w:color="auto"/>
            </w:tcBorders>
            <w:vAlign w:val="center"/>
            <w:hideMark/>
          </w:tcPr>
          <w:p w:rsidR="00FE0728" w:rsidRPr="00FE0728" w:rsidP="004E16D7" w14:paraId="5951285D" w14:textId="77777777">
            <w:pPr>
              <w:widowControl/>
              <w:suppressAutoHyphens/>
              <w:rPr>
                <w:rStyle w:val="DefaultParagraphFont"/>
                <w:b/>
                <w:bCs/>
                <w:snapToGrid/>
                <w:color w:val="000000"/>
                <w:kern w:val="0"/>
                <w:sz w:val="22"/>
                <w:szCs w:val="22"/>
                <w:lang w:val="en-US" w:eastAsia="en-US" w:bidi="ar-SA"/>
              </w:rPr>
            </w:pPr>
          </w:p>
        </w:tc>
        <w:tc>
          <w:tcPr>
            <w:tcW w:w="781" w:type="pct"/>
            <w:vMerge/>
            <w:tcBorders>
              <w:top w:val="single" w:sz="12" w:space="0" w:color="auto"/>
              <w:left w:val="single" w:sz="8" w:space="0" w:color="auto"/>
              <w:bottom w:val="single" w:sz="8" w:space="0" w:color="auto"/>
              <w:right w:val="single" w:sz="12" w:space="0" w:color="auto"/>
            </w:tcBorders>
            <w:vAlign w:val="center"/>
            <w:hideMark/>
          </w:tcPr>
          <w:p w:rsidR="00FE0728" w:rsidRPr="00FE0728" w:rsidP="004E16D7" w14:paraId="198661A9" w14:textId="77777777">
            <w:pPr>
              <w:widowControl/>
              <w:suppressAutoHyphens/>
              <w:rPr>
                <w:rStyle w:val="DefaultParagraphFont"/>
                <w:b/>
                <w:bCs/>
                <w:snapToGrid/>
                <w:color w:val="000000"/>
                <w:kern w:val="0"/>
                <w:sz w:val="22"/>
                <w:szCs w:val="22"/>
                <w:lang w:val="en-US" w:eastAsia="en-US" w:bidi="ar-SA"/>
              </w:rPr>
            </w:pPr>
          </w:p>
        </w:tc>
      </w:tr>
      <w:tr w14:paraId="4E3CDF1E" w14:textId="77777777" w:rsidTr="00A46F4A">
        <w:tblPrEx>
          <w:tblW w:w="4999" w:type="pct"/>
          <w:tblInd w:w="1" w:type="dxa"/>
          <w:tblCellMar>
            <w:top w:w="0" w:type="dxa"/>
            <w:left w:w="108" w:type="dxa"/>
            <w:bottom w:w="0" w:type="dxa"/>
            <w:right w:w="108" w:type="dxa"/>
          </w:tblCellMar>
          <w:tblLook w:val="04A0"/>
        </w:tblPrEx>
        <w:trPr>
          <w:trHeight w:val="480"/>
        </w:trPr>
        <w:tc>
          <w:tcPr>
            <w:tcW w:w="5000" w:type="pct"/>
            <w:gridSpan w:val="5"/>
            <w:tcBorders>
              <w:top w:val="single" w:sz="8" w:space="0" w:color="auto"/>
              <w:left w:val="single" w:sz="12" w:space="0" w:color="auto"/>
              <w:bottom w:val="single" w:sz="8" w:space="0" w:color="auto"/>
              <w:right w:val="single" w:sz="12" w:space="0" w:color="000000"/>
            </w:tcBorders>
            <w:shd w:val="clear" w:color="auto" w:fill="auto"/>
            <w:vAlign w:val="center"/>
            <w:hideMark/>
          </w:tcPr>
          <w:p w:rsidR="00FE0728" w:rsidRPr="00FE0728" w:rsidP="004E16D7" w14:paraId="3FCA481A" w14:textId="77777777">
            <w:pPr>
              <w:widowControl/>
              <w:suppressAutoHyphens/>
              <w:jc w:val="center"/>
              <w:rPr>
                <w:rStyle w:val="DefaultParagraphFont"/>
                <w:b/>
                <w:bCs/>
                <w:snapToGrid/>
                <w:color w:val="000000"/>
                <w:kern w:val="0"/>
                <w:sz w:val="24"/>
                <w:szCs w:val="24"/>
                <w:lang w:val="en-US" w:eastAsia="en-US" w:bidi="ar-SA"/>
              </w:rPr>
            </w:pPr>
            <w:r w:rsidRPr="00FE0728">
              <w:rPr>
                <w:b/>
                <w:bCs/>
                <w:snapToGrid/>
                <w:color w:val="000000"/>
                <w:kern w:val="0"/>
                <w:sz w:val="24"/>
                <w:szCs w:val="24"/>
                <w:lang w:val="en-US" w:eastAsia="en-US" w:bidi="ar-SA"/>
              </w:rPr>
              <w:t>Sampl</w:t>
            </w:r>
            <w:r w:rsidR="00667C92">
              <w:rPr>
                <w:b/>
                <w:bCs/>
                <w:snapToGrid/>
                <w:color w:val="000000"/>
                <w:kern w:val="0"/>
                <w:sz w:val="24"/>
                <w:szCs w:val="24"/>
                <w:lang w:val="en-US" w:eastAsia="en-US" w:bidi="ar-SA"/>
              </w:rPr>
              <w:t>ing</w:t>
            </w:r>
            <w:r w:rsidRPr="00FE0728">
              <w:rPr>
                <w:b/>
                <w:bCs/>
                <w:snapToGrid/>
                <w:color w:val="000000"/>
                <w:kern w:val="0"/>
                <w:sz w:val="24"/>
                <w:szCs w:val="24"/>
                <w:lang w:val="en-US" w:eastAsia="en-US" w:bidi="ar-SA"/>
              </w:rPr>
              <w:t xml:space="preserve"> Groups</w:t>
            </w:r>
          </w:p>
        </w:tc>
      </w:tr>
      <w:tr w14:paraId="38C81D8A" w14:textId="77777777" w:rsidTr="00A46F4A">
        <w:tblPrEx>
          <w:tblW w:w="4999" w:type="pct"/>
          <w:tblInd w:w="1" w:type="dxa"/>
          <w:tblCellMar>
            <w:top w:w="0" w:type="dxa"/>
            <w:left w:w="108" w:type="dxa"/>
            <w:bottom w:w="0" w:type="dxa"/>
            <w:right w:w="108" w:type="dxa"/>
          </w:tblCellMar>
          <w:tblLook w:val="04A0"/>
        </w:tblPrEx>
        <w:trPr>
          <w:trHeight w:val="320"/>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10485B4B" w14:textId="77777777">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Noncompetitive group</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42E2F41C" w14:textId="77777777">
            <w:pPr>
              <w:widowControl/>
              <w:suppressAutoHyphens/>
              <w:jc w:val="center"/>
              <w:rPr>
                <w:rStyle w:val="DefaultParagraphFont"/>
                <w:snapToGrid/>
                <w:color w:val="000000"/>
                <w:kern w:val="0"/>
                <w:sz w:val="22"/>
                <w:szCs w:val="22"/>
                <w:lang w:val="en-US" w:eastAsia="en-US" w:bidi="ar-SA"/>
              </w:rPr>
            </w:pPr>
            <w:r w:rsidRPr="00372C6B">
              <w:rPr>
                <w:snapToGrid/>
                <w:color w:val="000000"/>
                <w:kern w:val="0"/>
                <w:sz w:val="22"/>
                <w:szCs w:val="22"/>
                <w:lang w:val="en-US" w:eastAsia="en-US" w:bidi="ar-SA"/>
              </w:rPr>
              <w:t>23,031</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17BBA1ED"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5</w:t>
            </w:r>
            <w:r>
              <w:rPr>
                <w:snapToGrid/>
                <w:color w:val="000000"/>
                <w:kern w:val="0"/>
                <w:sz w:val="22"/>
                <w:szCs w:val="22"/>
                <w:lang w:val="en-US" w:eastAsia="en-US" w:bidi="ar-SA"/>
              </w:rPr>
              <w:t>3</w:t>
            </w:r>
            <w:r w:rsidRPr="00FE0728">
              <w:rPr>
                <w:snapToGrid/>
                <w:color w:val="000000"/>
                <w:kern w:val="0"/>
                <w:sz w:val="22"/>
                <w:szCs w:val="22"/>
                <w:lang w:val="en-US" w:eastAsia="en-US" w:bidi="ar-SA"/>
              </w:rPr>
              <w:t>.</w:t>
            </w:r>
            <w:r>
              <w:rPr>
                <w:snapToGrid/>
                <w:color w:val="000000"/>
                <w:kern w:val="0"/>
                <w:sz w:val="22"/>
                <w:szCs w:val="22"/>
                <w:lang w:val="en-US" w:eastAsia="en-US" w:bidi="ar-SA"/>
              </w:rPr>
              <w:t>3</w:t>
            </w:r>
            <w:r w:rsidRPr="00FE0728">
              <w:rPr>
                <w:snapToGrid/>
                <w:color w:val="000000"/>
                <w:kern w:val="0"/>
                <w:sz w:val="22"/>
                <w:szCs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143FCD14"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485</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8B0D6E" w:rsidP="004E16D7" w14:paraId="6EAB32C8" w14:textId="77777777">
            <w:pPr>
              <w:widowControl w:val="0"/>
              <w:suppressAutoHyphens/>
              <w:jc w:val="center"/>
              <w:rPr>
                <w:rStyle w:val="DefaultParagraphFont"/>
                <w:snapToGrid w:val="0"/>
                <w:kern w:val="28"/>
                <w:sz w:val="22"/>
                <w:lang w:val="en-US" w:eastAsia="en-US" w:bidi="ar-SA"/>
              </w:rPr>
            </w:pPr>
            <w:r w:rsidRPr="008B0D6E">
              <w:rPr>
                <w:snapToGrid w:val="0"/>
                <w:kern w:val="28"/>
                <w:sz w:val="22"/>
                <w:lang w:val="en-US" w:eastAsia="en-US" w:bidi="ar-SA"/>
              </w:rPr>
              <w:t>4</w:t>
            </w:r>
            <w:r w:rsidR="00225E4B">
              <w:rPr>
                <w:snapToGrid w:val="0"/>
                <w:kern w:val="28"/>
                <w:sz w:val="22"/>
                <w:lang w:val="en-US" w:eastAsia="en-US" w:bidi="ar-SA"/>
              </w:rPr>
              <w:t>53</w:t>
            </w:r>
          </w:p>
        </w:tc>
      </w:tr>
      <w:tr w14:paraId="23DA44EA" w14:textId="77777777" w:rsidTr="00A46F4A">
        <w:tblPrEx>
          <w:tblW w:w="4999" w:type="pct"/>
          <w:tblInd w:w="1" w:type="dxa"/>
          <w:tblCellMar>
            <w:top w:w="0" w:type="dxa"/>
            <w:left w:w="108" w:type="dxa"/>
            <w:bottom w:w="0" w:type="dxa"/>
            <w:right w:w="108" w:type="dxa"/>
          </w:tblCellMar>
          <w:tblLook w:val="04A0"/>
        </w:tblPrEx>
        <w:trPr>
          <w:trHeight w:hRule="exact" w:val="317"/>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70220CC6" w14:textId="77777777">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Effective competition</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B6681F" w:rsidP="004E16D7" w14:paraId="6550F95F" w14:textId="77777777">
            <w:pPr>
              <w:widowControl w:val="0"/>
              <w:suppressAutoHyphens/>
              <w:jc w:val="center"/>
              <w:rPr>
                <w:rStyle w:val="DefaultParagraphFont"/>
                <w:snapToGrid w:val="0"/>
                <w:kern w:val="28"/>
                <w:sz w:val="22"/>
                <w:lang w:val="en-US" w:eastAsia="en-US" w:bidi="ar-SA"/>
              </w:rPr>
            </w:pPr>
            <w:r w:rsidRPr="00B6681F">
              <w:rPr>
                <w:snapToGrid w:val="0"/>
                <w:kern w:val="28"/>
                <w:sz w:val="22"/>
                <w:lang w:val="en-US" w:eastAsia="en-US" w:bidi="ar-SA"/>
              </w:rPr>
              <w:t>10,569</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6E7B8BA6"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4</w:t>
            </w:r>
            <w:r>
              <w:rPr>
                <w:snapToGrid/>
                <w:color w:val="000000"/>
                <w:kern w:val="0"/>
                <w:sz w:val="22"/>
                <w:szCs w:val="22"/>
                <w:lang w:val="en-US" w:eastAsia="en-US" w:bidi="ar-SA"/>
              </w:rPr>
              <w:t>6</w:t>
            </w:r>
            <w:r w:rsidRPr="00FE0728">
              <w:rPr>
                <w:snapToGrid/>
                <w:color w:val="000000"/>
                <w:kern w:val="0"/>
                <w:sz w:val="22"/>
                <w:szCs w:val="22"/>
                <w:lang w:val="en-US" w:eastAsia="en-US" w:bidi="ar-SA"/>
              </w:rPr>
              <w:t>.</w:t>
            </w:r>
            <w:r>
              <w:rPr>
                <w:snapToGrid/>
                <w:color w:val="000000"/>
                <w:kern w:val="0"/>
                <w:sz w:val="22"/>
                <w:szCs w:val="22"/>
                <w:lang w:val="en-US" w:eastAsia="en-US" w:bidi="ar-SA"/>
              </w:rPr>
              <w:t>7</w:t>
            </w:r>
            <w:r w:rsidRPr="00FE0728">
              <w:rPr>
                <w:snapToGrid/>
                <w:color w:val="000000"/>
                <w:kern w:val="0"/>
                <w:sz w:val="22"/>
                <w:szCs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14A94CDA"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315</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8B0D6E" w:rsidP="004E16D7" w14:paraId="3DF61040" w14:textId="77777777">
            <w:pPr>
              <w:widowControl w:val="0"/>
              <w:suppressAutoHyphens/>
              <w:jc w:val="center"/>
              <w:rPr>
                <w:rStyle w:val="DefaultParagraphFont"/>
                <w:snapToGrid w:val="0"/>
                <w:kern w:val="28"/>
                <w:sz w:val="22"/>
                <w:lang w:val="en-US" w:eastAsia="en-US" w:bidi="ar-SA"/>
              </w:rPr>
            </w:pPr>
            <w:r w:rsidRPr="008B0D6E">
              <w:rPr>
                <w:snapToGrid w:val="0"/>
                <w:kern w:val="28"/>
                <w:sz w:val="22"/>
                <w:lang w:val="en-US" w:eastAsia="en-US" w:bidi="ar-SA"/>
              </w:rPr>
              <w:t>315</w:t>
            </w:r>
          </w:p>
        </w:tc>
      </w:tr>
      <w:tr w14:paraId="2B211B1D" w14:textId="77777777" w:rsidTr="00A46F4A">
        <w:tblPrEx>
          <w:tblW w:w="4999" w:type="pct"/>
          <w:tblInd w:w="1" w:type="dxa"/>
          <w:tblCellMar>
            <w:top w:w="0" w:type="dxa"/>
            <w:left w:w="108" w:type="dxa"/>
            <w:bottom w:w="0" w:type="dxa"/>
            <w:right w:w="108" w:type="dxa"/>
          </w:tblCellMar>
          <w:tblLook w:val="04A0"/>
        </w:tblPrEx>
        <w:trPr>
          <w:trHeight w:hRule="exact" w:val="317"/>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07927A6F" w14:textId="12A432B9">
            <w:pPr>
              <w:widowControl/>
              <w:suppressAutoHyphens/>
              <w:rPr>
                <w:rStyle w:val="DefaultParagraphFont"/>
                <w:b/>
                <w:bCs/>
                <w:snapToGrid/>
                <w:color w:val="000000"/>
                <w:kern w:val="0"/>
                <w:sz w:val="22"/>
                <w:szCs w:val="22"/>
                <w:lang w:val="en-US" w:eastAsia="en-US" w:bidi="ar-SA"/>
              </w:rPr>
            </w:pPr>
            <w:r>
              <w:rPr>
                <w:b/>
                <w:bCs/>
                <w:snapToGrid/>
                <w:color w:val="000000"/>
                <w:kern w:val="0"/>
                <w:sz w:val="22"/>
                <w:szCs w:val="22"/>
                <w:lang w:val="en-US" w:eastAsia="en-US" w:bidi="ar-SA"/>
              </w:rPr>
              <w:t>Full sample</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P="004E16D7" w14:paraId="196FBB5C" w14:textId="77777777">
            <w:pPr>
              <w:widowControl w:val="0"/>
              <w:suppressAutoHyphens/>
              <w:jc w:val="center"/>
              <w:rPr>
                <w:rStyle w:val="DefaultParagraphFont"/>
                <w:snapToGrid w:val="0"/>
                <w:kern w:val="28"/>
                <w:sz w:val="22"/>
                <w:lang w:val="en-US" w:eastAsia="en-US" w:bidi="ar-SA"/>
              </w:rPr>
            </w:pPr>
            <w:r w:rsidRPr="00B6681F">
              <w:rPr>
                <w:snapToGrid w:val="0"/>
                <w:kern w:val="28"/>
                <w:sz w:val="22"/>
                <w:lang w:val="en-US" w:eastAsia="en-US" w:bidi="ar-SA"/>
              </w:rPr>
              <w:t>33,600</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6E737363"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100%</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FE0728" w:rsidP="004E16D7" w14:paraId="5E1E9B4B"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800</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P="004E16D7" w14:paraId="57386FAD" w14:textId="77777777">
            <w:pPr>
              <w:widowControl w:val="0"/>
              <w:suppressAutoHyphens/>
              <w:jc w:val="center"/>
              <w:rPr>
                <w:rStyle w:val="DefaultParagraphFont"/>
                <w:snapToGrid w:val="0"/>
                <w:kern w:val="28"/>
                <w:sz w:val="22"/>
                <w:lang w:val="en-US" w:eastAsia="en-US" w:bidi="ar-SA"/>
              </w:rPr>
            </w:pPr>
            <w:r>
              <w:rPr>
                <w:snapToGrid w:val="0"/>
                <w:kern w:val="28"/>
                <w:sz w:val="22"/>
                <w:lang w:val="en-US" w:eastAsia="en-US" w:bidi="ar-SA"/>
              </w:rPr>
              <w:t>768</w:t>
            </w:r>
          </w:p>
        </w:tc>
      </w:tr>
      <w:tr w14:paraId="349E2FE4" w14:textId="77777777" w:rsidTr="00A46F4A">
        <w:tblPrEx>
          <w:tblW w:w="4999" w:type="pct"/>
          <w:tblInd w:w="1" w:type="dxa"/>
          <w:tblCellMar>
            <w:top w:w="0" w:type="dxa"/>
            <w:left w:w="108" w:type="dxa"/>
            <w:bottom w:w="0" w:type="dxa"/>
            <w:right w:w="108" w:type="dxa"/>
          </w:tblCellMar>
          <w:tblLook w:val="04A0"/>
        </w:tblPrEx>
        <w:trPr>
          <w:trHeight w:hRule="exact" w:val="720"/>
        </w:trPr>
        <w:tc>
          <w:tcPr>
            <w:tcW w:w="5000" w:type="pct"/>
            <w:gridSpan w:val="5"/>
            <w:tcBorders>
              <w:top w:val="single" w:sz="8" w:space="0" w:color="auto"/>
              <w:left w:val="single" w:sz="12" w:space="0" w:color="auto"/>
              <w:bottom w:val="single" w:sz="8" w:space="0" w:color="auto"/>
              <w:right w:val="single" w:sz="12" w:space="0" w:color="000000"/>
            </w:tcBorders>
            <w:shd w:val="clear" w:color="auto" w:fill="auto"/>
            <w:vAlign w:val="bottom"/>
            <w:hideMark/>
          </w:tcPr>
          <w:p w:rsidR="00FE0728" w:rsidP="004E16D7" w14:paraId="3019E427" w14:textId="77777777">
            <w:pPr>
              <w:widowControl/>
              <w:suppressAutoHyphens/>
              <w:jc w:val="center"/>
              <w:rPr>
                <w:rStyle w:val="DefaultParagraphFont"/>
                <w:b/>
                <w:bCs/>
                <w:snapToGrid/>
                <w:color w:val="000000"/>
                <w:kern w:val="0"/>
                <w:sz w:val="24"/>
                <w:szCs w:val="24"/>
                <w:lang w:val="en-US" w:eastAsia="en-US" w:bidi="ar-SA"/>
              </w:rPr>
            </w:pPr>
            <w:r w:rsidRPr="00FE0728">
              <w:rPr>
                <w:b/>
                <w:bCs/>
                <w:snapToGrid/>
                <w:color w:val="000000"/>
                <w:kern w:val="0"/>
                <w:sz w:val="24"/>
                <w:szCs w:val="24"/>
                <w:lang w:val="en-US" w:eastAsia="en-US" w:bidi="ar-SA"/>
              </w:rPr>
              <w:t>Noncompetitive Subgroups</w:t>
            </w:r>
          </w:p>
          <w:p w:rsidR="00CD6D4D" w:rsidRPr="00FE0728" w:rsidP="004E16D7" w14:paraId="6C5283FB" w14:textId="77777777">
            <w:pPr>
              <w:widowControl/>
              <w:suppressAutoHyphens/>
              <w:jc w:val="center"/>
              <w:rPr>
                <w:rStyle w:val="DefaultParagraphFont"/>
                <w:b/>
                <w:bCs/>
                <w:snapToGrid/>
                <w:color w:val="000000"/>
                <w:kern w:val="0"/>
                <w:sz w:val="24"/>
                <w:szCs w:val="24"/>
                <w:lang w:val="en-US" w:eastAsia="en-US" w:bidi="ar-SA"/>
              </w:rPr>
            </w:pPr>
            <w:r>
              <w:rPr>
                <w:b/>
                <w:bCs/>
                <w:snapToGrid/>
                <w:color w:val="000000"/>
                <w:kern w:val="0"/>
                <w:sz w:val="24"/>
                <w:szCs w:val="24"/>
                <w:lang w:val="en-US" w:eastAsia="en-US" w:bidi="ar-SA"/>
              </w:rPr>
              <w:t>b</w:t>
            </w:r>
            <w:r>
              <w:rPr>
                <w:b/>
                <w:bCs/>
                <w:snapToGrid/>
                <w:color w:val="000000"/>
                <w:kern w:val="0"/>
                <w:sz w:val="24"/>
                <w:szCs w:val="24"/>
                <w:lang w:val="en-US" w:eastAsia="en-US" w:bidi="ar-SA"/>
              </w:rPr>
              <w:t>y Cable System Subscriber Size</w:t>
            </w:r>
          </w:p>
        </w:tc>
      </w:tr>
      <w:tr w14:paraId="64CECF8D" w14:textId="77777777" w:rsidTr="00A46F4A">
        <w:tblPrEx>
          <w:tblW w:w="4999" w:type="pct"/>
          <w:tblInd w:w="1" w:type="dxa"/>
          <w:tblCellMar>
            <w:top w:w="0" w:type="dxa"/>
            <w:left w:w="108" w:type="dxa"/>
            <w:bottom w:w="0" w:type="dxa"/>
            <w:right w:w="108" w:type="dxa"/>
          </w:tblCellMar>
          <w:tblLook w:val="04A0"/>
        </w:tblPrEx>
        <w:trPr>
          <w:trHeight w:val="320"/>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33A01379" w14:textId="77777777">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Very large</w:t>
            </w:r>
            <w:r w:rsidRPr="00FE0728">
              <w:rPr>
                <w:snapToGrid/>
                <w:color w:val="000000"/>
                <w:kern w:val="0"/>
                <w:sz w:val="22"/>
                <w:szCs w:val="22"/>
                <w:lang w:val="en-US" w:eastAsia="en-US" w:bidi="ar-SA"/>
              </w:rPr>
              <w:t xml:space="preserve">: </w:t>
            </w:r>
            <w:r w:rsidR="00225E4B">
              <w:rPr>
                <w:snapToGrid/>
                <w:color w:val="000000"/>
                <w:kern w:val="0"/>
                <w:sz w:val="22"/>
                <w:szCs w:val="22"/>
                <w:lang w:val="en-US" w:eastAsia="en-US" w:bidi="ar-SA"/>
              </w:rPr>
              <w:t>Above</w:t>
            </w:r>
            <w:r w:rsidRPr="00FE0728">
              <w:rPr>
                <w:snapToGrid/>
                <w:color w:val="000000"/>
                <w:kern w:val="0"/>
                <w:sz w:val="22"/>
                <w:szCs w:val="22"/>
                <w:lang w:val="en-US" w:eastAsia="en-US" w:bidi="ar-SA"/>
              </w:rPr>
              <w:t xml:space="preserve"> 75,000</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776E8" w:rsidP="004E16D7" w14:paraId="1F17D40A" w14:textId="77777777">
            <w:pPr>
              <w:widowControl w:val="0"/>
              <w:suppressAutoHyphens/>
              <w:jc w:val="center"/>
              <w:rPr>
                <w:rStyle w:val="DefaultParagraphFont"/>
                <w:snapToGrid w:val="0"/>
                <w:kern w:val="28"/>
                <w:sz w:val="22"/>
                <w:lang w:val="en-US" w:eastAsia="en-US" w:bidi="ar-SA"/>
              </w:rPr>
            </w:pPr>
            <w:r w:rsidRPr="00C776E8">
              <w:rPr>
                <w:snapToGrid w:val="0"/>
                <w:kern w:val="28"/>
                <w:sz w:val="22"/>
                <w:lang w:val="en-US" w:eastAsia="en-US" w:bidi="ar-SA"/>
              </w:rPr>
              <w:t>6,639</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BE6D9B" w:rsidP="004E16D7" w14:paraId="702E3741" w14:textId="77777777">
            <w:pPr>
              <w:widowControl w:val="0"/>
              <w:suppressAutoHyphens/>
              <w:jc w:val="center"/>
              <w:rPr>
                <w:rStyle w:val="DefaultParagraphFont"/>
                <w:snapToGrid w:val="0"/>
                <w:kern w:val="28"/>
                <w:sz w:val="22"/>
                <w:lang w:val="en-US" w:eastAsia="en-US" w:bidi="ar-SA"/>
              </w:rPr>
            </w:pPr>
            <w:r w:rsidRPr="00BE6D9B">
              <w:rPr>
                <w:snapToGrid w:val="0"/>
                <w:kern w:val="28"/>
                <w:sz w:val="22"/>
                <w:lang w:val="en-US" w:eastAsia="en-US" w:bidi="ar-SA"/>
              </w:rPr>
              <w:t>23.</w:t>
            </w:r>
            <w:r w:rsidR="00667C92">
              <w:rPr>
                <w:snapToGrid w:val="0"/>
                <w:kern w:val="28"/>
                <w:sz w:val="22"/>
                <w:lang w:val="en-US" w:eastAsia="en-US" w:bidi="ar-SA"/>
              </w:rPr>
              <w:t>1</w:t>
            </w:r>
            <w:r w:rsidRPr="00BE6D9B">
              <w:rPr>
                <w:snapToGrid w:val="0"/>
                <w:kern w:val="28"/>
                <w:sz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019DC" w:rsidP="004E16D7" w14:paraId="380ABE96" w14:textId="77777777">
            <w:pPr>
              <w:widowControl w:val="0"/>
              <w:suppressAutoHyphens/>
              <w:jc w:val="center"/>
              <w:rPr>
                <w:rStyle w:val="DefaultParagraphFont"/>
                <w:snapToGrid w:val="0"/>
                <w:kern w:val="28"/>
                <w:sz w:val="22"/>
                <w:lang w:val="en-US" w:eastAsia="en-US" w:bidi="ar-SA"/>
              </w:rPr>
            </w:pPr>
            <w:r w:rsidRPr="00C019DC">
              <w:rPr>
                <w:snapToGrid w:val="0"/>
                <w:kern w:val="28"/>
                <w:sz w:val="22"/>
                <w:lang w:val="en-US" w:eastAsia="en-US" w:bidi="ar-SA"/>
              </w:rPr>
              <w:t>149</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787724" w:rsidP="004E16D7" w14:paraId="0F3E51A5" w14:textId="77777777">
            <w:pPr>
              <w:widowControl w:val="0"/>
              <w:suppressAutoHyphens/>
              <w:jc w:val="center"/>
              <w:rPr>
                <w:rStyle w:val="DefaultParagraphFont"/>
                <w:snapToGrid w:val="0"/>
                <w:kern w:val="28"/>
                <w:sz w:val="22"/>
                <w:lang w:val="en-US" w:eastAsia="en-US" w:bidi="ar-SA"/>
              </w:rPr>
            </w:pPr>
            <w:r w:rsidRPr="00787724">
              <w:rPr>
                <w:snapToGrid w:val="0"/>
                <w:kern w:val="28"/>
                <w:sz w:val="22"/>
                <w:lang w:val="en-US" w:eastAsia="en-US" w:bidi="ar-SA"/>
              </w:rPr>
              <w:t>14</w:t>
            </w:r>
            <w:r w:rsidR="0065269E">
              <w:rPr>
                <w:snapToGrid w:val="0"/>
                <w:kern w:val="28"/>
                <w:sz w:val="22"/>
                <w:lang w:val="en-US" w:eastAsia="en-US" w:bidi="ar-SA"/>
              </w:rPr>
              <w:t>6</w:t>
            </w:r>
          </w:p>
        </w:tc>
      </w:tr>
      <w:tr w14:paraId="1C537660" w14:textId="77777777" w:rsidTr="00A46F4A">
        <w:tblPrEx>
          <w:tblW w:w="4999" w:type="pct"/>
          <w:tblInd w:w="1" w:type="dxa"/>
          <w:tblCellMar>
            <w:top w:w="0" w:type="dxa"/>
            <w:left w:w="108" w:type="dxa"/>
            <w:bottom w:w="0" w:type="dxa"/>
            <w:right w:w="108" w:type="dxa"/>
          </w:tblCellMar>
          <w:tblLook w:val="04A0"/>
        </w:tblPrEx>
        <w:trPr>
          <w:trHeight w:hRule="exact" w:val="288"/>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6CFD3F4B" w14:textId="77777777">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Large</w:t>
            </w:r>
            <w:r w:rsidRPr="00FE0728">
              <w:rPr>
                <w:snapToGrid/>
                <w:color w:val="000000"/>
                <w:kern w:val="0"/>
                <w:sz w:val="22"/>
                <w:szCs w:val="22"/>
                <w:lang w:val="en-US" w:eastAsia="en-US" w:bidi="ar-SA"/>
              </w:rPr>
              <w:t xml:space="preserve">:   </w:t>
            </w:r>
            <w:r w:rsidR="00225E4B">
              <w:rPr>
                <w:snapToGrid/>
                <w:color w:val="000000"/>
                <w:kern w:val="0"/>
                <w:sz w:val="22"/>
                <w:szCs w:val="22"/>
                <w:lang w:val="en-US" w:eastAsia="en-US" w:bidi="ar-SA"/>
              </w:rPr>
              <w:t xml:space="preserve">   </w:t>
            </w:r>
            <w:r w:rsidRPr="00FE0728">
              <w:rPr>
                <w:snapToGrid/>
                <w:color w:val="000000"/>
                <w:kern w:val="0"/>
                <w:sz w:val="22"/>
                <w:szCs w:val="22"/>
                <w:lang w:val="en-US" w:eastAsia="en-US" w:bidi="ar-SA"/>
              </w:rPr>
              <w:t>25,001 - 75,000</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776E8" w:rsidP="004E16D7" w14:paraId="4A720FBD" w14:textId="77777777">
            <w:pPr>
              <w:widowControl w:val="0"/>
              <w:suppressAutoHyphens/>
              <w:jc w:val="center"/>
              <w:rPr>
                <w:rStyle w:val="DefaultParagraphFont"/>
                <w:snapToGrid w:val="0"/>
                <w:kern w:val="28"/>
                <w:sz w:val="22"/>
                <w:lang w:val="en-US" w:eastAsia="en-US" w:bidi="ar-SA"/>
              </w:rPr>
            </w:pPr>
            <w:r w:rsidRPr="00C776E8">
              <w:rPr>
                <w:snapToGrid w:val="0"/>
                <w:kern w:val="28"/>
                <w:sz w:val="22"/>
                <w:lang w:val="en-US" w:eastAsia="en-US" w:bidi="ar-SA"/>
              </w:rPr>
              <w:t>5,098</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BE6D9B" w:rsidP="004E16D7" w14:paraId="14D2AA4B" w14:textId="77777777">
            <w:pPr>
              <w:widowControl w:val="0"/>
              <w:suppressAutoHyphens/>
              <w:jc w:val="center"/>
              <w:rPr>
                <w:rStyle w:val="DefaultParagraphFont"/>
                <w:snapToGrid w:val="0"/>
                <w:kern w:val="28"/>
                <w:sz w:val="22"/>
                <w:lang w:val="en-US" w:eastAsia="en-US" w:bidi="ar-SA"/>
              </w:rPr>
            </w:pPr>
            <w:r w:rsidRPr="00BE6D9B">
              <w:rPr>
                <w:snapToGrid w:val="0"/>
                <w:kern w:val="28"/>
                <w:sz w:val="22"/>
                <w:lang w:val="en-US" w:eastAsia="en-US" w:bidi="ar-SA"/>
              </w:rPr>
              <w:t>14.</w:t>
            </w:r>
            <w:r w:rsidR="00667C92">
              <w:rPr>
                <w:snapToGrid w:val="0"/>
                <w:kern w:val="28"/>
                <w:sz w:val="22"/>
                <w:lang w:val="en-US" w:eastAsia="en-US" w:bidi="ar-SA"/>
              </w:rPr>
              <w:t>5</w:t>
            </w:r>
            <w:r w:rsidRPr="00BE6D9B">
              <w:rPr>
                <w:snapToGrid w:val="0"/>
                <w:kern w:val="28"/>
                <w:sz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019DC" w:rsidP="004E16D7" w14:paraId="70DBB08C" w14:textId="77777777">
            <w:pPr>
              <w:widowControl w:val="0"/>
              <w:suppressAutoHyphens/>
              <w:jc w:val="center"/>
              <w:rPr>
                <w:rStyle w:val="DefaultParagraphFont"/>
                <w:snapToGrid w:val="0"/>
                <w:kern w:val="28"/>
                <w:sz w:val="22"/>
                <w:lang w:val="en-US" w:eastAsia="en-US" w:bidi="ar-SA"/>
              </w:rPr>
            </w:pPr>
            <w:r w:rsidRPr="00C019DC">
              <w:rPr>
                <w:snapToGrid w:val="0"/>
                <w:kern w:val="28"/>
                <w:sz w:val="22"/>
                <w:lang w:val="en-US" w:eastAsia="en-US" w:bidi="ar-SA"/>
              </w:rPr>
              <w:t>118</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787724" w:rsidP="004E16D7" w14:paraId="3710D8A1" w14:textId="77777777">
            <w:pPr>
              <w:widowControl w:val="0"/>
              <w:suppressAutoHyphens/>
              <w:jc w:val="center"/>
              <w:rPr>
                <w:rStyle w:val="DefaultParagraphFont"/>
                <w:snapToGrid w:val="0"/>
                <w:kern w:val="28"/>
                <w:sz w:val="22"/>
                <w:lang w:val="en-US" w:eastAsia="en-US" w:bidi="ar-SA"/>
              </w:rPr>
            </w:pPr>
            <w:r w:rsidRPr="00787724">
              <w:rPr>
                <w:snapToGrid w:val="0"/>
                <w:kern w:val="28"/>
                <w:sz w:val="22"/>
                <w:lang w:val="en-US" w:eastAsia="en-US" w:bidi="ar-SA"/>
              </w:rPr>
              <w:t>11</w:t>
            </w:r>
            <w:r w:rsidR="0065269E">
              <w:rPr>
                <w:snapToGrid w:val="0"/>
                <w:kern w:val="28"/>
                <w:sz w:val="22"/>
                <w:lang w:val="en-US" w:eastAsia="en-US" w:bidi="ar-SA"/>
              </w:rPr>
              <w:t>6</w:t>
            </w:r>
          </w:p>
        </w:tc>
      </w:tr>
      <w:tr w14:paraId="08E4DAAA" w14:textId="77777777" w:rsidTr="00A46F4A">
        <w:tblPrEx>
          <w:tblW w:w="4999" w:type="pct"/>
          <w:tblInd w:w="1" w:type="dxa"/>
          <w:tblCellMar>
            <w:top w:w="0" w:type="dxa"/>
            <w:left w:w="108" w:type="dxa"/>
            <w:bottom w:w="0" w:type="dxa"/>
            <w:right w:w="108" w:type="dxa"/>
          </w:tblCellMar>
          <w:tblLook w:val="04A0"/>
        </w:tblPrEx>
        <w:trPr>
          <w:trHeight w:val="288"/>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48F10B34" w14:textId="77777777">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Medium</w:t>
            </w:r>
            <w:r w:rsidRPr="00FE0728">
              <w:rPr>
                <w:snapToGrid/>
                <w:color w:val="000000"/>
                <w:kern w:val="0"/>
                <w:sz w:val="22"/>
                <w:szCs w:val="22"/>
                <w:lang w:val="en-US" w:eastAsia="en-US" w:bidi="ar-SA"/>
              </w:rPr>
              <w:t xml:space="preserve">: </w:t>
            </w:r>
            <w:r w:rsidR="00225E4B">
              <w:rPr>
                <w:snapToGrid/>
                <w:color w:val="000000"/>
                <w:kern w:val="0"/>
                <w:sz w:val="22"/>
                <w:szCs w:val="22"/>
                <w:lang w:val="en-US" w:eastAsia="en-US" w:bidi="ar-SA"/>
              </w:rPr>
              <w:t xml:space="preserve"> </w:t>
            </w:r>
            <w:r w:rsidRPr="00FE0728">
              <w:rPr>
                <w:snapToGrid/>
                <w:color w:val="000000"/>
                <w:kern w:val="0"/>
                <w:sz w:val="22"/>
                <w:szCs w:val="22"/>
                <w:lang w:val="en-US" w:eastAsia="en-US" w:bidi="ar-SA"/>
              </w:rPr>
              <w:t>10,001 - 25,000</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776E8" w:rsidP="004E16D7" w14:paraId="6247AAEC" w14:textId="77777777">
            <w:pPr>
              <w:widowControl w:val="0"/>
              <w:suppressAutoHyphens/>
              <w:jc w:val="center"/>
              <w:rPr>
                <w:rStyle w:val="DefaultParagraphFont"/>
                <w:snapToGrid w:val="0"/>
                <w:kern w:val="28"/>
                <w:sz w:val="22"/>
                <w:lang w:val="en-US" w:eastAsia="en-US" w:bidi="ar-SA"/>
              </w:rPr>
            </w:pPr>
            <w:r w:rsidRPr="00C776E8">
              <w:rPr>
                <w:snapToGrid w:val="0"/>
                <w:kern w:val="28"/>
                <w:sz w:val="22"/>
                <w:lang w:val="en-US" w:eastAsia="en-US" w:bidi="ar-SA"/>
              </w:rPr>
              <w:t>4,034</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BE6D9B" w:rsidP="004E16D7" w14:paraId="72750230" w14:textId="77777777">
            <w:pPr>
              <w:widowControl w:val="0"/>
              <w:suppressAutoHyphens/>
              <w:jc w:val="center"/>
              <w:rPr>
                <w:rStyle w:val="DefaultParagraphFont"/>
                <w:snapToGrid w:val="0"/>
                <w:kern w:val="28"/>
                <w:sz w:val="22"/>
                <w:lang w:val="en-US" w:eastAsia="en-US" w:bidi="ar-SA"/>
              </w:rPr>
            </w:pPr>
            <w:r w:rsidRPr="00BE6D9B">
              <w:rPr>
                <w:snapToGrid w:val="0"/>
                <w:kern w:val="28"/>
                <w:sz w:val="22"/>
                <w:lang w:val="en-US" w:eastAsia="en-US" w:bidi="ar-SA"/>
              </w:rPr>
              <w:t>7.5%</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019DC" w:rsidP="004E16D7" w14:paraId="0DE1DF35" w14:textId="77777777">
            <w:pPr>
              <w:widowControl w:val="0"/>
              <w:suppressAutoHyphens/>
              <w:jc w:val="center"/>
              <w:rPr>
                <w:rStyle w:val="DefaultParagraphFont"/>
                <w:snapToGrid w:val="0"/>
                <w:kern w:val="28"/>
                <w:sz w:val="22"/>
                <w:lang w:val="en-US" w:eastAsia="en-US" w:bidi="ar-SA"/>
              </w:rPr>
            </w:pPr>
            <w:r w:rsidRPr="00C019DC">
              <w:rPr>
                <w:snapToGrid w:val="0"/>
                <w:kern w:val="28"/>
                <w:sz w:val="22"/>
                <w:lang w:val="en-US" w:eastAsia="en-US" w:bidi="ar-SA"/>
              </w:rPr>
              <w:t>80</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787724" w:rsidP="004E16D7" w14:paraId="2D3C99CB" w14:textId="77777777">
            <w:pPr>
              <w:widowControl w:val="0"/>
              <w:suppressAutoHyphens/>
              <w:jc w:val="center"/>
              <w:rPr>
                <w:rStyle w:val="DefaultParagraphFont"/>
                <w:snapToGrid w:val="0"/>
                <w:kern w:val="28"/>
                <w:sz w:val="22"/>
                <w:lang w:val="en-US" w:eastAsia="en-US" w:bidi="ar-SA"/>
              </w:rPr>
            </w:pPr>
            <w:r>
              <w:rPr>
                <w:snapToGrid w:val="0"/>
                <w:kern w:val="28"/>
                <w:sz w:val="22"/>
                <w:lang w:val="en-US" w:eastAsia="en-US" w:bidi="ar-SA"/>
              </w:rPr>
              <w:t>79</w:t>
            </w:r>
          </w:p>
        </w:tc>
      </w:tr>
      <w:tr w14:paraId="0EC9180E" w14:textId="77777777" w:rsidTr="00A46F4A">
        <w:tblPrEx>
          <w:tblW w:w="4999" w:type="pct"/>
          <w:tblInd w:w="1" w:type="dxa"/>
          <w:tblCellMar>
            <w:top w:w="0" w:type="dxa"/>
            <w:left w:w="108" w:type="dxa"/>
            <w:bottom w:w="0" w:type="dxa"/>
            <w:right w:w="108" w:type="dxa"/>
          </w:tblCellMar>
          <w:tblLook w:val="04A0"/>
        </w:tblPrEx>
        <w:trPr>
          <w:trHeight w:val="288"/>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4EA55E09" w14:textId="77777777">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Small</w:t>
            </w:r>
            <w:r w:rsidRPr="00FE0728">
              <w:rPr>
                <w:snapToGrid/>
                <w:color w:val="000000"/>
                <w:kern w:val="0"/>
                <w:sz w:val="22"/>
                <w:szCs w:val="22"/>
                <w:lang w:val="en-US" w:eastAsia="en-US" w:bidi="ar-SA"/>
              </w:rPr>
              <w:t xml:space="preserve">:      </w:t>
            </w:r>
            <w:r>
              <w:rPr>
                <w:snapToGrid/>
                <w:color w:val="000000"/>
                <w:kern w:val="0"/>
                <w:sz w:val="22"/>
                <w:szCs w:val="22"/>
                <w:lang w:val="en-US" w:eastAsia="en-US" w:bidi="ar-SA"/>
              </w:rPr>
              <w:t xml:space="preserve"> </w:t>
            </w:r>
            <w:r w:rsidR="00225E4B">
              <w:rPr>
                <w:snapToGrid/>
                <w:color w:val="000000"/>
                <w:kern w:val="0"/>
                <w:sz w:val="22"/>
                <w:szCs w:val="22"/>
                <w:lang w:val="en-US" w:eastAsia="en-US" w:bidi="ar-SA"/>
              </w:rPr>
              <w:t xml:space="preserve">  </w:t>
            </w:r>
            <w:r w:rsidRPr="00FE0728">
              <w:rPr>
                <w:snapToGrid/>
                <w:color w:val="000000"/>
                <w:kern w:val="0"/>
                <w:sz w:val="22"/>
                <w:szCs w:val="22"/>
                <w:lang w:val="en-US" w:eastAsia="en-US" w:bidi="ar-SA"/>
              </w:rPr>
              <w:t>1,001 - 10,000</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776E8" w:rsidP="004E16D7" w14:paraId="3915548A" w14:textId="77777777">
            <w:pPr>
              <w:widowControl w:val="0"/>
              <w:suppressAutoHyphens/>
              <w:jc w:val="center"/>
              <w:rPr>
                <w:rStyle w:val="DefaultParagraphFont"/>
                <w:snapToGrid w:val="0"/>
                <w:kern w:val="28"/>
                <w:sz w:val="22"/>
                <w:lang w:val="en-US" w:eastAsia="en-US" w:bidi="ar-SA"/>
              </w:rPr>
            </w:pPr>
            <w:r w:rsidRPr="00C776E8">
              <w:rPr>
                <w:snapToGrid w:val="0"/>
                <w:kern w:val="28"/>
                <w:sz w:val="22"/>
                <w:lang w:val="en-US" w:eastAsia="en-US" w:bidi="ar-SA"/>
              </w:rPr>
              <w:t>5,225</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BE6D9B" w:rsidP="004E16D7" w14:paraId="025900BD" w14:textId="77777777">
            <w:pPr>
              <w:widowControl w:val="0"/>
              <w:suppressAutoHyphens/>
              <w:jc w:val="center"/>
              <w:rPr>
                <w:rStyle w:val="DefaultParagraphFont"/>
                <w:snapToGrid w:val="0"/>
                <w:kern w:val="28"/>
                <w:sz w:val="22"/>
                <w:lang w:val="en-US" w:eastAsia="en-US" w:bidi="ar-SA"/>
              </w:rPr>
            </w:pPr>
            <w:r w:rsidRPr="00BE6D9B">
              <w:rPr>
                <w:snapToGrid w:val="0"/>
                <w:kern w:val="28"/>
                <w:sz w:val="22"/>
                <w:lang w:val="en-US" w:eastAsia="en-US" w:bidi="ar-SA"/>
              </w:rPr>
              <w:t>7.</w:t>
            </w:r>
            <w:r w:rsidR="00667C92">
              <w:rPr>
                <w:snapToGrid w:val="0"/>
                <w:kern w:val="28"/>
                <w:sz w:val="22"/>
                <w:lang w:val="en-US" w:eastAsia="en-US" w:bidi="ar-SA"/>
              </w:rPr>
              <w:t>4</w:t>
            </w:r>
            <w:r w:rsidRPr="00BE6D9B">
              <w:rPr>
                <w:snapToGrid w:val="0"/>
                <w:kern w:val="28"/>
                <w:sz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C019DC" w:rsidP="004E16D7" w14:paraId="2B7DF488" w14:textId="77777777">
            <w:pPr>
              <w:widowControl w:val="0"/>
              <w:suppressAutoHyphens/>
              <w:jc w:val="center"/>
              <w:rPr>
                <w:rStyle w:val="DefaultParagraphFont"/>
                <w:snapToGrid w:val="0"/>
                <w:kern w:val="28"/>
                <w:sz w:val="22"/>
                <w:lang w:val="en-US" w:eastAsia="en-US" w:bidi="ar-SA"/>
              </w:rPr>
            </w:pPr>
            <w:r w:rsidRPr="00C019DC">
              <w:rPr>
                <w:snapToGrid w:val="0"/>
                <w:kern w:val="28"/>
                <w:sz w:val="22"/>
                <w:lang w:val="en-US" w:eastAsia="en-US" w:bidi="ar-SA"/>
              </w:rPr>
              <w:t>98</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787724" w:rsidP="004E16D7" w14:paraId="1A1ABCC9" w14:textId="77777777">
            <w:pPr>
              <w:widowControl w:val="0"/>
              <w:suppressAutoHyphens/>
              <w:jc w:val="center"/>
              <w:rPr>
                <w:rStyle w:val="DefaultParagraphFont"/>
                <w:snapToGrid w:val="0"/>
                <w:kern w:val="28"/>
                <w:sz w:val="22"/>
                <w:lang w:val="en-US" w:eastAsia="en-US" w:bidi="ar-SA"/>
              </w:rPr>
            </w:pPr>
            <w:r>
              <w:rPr>
                <w:snapToGrid w:val="0"/>
                <w:kern w:val="28"/>
                <w:sz w:val="22"/>
                <w:lang w:val="en-US" w:eastAsia="en-US" w:bidi="ar-SA"/>
              </w:rPr>
              <w:t>82</w:t>
            </w:r>
          </w:p>
        </w:tc>
      </w:tr>
      <w:tr w14:paraId="3940A55E" w14:textId="77777777" w:rsidTr="00A46F4A">
        <w:tblPrEx>
          <w:tblW w:w="4999" w:type="pct"/>
          <w:tblInd w:w="1" w:type="dxa"/>
          <w:tblCellMar>
            <w:top w:w="0" w:type="dxa"/>
            <w:left w:w="108" w:type="dxa"/>
            <w:bottom w:w="0" w:type="dxa"/>
            <w:right w:w="108" w:type="dxa"/>
          </w:tblCellMar>
          <w:tblLook w:val="04A0"/>
        </w:tblPrEx>
        <w:trPr>
          <w:trHeight w:val="288"/>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53AC8AEE" w14:textId="791C2312">
            <w:pPr>
              <w:widowControl/>
              <w:suppressAutoHyphens/>
              <w:rPr>
                <w:rStyle w:val="DefaultParagraphFont"/>
                <w:b/>
                <w:bCs/>
                <w:snapToGrid/>
                <w:color w:val="000000"/>
                <w:kern w:val="0"/>
                <w:sz w:val="22"/>
                <w:szCs w:val="22"/>
                <w:lang w:val="en-US" w:eastAsia="en-US" w:bidi="ar-SA"/>
              </w:rPr>
            </w:pPr>
            <w:r w:rsidRPr="00FE0728">
              <w:rPr>
                <w:b/>
                <w:bCs/>
                <w:snapToGrid/>
                <w:color w:val="000000"/>
                <w:kern w:val="0"/>
                <w:sz w:val="22"/>
                <w:szCs w:val="22"/>
                <w:lang w:val="en-US" w:eastAsia="en-US" w:bidi="ar-SA"/>
              </w:rPr>
              <w:t>Very small</w:t>
            </w:r>
            <w:r w:rsidRPr="00FE0728">
              <w:rPr>
                <w:snapToGrid/>
                <w:color w:val="000000"/>
                <w:kern w:val="0"/>
                <w:sz w:val="22"/>
                <w:szCs w:val="22"/>
                <w:lang w:val="en-US" w:eastAsia="en-US" w:bidi="ar-SA"/>
              </w:rPr>
              <w:t>:</w:t>
            </w:r>
            <w:r w:rsidR="00225E4B">
              <w:rPr>
                <w:snapToGrid/>
                <w:color w:val="000000"/>
                <w:kern w:val="0"/>
                <w:sz w:val="22"/>
                <w:szCs w:val="22"/>
                <w:lang w:val="en-US" w:eastAsia="en-US" w:bidi="ar-SA"/>
              </w:rPr>
              <w:t xml:space="preserve">  </w:t>
            </w:r>
            <w:r w:rsidRPr="00FE0728">
              <w:rPr>
                <w:snapToGrid/>
                <w:color w:val="000000"/>
                <w:kern w:val="0"/>
                <w:sz w:val="22"/>
                <w:szCs w:val="22"/>
                <w:lang w:val="en-US" w:eastAsia="en-US" w:bidi="ar-SA"/>
              </w:rPr>
              <w:t>1,000 or less</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P="004E16D7" w14:paraId="1D5AAEFE" w14:textId="77777777">
            <w:pPr>
              <w:widowControl w:val="0"/>
              <w:suppressAutoHyphens/>
              <w:jc w:val="center"/>
              <w:rPr>
                <w:rStyle w:val="DefaultParagraphFont"/>
                <w:snapToGrid w:val="0"/>
                <w:kern w:val="28"/>
                <w:sz w:val="22"/>
                <w:lang w:val="en-US" w:eastAsia="en-US" w:bidi="ar-SA"/>
              </w:rPr>
            </w:pPr>
            <w:r w:rsidRPr="00C776E8">
              <w:rPr>
                <w:snapToGrid w:val="0"/>
                <w:kern w:val="28"/>
                <w:sz w:val="22"/>
                <w:lang w:val="en-US" w:eastAsia="en-US" w:bidi="ar-SA"/>
              </w:rPr>
              <w:t>2,035</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P="004E16D7" w14:paraId="3AF81AA5" w14:textId="77777777">
            <w:pPr>
              <w:widowControl w:val="0"/>
              <w:suppressAutoHyphens/>
              <w:jc w:val="center"/>
              <w:rPr>
                <w:rStyle w:val="DefaultParagraphFont"/>
                <w:snapToGrid w:val="0"/>
                <w:kern w:val="28"/>
                <w:sz w:val="22"/>
                <w:lang w:val="en-US" w:eastAsia="en-US" w:bidi="ar-SA"/>
              </w:rPr>
            </w:pPr>
            <w:r w:rsidRPr="00BE6D9B">
              <w:rPr>
                <w:snapToGrid w:val="0"/>
                <w:kern w:val="28"/>
                <w:sz w:val="22"/>
                <w:lang w:val="en-US" w:eastAsia="en-US" w:bidi="ar-SA"/>
              </w:rPr>
              <w:t>0.8%</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P="004E16D7" w14:paraId="5B22F3A5" w14:textId="77777777">
            <w:pPr>
              <w:widowControl w:val="0"/>
              <w:suppressAutoHyphens/>
              <w:jc w:val="center"/>
              <w:rPr>
                <w:rStyle w:val="DefaultParagraphFont"/>
                <w:snapToGrid w:val="0"/>
                <w:kern w:val="28"/>
                <w:sz w:val="22"/>
                <w:lang w:val="en-US" w:eastAsia="en-US" w:bidi="ar-SA"/>
              </w:rPr>
            </w:pPr>
            <w:r w:rsidRPr="00C019DC">
              <w:rPr>
                <w:snapToGrid w:val="0"/>
                <w:kern w:val="28"/>
                <w:sz w:val="22"/>
                <w:lang w:val="en-US" w:eastAsia="en-US" w:bidi="ar-SA"/>
              </w:rPr>
              <w:t>40</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P="004E16D7" w14:paraId="66E9FA9F" w14:textId="77777777">
            <w:pPr>
              <w:widowControl w:val="0"/>
              <w:suppressAutoHyphens/>
              <w:jc w:val="center"/>
              <w:rPr>
                <w:rStyle w:val="DefaultParagraphFont"/>
                <w:snapToGrid w:val="0"/>
                <w:kern w:val="28"/>
                <w:sz w:val="22"/>
                <w:lang w:val="en-US" w:eastAsia="en-US" w:bidi="ar-SA"/>
              </w:rPr>
            </w:pPr>
            <w:r>
              <w:rPr>
                <w:snapToGrid w:val="0"/>
                <w:kern w:val="28"/>
                <w:sz w:val="22"/>
                <w:lang w:val="en-US" w:eastAsia="en-US" w:bidi="ar-SA"/>
              </w:rPr>
              <w:t>3</w:t>
            </w:r>
            <w:r w:rsidRPr="00787724">
              <w:rPr>
                <w:snapToGrid w:val="0"/>
                <w:kern w:val="28"/>
                <w:sz w:val="22"/>
                <w:lang w:val="en-US" w:eastAsia="en-US" w:bidi="ar-SA"/>
              </w:rPr>
              <w:t>0</w:t>
            </w:r>
          </w:p>
        </w:tc>
      </w:tr>
      <w:tr w14:paraId="3A4BEFCE" w14:textId="77777777" w:rsidTr="00A46F4A">
        <w:tblPrEx>
          <w:tblW w:w="4999" w:type="pct"/>
          <w:tblInd w:w="1" w:type="dxa"/>
          <w:tblCellMar>
            <w:top w:w="0" w:type="dxa"/>
            <w:left w:w="108" w:type="dxa"/>
            <w:bottom w:w="0" w:type="dxa"/>
            <w:right w:w="108" w:type="dxa"/>
          </w:tblCellMar>
          <w:tblLook w:val="04A0"/>
        </w:tblPrEx>
        <w:trPr>
          <w:trHeight w:hRule="exact" w:val="720"/>
        </w:trPr>
        <w:tc>
          <w:tcPr>
            <w:tcW w:w="5000" w:type="pct"/>
            <w:gridSpan w:val="5"/>
            <w:tcBorders>
              <w:top w:val="single" w:sz="8" w:space="0" w:color="auto"/>
              <w:left w:val="single" w:sz="12" w:space="0" w:color="auto"/>
              <w:bottom w:val="single" w:sz="8" w:space="0" w:color="auto"/>
              <w:right w:val="single" w:sz="12" w:space="0" w:color="000000"/>
            </w:tcBorders>
            <w:shd w:val="clear" w:color="auto" w:fill="auto"/>
            <w:vAlign w:val="center"/>
            <w:hideMark/>
          </w:tcPr>
          <w:p w:rsidR="00FE0728" w:rsidP="004E16D7" w14:paraId="0014C771" w14:textId="77777777">
            <w:pPr>
              <w:widowControl/>
              <w:suppressAutoHyphens/>
              <w:jc w:val="center"/>
              <w:rPr>
                <w:rStyle w:val="DefaultParagraphFont"/>
                <w:b/>
                <w:bCs/>
                <w:snapToGrid/>
                <w:color w:val="000000"/>
                <w:kern w:val="0"/>
                <w:sz w:val="24"/>
                <w:szCs w:val="24"/>
                <w:lang w:val="en-US" w:eastAsia="en-US" w:bidi="ar-SA"/>
              </w:rPr>
            </w:pPr>
            <w:r w:rsidRPr="00FE0728">
              <w:rPr>
                <w:b/>
                <w:bCs/>
                <w:snapToGrid/>
                <w:color w:val="000000"/>
                <w:kern w:val="0"/>
                <w:sz w:val="24"/>
                <w:szCs w:val="24"/>
                <w:lang w:val="en-US" w:eastAsia="en-US" w:bidi="ar-SA"/>
              </w:rPr>
              <w:t>Effective Competition Subgroups</w:t>
            </w:r>
          </w:p>
          <w:p w:rsidR="00CD6D4D" w:rsidRPr="00FE0728" w:rsidP="004E16D7" w14:paraId="3833E7AF" w14:textId="77777777">
            <w:pPr>
              <w:widowControl/>
              <w:suppressAutoHyphens/>
              <w:jc w:val="center"/>
              <w:rPr>
                <w:rStyle w:val="DefaultParagraphFont"/>
                <w:b/>
                <w:bCs/>
                <w:snapToGrid/>
                <w:color w:val="000000"/>
                <w:kern w:val="0"/>
                <w:sz w:val="24"/>
                <w:szCs w:val="24"/>
                <w:lang w:val="en-US" w:eastAsia="en-US" w:bidi="ar-SA"/>
              </w:rPr>
            </w:pPr>
            <w:r w:rsidRPr="00FE0728">
              <w:rPr>
                <w:b/>
                <w:bCs/>
                <w:snapToGrid/>
                <w:color w:val="000000"/>
                <w:kern w:val="0"/>
                <w:sz w:val="24"/>
                <w:szCs w:val="24"/>
                <w:lang w:val="en-US" w:eastAsia="en-US" w:bidi="ar-SA"/>
              </w:rPr>
              <w:t>by Type of Effective Competition Finding</w:t>
            </w:r>
          </w:p>
        </w:tc>
      </w:tr>
      <w:tr w14:paraId="78EC3372" w14:textId="77777777" w:rsidTr="00A46F4A">
        <w:tblPrEx>
          <w:tblW w:w="4999" w:type="pct"/>
          <w:tblInd w:w="1" w:type="dxa"/>
          <w:tblCellMar>
            <w:top w:w="0" w:type="dxa"/>
            <w:left w:w="108" w:type="dxa"/>
            <w:bottom w:w="0" w:type="dxa"/>
            <w:right w:w="108" w:type="dxa"/>
          </w:tblCellMar>
          <w:tblLook w:val="04A0"/>
        </w:tblPrEx>
        <w:trPr>
          <w:trHeight w:hRule="exact" w:val="619"/>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0E3B810A" w14:textId="77777777">
            <w:pPr>
              <w:widowControl/>
              <w:suppressAutoHyphens/>
              <w:rPr>
                <w:rStyle w:val="DefaultParagraphFont"/>
                <w:i/>
                <w:iCs/>
                <w:snapToGrid/>
                <w:color w:val="000000"/>
                <w:kern w:val="0"/>
                <w:sz w:val="22"/>
                <w:szCs w:val="22"/>
                <w:lang w:val="en-US" w:eastAsia="en-US" w:bidi="ar-SA"/>
              </w:rPr>
            </w:pPr>
            <w:r w:rsidRPr="00FE0728">
              <w:rPr>
                <w:b/>
                <w:bCs/>
                <w:i/>
                <w:iCs/>
                <w:snapToGrid/>
                <w:color w:val="000000"/>
                <w:kern w:val="0"/>
                <w:sz w:val="22"/>
                <w:szCs w:val="22"/>
                <w:lang w:val="en-US" w:eastAsia="en-US" w:bidi="ar-SA"/>
              </w:rPr>
              <w:t>Incumbent</w:t>
            </w:r>
            <w:r w:rsidRPr="00FE0728">
              <w:rPr>
                <w:b/>
                <w:bCs/>
                <w:snapToGrid/>
                <w:color w:val="000000"/>
                <w:kern w:val="0"/>
                <w:sz w:val="22"/>
                <w:szCs w:val="22"/>
                <w:lang w:val="en-US" w:eastAsia="en-US" w:bidi="ar-SA"/>
              </w:rPr>
              <w:t xml:space="preserve"> </w:t>
            </w:r>
            <w:r w:rsidRPr="00FE0728">
              <w:rPr>
                <w:snapToGrid/>
                <w:color w:val="000000"/>
                <w:kern w:val="0"/>
                <w:sz w:val="22"/>
                <w:szCs w:val="22"/>
                <w:lang w:val="en-US" w:eastAsia="en-US" w:bidi="ar-SA"/>
              </w:rPr>
              <w:t>cable system operators in cable overbuild communities</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965FA9" w:rsidP="004E16D7" w14:paraId="1BD20FE3" w14:textId="77777777">
            <w:pPr>
              <w:widowControl w:val="0"/>
              <w:suppressAutoHyphens/>
              <w:jc w:val="center"/>
              <w:rPr>
                <w:rStyle w:val="DefaultParagraphFont"/>
                <w:snapToGrid w:val="0"/>
                <w:kern w:val="28"/>
                <w:sz w:val="22"/>
                <w:lang w:val="en-US" w:eastAsia="en-US" w:bidi="ar-SA"/>
              </w:rPr>
            </w:pPr>
            <w:r w:rsidRPr="00965FA9">
              <w:rPr>
                <w:snapToGrid w:val="0"/>
                <w:kern w:val="28"/>
                <w:sz w:val="22"/>
                <w:lang w:val="en-US" w:eastAsia="en-US" w:bidi="ar-SA"/>
              </w:rPr>
              <w:t>748</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07578A" w:rsidP="004E16D7" w14:paraId="64B8343B" w14:textId="77777777">
            <w:pPr>
              <w:widowControl w:val="0"/>
              <w:suppressAutoHyphens/>
              <w:jc w:val="center"/>
              <w:rPr>
                <w:rStyle w:val="DefaultParagraphFont"/>
                <w:snapToGrid w:val="0"/>
                <w:kern w:val="28"/>
                <w:sz w:val="22"/>
                <w:lang w:val="en-US" w:eastAsia="en-US" w:bidi="ar-SA"/>
              </w:rPr>
            </w:pPr>
            <w:r w:rsidRPr="0007578A">
              <w:rPr>
                <w:snapToGrid w:val="0"/>
                <w:kern w:val="28"/>
                <w:sz w:val="22"/>
                <w:lang w:val="en-US" w:eastAsia="en-US" w:bidi="ar-SA"/>
              </w:rPr>
              <w:t>9.</w:t>
            </w:r>
            <w:r w:rsidR="00667C92">
              <w:rPr>
                <w:snapToGrid w:val="0"/>
                <w:kern w:val="28"/>
                <w:sz w:val="22"/>
                <w:lang w:val="en-US" w:eastAsia="en-US" w:bidi="ar-SA"/>
              </w:rPr>
              <w:t>2</w:t>
            </w:r>
            <w:r w:rsidRPr="0007578A">
              <w:rPr>
                <w:snapToGrid w:val="0"/>
                <w:kern w:val="28"/>
                <w:sz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882335" w:rsidP="004E16D7" w14:paraId="09B8A131" w14:textId="77777777">
            <w:pPr>
              <w:widowControl w:val="0"/>
              <w:suppressAutoHyphens/>
              <w:jc w:val="center"/>
              <w:rPr>
                <w:rStyle w:val="DefaultParagraphFont"/>
                <w:snapToGrid w:val="0"/>
                <w:kern w:val="28"/>
                <w:sz w:val="22"/>
                <w:lang w:val="en-US" w:eastAsia="en-US" w:bidi="ar-SA"/>
              </w:rPr>
            </w:pPr>
            <w:r w:rsidRPr="00882335">
              <w:rPr>
                <w:snapToGrid w:val="0"/>
                <w:kern w:val="28"/>
                <w:sz w:val="22"/>
                <w:lang w:val="en-US" w:eastAsia="en-US" w:bidi="ar-SA"/>
              </w:rPr>
              <w:t>56</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FE0728" w:rsidP="004E16D7" w14:paraId="0B0C7B8B"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56</w:t>
            </w:r>
          </w:p>
        </w:tc>
      </w:tr>
      <w:tr w14:paraId="50BD46AC" w14:textId="77777777" w:rsidTr="00A46F4A">
        <w:tblPrEx>
          <w:tblW w:w="4999" w:type="pct"/>
          <w:tblInd w:w="1" w:type="dxa"/>
          <w:tblCellMar>
            <w:top w:w="0" w:type="dxa"/>
            <w:left w:w="108" w:type="dxa"/>
            <w:bottom w:w="0" w:type="dxa"/>
            <w:right w:w="108" w:type="dxa"/>
          </w:tblCellMar>
          <w:tblLook w:val="04A0"/>
        </w:tblPrEx>
        <w:trPr>
          <w:trHeight w:hRule="exact" w:val="619"/>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187EA636" w14:textId="477A50DD">
            <w:pPr>
              <w:widowControl/>
              <w:suppressAutoHyphens/>
              <w:rPr>
                <w:rStyle w:val="DefaultParagraphFont"/>
                <w:i/>
                <w:iCs/>
                <w:snapToGrid/>
                <w:color w:val="000000"/>
                <w:kern w:val="0"/>
                <w:sz w:val="22"/>
                <w:szCs w:val="22"/>
                <w:lang w:val="en-US" w:eastAsia="en-US" w:bidi="ar-SA"/>
              </w:rPr>
            </w:pPr>
            <w:r w:rsidRPr="00FE0728">
              <w:rPr>
                <w:b/>
                <w:bCs/>
                <w:i/>
                <w:iCs/>
                <w:snapToGrid/>
                <w:color w:val="000000"/>
                <w:kern w:val="0"/>
                <w:sz w:val="22"/>
                <w:szCs w:val="22"/>
                <w:lang w:val="en-US" w:eastAsia="en-US" w:bidi="ar-SA"/>
              </w:rPr>
              <w:t>Rival</w:t>
            </w:r>
            <w:r w:rsidRPr="00FE0728">
              <w:rPr>
                <w:snapToGrid/>
                <w:color w:val="000000"/>
                <w:kern w:val="0"/>
                <w:sz w:val="22"/>
                <w:szCs w:val="22"/>
                <w:lang w:val="en-US" w:eastAsia="en-US" w:bidi="ar-SA"/>
              </w:rPr>
              <w:t xml:space="preserve"> “second” </w:t>
            </w:r>
            <w:r w:rsidRPr="00FE0728" w:rsidR="00F40AD9">
              <w:rPr>
                <w:snapToGrid/>
                <w:color w:val="000000"/>
                <w:kern w:val="0"/>
                <w:sz w:val="22"/>
                <w:szCs w:val="22"/>
                <w:lang w:val="en-US" w:eastAsia="en-US" w:bidi="ar-SA"/>
              </w:rPr>
              <w:t>cable operators</w:t>
            </w:r>
            <w:r w:rsidRPr="00FE0728">
              <w:rPr>
                <w:snapToGrid/>
                <w:color w:val="000000"/>
                <w:kern w:val="0"/>
                <w:sz w:val="22"/>
                <w:szCs w:val="22"/>
                <w:lang w:val="en-US" w:eastAsia="en-US" w:bidi="ar-SA"/>
              </w:rPr>
              <w:t xml:space="preserve"> in cable overbuild communities</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965FA9" w:rsidP="004E16D7" w14:paraId="4DBB1A97" w14:textId="77777777">
            <w:pPr>
              <w:widowControl w:val="0"/>
              <w:suppressAutoHyphens/>
              <w:jc w:val="center"/>
              <w:rPr>
                <w:rStyle w:val="DefaultParagraphFont"/>
                <w:snapToGrid w:val="0"/>
                <w:kern w:val="28"/>
                <w:sz w:val="22"/>
                <w:lang w:val="en-US" w:eastAsia="en-US" w:bidi="ar-SA"/>
              </w:rPr>
            </w:pPr>
            <w:r w:rsidRPr="00965FA9">
              <w:rPr>
                <w:snapToGrid w:val="0"/>
                <w:kern w:val="28"/>
                <w:sz w:val="22"/>
                <w:lang w:val="en-US" w:eastAsia="en-US" w:bidi="ar-SA"/>
              </w:rPr>
              <w:t>561</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07578A" w:rsidP="004E16D7" w14:paraId="1DF7FCCE" w14:textId="77777777">
            <w:pPr>
              <w:widowControl w:val="0"/>
              <w:suppressAutoHyphens/>
              <w:jc w:val="center"/>
              <w:rPr>
                <w:rStyle w:val="DefaultParagraphFont"/>
                <w:snapToGrid w:val="0"/>
                <w:kern w:val="28"/>
                <w:sz w:val="22"/>
                <w:lang w:val="en-US" w:eastAsia="en-US" w:bidi="ar-SA"/>
              </w:rPr>
            </w:pPr>
            <w:r w:rsidRPr="0007578A">
              <w:rPr>
                <w:snapToGrid w:val="0"/>
                <w:kern w:val="28"/>
                <w:sz w:val="22"/>
                <w:lang w:val="en-US" w:eastAsia="en-US" w:bidi="ar-SA"/>
              </w:rPr>
              <w:t>1.7%</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882335" w:rsidP="004E16D7" w14:paraId="4DAA3E88" w14:textId="77777777">
            <w:pPr>
              <w:widowControl w:val="0"/>
              <w:suppressAutoHyphens/>
              <w:jc w:val="center"/>
              <w:rPr>
                <w:rStyle w:val="DefaultParagraphFont"/>
                <w:snapToGrid w:val="0"/>
                <w:kern w:val="28"/>
                <w:sz w:val="22"/>
                <w:lang w:val="en-US" w:eastAsia="en-US" w:bidi="ar-SA"/>
              </w:rPr>
            </w:pPr>
            <w:r w:rsidRPr="00882335">
              <w:rPr>
                <w:snapToGrid w:val="0"/>
                <w:kern w:val="28"/>
                <w:sz w:val="22"/>
                <w:lang w:val="en-US" w:eastAsia="en-US" w:bidi="ar-SA"/>
              </w:rPr>
              <w:t>56</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FE0728" w:rsidP="004E16D7" w14:paraId="172DBD21"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56</w:t>
            </w:r>
          </w:p>
        </w:tc>
      </w:tr>
      <w:tr w14:paraId="757551CD" w14:textId="77777777" w:rsidTr="00A46F4A">
        <w:tblPrEx>
          <w:tblW w:w="4999" w:type="pct"/>
          <w:tblInd w:w="1" w:type="dxa"/>
          <w:tblCellMar>
            <w:top w:w="0" w:type="dxa"/>
            <w:left w:w="108" w:type="dxa"/>
            <w:bottom w:w="0" w:type="dxa"/>
            <w:right w:w="108" w:type="dxa"/>
          </w:tblCellMar>
          <w:tblLook w:val="04A0"/>
        </w:tblPrEx>
        <w:trPr>
          <w:trHeight w:hRule="exact" w:val="619"/>
        </w:trPr>
        <w:tc>
          <w:tcPr>
            <w:tcW w:w="1888" w:type="pct"/>
            <w:tcBorders>
              <w:top w:val="single" w:sz="8" w:space="0" w:color="auto"/>
              <w:left w:val="single" w:sz="12" w:space="0" w:color="auto"/>
              <w:bottom w:val="single" w:sz="8" w:space="0" w:color="auto"/>
              <w:right w:val="single" w:sz="8" w:space="0" w:color="auto"/>
            </w:tcBorders>
            <w:shd w:val="clear" w:color="auto" w:fill="auto"/>
            <w:vAlign w:val="bottom"/>
            <w:hideMark/>
          </w:tcPr>
          <w:p w:rsidR="00372C6B" w:rsidRPr="00FE0728" w:rsidP="004E16D7" w14:paraId="084D0A5B" w14:textId="77777777">
            <w:pPr>
              <w:widowControl/>
              <w:suppressAutoHyphens/>
              <w:rPr>
                <w:rStyle w:val="DefaultParagraphFont"/>
                <w:b/>
                <w:bCs/>
                <w:i/>
                <w:iCs/>
                <w:snapToGrid/>
                <w:color w:val="000000"/>
                <w:kern w:val="0"/>
                <w:sz w:val="22"/>
                <w:szCs w:val="22"/>
                <w:lang w:val="en-US" w:eastAsia="en-US" w:bidi="ar-SA"/>
              </w:rPr>
            </w:pPr>
            <w:r w:rsidRPr="00FE0728">
              <w:rPr>
                <w:b/>
                <w:bCs/>
                <w:i/>
                <w:iCs/>
                <w:snapToGrid/>
                <w:color w:val="000000"/>
                <w:kern w:val="0"/>
                <w:sz w:val="22"/>
                <w:szCs w:val="22"/>
                <w:lang w:val="en-US" w:eastAsia="en-US" w:bidi="ar-SA"/>
              </w:rPr>
              <w:t>DBS</w:t>
            </w:r>
            <w:r w:rsidRPr="00FE0728">
              <w:rPr>
                <w:snapToGrid/>
                <w:color w:val="000000"/>
                <w:kern w:val="0"/>
                <w:sz w:val="22"/>
                <w:szCs w:val="22"/>
                <w:lang w:val="en-US" w:eastAsia="en-US" w:bidi="ar-SA"/>
              </w:rPr>
              <w:t xml:space="preserve"> findings on the basis of DBS market share under the 50\15 test</w:t>
            </w:r>
          </w:p>
        </w:tc>
        <w:tc>
          <w:tcPr>
            <w:tcW w:w="89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965FA9" w:rsidP="004E16D7" w14:paraId="0E92FEAF" w14:textId="77777777">
            <w:pPr>
              <w:widowControl w:val="0"/>
              <w:suppressAutoHyphens/>
              <w:jc w:val="center"/>
              <w:rPr>
                <w:rStyle w:val="DefaultParagraphFont"/>
                <w:snapToGrid w:val="0"/>
                <w:kern w:val="28"/>
                <w:sz w:val="22"/>
                <w:lang w:val="en-US" w:eastAsia="en-US" w:bidi="ar-SA"/>
              </w:rPr>
            </w:pPr>
            <w:r w:rsidRPr="00965FA9">
              <w:rPr>
                <w:snapToGrid w:val="0"/>
                <w:kern w:val="28"/>
                <w:sz w:val="22"/>
                <w:lang w:val="en-US" w:eastAsia="en-US" w:bidi="ar-SA"/>
              </w:rPr>
              <w:t>7,639</w:t>
            </w:r>
          </w:p>
        </w:tc>
        <w:tc>
          <w:tcPr>
            <w:tcW w:w="77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07578A" w:rsidP="004E16D7" w14:paraId="384126D6" w14:textId="77777777">
            <w:pPr>
              <w:widowControl w:val="0"/>
              <w:suppressAutoHyphens/>
              <w:jc w:val="center"/>
              <w:rPr>
                <w:rStyle w:val="DefaultParagraphFont"/>
                <w:snapToGrid w:val="0"/>
                <w:kern w:val="28"/>
                <w:sz w:val="22"/>
                <w:lang w:val="en-US" w:eastAsia="en-US" w:bidi="ar-SA"/>
              </w:rPr>
            </w:pPr>
            <w:r w:rsidRPr="0007578A">
              <w:rPr>
                <w:snapToGrid w:val="0"/>
                <w:kern w:val="28"/>
                <w:sz w:val="22"/>
                <w:lang w:val="en-US" w:eastAsia="en-US" w:bidi="ar-SA"/>
              </w:rPr>
              <w:t>32.</w:t>
            </w:r>
            <w:r>
              <w:rPr>
                <w:snapToGrid w:val="0"/>
                <w:kern w:val="28"/>
                <w:sz w:val="22"/>
                <w:lang w:val="en-US" w:eastAsia="en-US" w:bidi="ar-SA"/>
              </w:rPr>
              <w:t>6</w:t>
            </w:r>
            <w:r w:rsidRPr="0007578A">
              <w:rPr>
                <w:snapToGrid w:val="0"/>
                <w:kern w:val="28"/>
                <w:sz w:val="22"/>
                <w:lang w:val="en-US" w:eastAsia="en-US" w:bidi="ar-SA"/>
              </w:rPr>
              <w:t>%</w:t>
            </w:r>
          </w:p>
        </w:tc>
        <w:tc>
          <w:tcPr>
            <w:tcW w:w="6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2C6B" w:rsidRPr="00882335" w:rsidP="004E16D7" w14:paraId="367BC07A" w14:textId="77777777">
            <w:pPr>
              <w:widowControl w:val="0"/>
              <w:suppressAutoHyphens/>
              <w:jc w:val="center"/>
              <w:rPr>
                <w:rStyle w:val="DefaultParagraphFont"/>
                <w:snapToGrid w:val="0"/>
                <w:kern w:val="28"/>
                <w:sz w:val="22"/>
                <w:lang w:val="en-US" w:eastAsia="en-US" w:bidi="ar-SA"/>
              </w:rPr>
            </w:pPr>
            <w:r w:rsidRPr="00882335">
              <w:rPr>
                <w:snapToGrid w:val="0"/>
                <w:kern w:val="28"/>
                <w:sz w:val="22"/>
                <w:lang w:val="en-US" w:eastAsia="en-US" w:bidi="ar-SA"/>
              </w:rPr>
              <w:t>163</w:t>
            </w:r>
          </w:p>
        </w:tc>
        <w:tc>
          <w:tcPr>
            <w:tcW w:w="781" w:type="pct"/>
            <w:tcBorders>
              <w:top w:val="single" w:sz="8" w:space="0" w:color="auto"/>
              <w:left w:val="single" w:sz="8" w:space="0" w:color="auto"/>
              <w:bottom w:val="single" w:sz="8" w:space="0" w:color="auto"/>
              <w:right w:val="single" w:sz="12" w:space="0" w:color="auto"/>
            </w:tcBorders>
            <w:shd w:val="clear" w:color="auto" w:fill="auto"/>
            <w:vAlign w:val="bottom"/>
            <w:hideMark/>
          </w:tcPr>
          <w:p w:rsidR="00372C6B" w:rsidRPr="00FE0728" w:rsidP="004E16D7" w14:paraId="4493CEE7"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163</w:t>
            </w:r>
          </w:p>
        </w:tc>
      </w:tr>
      <w:tr w14:paraId="679FC888" w14:textId="77777777" w:rsidTr="00A46F4A">
        <w:tblPrEx>
          <w:tblW w:w="4999" w:type="pct"/>
          <w:tblInd w:w="1" w:type="dxa"/>
          <w:tblCellMar>
            <w:top w:w="0" w:type="dxa"/>
            <w:left w:w="108" w:type="dxa"/>
            <w:bottom w:w="0" w:type="dxa"/>
            <w:right w:w="108" w:type="dxa"/>
          </w:tblCellMar>
          <w:tblLook w:val="04A0"/>
        </w:tblPrEx>
        <w:trPr>
          <w:trHeight w:hRule="exact" w:val="619"/>
        </w:trPr>
        <w:tc>
          <w:tcPr>
            <w:tcW w:w="1888" w:type="pct"/>
            <w:tcBorders>
              <w:top w:val="single" w:sz="8" w:space="0" w:color="auto"/>
              <w:left w:val="single" w:sz="12" w:space="0" w:color="auto"/>
              <w:bottom w:val="single" w:sz="12" w:space="0" w:color="auto"/>
              <w:right w:val="single" w:sz="8" w:space="0" w:color="auto"/>
            </w:tcBorders>
            <w:shd w:val="clear" w:color="auto" w:fill="auto"/>
            <w:vAlign w:val="bottom"/>
            <w:hideMark/>
          </w:tcPr>
          <w:p w:rsidR="00C21A91" w:rsidP="004E16D7" w14:paraId="38321CF8" w14:textId="77777777">
            <w:pPr>
              <w:widowControl/>
              <w:suppressAutoHyphens/>
              <w:rPr>
                <w:rStyle w:val="DefaultParagraphFont"/>
                <w:b/>
                <w:bCs/>
                <w:iCs/>
                <w:snapToGrid/>
                <w:color w:val="000000"/>
                <w:kern w:val="0"/>
                <w:sz w:val="22"/>
                <w:szCs w:val="22"/>
                <w:lang w:val="en-US" w:eastAsia="en-US" w:bidi="ar-SA"/>
              </w:rPr>
            </w:pPr>
            <w:r w:rsidRPr="00FE0728">
              <w:rPr>
                <w:b/>
                <w:bCs/>
                <w:i/>
                <w:iCs/>
                <w:snapToGrid/>
                <w:color w:val="000000"/>
                <w:kern w:val="0"/>
                <w:sz w:val="22"/>
                <w:szCs w:val="22"/>
                <w:lang w:val="en-US" w:eastAsia="en-US" w:bidi="ar-SA"/>
              </w:rPr>
              <w:t>Wireless</w:t>
            </w:r>
            <w:r>
              <w:rPr>
                <w:b/>
                <w:bCs/>
                <w:i/>
                <w:iCs/>
                <w:snapToGrid/>
                <w:color w:val="000000"/>
                <w:kern w:val="0"/>
                <w:sz w:val="22"/>
                <w:szCs w:val="22"/>
                <w:lang w:val="en-US" w:eastAsia="en-US" w:bidi="ar-SA"/>
              </w:rPr>
              <w:t xml:space="preserve"> </w:t>
            </w:r>
            <w:r w:rsidRPr="00FE0728">
              <w:rPr>
                <w:bCs/>
                <w:iCs/>
                <w:snapToGrid/>
                <w:color w:val="000000"/>
                <w:kern w:val="0"/>
                <w:sz w:val="22"/>
                <w:szCs w:val="22"/>
                <w:lang w:val="en-US" w:eastAsia="en-US" w:bidi="ar-SA"/>
              </w:rPr>
              <w:t xml:space="preserve">rival </w:t>
            </w:r>
            <w:r>
              <w:rPr>
                <w:bCs/>
                <w:iCs/>
                <w:snapToGrid/>
                <w:color w:val="000000"/>
                <w:kern w:val="0"/>
                <w:sz w:val="22"/>
                <w:szCs w:val="22"/>
                <w:lang w:val="en-US" w:eastAsia="en-US" w:bidi="ar-SA"/>
              </w:rPr>
              <w:t>o</w:t>
            </w:r>
            <w:r w:rsidRPr="00FE0728">
              <w:rPr>
                <w:bCs/>
                <w:iCs/>
                <w:snapToGrid/>
                <w:color w:val="000000"/>
                <w:kern w:val="0"/>
                <w:sz w:val="22"/>
                <w:szCs w:val="22"/>
                <w:lang w:val="en-US" w:eastAsia="en-US" w:bidi="ar-SA"/>
              </w:rPr>
              <w:t>r</w:t>
            </w:r>
            <w:r w:rsidRPr="00FE0728">
              <w:rPr>
                <w:b/>
                <w:bCs/>
                <w:iCs/>
                <w:snapToGrid/>
                <w:color w:val="000000"/>
                <w:kern w:val="0"/>
                <w:sz w:val="22"/>
                <w:szCs w:val="22"/>
                <w:lang w:val="en-US" w:eastAsia="en-US" w:bidi="ar-SA"/>
              </w:rPr>
              <w:t xml:space="preserve"> </w:t>
            </w:r>
          </w:p>
          <w:p w:rsidR="00372C6B" w:rsidRPr="00FE0728" w:rsidP="004E16D7" w14:paraId="30D0162B" w14:textId="758E1EB2">
            <w:pPr>
              <w:widowControl/>
              <w:suppressAutoHyphens/>
              <w:rPr>
                <w:rStyle w:val="DefaultParagraphFont"/>
                <w:b/>
                <w:bCs/>
                <w:i/>
                <w:iCs/>
                <w:snapToGrid/>
                <w:color w:val="000000"/>
                <w:kern w:val="0"/>
                <w:sz w:val="22"/>
                <w:szCs w:val="22"/>
                <w:lang w:val="en-US" w:eastAsia="en-US" w:bidi="ar-SA"/>
              </w:rPr>
            </w:pPr>
            <w:r w:rsidRPr="00FE0728">
              <w:rPr>
                <w:b/>
                <w:bCs/>
                <w:i/>
                <w:iCs/>
                <w:snapToGrid/>
                <w:color w:val="000000"/>
                <w:kern w:val="0"/>
                <w:sz w:val="22"/>
                <w:szCs w:val="22"/>
                <w:lang w:val="en-US" w:eastAsia="en-US" w:bidi="ar-SA"/>
              </w:rPr>
              <w:t>Low Penetration</w:t>
            </w:r>
            <w:r>
              <w:rPr>
                <w:b/>
                <w:bCs/>
                <w:i/>
                <w:iCs/>
                <w:snapToGrid/>
                <w:color w:val="000000"/>
                <w:kern w:val="0"/>
                <w:sz w:val="22"/>
                <w:szCs w:val="22"/>
                <w:lang w:val="en-US" w:eastAsia="en-US" w:bidi="ar-SA"/>
              </w:rPr>
              <w:t xml:space="preserve"> Test</w:t>
            </w:r>
          </w:p>
        </w:tc>
        <w:tc>
          <w:tcPr>
            <w:tcW w:w="899" w:type="pct"/>
            <w:tcBorders>
              <w:top w:val="single" w:sz="8" w:space="0" w:color="auto"/>
              <w:left w:val="single" w:sz="8" w:space="0" w:color="auto"/>
              <w:bottom w:val="single" w:sz="12" w:space="0" w:color="auto"/>
              <w:right w:val="single" w:sz="8" w:space="0" w:color="auto"/>
            </w:tcBorders>
            <w:shd w:val="clear" w:color="auto" w:fill="auto"/>
            <w:vAlign w:val="bottom"/>
            <w:hideMark/>
          </w:tcPr>
          <w:p w:rsidR="00372C6B" w:rsidP="004E16D7" w14:paraId="39EF2A4A" w14:textId="77777777">
            <w:pPr>
              <w:widowControl w:val="0"/>
              <w:suppressAutoHyphens/>
              <w:jc w:val="center"/>
              <w:rPr>
                <w:rStyle w:val="DefaultParagraphFont"/>
                <w:snapToGrid w:val="0"/>
                <w:kern w:val="28"/>
                <w:sz w:val="22"/>
                <w:lang w:val="en-US" w:eastAsia="en-US" w:bidi="ar-SA"/>
              </w:rPr>
            </w:pPr>
            <w:r w:rsidRPr="00965FA9">
              <w:rPr>
                <w:snapToGrid w:val="0"/>
                <w:kern w:val="28"/>
                <w:sz w:val="22"/>
                <w:lang w:val="en-US" w:eastAsia="en-US" w:bidi="ar-SA"/>
              </w:rPr>
              <w:t>1,621</w:t>
            </w:r>
          </w:p>
        </w:tc>
        <w:tc>
          <w:tcPr>
            <w:tcW w:w="773" w:type="pct"/>
            <w:tcBorders>
              <w:top w:val="single" w:sz="8" w:space="0" w:color="auto"/>
              <w:left w:val="single" w:sz="8" w:space="0" w:color="auto"/>
              <w:bottom w:val="single" w:sz="12" w:space="0" w:color="auto"/>
              <w:right w:val="single" w:sz="8" w:space="0" w:color="auto"/>
            </w:tcBorders>
            <w:shd w:val="clear" w:color="auto" w:fill="auto"/>
            <w:vAlign w:val="bottom"/>
            <w:hideMark/>
          </w:tcPr>
          <w:p w:rsidR="00372C6B" w:rsidP="004E16D7" w14:paraId="27363B57" w14:textId="77777777">
            <w:pPr>
              <w:widowControl w:val="0"/>
              <w:suppressAutoHyphens/>
              <w:jc w:val="center"/>
              <w:rPr>
                <w:rStyle w:val="DefaultParagraphFont"/>
                <w:snapToGrid w:val="0"/>
                <w:kern w:val="28"/>
                <w:sz w:val="22"/>
                <w:lang w:val="en-US" w:eastAsia="en-US" w:bidi="ar-SA"/>
              </w:rPr>
            </w:pPr>
            <w:r w:rsidRPr="0007578A">
              <w:rPr>
                <w:snapToGrid w:val="0"/>
                <w:kern w:val="28"/>
                <w:sz w:val="22"/>
                <w:lang w:val="en-US" w:eastAsia="en-US" w:bidi="ar-SA"/>
              </w:rPr>
              <w:t>3.2%</w:t>
            </w:r>
          </w:p>
        </w:tc>
        <w:tc>
          <w:tcPr>
            <w:tcW w:w="659" w:type="pct"/>
            <w:tcBorders>
              <w:top w:val="single" w:sz="8" w:space="0" w:color="auto"/>
              <w:left w:val="single" w:sz="8" w:space="0" w:color="auto"/>
              <w:bottom w:val="single" w:sz="12" w:space="0" w:color="auto"/>
              <w:right w:val="single" w:sz="8" w:space="0" w:color="auto"/>
            </w:tcBorders>
            <w:shd w:val="clear" w:color="auto" w:fill="auto"/>
            <w:vAlign w:val="bottom"/>
            <w:hideMark/>
          </w:tcPr>
          <w:p w:rsidR="00372C6B" w:rsidP="004E16D7" w14:paraId="668F4601" w14:textId="77777777">
            <w:pPr>
              <w:widowControl w:val="0"/>
              <w:suppressAutoHyphens/>
              <w:jc w:val="center"/>
              <w:rPr>
                <w:rStyle w:val="DefaultParagraphFont"/>
                <w:snapToGrid w:val="0"/>
                <w:kern w:val="28"/>
                <w:sz w:val="22"/>
                <w:lang w:val="en-US" w:eastAsia="en-US" w:bidi="ar-SA"/>
              </w:rPr>
            </w:pPr>
            <w:r w:rsidRPr="00882335">
              <w:rPr>
                <w:snapToGrid w:val="0"/>
                <w:kern w:val="28"/>
                <w:sz w:val="22"/>
                <w:lang w:val="en-US" w:eastAsia="en-US" w:bidi="ar-SA"/>
              </w:rPr>
              <w:t>40</w:t>
            </w:r>
          </w:p>
        </w:tc>
        <w:tc>
          <w:tcPr>
            <w:tcW w:w="781" w:type="pct"/>
            <w:tcBorders>
              <w:top w:val="single" w:sz="8" w:space="0" w:color="auto"/>
              <w:left w:val="single" w:sz="8" w:space="0" w:color="auto"/>
              <w:bottom w:val="single" w:sz="12" w:space="0" w:color="auto"/>
              <w:right w:val="single" w:sz="12" w:space="0" w:color="auto"/>
            </w:tcBorders>
            <w:shd w:val="clear" w:color="auto" w:fill="auto"/>
            <w:vAlign w:val="bottom"/>
            <w:hideMark/>
          </w:tcPr>
          <w:p w:rsidR="00372C6B" w:rsidRPr="00FE0728" w:rsidP="004E16D7" w14:paraId="217D868E" w14:textId="77777777">
            <w:pPr>
              <w:widowControl/>
              <w:suppressAutoHyphens/>
              <w:jc w:val="center"/>
              <w:rPr>
                <w:rStyle w:val="DefaultParagraphFont"/>
                <w:snapToGrid/>
                <w:color w:val="000000"/>
                <w:kern w:val="0"/>
                <w:sz w:val="22"/>
                <w:szCs w:val="22"/>
                <w:lang w:val="en-US" w:eastAsia="en-US" w:bidi="ar-SA"/>
              </w:rPr>
            </w:pPr>
            <w:r w:rsidRPr="00FE0728">
              <w:rPr>
                <w:snapToGrid/>
                <w:color w:val="000000"/>
                <w:kern w:val="0"/>
                <w:sz w:val="22"/>
                <w:szCs w:val="22"/>
                <w:lang w:val="en-US" w:eastAsia="en-US" w:bidi="ar-SA"/>
              </w:rPr>
              <w:t>40</w:t>
            </w:r>
          </w:p>
        </w:tc>
      </w:tr>
      <w:tr w14:paraId="7076D483" w14:textId="77777777" w:rsidTr="00E6310C">
        <w:tblPrEx>
          <w:tblW w:w="4999" w:type="pct"/>
          <w:tblInd w:w="1" w:type="dxa"/>
          <w:tblCellMar>
            <w:top w:w="0" w:type="dxa"/>
            <w:left w:w="108" w:type="dxa"/>
            <w:bottom w:w="0" w:type="dxa"/>
            <w:right w:w="108" w:type="dxa"/>
          </w:tblCellMar>
          <w:tblLook w:val="04A0"/>
        </w:tblPrEx>
        <w:trPr>
          <w:trHeight w:hRule="exact" w:val="2016"/>
        </w:trPr>
        <w:tc>
          <w:tcPr>
            <w:tcW w:w="5000" w:type="pct"/>
            <w:gridSpan w:val="5"/>
            <w:tcBorders>
              <w:top w:val="single" w:sz="12" w:space="0" w:color="auto"/>
            </w:tcBorders>
            <w:shd w:val="clear" w:color="auto" w:fill="auto"/>
            <w:vAlign w:val="bottom"/>
          </w:tcPr>
          <w:p w:rsidR="00667C92" w:rsidRPr="00FE0728" w:rsidP="004E16D7" w14:paraId="77DCE62A" w14:textId="6C766539">
            <w:pPr>
              <w:widowControl/>
              <w:suppressAutoHyphens/>
              <w:rPr>
                <w:rStyle w:val="DefaultParagraphFont"/>
                <w:snapToGrid/>
                <w:color w:val="000000"/>
                <w:kern w:val="0"/>
                <w:sz w:val="22"/>
                <w:szCs w:val="22"/>
                <w:lang w:val="en-US" w:eastAsia="en-US" w:bidi="ar-SA"/>
              </w:rPr>
            </w:pPr>
            <w:r>
              <w:rPr>
                <w:snapToGrid/>
                <w:color w:val="000000"/>
                <w:kern w:val="0"/>
                <w:sz w:val="20"/>
                <w:lang w:val="en-US" w:eastAsia="en-US" w:bidi="ar-SA"/>
              </w:rPr>
              <w:t>Sources:</w:t>
            </w:r>
            <w:r w:rsidR="001F133F">
              <w:rPr>
                <w:snapToGrid/>
                <w:color w:val="000000"/>
                <w:kern w:val="0"/>
                <w:sz w:val="20"/>
                <w:lang w:val="en-US" w:eastAsia="en-US" w:bidi="ar-SA"/>
              </w:rPr>
              <w:t xml:space="preserve">  Federal Communications Commission, </w:t>
            </w:r>
            <w:r w:rsidRPr="001F133F" w:rsidR="001F133F">
              <w:rPr>
                <w:i/>
                <w:snapToGrid/>
                <w:color w:val="000000"/>
                <w:kern w:val="0"/>
                <w:sz w:val="20"/>
                <w:lang w:val="en-US" w:eastAsia="en-US" w:bidi="ar-SA"/>
              </w:rPr>
              <w:t>Cable Community Registration,</w:t>
            </w:r>
            <w:r w:rsidRPr="002A1BDB" w:rsidR="001F133F">
              <w:rPr>
                <w:snapToGrid/>
                <w:color w:val="000000"/>
                <w:kern w:val="0"/>
                <w:sz w:val="20"/>
                <w:lang w:val="en-US" w:eastAsia="en-US" w:bidi="ar-SA"/>
              </w:rPr>
              <w:t xml:space="preserve"> FCC Form 322</w:t>
            </w:r>
            <w:r w:rsidR="001F133F">
              <w:rPr>
                <w:snapToGrid/>
                <w:color w:val="000000"/>
                <w:kern w:val="0"/>
                <w:sz w:val="20"/>
                <w:lang w:val="en-US" w:eastAsia="en-US" w:bidi="ar-SA"/>
              </w:rPr>
              <w:t xml:space="preserve">; and </w:t>
            </w:r>
            <w:r w:rsidRPr="001F133F" w:rsidR="001F133F">
              <w:rPr>
                <w:i/>
                <w:snapToGrid/>
                <w:color w:val="000000"/>
                <w:kern w:val="0"/>
                <w:sz w:val="20"/>
                <w:lang w:val="en-US" w:eastAsia="en-US" w:bidi="ar-SA"/>
              </w:rPr>
              <w:t>Annual Cable Operator Report,</w:t>
            </w:r>
            <w:r w:rsidRPr="002A1BDB" w:rsidR="001F133F">
              <w:rPr>
                <w:snapToGrid/>
                <w:color w:val="000000"/>
                <w:kern w:val="0"/>
                <w:sz w:val="20"/>
                <w:lang w:val="en-US" w:eastAsia="en-US" w:bidi="ar-SA"/>
              </w:rPr>
              <w:t xml:space="preserve"> FCC Form 325</w:t>
            </w:r>
            <w:r w:rsidR="001F133F">
              <w:rPr>
                <w:snapToGrid/>
                <w:color w:val="000000"/>
                <w:kern w:val="0"/>
                <w:sz w:val="20"/>
                <w:lang w:val="en-US" w:eastAsia="en-US" w:bidi="ar-SA"/>
              </w:rPr>
              <w:t xml:space="preserve">. </w:t>
            </w:r>
            <w:r w:rsidRPr="005B2485" w:rsidR="001F133F">
              <w:rPr>
                <w:i/>
                <w:snapToGrid/>
                <w:color w:val="000000"/>
                <w:kern w:val="0"/>
                <w:sz w:val="20"/>
                <w:lang w:val="en-US" w:eastAsia="en-US" w:bidi="ar-SA"/>
              </w:rPr>
              <w:t>See</w:t>
            </w:r>
            <w:r w:rsidR="001F133F">
              <w:rPr>
                <w:snapToGrid/>
                <w:color w:val="000000"/>
                <w:kern w:val="0"/>
                <w:sz w:val="20"/>
                <w:lang w:val="en-US" w:eastAsia="en-US" w:bidi="ar-SA"/>
              </w:rPr>
              <w:t xml:space="preserve"> </w:t>
            </w:r>
            <w:r w:rsidRPr="002A1BDB" w:rsidR="001F133F">
              <w:rPr>
                <w:snapToGrid/>
                <w:color w:val="000000"/>
                <w:kern w:val="0"/>
                <w:sz w:val="20"/>
                <w:lang w:val="en-US" w:eastAsia="en-US" w:bidi="ar-SA"/>
              </w:rPr>
              <w:t>47 CFR §§ 76.1801</w:t>
            </w:r>
            <w:r w:rsidR="00C46D10">
              <w:rPr>
                <w:snapToGrid/>
                <w:color w:val="000000"/>
                <w:kern w:val="0"/>
                <w:sz w:val="20"/>
                <w:lang w:val="en-US" w:eastAsia="en-US" w:bidi="ar-SA"/>
              </w:rPr>
              <w:t xml:space="preserve">, </w:t>
            </w:r>
            <w:r w:rsidRPr="002A1BDB" w:rsidR="001F133F">
              <w:rPr>
                <w:snapToGrid/>
                <w:color w:val="000000"/>
                <w:kern w:val="0"/>
                <w:sz w:val="20"/>
                <w:lang w:val="en-US" w:eastAsia="en-US" w:bidi="ar-SA"/>
              </w:rPr>
              <w:t>403.</w:t>
            </w:r>
            <w:r w:rsidRPr="00FE0728" w:rsidR="00223B0A">
              <w:rPr>
                <w:snapToGrid/>
                <w:color w:val="000000"/>
                <w:kern w:val="0"/>
                <w:sz w:val="20"/>
                <w:lang w:val="en-US" w:eastAsia="en-US" w:bidi="ar-SA"/>
              </w:rPr>
              <w:t xml:space="preserve"> The Commission assigns a</w:t>
            </w:r>
            <w:r w:rsidR="00223B0A">
              <w:rPr>
                <w:snapToGrid/>
                <w:color w:val="000000"/>
                <w:kern w:val="0"/>
                <w:sz w:val="20"/>
                <w:lang w:val="en-US" w:eastAsia="en-US" w:bidi="ar-SA"/>
              </w:rPr>
              <w:t xml:space="preserve"> </w:t>
            </w:r>
            <w:r w:rsidRPr="00FE0728" w:rsidR="00223B0A">
              <w:rPr>
                <w:snapToGrid/>
                <w:color w:val="000000"/>
                <w:kern w:val="0"/>
                <w:sz w:val="20"/>
                <w:lang w:val="en-US" w:eastAsia="en-US" w:bidi="ar-SA"/>
              </w:rPr>
              <w:t xml:space="preserve">“cable community unit identifier” (CUID) to each </w:t>
            </w:r>
            <w:r w:rsidR="005B2485">
              <w:rPr>
                <w:snapToGrid/>
                <w:color w:val="000000"/>
                <w:kern w:val="0"/>
                <w:sz w:val="20"/>
                <w:lang w:val="en-US" w:eastAsia="en-US" w:bidi="ar-SA"/>
              </w:rPr>
              <w:t xml:space="preserve">registered </w:t>
            </w:r>
            <w:r w:rsidRPr="00FE0728" w:rsidR="00223B0A">
              <w:rPr>
                <w:snapToGrid/>
                <w:color w:val="000000"/>
                <w:kern w:val="0"/>
                <w:sz w:val="20"/>
                <w:lang w:val="en-US" w:eastAsia="en-US" w:bidi="ar-SA"/>
              </w:rPr>
              <w:t xml:space="preserve">cable operator for each </w:t>
            </w:r>
            <w:r w:rsidR="005B2485">
              <w:rPr>
                <w:snapToGrid/>
                <w:color w:val="000000"/>
                <w:kern w:val="0"/>
                <w:sz w:val="20"/>
                <w:lang w:val="en-US" w:eastAsia="en-US" w:bidi="ar-SA"/>
              </w:rPr>
              <w:t xml:space="preserve">individual </w:t>
            </w:r>
            <w:r w:rsidRPr="00FE0728" w:rsidR="00223B0A">
              <w:rPr>
                <w:snapToGrid/>
                <w:color w:val="000000"/>
                <w:kern w:val="0"/>
                <w:sz w:val="20"/>
                <w:lang w:val="en-US" w:eastAsia="en-US" w:bidi="ar-SA"/>
              </w:rPr>
              <w:t>community the operator serves.</w:t>
            </w:r>
            <w:r w:rsidR="0052565A">
              <w:rPr>
                <w:snapToGrid/>
                <w:color w:val="000000"/>
                <w:kern w:val="0"/>
                <w:sz w:val="20"/>
                <w:lang w:val="en-US" w:eastAsia="en-US" w:bidi="ar-SA"/>
              </w:rPr>
              <w:t xml:space="preserve"> </w:t>
            </w:r>
            <w:r w:rsidR="001F3DF6">
              <w:rPr>
                <w:snapToGrid/>
                <w:color w:val="000000"/>
                <w:kern w:val="0"/>
                <w:sz w:val="20"/>
                <w:lang w:val="en-US" w:eastAsia="en-US" w:bidi="ar-SA"/>
              </w:rPr>
              <w:t xml:space="preserve"> </w:t>
            </w:r>
            <w:r>
              <w:rPr>
                <w:snapToGrid/>
                <w:color w:val="000000"/>
                <w:kern w:val="0"/>
                <w:sz w:val="20"/>
                <w:lang w:val="en-US" w:eastAsia="en-US" w:bidi="ar-SA"/>
              </w:rPr>
              <w:t>In cable overbuild communities, t</w:t>
            </w:r>
            <w:r w:rsidRPr="00FE0728" w:rsidR="00223B0A">
              <w:rPr>
                <w:snapToGrid/>
                <w:color w:val="000000"/>
                <w:kern w:val="0"/>
                <w:sz w:val="20"/>
                <w:lang w:val="en-US" w:eastAsia="en-US" w:bidi="ar-SA"/>
              </w:rPr>
              <w:t>he</w:t>
            </w:r>
            <w:r>
              <w:rPr>
                <w:snapToGrid/>
                <w:color w:val="000000"/>
                <w:kern w:val="0"/>
                <w:sz w:val="20"/>
                <w:lang w:val="en-US" w:eastAsia="en-US" w:bidi="ar-SA"/>
              </w:rPr>
              <w:t xml:space="preserve"> table shows more </w:t>
            </w:r>
            <w:r w:rsidRPr="00FE0728" w:rsidR="00223B0A">
              <w:rPr>
                <w:snapToGrid/>
                <w:color w:val="000000"/>
                <w:kern w:val="0"/>
                <w:sz w:val="20"/>
                <w:lang w:val="en-US" w:eastAsia="en-US" w:bidi="ar-SA"/>
              </w:rPr>
              <w:t>incumbents</w:t>
            </w:r>
            <w:r>
              <w:rPr>
                <w:snapToGrid/>
                <w:color w:val="000000"/>
                <w:kern w:val="0"/>
                <w:sz w:val="20"/>
                <w:lang w:val="en-US" w:eastAsia="en-US" w:bidi="ar-SA"/>
              </w:rPr>
              <w:t xml:space="preserve"> than</w:t>
            </w:r>
            <w:r w:rsidR="001F3DF6">
              <w:rPr>
                <w:snapToGrid/>
                <w:color w:val="000000"/>
                <w:kern w:val="0"/>
                <w:sz w:val="20"/>
                <w:lang w:val="en-US" w:eastAsia="en-US" w:bidi="ar-SA"/>
              </w:rPr>
              <w:t xml:space="preserve"> </w:t>
            </w:r>
            <w:r>
              <w:rPr>
                <w:snapToGrid/>
                <w:color w:val="000000"/>
                <w:kern w:val="0"/>
                <w:sz w:val="20"/>
                <w:lang w:val="en-US" w:eastAsia="en-US" w:bidi="ar-SA"/>
              </w:rPr>
              <w:t>rivals</w:t>
            </w:r>
            <w:r w:rsidR="001F3DF6">
              <w:rPr>
                <w:snapToGrid/>
                <w:color w:val="000000"/>
                <w:kern w:val="0"/>
                <w:sz w:val="20"/>
                <w:lang w:val="en-US" w:eastAsia="en-US" w:bidi="ar-SA"/>
              </w:rPr>
              <w:t>.  This is</w:t>
            </w:r>
            <w:r w:rsidRPr="00FE0728" w:rsidR="00223B0A">
              <w:rPr>
                <w:snapToGrid/>
                <w:color w:val="000000"/>
                <w:kern w:val="0"/>
                <w:sz w:val="20"/>
                <w:lang w:val="en-US" w:eastAsia="en-US" w:bidi="ar-SA"/>
              </w:rPr>
              <w:t xml:space="preserve"> primarily because</w:t>
            </w:r>
            <w:r>
              <w:rPr>
                <w:snapToGrid/>
                <w:color w:val="000000"/>
                <w:kern w:val="0"/>
                <w:sz w:val="20"/>
                <w:lang w:val="en-US" w:eastAsia="en-US" w:bidi="ar-SA"/>
              </w:rPr>
              <w:t xml:space="preserve"> </w:t>
            </w:r>
            <w:r w:rsidR="001F3DF6">
              <w:rPr>
                <w:snapToGrid/>
                <w:color w:val="000000"/>
                <w:kern w:val="0"/>
                <w:sz w:val="20"/>
                <w:lang w:val="en-US" w:eastAsia="en-US" w:bidi="ar-SA"/>
              </w:rPr>
              <w:t xml:space="preserve">the communities of </w:t>
            </w:r>
            <w:r>
              <w:rPr>
                <w:snapToGrid/>
                <w:color w:val="000000"/>
                <w:kern w:val="0"/>
                <w:sz w:val="20"/>
                <w:lang w:val="en-US" w:eastAsia="en-US" w:bidi="ar-SA"/>
              </w:rPr>
              <w:t>one rival,</w:t>
            </w:r>
            <w:r w:rsidRPr="00FE0728" w:rsidR="00223B0A">
              <w:rPr>
                <w:snapToGrid/>
                <w:color w:val="000000"/>
                <w:kern w:val="0"/>
                <w:sz w:val="20"/>
                <w:lang w:val="en-US" w:eastAsia="en-US" w:bidi="ar-SA"/>
              </w:rPr>
              <w:t xml:space="preserve"> AT&amp;T</w:t>
            </w:r>
            <w:r>
              <w:rPr>
                <w:snapToGrid/>
                <w:color w:val="000000"/>
                <w:kern w:val="0"/>
                <w:sz w:val="20"/>
                <w:lang w:val="en-US" w:eastAsia="en-US" w:bidi="ar-SA"/>
              </w:rPr>
              <w:t xml:space="preserve">, </w:t>
            </w:r>
            <w:r w:rsidR="001F3DF6">
              <w:rPr>
                <w:snapToGrid/>
                <w:color w:val="000000"/>
                <w:kern w:val="0"/>
                <w:sz w:val="20"/>
                <w:lang w:val="en-US" w:eastAsia="en-US" w:bidi="ar-SA"/>
              </w:rPr>
              <w:t>do not have CUIDs</w:t>
            </w:r>
            <w:r w:rsidRPr="00FE0728" w:rsidR="00223B0A">
              <w:rPr>
                <w:snapToGrid/>
                <w:color w:val="000000"/>
                <w:kern w:val="0"/>
                <w:sz w:val="20"/>
                <w:lang w:val="en-US" w:eastAsia="en-US" w:bidi="ar-SA"/>
              </w:rPr>
              <w:t xml:space="preserve">.  The Commission however considers AT&amp;T U-verse </w:t>
            </w:r>
            <w:r w:rsidR="004F6559">
              <w:rPr>
                <w:snapToGrid/>
                <w:color w:val="000000"/>
                <w:kern w:val="0"/>
                <w:sz w:val="20"/>
                <w:lang w:val="en-US" w:eastAsia="en-US" w:bidi="ar-SA"/>
              </w:rPr>
              <w:t xml:space="preserve">as </w:t>
            </w:r>
            <w:r w:rsidRPr="00FE0728" w:rsidR="00223B0A">
              <w:rPr>
                <w:snapToGrid/>
                <w:color w:val="000000"/>
                <w:kern w:val="0"/>
                <w:sz w:val="20"/>
                <w:lang w:val="en-US" w:eastAsia="en-US" w:bidi="ar-SA"/>
              </w:rPr>
              <w:t xml:space="preserve">a competing </w:t>
            </w:r>
            <w:r w:rsidR="005B2485">
              <w:rPr>
                <w:snapToGrid/>
                <w:color w:val="000000"/>
                <w:kern w:val="0"/>
                <w:sz w:val="20"/>
                <w:lang w:val="en-US" w:eastAsia="en-US" w:bidi="ar-SA"/>
              </w:rPr>
              <w:t>service</w:t>
            </w:r>
            <w:r w:rsidR="004F6559">
              <w:rPr>
                <w:snapToGrid/>
                <w:color w:val="000000"/>
                <w:kern w:val="0"/>
                <w:sz w:val="20"/>
                <w:lang w:val="en-US" w:eastAsia="en-US" w:bidi="ar-SA"/>
              </w:rPr>
              <w:t xml:space="preserve"> </w:t>
            </w:r>
            <w:r w:rsidR="005B2485">
              <w:rPr>
                <w:snapToGrid/>
                <w:color w:val="000000"/>
                <w:kern w:val="0"/>
                <w:sz w:val="20"/>
                <w:lang w:val="en-US" w:eastAsia="en-US" w:bidi="ar-SA"/>
              </w:rPr>
              <w:t xml:space="preserve">for the purpose of </w:t>
            </w:r>
            <w:r w:rsidRPr="00FE0728" w:rsidR="00223B0A">
              <w:rPr>
                <w:snapToGrid/>
                <w:color w:val="000000"/>
                <w:kern w:val="0"/>
                <w:sz w:val="20"/>
                <w:lang w:val="en-US" w:eastAsia="en-US" w:bidi="ar-SA"/>
              </w:rPr>
              <w:t>finding</w:t>
            </w:r>
            <w:r w:rsidR="004F6559">
              <w:rPr>
                <w:snapToGrid/>
                <w:color w:val="000000"/>
                <w:kern w:val="0"/>
                <w:sz w:val="20"/>
                <w:lang w:val="en-US" w:eastAsia="en-US" w:bidi="ar-SA"/>
              </w:rPr>
              <w:t>s</w:t>
            </w:r>
            <w:r w:rsidRPr="00FE0728" w:rsidR="00223B0A">
              <w:rPr>
                <w:snapToGrid/>
                <w:color w:val="000000"/>
                <w:kern w:val="0"/>
                <w:sz w:val="20"/>
                <w:lang w:val="en-US" w:eastAsia="en-US" w:bidi="ar-SA"/>
              </w:rPr>
              <w:t xml:space="preserve"> of effective competition.  Similarly, while the DBS subgroup consists of incumbent cable operators with a finding based on DBS market share, </w:t>
            </w:r>
            <w:r w:rsidR="001F3DF6">
              <w:rPr>
                <w:snapToGrid/>
                <w:color w:val="000000"/>
                <w:kern w:val="0"/>
                <w:sz w:val="20"/>
                <w:lang w:val="en-US" w:eastAsia="en-US" w:bidi="ar-SA"/>
              </w:rPr>
              <w:t xml:space="preserve">DBS operators do not have CUIDs and </w:t>
            </w:r>
            <w:r w:rsidRPr="00FE0728" w:rsidR="00223B0A">
              <w:rPr>
                <w:snapToGrid/>
                <w:color w:val="000000"/>
                <w:kern w:val="0"/>
                <w:sz w:val="20"/>
                <w:lang w:val="en-US" w:eastAsia="en-US" w:bidi="ar-SA"/>
              </w:rPr>
              <w:t>the DBS subgroup does not include DBS operators</w:t>
            </w:r>
            <w:r w:rsidR="001F3DF6">
              <w:rPr>
                <w:snapToGrid/>
                <w:color w:val="000000"/>
                <w:kern w:val="0"/>
                <w:sz w:val="20"/>
                <w:lang w:val="en-US" w:eastAsia="en-US" w:bidi="ar-SA"/>
              </w:rPr>
              <w:t>.</w:t>
            </w:r>
          </w:p>
        </w:tc>
      </w:tr>
    </w:tbl>
    <w:p w:rsidR="00C104CF" w:rsidP="004E16D7" w14:paraId="19C39E27" w14:textId="77777777">
      <w:pPr>
        <w:widowControl/>
        <w:suppressAutoHyphens/>
      </w:pPr>
      <w:r>
        <w:br w:type="page"/>
      </w:r>
    </w:p>
    <w:tbl>
      <w:tblPr>
        <w:tblW w:w="5000" w:type="pct"/>
        <w:tblInd w:w="0" w:type="dxa"/>
        <w:tblLayout w:type="fixed"/>
        <w:tblCellMar>
          <w:top w:w="0" w:type="dxa"/>
          <w:left w:w="108" w:type="dxa"/>
          <w:bottom w:w="0" w:type="dxa"/>
          <w:right w:w="108" w:type="dxa"/>
        </w:tblCellMar>
        <w:tblLook w:val="04A0"/>
      </w:tblPr>
      <w:tblGrid>
        <w:gridCol w:w="1338"/>
        <w:gridCol w:w="1260"/>
        <w:gridCol w:w="1707"/>
        <w:gridCol w:w="718"/>
        <w:gridCol w:w="595"/>
        <w:gridCol w:w="1314"/>
        <w:gridCol w:w="1114"/>
        <w:gridCol w:w="1284"/>
      </w:tblGrid>
      <w:tr w14:paraId="66D9E275" w14:textId="77777777" w:rsidTr="00A46F4A">
        <w:tblPrEx>
          <w:tblW w:w="5000" w:type="pct"/>
          <w:tblInd w:w="0" w:type="dxa"/>
          <w:tblLayout w:type="fixed"/>
          <w:tblCellMar>
            <w:top w:w="0" w:type="dxa"/>
            <w:left w:w="108" w:type="dxa"/>
            <w:bottom w:w="0" w:type="dxa"/>
            <w:right w:w="108" w:type="dxa"/>
          </w:tblCellMar>
          <w:tblLook w:val="04A0"/>
        </w:tblPrEx>
        <w:trPr>
          <w:trHeight w:hRule="exact" w:val="1152"/>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05BCD" w:rsidRPr="002C692A" w:rsidP="004E16D7" w14:paraId="0096FBB0" w14:textId="77777777">
            <w:pPr>
              <w:widowControl/>
              <w:suppressAutoHyphens/>
              <w:jc w:val="center"/>
              <w:rPr>
                <w:rStyle w:val="DefaultParagraphFont"/>
                <w:b/>
                <w:bCs/>
                <w:snapToGrid/>
                <w:kern w:val="0"/>
                <w:sz w:val="24"/>
                <w:szCs w:val="24"/>
                <w:lang w:val="en-US" w:eastAsia="en-US" w:bidi="ar-SA"/>
              </w:rPr>
            </w:pPr>
            <w:r w:rsidRPr="002C692A">
              <w:rPr>
                <w:b/>
                <w:bCs/>
                <w:snapToGrid/>
                <w:kern w:val="0"/>
                <w:sz w:val="24"/>
                <w:szCs w:val="24"/>
                <w:lang w:val="en-US" w:eastAsia="en-US" w:bidi="ar-SA"/>
              </w:rPr>
              <w:t>Attachment 2</w:t>
            </w:r>
          </w:p>
          <w:p w:rsidR="00905BCD" w:rsidRPr="002C692A" w:rsidP="004E16D7" w14:paraId="3B424749" w14:textId="77777777">
            <w:pPr>
              <w:widowControl/>
              <w:suppressAutoHyphens/>
              <w:jc w:val="center"/>
              <w:rPr>
                <w:rStyle w:val="DefaultParagraphFont"/>
                <w:b/>
                <w:bCs/>
                <w:snapToGrid/>
                <w:kern w:val="0"/>
                <w:sz w:val="24"/>
                <w:szCs w:val="24"/>
                <w:lang w:val="en-US" w:eastAsia="en-US" w:bidi="ar-SA"/>
              </w:rPr>
            </w:pPr>
            <w:r w:rsidRPr="002C692A">
              <w:rPr>
                <w:b/>
                <w:bCs/>
                <w:snapToGrid/>
                <w:kern w:val="0"/>
                <w:sz w:val="24"/>
                <w:szCs w:val="24"/>
                <w:lang w:val="en-US" w:eastAsia="en-US" w:bidi="ar-SA"/>
              </w:rPr>
              <w:t>Average Price of Cable Programming</w:t>
            </w:r>
          </w:p>
          <w:p w:rsidR="00905BCD" w:rsidRPr="004F4DA5" w:rsidP="004E16D7" w14:paraId="78B585C6" w14:textId="77777777">
            <w:pPr>
              <w:widowControl w:val="0"/>
              <w:suppressAutoHyphens/>
              <w:jc w:val="center"/>
              <w:rPr>
                <w:rStyle w:val="DefaultParagraphFont"/>
                <w:b/>
                <w:bCs/>
                <w:snapToGrid/>
                <w:kern w:val="0"/>
                <w:sz w:val="22"/>
                <w:szCs w:val="22"/>
                <w:lang w:val="en-US" w:eastAsia="en-US" w:bidi="ar-SA"/>
              </w:rPr>
            </w:pPr>
            <w:r w:rsidRPr="002C692A">
              <w:rPr>
                <w:b/>
                <w:bCs/>
                <w:snapToGrid/>
                <w:kern w:val="0"/>
                <w:sz w:val="24"/>
                <w:szCs w:val="24"/>
                <w:lang w:val="en-US" w:eastAsia="en-US" w:bidi="ar-SA"/>
              </w:rPr>
              <w:t>b</w:t>
            </w:r>
            <w:r w:rsidRPr="002C692A">
              <w:rPr>
                <w:b/>
                <w:bCs/>
                <w:snapToGrid/>
                <w:kern w:val="0"/>
                <w:sz w:val="24"/>
                <w:szCs w:val="24"/>
                <w:lang w:val="en-US" w:eastAsia="en-US" w:bidi="ar-SA"/>
              </w:rPr>
              <w:t>y Sample and Programming Service</w:t>
            </w:r>
          </w:p>
        </w:tc>
      </w:tr>
      <w:tr w14:paraId="5ED1FB08" w14:textId="77777777" w:rsidTr="00A46F4A">
        <w:tblPrEx>
          <w:tblW w:w="5000" w:type="pct"/>
          <w:tblInd w:w="0" w:type="dxa"/>
          <w:tblLayout w:type="fixed"/>
          <w:tblCellMar>
            <w:top w:w="0" w:type="dxa"/>
            <w:left w:w="108" w:type="dxa"/>
            <w:bottom w:w="0" w:type="dxa"/>
            <w:right w:w="108" w:type="dxa"/>
          </w:tblCellMar>
          <w:tblLook w:val="04A0"/>
        </w:tblPrEx>
        <w:trPr>
          <w:trHeight w:hRule="exact" w:val="576"/>
        </w:trPr>
        <w:tc>
          <w:tcPr>
            <w:tcW w:w="717" w:type="pct"/>
            <w:tcBorders>
              <w:top w:val="single" w:sz="12" w:space="0" w:color="auto"/>
              <w:left w:val="single" w:sz="12" w:space="0" w:color="auto"/>
              <w:bottom w:val="single" w:sz="8" w:space="0" w:color="auto"/>
              <w:right w:val="single" w:sz="4" w:space="0" w:color="auto"/>
            </w:tcBorders>
            <w:shd w:val="clear" w:color="auto" w:fill="auto"/>
            <w:vAlign w:val="center"/>
            <w:hideMark/>
          </w:tcPr>
          <w:p w:rsidR="00C104CF" w:rsidRPr="002C692A" w:rsidP="004E16D7" w14:paraId="4FD18123"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Sample Group</w:t>
            </w:r>
          </w:p>
        </w:tc>
        <w:tc>
          <w:tcPr>
            <w:tcW w:w="675" w:type="pct"/>
            <w:tcBorders>
              <w:top w:val="single" w:sz="12" w:space="0" w:color="auto"/>
              <w:left w:val="nil"/>
              <w:bottom w:val="single" w:sz="8" w:space="0" w:color="auto"/>
              <w:right w:val="single" w:sz="4" w:space="0" w:color="auto"/>
            </w:tcBorders>
            <w:shd w:val="clear" w:color="auto" w:fill="auto"/>
            <w:vAlign w:val="center"/>
            <w:hideMark/>
          </w:tcPr>
          <w:p w:rsidR="00C104CF" w:rsidRPr="002C692A" w:rsidP="004E16D7" w14:paraId="3354055D"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Subgroup</w:t>
            </w:r>
          </w:p>
        </w:tc>
        <w:tc>
          <w:tcPr>
            <w:tcW w:w="915" w:type="pct"/>
            <w:tcBorders>
              <w:top w:val="single" w:sz="12" w:space="0" w:color="auto"/>
              <w:left w:val="nil"/>
              <w:bottom w:val="single" w:sz="8" w:space="0" w:color="auto"/>
              <w:right w:val="single" w:sz="4" w:space="0" w:color="auto"/>
            </w:tcBorders>
            <w:shd w:val="clear" w:color="auto" w:fill="auto"/>
            <w:vAlign w:val="center"/>
            <w:hideMark/>
          </w:tcPr>
          <w:p w:rsidR="00C104CF" w:rsidRPr="002C692A" w:rsidP="004E16D7" w14:paraId="395E9EF9"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Service</w:t>
            </w:r>
          </w:p>
        </w:tc>
        <w:tc>
          <w:tcPr>
            <w:tcW w:w="385" w:type="pct"/>
            <w:tcBorders>
              <w:top w:val="single" w:sz="12" w:space="0" w:color="auto"/>
              <w:left w:val="nil"/>
              <w:bottom w:val="single" w:sz="8" w:space="0" w:color="auto"/>
              <w:right w:val="single" w:sz="4" w:space="0" w:color="auto"/>
            </w:tcBorders>
            <w:shd w:val="clear" w:color="auto" w:fill="auto"/>
            <w:vAlign w:val="center"/>
            <w:hideMark/>
          </w:tcPr>
          <w:p w:rsidR="00C104CF" w:rsidRPr="002C692A" w:rsidP="004E16D7" w14:paraId="7E05764B"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Year</w:t>
            </w:r>
          </w:p>
        </w:tc>
        <w:tc>
          <w:tcPr>
            <w:tcW w:w="319" w:type="pct"/>
            <w:tcBorders>
              <w:top w:val="single" w:sz="12" w:space="0" w:color="auto"/>
              <w:left w:val="nil"/>
              <w:bottom w:val="single" w:sz="8" w:space="0" w:color="auto"/>
              <w:right w:val="single" w:sz="4" w:space="0" w:color="auto"/>
            </w:tcBorders>
            <w:shd w:val="clear" w:color="auto" w:fill="auto"/>
            <w:vAlign w:val="center"/>
            <w:hideMark/>
          </w:tcPr>
          <w:p w:rsidR="00C104CF" w:rsidRPr="002C692A" w:rsidP="004E16D7" w14:paraId="32981229"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n</w:t>
            </w:r>
          </w:p>
        </w:tc>
        <w:tc>
          <w:tcPr>
            <w:tcW w:w="704" w:type="pct"/>
            <w:tcBorders>
              <w:top w:val="single" w:sz="12" w:space="0" w:color="auto"/>
              <w:left w:val="nil"/>
              <w:bottom w:val="single" w:sz="8" w:space="0" w:color="auto"/>
              <w:right w:val="single" w:sz="4" w:space="0" w:color="auto"/>
            </w:tcBorders>
            <w:shd w:val="clear" w:color="auto" w:fill="auto"/>
            <w:vAlign w:val="center"/>
            <w:hideMark/>
          </w:tcPr>
          <w:p w:rsidR="00C104CF" w:rsidRPr="002C692A" w:rsidP="004E16D7" w14:paraId="0EFD6C90"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Sample Mean</w:t>
            </w:r>
          </w:p>
        </w:tc>
        <w:tc>
          <w:tcPr>
            <w:tcW w:w="597" w:type="pct"/>
            <w:tcBorders>
              <w:top w:val="single" w:sz="12" w:space="0" w:color="auto"/>
              <w:left w:val="nil"/>
              <w:bottom w:val="single" w:sz="8" w:space="0" w:color="auto"/>
              <w:right w:val="single" w:sz="4" w:space="0" w:color="auto"/>
            </w:tcBorders>
            <w:shd w:val="clear" w:color="auto" w:fill="auto"/>
            <w:vAlign w:val="center"/>
            <w:hideMark/>
          </w:tcPr>
          <w:p w:rsidR="00C104CF" w:rsidRPr="002C692A" w:rsidP="004E16D7" w14:paraId="2B3A9699"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Standard Error</w:t>
            </w:r>
          </w:p>
        </w:tc>
        <w:tc>
          <w:tcPr>
            <w:tcW w:w="688" w:type="pct"/>
            <w:tcBorders>
              <w:top w:val="single" w:sz="12" w:space="0" w:color="auto"/>
              <w:left w:val="nil"/>
              <w:bottom w:val="single" w:sz="8" w:space="0" w:color="auto"/>
              <w:right w:val="single" w:sz="12" w:space="0" w:color="auto"/>
            </w:tcBorders>
            <w:shd w:val="clear" w:color="auto" w:fill="auto"/>
            <w:vAlign w:val="center"/>
            <w:hideMark/>
          </w:tcPr>
          <w:p w:rsidR="00C104CF" w:rsidRPr="002C692A" w:rsidP="004E16D7" w14:paraId="01B02D99"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Annual Change</w:t>
            </w:r>
          </w:p>
        </w:tc>
      </w:tr>
      <w:tr w14:paraId="1DF917A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val="restart"/>
            <w:tcBorders>
              <w:top w:val="nil"/>
              <w:left w:val="single" w:sz="12" w:space="0" w:color="auto"/>
              <w:bottom w:val="single" w:sz="4" w:space="0" w:color="auto"/>
              <w:right w:val="single" w:sz="4" w:space="0" w:color="auto"/>
            </w:tcBorders>
            <w:shd w:val="clear" w:color="auto" w:fill="auto"/>
            <w:vAlign w:val="center"/>
            <w:hideMark/>
          </w:tcPr>
          <w:p w:rsidR="00C80BBB" w:rsidRPr="002C692A" w:rsidP="004E16D7" w14:paraId="38984171" w14:textId="4D8F05CB">
            <w:pPr>
              <w:widowControl/>
              <w:suppressAutoHyphens/>
              <w:jc w:val="center"/>
              <w:rPr>
                <w:rStyle w:val="DefaultParagraphFont"/>
                <w:b/>
                <w:snapToGrid/>
                <w:kern w:val="0"/>
                <w:sz w:val="20"/>
                <w:lang w:val="en-US" w:eastAsia="en-US" w:bidi="ar-SA"/>
              </w:rPr>
            </w:pPr>
            <w:r>
              <w:rPr>
                <w:b/>
                <w:snapToGrid/>
                <w:kern w:val="0"/>
                <w:sz w:val="20"/>
                <w:lang w:val="en-US" w:eastAsia="en-US" w:bidi="ar-SA"/>
              </w:rPr>
              <w:t>Full</w:t>
            </w:r>
            <w:r w:rsidRPr="002C692A">
              <w:rPr>
                <w:b/>
                <w:snapToGrid/>
                <w:kern w:val="0"/>
                <w:sz w:val="20"/>
                <w:lang w:val="en-US" w:eastAsia="en-US" w:bidi="ar-SA"/>
              </w:rPr>
              <w:t xml:space="preserve"> sample</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80BBB" w:rsidRPr="002C692A" w:rsidP="004E16D7" w14:paraId="44136D3C" w14:textId="709E99FD">
            <w:pPr>
              <w:widowControl/>
              <w:suppressAutoHyphens/>
              <w:jc w:val="center"/>
              <w:rPr>
                <w:rStyle w:val="DefaultParagraphFont"/>
                <w:b/>
                <w:snapToGrid/>
                <w:kern w:val="0"/>
                <w:sz w:val="20"/>
                <w:lang w:val="en-US" w:eastAsia="en-US" w:bidi="ar-SA"/>
              </w:rPr>
            </w:pPr>
            <w:r>
              <w:rPr>
                <w:b/>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385260D4"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DC1FCC" w:rsidP="004E16D7" w14:paraId="4B596A2D" w14:textId="0F8668F0">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404B0CED" w14:textId="32747390">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767</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1A3BAC01" w14:textId="388233E1">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$25.40</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7E4255E9" w14:textId="760D0D09">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0.274</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BC3F74" w:rsidP="004E16D7" w14:paraId="51E6CAA6" w14:textId="6DBA0B5A">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4.4%*</w:t>
            </w:r>
          </w:p>
        </w:tc>
      </w:tr>
      <w:tr w14:paraId="5B5EDE5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780D10D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284D257D"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32A3E43C"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547791A3" w14:textId="155269EB">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A1AEAC4" w14:textId="15B61758">
            <w:pPr>
              <w:widowControl/>
              <w:suppressAutoHyphens/>
              <w:jc w:val="center"/>
              <w:rPr>
                <w:rStyle w:val="DefaultParagraphFont"/>
                <w:snapToGrid/>
                <w:kern w:val="0"/>
                <w:sz w:val="20"/>
                <w:lang w:val="en-US" w:eastAsia="en-US" w:bidi="ar-SA"/>
              </w:rPr>
            </w:pPr>
            <w:r>
              <w:rPr>
                <w:snapToGrid w:val="0"/>
                <w:kern w:val="28"/>
                <w:sz w:val="20"/>
                <w:lang w:val="en-US" w:eastAsia="en-US" w:bidi="ar-SA"/>
              </w:rPr>
              <w:t>752</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5AD1ECB" w14:textId="05AA3C93">
            <w:pPr>
              <w:widowControl/>
              <w:suppressAutoHyphens/>
              <w:jc w:val="center"/>
              <w:rPr>
                <w:rStyle w:val="DefaultParagraphFont"/>
                <w:snapToGrid/>
                <w:kern w:val="0"/>
                <w:sz w:val="20"/>
                <w:lang w:val="en-US" w:eastAsia="en-US" w:bidi="ar-SA"/>
              </w:rPr>
            </w:pPr>
            <w:r>
              <w:rPr>
                <w:snapToGrid w:val="0"/>
                <w:kern w:val="28"/>
                <w:sz w:val="20"/>
                <w:lang w:val="en-US" w:eastAsia="en-US" w:bidi="ar-SA"/>
              </w:rPr>
              <w:t>$24.33</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D83376D" w14:textId="6EE29051">
            <w:pPr>
              <w:widowControl/>
              <w:suppressAutoHyphens/>
              <w:jc w:val="center"/>
              <w:rPr>
                <w:rStyle w:val="DefaultParagraphFont"/>
                <w:snapToGrid/>
                <w:kern w:val="0"/>
                <w:sz w:val="20"/>
                <w:lang w:val="en-US" w:eastAsia="en-US" w:bidi="ar-SA"/>
              </w:rPr>
            </w:pPr>
            <w:r>
              <w:rPr>
                <w:snapToGrid w:val="0"/>
                <w:kern w:val="28"/>
                <w:sz w:val="20"/>
                <w:lang w:val="en-US" w:eastAsia="en-US" w:bidi="ar-SA"/>
              </w:rPr>
              <w:t>0.282</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4DF216BB" w14:textId="77777777">
            <w:pPr>
              <w:widowControl/>
              <w:suppressAutoHyphens/>
              <w:rPr>
                <w:rStyle w:val="DefaultParagraphFont"/>
                <w:snapToGrid/>
                <w:kern w:val="0"/>
                <w:sz w:val="20"/>
                <w:lang w:val="en-US" w:eastAsia="en-US" w:bidi="ar-SA"/>
              </w:rPr>
            </w:pPr>
          </w:p>
        </w:tc>
      </w:tr>
      <w:tr w14:paraId="2FFE922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6185C591"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63F92A75"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8DEC216"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44C8C24C" w14:textId="04C7671E">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4D2C48F" w14:textId="70CBAEC1">
            <w:pPr>
              <w:widowControl/>
              <w:suppressAutoHyphens/>
              <w:jc w:val="center"/>
              <w:rPr>
                <w:rStyle w:val="DefaultParagraphFont"/>
                <w:snapToGrid/>
                <w:kern w:val="0"/>
                <w:sz w:val="20"/>
                <w:lang w:val="en-US" w:eastAsia="en-US" w:bidi="ar-SA"/>
              </w:rPr>
            </w:pPr>
            <w:r>
              <w:rPr>
                <w:snapToGrid w:val="0"/>
                <w:kern w:val="28"/>
                <w:sz w:val="20"/>
                <w:lang w:val="en-US" w:eastAsia="en-US" w:bidi="ar-SA"/>
              </w:rPr>
              <w:t>765</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4CB91D2" w14:textId="50FC1F8B">
            <w:pPr>
              <w:widowControl/>
              <w:suppressAutoHyphens/>
              <w:jc w:val="center"/>
              <w:rPr>
                <w:rStyle w:val="DefaultParagraphFont"/>
                <w:snapToGrid/>
                <w:kern w:val="0"/>
                <w:sz w:val="20"/>
                <w:lang w:val="en-US" w:eastAsia="en-US" w:bidi="ar-SA"/>
              </w:rPr>
            </w:pPr>
            <w:r>
              <w:rPr>
                <w:snapToGrid w:val="0"/>
                <w:kern w:val="28"/>
                <w:sz w:val="20"/>
                <w:lang w:val="en-US" w:eastAsia="en-US" w:bidi="ar-SA"/>
              </w:rPr>
              <w:t>$71.37</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0A5E009" w14:textId="7352F408">
            <w:pPr>
              <w:widowControl/>
              <w:suppressAutoHyphens/>
              <w:jc w:val="center"/>
              <w:rPr>
                <w:rStyle w:val="DefaultParagraphFont"/>
                <w:snapToGrid/>
                <w:kern w:val="0"/>
                <w:sz w:val="20"/>
                <w:lang w:val="en-US" w:eastAsia="en-US" w:bidi="ar-SA"/>
              </w:rPr>
            </w:pPr>
            <w:r>
              <w:rPr>
                <w:snapToGrid w:val="0"/>
                <w:kern w:val="28"/>
                <w:sz w:val="20"/>
                <w:lang w:val="en-US" w:eastAsia="en-US" w:bidi="ar-SA"/>
              </w:rPr>
              <w:t>0.270</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46907C55" w14:textId="5068BD42">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r>
      <w:tr w14:paraId="5C85D3A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5439FB1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4F62BD81"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1A0CEC63"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7CD5425D" w14:textId="5D316B9C">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C5FF707" w14:textId="4BFA2952">
            <w:pPr>
              <w:widowControl/>
              <w:suppressAutoHyphens/>
              <w:jc w:val="center"/>
              <w:rPr>
                <w:rStyle w:val="DefaultParagraphFont"/>
                <w:snapToGrid/>
                <w:kern w:val="0"/>
                <w:sz w:val="20"/>
                <w:lang w:val="en-US" w:eastAsia="en-US" w:bidi="ar-SA"/>
              </w:rPr>
            </w:pPr>
            <w:r>
              <w:rPr>
                <w:snapToGrid w:val="0"/>
                <w:kern w:val="28"/>
                <w:sz w:val="20"/>
                <w:lang w:val="en-US" w:eastAsia="en-US" w:bidi="ar-SA"/>
              </w:rPr>
              <w:t>749</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8948A28" w14:textId="57100CF9">
            <w:pPr>
              <w:widowControl/>
              <w:suppressAutoHyphens/>
              <w:jc w:val="center"/>
              <w:rPr>
                <w:rStyle w:val="DefaultParagraphFont"/>
                <w:snapToGrid/>
                <w:kern w:val="0"/>
                <w:sz w:val="20"/>
                <w:lang w:val="en-US" w:eastAsia="en-US" w:bidi="ar-SA"/>
              </w:rPr>
            </w:pPr>
            <w:r>
              <w:rPr>
                <w:snapToGrid w:val="0"/>
                <w:kern w:val="28"/>
                <w:sz w:val="20"/>
                <w:lang w:val="en-US" w:eastAsia="en-US" w:bidi="ar-SA"/>
              </w:rPr>
              <w:t>$69.04</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584E65D" w14:textId="1DCE92A9">
            <w:pPr>
              <w:widowControl/>
              <w:suppressAutoHyphens/>
              <w:jc w:val="center"/>
              <w:rPr>
                <w:rStyle w:val="DefaultParagraphFont"/>
                <w:snapToGrid/>
                <w:kern w:val="0"/>
                <w:sz w:val="20"/>
                <w:lang w:val="en-US" w:eastAsia="en-US" w:bidi="ar-SA"/>
              </w:rPr>
            </w:pPr>
            <w:r>
              <w:rPr>
                <w:snapToGrid w:val="0"/>
                <w:kern w:val="28"/>
                <w:sz w:val="20"/>
                <w:lang w:val="en-US" w:eastAsia="en-US" w:bidi="ar-SA"/>
              </w:rPr>
              <w:t>0.262</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368662B7" w14:textId="77777777">
            <w:pPr>
              <w:widowControl/>
              <w:suppressAutoHyphens/>
              <w:rPr>
                <w:rStyle w:val="DefaultParagraphFont"/>
                <w:snapToGrid/>
                <w:kern w:val="0"/>
                <w:sz w:val="20"/>
                <w:lang w:val="en-US" w:eastAsia="en-US" w:bidi="ar-SA"/>
              </w:rPr>
            </w:pPr>
          </w:p>
        </w:tc>
      </w:tr>
      <w:tr w14:paraId="17FFD34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1515B152"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7C404FBB"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4A3FBAEF"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09F3425D" w14:textId="18DD2DF2">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4458D9A" w14:textId="78385A81">
            <w:pPr>
              <w:widowControl/>
              <w:suppressAutoHyphens/>
              <w:jc w:val="center"/>
              <w:rPr>
                <w:rStyle w:val="DefaultParagraphFont"/>
                <w:snapToGrid/>
                <w:kern w:val="0"/>
                <w:sz w:val="20"/>
                <w:lang w:val="en-US" w:eastAsia="en-US" w:bidi="ar-SA"/>
              </w:rPr>
            </w:pPr>
            <w:r>
              <w:rPr>
                <w:snapToGrid w:val="0"/>
                <w:kern w:val="28"/>
                <w:sz w:val="20"/>
                <w:lang w:val="en-US" w:eastAsia="en-US" w:bidi="ar-SA"/>
              </w:rPr>
              <w:t>724</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B56200B" w14:textId="24F4EC8B">
            <w:pPr>
              <w:widowControl/>
              <w:suppressAutoHyphens/>
              <w:jc w:val="center"/>
              <w:rPr>
                <w:rStyle w:val="DefaultParagraphFont"/>
                <w:snapToGrid/>
                <w:kern w:val="0"/>
                <w:sz w:val="20"/>
                <w:lang w:val="en-US" w:eastAsia="en-US" w:bidi="ar-SA"/>
              </w:rPr>
            </w:pPr>
            <w:r>
              <w:rPr>
                <w:snapToGrid w:val="0"/>
                <w:kern w:val="28"/>
                <w:sz w:val="20"/>
                <w:lang w:val="en-US" w:eastAsia="en-US" w:bidi="ar-SA"/>
              </w:rPr>
              <w:t>$84.91</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2180A56" w14:textId="632356B4">
            <w:pPr>
              <w:widowControl/>
              <w:suppressAutoHyphens/>
              <w:jc w:val="center"/>
              <w:rPr>
                <w:rStyle w:val="DefaultParagraphFont"/>
                <w:snapToGrid/>
                <w:kern w:val="0"/>
                <w:sz w:val="20"/>
                <w:lang w:val="en-US" w:eastAsia="en-US" w:bidi="ar-SA"/>
              </w:rPr>
            </w:pPr>
            <w:r>
              <w:rPr>
                <w:snapToGrid w:val="0"/>
                <w:kern w:val="28"/>
                <w:sz w:val="20"/>
                <w:lang w:val="en-US" w:eastAsia="en-US" w:bidi="ar-SA"/>
              </w:rPr>
              <w:t>0.376</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6F512B87" w14:textId="5DC218CC">
            <w:pPr>
              <w:widowControl/>
              <w:suppressAutoHyphens/>
              <w:jc w:val="center"/>
              <w:rPr>
                <w:rStyle w:val="DefaultParagraphFont"/>
                <w:snapToGrid/>
                <w:kern w:val="0"/>
                <w:sz w:val="20"/>
                <w:lang w:val="en-US" w:eastAsia="en-US" w:bidi="ar-SA"/>
              </w:rPr>
            </w:pPr>
            <w:r>
              <w:rPr>
                <w:snapToGrid w:val="0"/>
                <w:kern w:val="28"/>
                <w:sz w:val="20"/>
                <w:lang w:val="en-US" w:eastAsia="en-US" w:bidi="ar-SA"/>
              </w:rPr>
              <w:t>3.5%*</w:t>
            </w:r>
          </w:p>
        </w:tc>
      </w:tr>
      <w:tr w14:paraId="20E6CB0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4C5937AA"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15B94BAD"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0098FA4D"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07C71645" w14:textId="7A3E290A">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7BAE14AE" w14:textId="3DB96A28">
            <w:pPr>
              <w:widowControl/>
              <w:suppressAutoHyphens/>
              <w:jc w:val="center"/>
              <w:rPr>
                <w:rStyle w:val="DefaultParagraphFont"/>
                <w:snapToGrid/>
                <w:kern w:val="0"/>
                <w:sz w:val="20"/>
                <w:lang w:val="en-US" w:eastAsia="en-US" w:bidi="ar-SA"/>
              </w:rPr>
            </w:pPr>
            <w:r>
              <w:rPr>
                <w:snapToGrid w:val="0"/>
                <w:kern w:val="28"/>
                <w:sz w:val="20"/>
                <w:lang w:val="en-US" w:eastAsia="en-US" w:bidi="ar-SA"/>
              </w:rPr>
              <w:t>710</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05C44B8" w14:textId="0D2A4E63">
            <w:pPr>
              <w:widowControl/>
              <w:suppressAutoHyphens/>
              <w:jc w:val="center"/>
              <w:rPr>
                <w:rStyle w:val="DefaultParagraphFont"/>
                <w:snapToGrid/>
                <w:kern w:val="0"/>
                <w:sz w:val="20"/>
                <w:lang w:val="en-US" w:eastAsia="en-US" w:bidi="ar-SA"/>
              </w:rPr>
            </w:pPr>
            <w:r>
              <w:rPr>
                <w:snapToGrid w:val="0"/>
                <w:kern w:val="28"/>
                <w:sz w:val="20"/>
                <w:lang w:val="en-US" w:eastAsia="en-US" w:bidi="ar-SA"/>
              </w:rPr>
              <w:t>$82.02</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EC51F7C" w14:textId="2B0DD4E1">
            <w:pPr>
              <w:widowControl/>
              <w:suppressAutoHyphens/>
              <w:jc w:val="center"/>
              <w:rPr>
                <w:rStyle w:val="DefaultParagraphFont"/>
                <w:snapToGrid/>
                <w:kern w:val="0"/>
                <w:sz w:val="20"/>
                <w:lang w:val="en-US" w:eastAsia="en-US" w:bidi="ar-SA"/>
              </w:rPr>
            </w:pPr>
            <w:r>
              <w:rPr>
                <w:snapToGrid w:val="0"/>
                <w:kern w:val="28"/>
                <w:sz w:val="20"/>
                <w:lang w:val="en-US" w:eastAsia="en-US" w:bidi="ar-SA"/>
              </w:rPr>
              <w:t>0.351</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7B55AD50" w14:textId="77777777">
            <w:pPr>
              <w:widowControl/>
              <w:suppressAutoHyphens/>
              <w:rPr>
                <w:rStyle w:val="DefaultParagraphFont"/>
                <w:snapToGrid/>
                <w:kern w:val="0"/>
                <w:sz w:val="20"/>
                <w:lang w:val="en-US" w:eastAsia="en-US" w:bidi="ar-SA"/>
              </w:rPr>
            </w:pPr>
          </w:p>
        </w:tc>
      </w:tr>
      <w:tr w14:paraId="6F8C6A5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C80BBB" w:rsidP="004E16D7" w14:paraId="43C74ED6" w14:textId="50283345">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Non</w:t>
            </w:r>
            <w:r>
              <w:rPr>
                <w:b/>
                <w:snapToGrid/>
                <w:kern w:val="0"/>
                <w:sz w:val="20"/>
                <w:lang w:val="en-US" w:eastAsia="en-US" w:bidi="ar-SA"/>
              </w:rPr>
              <w:t>-</w:t>
            </w:r>
          </w:p>
          <w:p w:rsidR="00C80BBB" w:rsidP="004E16D7" w14:paraId="3143BB81" w14:textId="6E1214C8">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Competitive</w:t>
            </w:r>
          </w:p>
          <w:p w:rsidR="00C80BBB" w:rsidRPr="002C692A" w:rsidP="004E16D7" w14:paraId="510793D9" w14:textId="46B41CDD">
            <w:pPr>
              <w:widowControl/>
              <w:suppressAutoHyphens/>
              <w:jc w:val="center"/>
              <w:rPr>
                <w:rStyle w:val="DefaultParagraphFont"/>
                <w:b/>
                <w:snapToGrid/>
                <w:kern w:val="0"/>
                <w:sz w:val="20"/>
                <w:lang w:val="en-US" w:eastAsia="en-US" w:bidi="ar-SA"/>
              </w:rPr>
            </w:pPr>
            <w:r>
              <w:rPr>
                <w:b/>
                <w:snapToGrid/>
                <w:kern w:val="0"/>
                <w:sz w:val="20"/>
                <w:lang w:val="en-US" w:eastAsia="en-US" w:bidi="ar-SA"/>
              </w:rPr>
              <w:t>Group</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80BBB" w:rsidRPr="002C692A" w:rsidP="004E16D7" w14:paraId="2ABFD08A" w14:textId="2979C55C">
            <w:pPr>
              <w:widowControl/>
              <w:suppressAutoHyphens/>
              <w:jc w:val="center"/>
              <w:rPr>
                <w:rStyle w:val="DefaultParagraphFont"/>
                <w:b/>
                <w:snapToGrid/>
                <w:kern w:val="0"/>
                <w:sz w:val="20"/>
                <w:lang w:val="en-US" w:eastAsia="en-US" w:bidi="ar-SA"/>
              </w:rPr>
            </w:pPr>
            <w:r>
              <w:rPr>
                <w:b/>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BAFF668"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DC1FCC" w:rsidP="004E16D7" w14:paraId="488CB711" w14:textId="4CAC75F5">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5957E55C" w14:textId="0F361704">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452</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1C06E0A0" w14:textId="291DB43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$25.78</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4EE42AAC" w14:textId="739791EC">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0.421</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BC3F74" w:rsidP="004E16D7" w14:paraId="2245EC71" w14:textId="18C5F2D0">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4.5%</w:t>
            </w:r>
          </w:p>
        </w:tc>
      </w:tr>
      <w:tr w14:paraId="2F2096E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78D95E47"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4602CA98"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74230C59"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7F9D9815" w14:textId="7D00D493">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BE0513E" w14:textId="23E80264">
            <w:pPr>
              <w:widowControl/>
              <w:suppressAutoHyphens/>
              <w:jc w:val="center"/>
              <w:rPr>
                <w:rStyle w:val="DefaultParagraphFont"/>
                <w:snapToGrid/>
                <w:kern w:val="0"/>
                <w:sz w:val="20"/>
                <w:lang w:val="en-US" w:eastAsia="en-US" w:bidi="ar-SA"/>
              </w:rPr>
            </w:pPr>
            <w:r>
              <w:rPr>
                <w:snapToGrid w:val="0"/>
                <w:kern w:val="28"/>
                <w:sz w:val="20"/>
                <w:lang w:val="en-US" w:eastAsia="en-US" w:bidi="ar-SA"/>
              </w:rPr>
              <w:t>440</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7999BDA" w14:textId="16B07AE4">
            <w:pPr>
              <w:widowControl/>
              <w:suppressAutoHyphens/>
              <w:jc w:val="center"/>
              <w:rPr>
                <w:rStyle w:val="DefaultParagraphFont"/>
                <w:snapToGrid/>
                <w:kern w:val="0"/>
                <w:sz w:val="20"/>
                <w:lang w:val="en-US" w:eastAsia="en-US" w:bidi="ar-SA"/>
              </w:rPr>
            </w:pPr>
            <w:r>
              <w:rPr>
                <w:snapToGrid w:val="0"/>
                <w:kern w:val="28"/>
                <w:sz w:val="20"/>
                <w:lang w:val="en-US" w:eastAsia="en-US" w:bidi="ar-SA"/>
              </w:rPr>
              <w:t>$24.68</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AFCDC59" w14:textId="0B673806">
            <w:pPr>
              <w:widowControl/>
              <w:suppressAutoHyphens/>
              <w:jc w:val="center"/>
              <w:rPr>
                <w:rStyle w:val="DefaultParagraphFont"/>
                <w:snapToGrid/>
                <w:kern w:val="0"/>
                <w:sz w:val="20"/>
                <w:lang w:val="en-US" w:eastAsia="en-US" w:bidi="ar-SA"/>
              </w:rPr>
            </w:pPr>
            <w:r>
              <w:rPr>
                <w:snapToGrid w:val="0"/>
                <w:kern w:val="28"/>
                <w:sz w:val="20"/>
                <w:lang w:val="en-US" w:eastAsia="en-US" w:bidi="ar-SA"/>
              </w:rPr>
              <w:t>0.420</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019E4097" w14:textId="77777777">
            <w:pPr>
              <w:widowControl/>
              <w:suppressAutoHyphens/>
              <w:rPr>
                <w:rStyle w:val="DefaultParagraphFont"/>
                <w:snapToGrid/>
                <w:kern w:val="0"/>
                <w:sz w:val="20"/>
                <w:lang w:val="en-US" w:eastAsia="en-US" w:bidi="ar-SA"/>
              </w:rPr>
            </w:pPr>
          </w:p>
        </w:tc>
      </w:tr>
      <w:tr w14:paraId="7664709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10490E2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5DB0E065"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59D6C4D"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350B3D1" w14:textId="11DD04B1">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A0F3DB5" w14:textId="6709AADA">
            <w:pPr>
              <w:widowControl/>
              <w:suppressAutoHyphens/>
              <w:jc w:val="center"/>
              <w:rPr>
                <w:rStyle w:val="DefaultParagraphFont"/>
                <w:snapToGrid/>
                <w:kern w:val="0"/>
                <w:sz w:val="20"/>
                <w:lang w:val="en-US" w:eastAsia="en-US" w:bidi="ar-SA"/>
              </w:rPr>
            </w:pPr>
            <w:r>
              <w:rPr>
                <w:snapToGrid w:val="0"/>
                <w:kern w:val="28"/>
                <w:sz w:val="20"/>
                <w:lang w:val="en-US" w:eastAsia="en-US" w:bidi="ar-SA"/>
              </w:rPr>
              <w:t>450</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5BF07FF" w14:textId="78EC6201">
            <w:pPr>
              <w:widowControl/>
              <w:suppressAutoHyphens/>
              <w:jc w:val="center"/>
              <w:rPr>
                <w:rStyle w:val="DefaultParagraphFont"/>
                <w:snapToGrid/>
                <w:kern w:val="0"/>
                <w:sz w:val="20"/>
                <w:lang w:val="en-US" w:eastAsia="en-US" w:bidi="ar-SA"/>
              </w:rPr>
            </w:pPr>
            <w:r>
              <w:rPr>
                <w:snapToGrid w:val="0"/>
                <w:kern w:val="28"/>
                <w:sz w:val="20"/>
                <w:lang w:val="en-US" w:eastAsia="en-US" w:bidi="ar-SA"/>
              </w:rPr>
              <w:t>$69.80</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CA280CE" w14:textId="1F78C763">
            <w:pPr>
              <w:widowControl/>
              <w:suppressAutoHyphens/>
              <w:jc w:val="center"/>
              <w:rPr>
                <w:rStyle w:val="DefaultParagraphFont"/>
                <w:snapToGrid/>
                <w:kern w:val="0"/>
                <w:sz w:val="20"/>
                <w:lang w:val="en-US" w:eastAsia="en-US" w:bidi="ar-SA"/>
              </w:rPr>
            </w:pPr>
            <w:r>
              <w:rPr>
                <w:snapToGrid w:val="0"/>
                <w:kern w:val="28"/>
                <w:sz w:val="20"/>
                <w:lang w:val="en-US" w:eastAsia="en-US" w:bidi="ar-SA"/>
              </w:rPr>
              <w:t>0.430</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71341708" w14:textId="7785E0BA">
            <w:pPr>
              <w:widowControl/>
              <w:suppressAutoHyphens/>
              <w:jc w:val="center"/>
              <w:rPr>
                <w:rStyle w:val="DefaultParagraphFont"/>
                <w:snapToGrid/>
                <w:kern w:val="0"/>
                <w:sz w:val="20"/>
                <w:lang w:val="en-US" w:eastAsia="en-US" w:bidi="ar-SA"/>
              </w:rPr>
            </w:pPr>
            <w:r>
              <w:rPr>
                <w:snapToGrid w:val="0"/>
                <w:kern w:val="28"/>
                <w:sz w:val="20"/>
                <w:lang w:val="en-US" w:eastAsia="en-US" w:bidi="ar-SA"/>
              </w:rPr>
              <w:t>3.5%*</w:t>
            </w:r>
          </w:p>
        </w:tc>
      </w:tr>
      <w:tr w14:paraId="4CDE36B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06400CE0"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623AB3E1"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0113BC06"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D20DA44" w14:textId="660B2F83">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062435D" w14:textId="562A9CD0">
            <w:pPr>
              <w:widowControl/>
              <w:suppressAutoHyphens/>
              <w:jc w:val="center"/>
              <w:rPr>
                <w:rStyle w:val="DefaultParagraphFont"/>
                <w:snapToGrid/>
                <w:kern w:val="0"/>
                <w:sz w:val="20"/>
                <w:lang w:val="en-US" w:eastAsia="en-US" w:bidi="ar-SA"/>
              </w:rPr>
            </w:pPr>
            <w:r>
              <w:rPr>
                <w:snapToGrid w:val="0"/>
                <w:kern w:val="28"/>
                <w:sz w:val="20"/>
                <w:lang w:val="en-US" w:eastAsia="en-US" w:bidi="ar-SA"/>
              </w:rPr>
              <w:t>438</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74BF11EF" w14:textId="3BCECACE">
            <w:pPr>
              <w:widowControl/>
              <w:suppressAutoHyphens/>
              <w:jc w:val="center"/>
              <w:rPr>
                <w:rStyle w:val="DefaultParagraphFont"/>
                <w:snapToGrid/>
                <w:kern w:val="0"/>
                <w:sz w:val="20"/>
                <w:lang w:val="en-US" w:eastAsia="en-US" w:bidi="ar-SA"/>
              </w:rPr>
            </w:pPr>
            <w:r>
              <w:rPr>
                <w:snapToGrid w:val="0"/>
                <w:kern w:val="28"/>
                <w:sz w:val="20"/>
                <w:lang w:val="en-US" w:eastAsia="en-US" w:bidi="ar-SA"/>
              </w:rPr>
              <w:t>$67.45</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1200525" w14:textId="07470241">
            <w:pPr>
              <w:widowControl/>
              <w:suppressAutoHyphens/>
              <w:jc w:val="center"/>
              <w:rPr>
                <w:rStyle w:val="DefaultParagraphFont"/>
                <w:snapToGrid/>
                <w:kern w:val="0"/>
                <w:sz w:val="20"/>
                <w:lang w:val="en-US" w:eastAsia="en-US" w:bidi="ar-SA"/>
              </w:rPr>
            </w:pPr>
            <w:r>
              <w:rPr>
                <w:snapToGrid w:val="0"/>
                <w:kern w:val="28"/>
                <w:sz w:val="20"/>
                <w:lang w:val="en-US" w:eastAsia="en-US" w:bidi="ar-SA"/>
              </w:rPr>
              <w:t>0.433</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24723815" w14:textId="77777777">
            <w:pPr>
              <w:widowControl/>
              <w:suppressAutoHyphens/>
              <w:rPr>
                <w:rStyle w:val="DefaultParagraphFont"/>
                <w:snapToGrid/>
                <w:kern w:val="0"/>
                <w:sz w:val="20"/>
                <w:lang w:val="en-US" w:eastAsia="en-US" w:bidi="ar-SA"/>
              </w:rPr>
            </w:pPr>
          </w:p>
        </w:tc>
      </w:tr>
      <w:tr w14:paraId="1BDE8EB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03E640C9"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33500FE0"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217DC856"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717B5B6A" w14:textId="4A2E1AAE">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46ED8FC" w14:textId="65C25F59">
            <w:pPr>
              <w:widowControl/>
              <w:suppressAutoHyphens/>
              <w:jc w:val="center"/>
              <w:rPr>
                <w:rStyle w:val="DefaultParagraphFont"/>
                <w:snapToGrid/>
                <w:kern w:val="0"/>
                <w:sz w:val="20"/>
                <w:lang w:val="en-US" w:eastAsia="en-US" w:bidi="ar-SA"/>
              </w:rPr>
            </w:pPr>
            <w:r>
              <w:rPr>
                <w:snapToGrid w:val="0"/>
                <w:kern w:val="28"/>
                <w:sz w:val="20"/>
                <w:lang w:val="en-US" w:eastAsia="en-US" w:bidi="ar-SA"/>
              </w:rPr>
              <w:t>409</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B870F8B" w14:textId="6CD0C6E0">
            <w:pPr>
              <w:widowControl/>
              <w:suppressAutoHyphens/>
              <w:jc w:val="center"/>
              <w:rPr>
                <w:rStyle w:val="DefaultParagraphFont"/>
                <w:snapToGrid/>
                <w:kern w:val="0"/>
                <w:sz w:val="20"/>
                <w:lang w:val="en-US" w:eastAsia="en-US" w:bidi="ar-SA"/>
              </w:rPr>
            </w:pPr>
            <w:r>
              <w:rPr>
                <w:snapToGrid w:val="0"/>
                <w:kern w:val="28"/>
                <w:sz w:val="20"/>
                <w:lang w:val="en-US" w:eastAsia="en-US" w:bidi="ar-SA"/>
              </w:rPr>
              <w:t>$84.96</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76C12BA" w14:textId="206A6EA5">
            <w:pPr>
              <w:widowControl/>
              <w:suppressAutoHyphens/>
              <w:jc w:val="center"/>
              <w:rPr>
                <w:rStyle w:val="DefaultParagraphFont"/>
                <w:snapToGrid/>
                <w:kern w:val="0"/>
                <w:sz w:val="20"/>
                <w:lang w:val="en-US" w:eastAsia="en-US" w:bidi="ar-SA"/>
              </w:rPr>
            </w:pPr>
            <w:r>
              <w:rPr>
                <w:snapToGrid w:val="0"/>
                <w:kern w:val="28"/>
                <w:sz w:val="20"/>
                <w:lang w:val="en-US" w:eastAsia="en-US" w:bidi="ar-SA"/>
              </w:rPr>
              <w:t>0.534</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28172B22" w14:textId="2E237FBE">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r>
      <w:tr w14:paraId="5B85F5E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C80BBB" w:rsidRPr="002C692A" w:rsidP="004E16D7" w14:paraId="4415FABE"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1A4112F5"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4D8102DE"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957CB86" w14:textId="22E860A9">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827BB74" w14:textId="47D0F58E">
            <w:pPr>
              <w:widowControl/>
              <w:suppressAutoHyphens/>
              <w:jc w:val="center"/>
              <w:rPr>
                <w:rStyle w:val="DefaultParagraphFont"/>
                <w:snapToGrid/>
                <w:kern w:val="0"/>
                <w:sz w:val="20"/>
                <w:lang w:val="en-US" w:eastAsia="en-US" w:bidi="ar-SA"/>
              </w:rPr>
            </w:pPr>
            <w:r>
              <w:rPr>
                <w:snapToGrid w:val="0"/>
                <w:kern w:val="28"/>
                <w:sz w:val="20"/>
                <w:lang w:val="en-US" w:eastAsia="en-US" w:bidi="ar-SA"/>
              </w:rPr>
              <w:t>400</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74F40EF" w14:textId="36693156">
            <w:pPr>
              <w:widowControl/>
              <w:suppressAutoHyphens/>
              <w:jc w:val="center"/>
              <w:rPr>
                <w:rStyle w:val="DefaultParagraphFont"/>
                <w:snapToGrid/>
                <w:kern w:val="0"/>
                <w:sz w:val="20"/>
                <w:lang w:val="en-US" w:eastAsia="en-US" w:bidi="ar-SA"/>
              </w:rPr>
            </w:pPr>
            <w:r>
              <w:rPr>
                <w:snapToGrid w:val="0"/>
                <w:kern w:val="28"/>
                <w:sz w:val="20"/>
                <w:lang w:val="en-US" w:eastAsia="en-US" w:bidi="ar-SA"/>
              </w:rPr>
              <w:t>$82.19</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67AEAF7" w14:textId="7C968788">
            <w:pPr>
              <w:widowControl/>
              <w:suppressAutoHyphens/>
              <w:jc w:val="center"/>
              <w:rPr>
                <w:rStyle w:val="DefaultParagraphFont"/>
                <w:snapToGrid/>
                <w:kern w:val="0"/>
                <w:sz w:val="20"/>
                <w:lang w:val="en-US" w:eastAsia="en-US" w:bidi="ar-SA"/>
              </w:rPr>
            </w:pPr>
            <w:r>
              <w:rPr>
                <w:snapToGrid w:val="0"/>
                <w:kern w:val="28"/>
                <w:sz w:val="20"/>
                <w:lang w:val="en-US" w:eastAsia="en-US" w:bidi="ar-SA"/>
              </w:rPr>
              <w:t>0.497</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0494CCEB" w14:textId="77777777">
            <w:pPr>
              <w:widowControl/>
              <w:suppressAutoHyphens/>
              <w:rPr>
                <w:rStyle w:val="DefaultParagraphFont"/>
                <w:snapToGrid/>
                <w:kern w:val="0"/>
                <w:sz w:val="20"/>
                <w:lang w:val="en-US" w:eastAsia="en-US" w:bidi="ar-SA"/>
              </w:rPr>
            </w:pPr>
          </w:p>
        </w:tc>
      </w:tr>
      <w:tr w14:paraId="09A9013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val="restart"/>
            <w:tcBorders>
              <w:top w:val="nil"/>
              <w:left w:val="single" w:sz="12" w:space="0" w:color="auto"/>
              <w:bottom w:val="single" w:sz="8" w:space="0" w:color="000000"/>
              <w:right w:val="single" w:sz="4" w:space="0" w:color="auto"/>
            </w:tcBorders>
            <w:shd w:val="clear" w:color="auto" w:fill="auto"/>
            <w:vAlign w:val="center"/>
            <w:hideMark/>
          </w:tcPr>
          <w:p w:rsidR="00C80BBB" w:rsidRPr="002C692A" w:rsidP="004E16D7" w14:paraId="2EC936F0"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Effective </w:t>
            </w:r>
          </w:p>
          <w:p w:rsidR="00C80BBB" w:rsidP="004E16D7" w14:paraId="3E866854"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Competition</w:t>
            </w:r>
          </w:p>
          <w:p w:rsidR="00C80BBB" w:rsidRPr="002C692A" w:rsidP="004E16D7" w14:paraId="3D37E1BB" w14:textId="455D3402">
            <w:pPr>
              <w:widowControl/>
              <w:suppressAutoHyphens/>
              <w:jc w:val="center"/>
              <w:rPr>
                <w:rStyle w:val="DefaultParagraphFont"/>
                <w:b/>
                <w:snapToGrid/>
                <w:kern w:val="0"/>
                <w:sz w:val="20"/>
                <w:lang w:val="en-US" w:eastAsia="en-US" w:bidi="ar-SA"/>
              </w:rPr>
            </w:pPr>
            <w:r>
              <w:rPr>
                <w:b/>
                <w:snapToGrid/>
                <w:kern w:val="0"/>
                <w:sz w:val="20"/>
                <w:lang w:val="en-US" w:eastAsia="en-US" w:bidi="ar-SA"/>
              </w:rPr>
              <w:t>Group</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80BBB" w:rsidRPr="002C692A" w:rsidP="004E16D7" w14:paraId="23DBA6F7" w14:textId="578A5C76">
            <w:pPr>
              <w:widowControl/>
              <w:suppressAutoHyphens/>
              <w:jc w:val="center"/>
              <w:rPr>
                <w:rStyle w:val="DefaultParagraphFont"/>
                <w:b/>
                <w:snapToGrid/>
                <w:kern w:val="0"/>
                <w:sz w:val="20"/>
                <w:lang w:val="en-US" w:eastAsia="en-US" w:bidi="ar-SA"/>
              </w:rPr>
            </w:pPr>
            <w:r>
              <w:rPr>
                <w:b/>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3CA11804"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DC1FCC" w:rsidP="004E16D7" w14:paraId="0B231378" w14:textId="35DA5DB3">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5BAE970B" w14:textId="15496815">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315</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53E56087" w14:textId="3C2AAF1E">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$24.98</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21B50B96" w14:textId="4C8CE24C">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0.343</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BC3F74" w:rsidP="004E16D7" w14:paraId="398A4C97" w14:textId="53D253A0">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4.3%*</w:t>
            </w:r>
          </w:p>
        </w:tc>
      </w:tr>
      <w:tr w14:paraId="2A76973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339F8174"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09361204"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7A5DD2E1"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7C70011D" w14:textId="46DF0F0B">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FE7ADA5" w14:textId="765104BD">
            <w:pPr>
              <w:widowControl/>
              <w:suppressAutoHyphens/>
              <w:jc w:val="center"/>
              <w:rPr>
                <w:rStyle w:val="DefaultParagraphFont"/>
                <w:snapToGrid/>
                <w:kern w:val="0"/>
                <w:sz w:val="20"/>
                <w:lang w:val="en-US" w:eastAsia="en-US" w:bidi="ar-SA"/>
              </w:rPr>
            </w:pPr>
            <w:r>
              <w:rPr>
                <w:snapToGrid w:val="0"/>
                <w:kern w:val="28"/>
                <w:sz w:val="20"/>
                <w:lang w:val="en-US" w:eastAsia="en-US" w:bidi="ar-SA"/>
              </w:rPr>
              <w:t>312</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5FD7360" w14:textId="1D2FCE82">
            <w:pPr>
              <w:widowControl/>
              <w:suppressAutoHyphens/>
              <w:jc w:val="center"/>
              <w:rPr>
                <w:rStyle w:val="DefaultParagraphFont"/>
                <w:snapToGrid/>
                <w:kern w:val="0"/>
                <w:sz w:val="20"/>
                <w:lang w:val="en-US" w:eastAsia="en-US" w:bidi="ar-SA"/>
              </w:rPr>
            </w:pPr>
            <w:r>
              <w:rPr>
                <w:snapToGrid w:val="0"/>
                <w:kern w:val="28"/>
                <w:sz w:val="20"/>
                <w:lang w:val="en-US" w:eastAsia="en-US" w:bidi="ar-SA"/>
              </w:rPr>
              <w:t>$23.95</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73FFB07" w14:textId="4E1210D7">
            <w:pPr>
              <w:widowControl/>
              <w:suppressAutoHyphens/>
              <w:jc w:val="center"/>
              <w:rPr>
                <w:rStyle w:val="DefaultParagraphFont"/>
                <w:snapToGrid/>
                <w:kern w:val="0"/>
                <w:sz w:val="20"/>
                <w:lang w:val="en-US" w:eastAsia="en-US" w:bidi="ar-SA"/>
              </w:rPr>
            </w:pPr>
            <w:r>
              <w:rPr>
                <w:snapToGrid w:val="0"/>
                <w:kern w:val="28"/>
                <w:sz w:val="20"/>
                <w:lang w:val="en-US" w:eastAsia="en-US" w:bidi="ar-SA"/>
              </w:rPr>
              <w:t>0.375</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3C8DE428" w14:textId="77777777">
            <w:pPr>
              <w:widowControl/>
              <w:suppressAutoHyphens/>
              <w:rPr>
                <w:rStyle w:val="DefaultParagraphFont"/>
                <w:snapToGrid/>
                <w:kern w:val="0"/>
                <w:sz w:val="20"/>
                <w:lang w:val="en-US" w:eastAsia="en-US" w:bidi="ar-SA"/>
              </w:rPr>
            </w:pPr>
          </w:p>
        </w:tc>
      </w:tr>
      <w:tr w14:paraId="369EA8F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2294EEA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4694614C"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45657847"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0C40333" w14:textId="261CEA1D">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ABB9956" w14:textId="3E4E247D">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9F661F7" w14:textId="56DAB3F6">
            <w:pPr>
              <w:widowControl/>
              <w:suppressAutoHyphens/>
              <w:jc w:val="center"/>
              <w:rPr>
                <w:rStyle w:val="DefaultParagraphFont"/>
                <w:snapToGrid/>
                <w:kern w:val="0"/>
                <w:sz w:val="20"/>
                <w:lang w:val="en-US" w:eastAsia="en-US" w:bidi="ar-SA"/>
              </w:rPr>
            </w:pPr>
            <w:r>
              <w:rPr>
                <w:snapToGrid w:val="0"/>
                <w:kern w:val="28"/>
                <w:sz w:val="20"/>
                <w:lang w:val="en-US" w:eastAsia="en-US" w:bidi="ar-SA"/>
              </w:rPr>
              <w:t>$73.08</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C1925E3" w14:textId="1F36DB6E">
            <w:pPr>
              <w:widowControl/>
              <w:suppressAutoHyphens/>
              <w:jc w:val="center"/>
              <w:rPr>
                <w:rStyle w:val="DefaultParagraphFont"/>
                <w:snapToGrid/>
                <w:kern w:val="0"/>
                <w:sz w:val="20"/>
                <w:lang w:val="en-US" w:eastAsia="en-US" w:bidi="ar-SA"/>
              </w:rPr>
            </w:pPr>
            <w:r>
              <w:rPr>
                <w:snapToGrid w:val="0"/>
                <w:kern w:val="28"/>
                <w:sz w:val="20"/>
                <w:lang w:val="en-US" w:eastAsia="en-US" w:bidi="ar-SA"/>
              </w:rPr>
              <w:t>0.303</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5BCF312E" w14:textId="168CD67E">
            <w:pPr>
              <w:widowControl/>
              <w:suppressAutoHyphens/>
              <w:jc w:val="center"/>
              <w:rPr>
                <w:rStyle w:val="DefaultParagraphFont"/>
                <w:snapToGrid/>
                <w:kern w:val="0"/>
                <w:sz w:val="20"/>
                <w:lang w:val="en-US" w:eastAsia="en-US" w:bidi="ar-SA"/>
              </w:rPr>
            </w:pPr>
            <w:r>
              <w:rPr>
                <w:snapToGrid w:val="0"/>
                <w:kern w:val="28"/>
                <w:sz w:val="20"/>
                <w:lang w:val="en-US" w:eastAsia="en-US" w:bidi="ar-SA"/>
              </w:rPr>
              <w:t>3.3%*</w:t>
            </w:r>
          </w:p>
        </w:tc>
      </w:tr>
      <w:tr w14:paraId="5BD0B1F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7FC61F11"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6EA2C69C"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75AA3D30"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EFA57A5" w14:textId="340D56D9">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5011C80" w14:textId="7EC989B6">
            <w:pPr>
              <w:widowControl/>
              <w:suppressAutoHyphens/>
              <w:jc w:val="center"/>
              <w:rPr>
                <w:rStyle w:val="DefaultParagraphFont"/>
                <w:snapToGrid/>
                <w:kern w:val="0"/>
                <w:sz w:val="20"/>
                <w:lang w:val="en-US" w:eastAsia="en-US" w:bidi="ar-SA"/>
              </w:rPr>
            </w:pPr>
            <w:r>
              <w:rPr>
                <w:snapToGrid w:val="0"/>
                <w:kern w:val="28"/>
                <w:sz w:val="20"/>
                <w:lang w:val="en-US" w:eastAsia="en-US" w:bidi="ar-SA"/>
              </w:rPr>
              <w:t>311</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6AF1FE3" w14:textId="14B504E1">
            <w:pPr>
              <w:widowControl/>
              <w:suppressAutoHyphens/>
              <w:jc w:val="center"/>
              <w:rPr>
                <w:rStyle w:val="DefaultParagraphFont"/>
                <w:snapToGrid/>
                <w:kern w:val="0"/>
                <w:sz w:val="20"/>
                <w:lang w:val="en-US" w:eastAsia="en-US" w:bidi="ar-SA"/>
              </w:rPr>
            </w:pPr>
            <w:r>
              <w:rPr>
                <w:snapToGrid w:val="0"/>
                <w:kern w:val="28"/>
                <w:sz w:val="20"/>
                <w:lang w:val="en-US" w:eastAsia="en-US" w:bidi="ar-SA"/>
              </w:rPr>
              <w:t>$70.76</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7670295" w14:textId="7F88E5A8">
            <w:pPr>
              <w:widowControl/>
              <w:suppressAutoHyphens/>
              <w:jc w:val="center"/>
              <w:rPr>
                <w:rStyle w:val="DefaultParagraphFont"/>
                <w:snapToGrid/>
                <w:kern w:val="0"/>
                <w:sz w:val="20"/>
                <w:lang w:val="en-US" w:eastAsia="en-US" w:bidi="ar-SA"/>
              </w:rPr>
            </w:pPr>
            <w:r>
              <w:rPr>
                <w:snapToGrid w:val="0"/>
                <w:kern w:val="28"/>
                <w:sz w:val="20"/>
                <w:lang w:val="en-US" w:eastAsia="en-US" w:bidi="ar-SA"/>
              </w:rPr>
              <w:t>0.270</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25DAF409" w14:textId="77777777">
            <w:pPr>
              <w:widowControl/>
              <w:suppressAutoHyphens/>
              <w:rPr>
                <w:rStyle w:val="DefaultParagraphFont"/>
                <w:snapToGrid/>
                <w:kern w:val="0"/>
                <w:sz w:val="20"/>
                <w:lang w:val="en-US" w:eastAsia="en-US" w:bidi="ar-SA"/>
              </w:rPr>
            </w:pPr>
          </w:p>
        </w:tc>
      </w:tr>
      <w:tr w14:paraId="143EC3C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70475EFD"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7D13F416"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0187EAA7"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5641C97B" w14:textId="41DF4788">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34DB5218" w14:textId="2DC7FCA8">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CE942ED" w14:textId="6C34811C">
            <w:pPr>
              <w:widowControl/>
              <w:suppressAutoHyphens/>
              <w:jc w:val="center"/>
              <w:rPr>
                <w:rStyle w:val="DefaultParagraphFont"/>
                <w:snapToGrid/>
                <w:kern w:val="0"/>
                <w:sz w:val="20"/>
                <w:lang w:val="en-US" w:eastAsia="en-US" w:bidi="ar-SA"/>
              </w:rPr>
            </w:pPr>
            <w:r>
              <w:rPr>
                <w:snapToGrid w:val="0"/>
                <w:kern w:val="28"/>
                <w:sz w:val="20"/>
                <w:lang w:val="en-US" w:eastAsia="en-US" w:bidi="ar-SA"/>
              </w:rPr>
              <w:t>$84.85</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7BB960A0" w14:textId="354A0556">
            <w:pPr>
              <w:widowControl/>
              <w:suppressAutoHyphens/>
              <w:jc w:val="center"/>
              <w:rPr>
                <w:rStyle w:val="DefaultParagraphFont"/>
                <w:snapToGrid/>
                <w:kern w:val="0"/>
                <w:sz w:val="20"/>
                <w:lang w:val="en-US" w:eastAsia="en-US" w:bidi="ar-SA"/>
              </w:rPr>
            </w:pPr>
            <w:r>
              <w:rPr>
                <w:snapToGrid w:val="0"/>
                <w:kern w:val="28"/>
                <w:sz w:val="20"/>
                <w:lang w:val="en-US" w:eastAsia="en-US" w:bidi="ar-SA"/>
              </w:rPr>
              <w:t>0.528</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11BCD4DC" w14:textId="73BB78F3">
            <w:pPr>
              <w:widowControl/>
              <w:suppressAutoHyphens/>
              <w:jc w:val="center"/>
              <w:rPr>
                <w:rStyle w:val="DefaultParagraphFont"/>
                <w:snapToGrid/>
                <w:kern w:val="0"/>
                <w:sz w:val="20"/>
                <w:lang w:val="en-US" w:eastAsia="en-US" w:bidi="ar-SA"/>
              </w:rPr>
            </w:pPr>
            <w:r>
              <w:rPr>
                <w:snapToGrid w:val="0"/>
                <w:kern w:val="28"/>
                <w:sz w:val="20"/>
                <w:lang w:val="en-US" w:eastAsia="en-US" w:bidi="ar-SA"/>
              </w:rPr>
              <w:t>3.7%*</w:t>
            </w:r>
          </w:p>
        </w:tc>
      </w:tr>
      <w:tr w14:paraId="2E49CAC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46E98A8D"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08751439"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0E958FC0"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AB85F57" w14:textId="7A1BF1C4">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E2E54FD" w14:textId="1D16F733">
            <w:pPr>
              <w:widowControl/>
              <w:suppressAutoHyphens/>
              <w:jc w:val="center"/>
              <w:rPr>
                <w:rStyle w:val="DefaultParagraphFont"/>
                <w:snapToGrid/>
                <w:kern w:val="0"/>
                <w:sz w:val="20"/>
                <w:lang w:val="en-US" w:eastAsia="en-US" w:bidi="ar-SA"/>
              </w:rPr>
            </w:pPr>
            <w:r>
              <w:rPr>
                <w:snapToGrid w:val="0"/>
                <w:kern w:val="28"/>
                <w:sz w:val="20"/>
                <w:lang w:val="en-US" w:eastAsia="en-US" w:bidi="ar-SA"/>
              </w:rPr>
              <w:t>310</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27F3338" w14:textId="151610E8">
            <w:pPr>
              <w:widowControl/>
              <w:suppressAutoHyphens/>
              <w:jc w:val="center"/>
              <w:rPr>
                <w:rStyle w:val="DefaultParagraphFont"/>
                <w:snapToGrid/>
                <w:kern w:val="0"/>
                <w:sz w:val="20"/>
                <w:lang w:val="en-US" w:eastAsia="en-US" w:bidi="ar-SA"/>
              </w:rPr>
            </w:pPr>
            <w:r>
              <w:rPr>
                <w:snapToGrid w:val="0"/>
                <w:kern w:val="28"/>
                <w:sz w:val="20"/>
                <w:lang w:val="en-US" w:eastAsia="en-US" w:bidi="ar-SA"/>
              </w:rPr>
              <w:t>$81.85</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4DCC5DC" w14:textId="0A9362A9">
            <w:pPr>
              <w:widowControl/>
              <w:suppressAutoHyphens/>
              <w:jc w:val="center"/>
              <w:rPr>
                <w:rStyle w:val="DefaultParagraphFont"/>
                <w:snapToGrid/>
                <w:kern w:val="0"/>
                <w:sz w:val="20"/>
                <w:lang w:val="en-US" w:eastAsia="en-US" w:bidi="ar-SA"/>
              </w:rPr>
            </w:pPr>
            <w:r>
              <w:rPr>
                <w:snapToGrid w:val="0"/>
                <w:kern w:val="28"/>
                <w:sz w:val="20"/>
                <w:lang w:val="en-US" w:eastAsia="en-US" w:bidi="ar-SA"/>
              </w:rPr>
              <w:t>0.497</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449F4C95" w14:textId="77777777">
            <w:pPr>
              <w:widowControl/>
              <w:suppressAutoHyphens/>
              <w:rPr>
                <w:rStyle w:val="DefaultParagraphFont"/>
                <w:snapToGrid/>
                <w:kern w:val="0"/>
                <w:sz w:val="20"/>
                <w:lang w:val="en-US" w:eastAsia="en-US" w:bidi="ar-SA"/>
              </w:rPr>
            </w:pPr>
          </w:p>
        </w:tc>
      </w:tr>
      <w:tr w14:paraId="4A913EE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5FF59F57"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80BBB" w:rsidRPr="002C692A" w:rsidP="004E16D7" w14:paraId="4CD75AA8"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Cable </w:t>
            </w:r>
          </w:p>
          <w:p w:rsidR="00C80BBB" w:rsidRPr="002C692A" w:rsidP="004E16D7" w14:paraId="6CEEC563" w14:textId="1D870B9E">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overbuild </w:t>
            </w:r>
            <w:r>
              <w:rPr>
                <w:b/>
                <w:snapToGrid/>
                <w:kern w:val="0"/>
                <w:sz w:val="20"/>
                <w:lang w:val="en-US" w:eastAsia="en-US" w:bidi="ar-SA"/>
              </w:rPr>
              <w:t>i</w:t>
            </w:r>
            <w:r w:rsidRPr="002C692A">
              <w:rPr>
                <w:b/>
                <w:snapToGrid/>
                <w:kern w:val="0"/>
                <w:sz w:val="20"/>
                <w:lang w:val="en-US" w:eastAsia="en-US" w:bidi="ar-SA"/>
              </w:rPr>
              <w:t>ncumbents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F175FAD"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DC1FCC" w:rsidP="004E16D7" w14:paraId="5EBE3B4D" w14:textId="533CA0B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42F5CF71" w14:textId="57EE9CF1">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6B23ED0D" w14:textId="7807AB2E">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$23.81</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5C4A051B" w14:textId="593EF78D">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1.034</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BC3F74" w:rsidP="004E16D7" w14:paraId="1EB2C08A" w14:textId="5FABAF2B">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3.1%</w:t>
            </w:r>
          </w:p>
        </w:tc>
      </w:tr>
      <w:tr w14:paraId="6DCC240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41271CC7"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1487D79C"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3A6742EE"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267F7456" w14:textId="586BE162">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29ED2D9" w14:textId="3DB2417F">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20B8CE0" w14:textId="7A877741">
            <w:pPr>
              <w:widowControl/>
              <w:suppressAutoHyphens/>
              <w:jc w:val="center"/>
              <w:rPr>
                <w:rStyle w:val="DefaultParagraphFont"/>
                <w:snapToGrid/>
                <w:kern w:val="0"/>
                <w:sz w:val="20"/>
                <w:lang w:val="en-US" w:eastAsia="en-US" w:bidi="ar-SA"/>
              </w:rPr>
            </w:pPr>
            <w:r>
              <w:rPr>
                <w:snapToGrid w:val="0"/>
                <w:kern w:val="28"/>
                <w:sz w:val="20"/>
                <w:lang w:val="en-US" w:eastAsia="en-US" w:bidi="ar-SA"/>
              </w:rPr>
              <w:t>$23.09</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30283024" w14:textId="39F6FBD0">
            <w:pPr>
              <w:widowControl/>
              <w:suppressAutoHyphens/>
              <w:jc w:val="center"/>
              <w:rPr>
                <w:rStyle w:val="DefaultParagraphFont"/>
                <w:snapToGrid/>
                <w:kern w:val="0"/>
                <w:sz w:val="20"/>
                <w:lang w:val="en-US" w:eastAsia="en-US" w:bidi="ar-SA"/>
              </w:rPr>
            </w:pPr>
            <w:r>
              <w:rPr>
                <w:snapToGrid w:val="0"/>
                <w:kern w:val="28"/>
                <w:sz w:val="20"/>
                <w:lang w:val="en-US" w:eastAsia="en-US" w:bidi="ar-SA"/>
              </w:rPr>
              <w:t>1.045</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10CB997E" w14:textId="77777777">
            <w:pPr>
              <w:widowControl/>
              <w:suppressAutoHyphens/>
              <w:rPr>
                <w:rStyle w:val="DefaultParagraphFont"/>
                <w:snapToGrid/>
                <w:kern w:val="0"/>
                <w:sz w:val="20"/>
                <w:lang w:val="en-US" w:eastAsia="en-US" w:bidi="ar-SA"/>
              </w:rPr>
            </w:pPr>
          </w:p>
        </w:tc>
      </w:tr>
      <w:tr w14:paraId="5DB7C14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4B8F15A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4B3EA446"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3D30EDE4"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9232337" w14:textId="53273680">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740AB138" w14:textId="2262A179">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93DB30B" w14:textId="3CD951AF">
            <w:pPr>
              <w:widowControl/>
              <w:suppressAutoHyphens/>
              <w:jc w:val="center"/>
              <w:rPr>
                <w:rStyle w:val="DefaultParagraphFont"/>
                <w:snapToGrid/>
                <w:kern w:val="0"/>
                <w:sz w:val="20"/>
                <w:lang w:val="en-US" w:eastAsia="en-US" w:bidi="ar-SA"/>
              </w:rPr>
            </w:pPr>
            <w:r>
              <w:rPr>
                <w:snapToGrid w:val="0"/>
                <w:kern w:val="28"/>
                <w:sz w:val="20"/>
                <w:lang w:val="en-US" w:eastAsia="en-US" w:bidi="ar-SA"/>
              </w:rPr>
              <w:t>$72.16</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F0A9705" w14:textId="781F7F49">
            <w:pPr>
              <w:widowControl/>
              <w:suppressAutoHyphens/>
              <w:jc w:val="center"/>
              <w:rPr>
                <w:rStyle w:val="DefaultParagraphFont"/>
                <w:snapToGrid/>
                <w:kern w:val="0"/>
                <w:sz w:val="20"/>
                <w:lang w:val="en-US" w:eastAsia="en-US" w:bidi="ar-SA"/>
              </w:rPr>
            </w:pPr>
            <w:r>
              <w:rPr>
                <w:snapToGrid w:val="0"/>
                <w:kern w:val="28"/>
                <w:sz w:val="20"/>
                <w:lang w:val="en-US" w:eastAsia="en-US" w:bidi="ar-SA"/>
              </w:rPr>
              <w:t>0.603</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4450757B" w14:textId="6B63161E">
            <w:pPr>
              <w:widowControl/>
              <w:suppressAutoHyphens/>
              <w:jc w:val="center"/>
              <w:rPr>
                <w:rStyle w:val="DefaultParagraphFont"/>
                <w:snapToGrid/>
                <w:kern w:val="0"/>
                <w:sz w:val="20"/>
                <w:lang w:val="en-US" w:eastAsia="en-US" w:bidi="ar-SA"/>
              </w:rPr>
            </w:pPr>
            <w:r>
              <w:rPr>
                <w:snapToGrid w:val="0"/>
                <w:kern w:val="28"/>
                <w:sz w:val="20"/>
                <w:lang w:val="en-US" w:eastAsia="en-US" w:bidi="ar-SA"/>
              </w:rPr>
              <w:t>2.7%*</w:t>
            </w:r>
          </w:p>
        </w:tc>
      </w:tr>
      <w:tr w14:paraId="46682EF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6D7EB993"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31A2351D"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36DC64FD"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401B1461" w14:textId="53546DD1">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9E9983D" w14:textId="6905BA93">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182558B" w14:textId="1BD37677">
            <w:pPr>
              <w:widowControl/>
              <w:suppressAutoHyphens/>
              <w:jc w:val="center"/>
              <w:rPr>
                <w:rStyle w:val="DefaultParagraphFont"/>
                <w:snapToGrid/>
                <w:kern w:val="0"/>
                <w:sz w:val="20"/>
                <w:lang w:val="en-US" w:eastAsia="en-US" w:bidi="ar-SA"/>
              </w:rPr>
            </w:pPr>
            <w:r>
              <w:rPr>
                <w:snapToGrid w:val="0"/>
                <w:kern w:val="28"/>
                <w:sz w:val="20"/>
                <w:lang w:val="en-US" w:eastAsia="en-US" w:bidi="ar-SA"/>
              </w:rPr>
              <w:t>$70.24</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018993A" w14:textId="1A747DA3">
            <w:pPr>
              <w:widowControl/>
              <w:suppressAutoHyphens/>
              <w:jc w:val="center"/>
              <w:rPr>
                <w:rStyle w:val="DefaultParagraphFont"/>
                <w:snapToGrid/>
                <w:kern w:val="0"/>
                <w:sz w:val="20"/>
                <w:lang w:val="en-US" w:eastAsia="en-US" w:bidi="ar-SA"/>
              </w:rPr>
            </w:pPr>
            <w:r>
              <w:rPr>
                <w:snapToGrid w:val="0"/>
                <w:kern w:val="28"/>
                <w:sz w:val="20"/>
                <w:lang w:val="en-US" w:eastAsia="en-US" w:bidi="ar-SA"/>
              </w:rPr>
              <w:t>0.409</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0ABB16D9" w14:textId="77777777">
            <w:pPr>
              <w:widowControl/>
              <w:suppressAutoHyphens/>
              <w:rPr>
                <w:rStyle w:val="DefaultParagraphFont"/>
                <w:snapToGrid/>
                <w:kern w:val="0"/>
                <w:sz w:val="20"/>
                <w:lang w:val="en-US" w:eastAsia="en-US" w:bidi="ar-SA"/>
              </w:rPr>
            </w:pPr>
          </w:p>
        </w:tc>
      </w:tr>
      <w:tr w14:paraId="5CC07AA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25DE930C"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66BBFA9D"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548A4F45"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590FFC08" w14:textId="020497DB">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544A34F" w14:textId="05426489">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539F6D3" w14:textId="5F17832F">
            <w:pPr>
              <w:widowControl/>
              <w:suppressAutoHyphens/>
              <w:jc w:val="center"/>
              <w:rPr>
                <w:rStyle w:val="DefaultParagraphFont"/>
                <w:snapToGrid/>
                <w:kern w:val="0"/>
                <w:sz w:val="20"/>
                <w:lang w:val="en-US" w:eastAsia="en-US" w:bidi="ar-SA"/>
              </w:rPr>
            </w:pPr>
            <w:r>
              <w:rPr>
                <w:snapToGrid w:val="0"/>
                <w:kern w:val="28"/>
                <w:sz w:val="20"/>
                <w:lang w:val="en-US" w:eastAsia="en-US" w:bidi="ar-SA"/>
              </w:rPr>
              <w:t>$81.98</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BBED06C" w14:textId="24108160">
            <w:pPr>
              <w:widowControl/>
              <w:suppressAutoHyphens/>
              <w:jc w:val="center"/>
              <w:rPr>
                <w:rStyle w:val="DefaultParagraphFont"/>
                <w:snapToGrid/>
                <w:kern w:val="0"/>
                <w:sz w:val="20"/>
                <w:lang w:val="en-US" w:eastAsia="en-US" w:bidi="ar-SA"/>
              </w:rPr>
            </w:pPr>
            <w:r>
              <w:rPr>
                <w:snapToGrid w:val="0"/>
                <w:kern w:val="28"/>
                <w:sz w:val="20"/>
                <w:lang w:val="en-US" w:eastAsia="en-US" w:bidi="ar-SA"/>
              </w:rPr>
              <w:t>0.883</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424E9BEC" w14:textId="28400C3B">
            <w:pPr>
              <w:widowControl/>
              <w:suppressAutoHyphens/>
              <w:jc w:val="center"/>
              <w:rPr>
                <w:rStyle w:val="DefaultParagraphFont"/>
                <w:snapToGrid/>
                <w:kern w:val="0"/>
                <w:sz w:val="20"/>
                <w:lang w:val="en-US" w:eastAsia="en-US" w:bidi="ar-SA"/>
              </w:rPr>
            </w:pPr>
            <w:r>
              <w:rPr>
                <w:snapToGrid w:val="0"/>
                <w:kern w:val="28"/>
                <w:sz w:val="20"/>
                <w:lang w:val="en-US" w:eastAsia="en-US" w:bidi="ar-SA"/>
              </w:rPr>
              <w:t>3.2%*</w:t>
            </w:r>
          </w:p>
        </w:tc>
      </w:tr>
      <w:tr w14:paraId="50A126A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5F2E7BA3"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1549F8AE"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51D5E43B"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5A18E0B" w14:textId="3C21EA6E">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71D2F0F8" w14:textId="7C2B643C">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473440B" w14:textId="27B14FAE">
            <w:pPr>
              <w:widowControl/>
              <w:suppressAutoHyphens/>
              <w:jc w:val="center"/>
              <w:rPr>
                <w:rStyle w:val="DefaultParagraphFont"/>
                <w:snapToGrid/>
                <w:kern w:val="0"/>
                <w:sz w:val="20"/>
                <w:lang w:val="en-US" w:eastAsia="en-US" w:bidi="ar-SA"/>
              </w:rPr>
            </w:pPr>
            <w:r>
              <w:rPr>
                <w:snapToGrid w:val="0"/>
                <w:kern w:val="28"/>
                <w:sz w:val="20"/>
                <w:lang w:val="en-US" w:eastAsia="en-US" w:bidi="ar-SA"/>
              </w:rPr>
              <w:t>$79.41</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5062DD8" w14:textId="584A7FAE">
            <w:pPr>
              <w:widowControl/>
              <w:suppressAutoHyphens/>
              <w:jc w:val="center"/>
              <w:rPr>
                <w:rStyle w:val="DefaultParagraphFont"/>
                <w:snapToGrid/>
                <w:kern w:val="0"/>
                <w:sz w:val="20"/>
                <w:lang w:val="en-US" w:eastAsia="en-US" w:bidi="ar-SA"/>
              </w:rPr>
            </w:pPr>
            <w:r>
              <w:rPr>
                <w:snapToGrid w:val="0"/>
                <w:kern w:val="28"/>
                <w:sz w:val="20"/>
                <w:lang w:val="en-US" w:eastAsia="en-US" w:bidi="ar-SA"/>
              </w:rPr>
              <w:t>0.733</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291974C3" w14:textId="77777777">
            <w:pPr>
              <w:widowControl/>
              <w:suppressAutoHyphens/>
              <w:rPr>
                <w:rStyle w:val="DefaultParagraphFont"/>
                <w:snapToGrid/>
                <w:kern w:val="0"/>
                <w:sz w:val="20"/>
                <w:lang w:val="en-US" w:eastAsia="en-US" w:bidi="ar-SA"/>
              </w:rPr>
            </w:pPr>
          </w:p>
        </w:tc>
      </w:tr>
      <w:tr w14:paraId="658A69E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51545E8F"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C80BBB" w:rsidRPr="002C692A" w:rsidP="004E16D7" w14:paraId="10C91151"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Cable </w:t>
            </w:r>
          </w:p>
          <w:p w:rsidR="00C80BBB" w:rsidRPr="002C692A" w:rsidP="004E16D7" w14:paraId="2CBC6CE4" w14:textId="181BB221">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overbuild </w:t>
            </w:r>
            <w:r>
              <w:rPr>
                <w:b/>
                <w:snapToGrid/>
                <w:kern w:val="0"/>
                <w:sz w:val="20"/>
                <w:lang w:val="en-US" w:eastAsia="en-US" w:bidi="ar-SA"/>
              </w:rPr>
              <w:t>r</w:t>
            </w:r>
            <w:r w:rsidRPr="002C692A">
              <w:rPr>
                <w:b/>
                <w:snapToGrid/>
                <w:kern w:val="0"/>
                <w:sz w:val="20"/>
                <w:lang w:val="en-US" w:eastAsia="en-US" w:bidi="ar-SA"/>
              </w:rPr>
              <w:t>ivals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53AA319B"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DC1FCC" w:rsidP="004E16D7" w14:paraId="433DEBCA" w14:textId="3D111C44">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398B6E1D" w14:textId="54761F50">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350C1E2F" w14:textId="529C2C42">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$23.91</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DC1FCC" w:rsidP="004E16D7" w14:paraId="2CEECE23" w14:textId="4C5AC4E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1.168</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BC3F74" w:rsidP="004E16D7" w14:paraId="6066DF1E" w14:textId="5140C575">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7.3%</w:t>
            </w:r>
          </w:p>
        </w:tc>
      </w:tr>
      <w:tr w14:paraId="364A4DD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0A0D7AE5"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42304A9B"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51AAE49D"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24113FBE" w14:textId="3CE3F6CA">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4C7144B" w14:textId="107F82B2">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24626AE6" w14:textId="06C59BF1">
            <w:pPr>
              <w:widowControl/>
              <w:suppressAutoHyphens/>
              <w:jc w:val="center"/>
              <w:rPr>
                <w:rStyle w:val="DefaultParagraphFont"/>
                <w:snapToGrid/>
                <w:kern w:val="0"/>
                <w:sz w:val="20"/>
                <w:lang w:val="en-US" w:eastAsia="en-US" w:bidi="ar-SA"/>
              </w:rPr>
            </w:pPr>
            <w:r>
              <w:rPr>
                <w:snapToGrid w:val="0"/>
                <w:kern w:val="28"/>
                <w:sz w:val="20"/>
                <w:lang w:val="en-US" w:eastAsia="en-US" w:bidi="ar-SA"/>
              </w:rPr>
              <w:t>$22.29</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EABB160" w14:textId="65FC25A5">
            <w:pPr>
              <w:widowControl/>
              <w:suppressAutoHyphens/>
              <w:jc w:val="center"/>
              <w:rPr>
                <w:rStyle w:val="DefaultParagraphFont"/>
                <w:snapToGrid/>
                <w:kern w:val="0"/>
                <w:sz w:val="20"/>
                <w:lang w:val="en-US" w:eastAsia="en-US" w:bidi="ar-SA"/>
              </w:rPr>
            </w:pPr>
            <w:r>
              <w:rPr>
                <w:snapToGrid w:val="0"/>
                <w:kern w:val="28"/>
                <w:sz w:val="20"/>
                <w:lang w:val="en-US" w:eastAsia="en-US" w:bidi="ar-SA"/>
              </w:rPr>
              <w:t>0.978</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4BC09614" w14:textId="77777777">
            <w:pPr>
              <w:widowControl/>
              <w:suppressAutoHyphens/>
              <w:rPr>
                <w:rStyle w:val="DefaultParagraphFont"/>
                <w:snapToGrid/>
                <w:kern w:val="0"/>
                <w:sz w:val="20"/>
                <w:lang w:val="en-US" w:eastAsia="en-US" w:bidi="ar-SA"/>
              </w:rPr>
            </w:pPr>
          </w:p>
        </w:tc>
      </w:tr>
      <w:tr w14:paraId="11B5B14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5B980884"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728B95A1"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FF82DFB"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1F08F6FD" w14:textId="153D1485">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35F804AE" w14:textId="6348E32B">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6D8469B" w14:textId="7E3FD2F1">
            <w:pPr>
              <w:widowControl/>
              <w:suppressAutoHyphens/>
              <w:jc w:val="center"/>
              <w:rPr>
                <w:rStyle w:val="DefaultParagraphFont"/>
                <w:snapToGrid/>
                <w:kern w:val="0"/>
                <w:sz w:val="20"/>
                <w:lang w:val="en-US" w:eastAsia="en-US" w:bidi="ar-SA"/>
              </w:rPr>
            </w:pPr>
            <w:r>
              <w:rPr>
                <w:snapToGrid w:val="0"/>
                <w:kern w:val="28"/>
                <w:sz w:val="20"/>
                <w:lang w:val="en-US" w:eastAsia="en-US" w:bidi="ar-SA"/>
              </w:rPr>
              <w:t>$65.60</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32194F0C" w14:textId="718C5E16">
            <w:pPr>
              <w:widowControl/>
              <w:suppressAutoHyphens/>
              <w:jc w:val="center"/>
              <w:rPr>
                <w:rStyle w:val="DefaultParagraphFont"/>
                <w:snapToGrid/>
                <w:kern w:val="0"/>
                <w:sz w:val="20"/>
                <w:lang w:val="en-US" w:eastAsia="en-US" w:bidi="ar-SA"/>
              </w:rPr>
            </w:pPr>
            <w:r>
              <w:rPr>
                <w:snapToGrid w:val="0"/>
                <w:kern w:val="28"/>
                <w:sz w:val="20"/>
                <w:lang w:val="en-US" w:eastAsia="en-US" w:bidi="ar-SA"/>
              </w:rPr>
              <w:t>1.146</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0FFA55AE" w14:textId="3102599F">
            <w:pPr>
              <w:widowControl/>
              <w:suppressAutoHyphens/>
              <w:jc w:val="center"/>
              <w:rPr>
                <w:rStyle w:val="DefaultParagraphFont"/>
                <w:snapToGrid/>
                <w:kern w:val="0"/>
                <w:sz w:val="20"/>
                <w:lang w:val="en-US" w:eastAsia="en-US" w:bidi="ar-SA"/>
              </w:rPr>
            </w:pPr>
            <w:r>
              <w:rPr>
                <w:snapToGrid w:val="0"/>
                <w:kern w:val="28"/>
                <w:sz w:val="20"/>
                <w:lang w:val="en-US" w:eastAsia="en-US" w:bidi="ar-SA"/>
              </w:rPr>
              <w:t>6.3%*</w:t>
            </w:r>
          </w:p>
        </w:tc>
      </w:tr>
      <w:tr w14:paraId="4CF1159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025ECC0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09C71812"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35F31BFF"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4A85CB9C" w14:textId="4234E454">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9E10341" w14:textId="022853DE">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8469774" w14:textId="60262DF5">
            <w:pPr>
              <w:widowControl/>
              <w:suppressAutoHyphens/>
              <w:jc w:val="center"/>
              <w:rPr>
                <w:rStyle w:val="DefaultParagraphFont"/>
                <w:snapToGrid/>
                <w:kern w:val="0"/>
                <w:sz w:val="20"/>
                <w:lang w:val="en-US" w:eastAsia="en-US" w:bidi="ar-SA"/>
              </w:rPr>
            </w:pPr>
            <w:r>
              <w:rPr>
                <w:snapToGrid w:val="0"/>
                <w:kern w:val="28"/>
                <w:sz w:val="20"/>
                <w:lang w:val="en-US" w:eastAsia="en-US" w:bidi="ar-SA"/>
              </w:rPr>
              <w:t>$61.72</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672CF183" w14:textId="33BE06B2">
            <w:pPr>
              <w:widowControl/>
              <w:suppressAutoHyphens/>
              <w:jc w:val="center"/>
              <w:rPr>
                <w:rStyle w:val="DefaultParagraphFont"/>
                <w:snapToGrid/>
                <w:kern w:val="0"/>
                <w:sz w:val="20"/>
                <w:lang w:val="en-US" w:eastAsia="en-US" w:bidi="ar-SA"/>
              </w:rPr>
            </w:pPr>
            <w:r>
              <w:rPr>
                <w:snapToGrid w:val="0"/>
                <w:kern w:val="28"/>
                <w:sz w:val="20"/>
                <w:lang w:val="en-US" w:eastAsia="en-US" w:bidi="ar-SA"/>
              </w:rPr>
              <w:t>1.546</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423A2D85" w14:textId="77777777">
            <w:pPr>
              <w:widowControl/>
              <w:suppressAutoHyphens/>
              <w:rPr>
                <w:rStyle w:val="DefaultParagraphFont"/>
                <w:snapToGrid/>
                <w:kern w:val="0"/>
                <w:sz w:val="20"/>
                <w:lang w:val="en-US" w:eastAsia="en-US" w:bidi="ar-SA"/>
              </w:rPr>
            </w:pPr>
          </w:p>
        </w:tc>
      </w:tr>
      <w:tr w14:paraId="26C3F16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57D7211E"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731E6A1D"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70D9E227"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71C5E9AD" w14:textId="1C139A5B">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0A28742" w14:textId="371557AC">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62BE119" w14:textId="48D12751">
            <w:pPr>
              <w:widowControl/>
              <w:suppressAutoHyphens/>
              <w:jc w:val="center"/>
              <w:rPr>
                <w:rStyle w:val="DefaultParagraphFont"/>
                <w:snapToGrid/>
                <w:kern w:val="0"/>
                <w:sz w:val="20"/>
                <w:lang w:val="en-US" w:eastAsia="en-US" w:bidi="ar-SA"/>
              </w:rPr>
            </w:pPr>
            <w:r>
              <w:rPr>
                <w:snapToGrid w:val="0"/>
                <w:kern w:val="28"/>
                <w:sz w:val="20"/>
                <w:lang w:val="en-US" w:eastAsia="en-US" w:bidi="ar-SA"/>
              </w:rPr>
              <w:t>$92.30</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5C6721B2" w14:textId="1ADE335B">
            <w:pPr>
              <w:widowControl/>
              <w:suppressAutoHyphens/>
              <w:jc w:val="center"/>
              <w:rPr>
                <w:rStyle w:val="DefaultParagraphFont"/>
                <w:snapToGrid/>
                <w:kern w:val="0"/>
                <w:sz w:val="20"/>
                <w:lang w:val="en-US" w:eastAsia="en-US" w:bidi="ar-SA"/>
              </w:rPr>
            </w:pPr>
            <w:r>
              <w:rPr>
                <w:snapToGrid w:val="0"/>
                <w:kern w:val="28"/>
                <w:sz w:val="20"/>
                <w:lang w:val="en-US" w:eastAsia="en-US" w:bidi="ar-SA"/>
              </w:rPr>
              <w:t>2.162</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C80BBB" w:rsidRPr="002C692A" w:rsidP="004E16D7" w14:paraId="7B848A8B" w14:textId="5964F73C">
            <w:pPr>
              <w:widowControl/>
              <w:suppressAutoHyphens/>
              <w:jc w:val="center"/>
              <w:rPr>
                <w:rStyle w:val="DefaultParagraphFont"/>
                <w:snapToGrid/>
                <w:kern w:val="0"/>
                <w:sz w:val="20"/>
                <w:lang w:val="en-US" w:eastAsia="en-US" w:bidi="ar-SA"/>
              </w:rPr>
            </w:pPr>
            <w:r>
              <w:rPr>
                <w:snapToGrid w:val="0"/>
                <w:kern w:val="28"/>
                <w:sz w:val="20"/>
                <w:lang w:val="en-US" w:eastAsia="en-US" w:bidi="ar-SA"/>
              </w:rPr>
              <w:t>5.2%</w:t>
            </w:r>
          </w:p>
        </w:tc>
      </w:tr>
      <w:tr w14:paraId="40E5C62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460FEBE2"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6BD9082D"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001BA6B4"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3FD700B6" w14:textId="116D9616">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36431E3C" w14:textId="342382F0">
            <w:pPr>
              <w:widowControl/>
              <w:suppressAutoHyphens/>
              <w:jc w:val="center"/>
              <w:rPr>
                <w:rStyle w:val="DefaultParagraphFont"/>
                <w:snapToGrid/>
                <w:kern w:val="0"/>
                <w:sz w:val="20"/>
                <w:lang w:val="en-US" w:eastAsia="en-US" w:bidi="ar-SA"/>
              </w:rPr>
            </w:pPr>
            <w:r>
              <w:rPr>
                <w:snapToGrid w:val="0"/>
                <w:kern w:val="28"/>
                <w:sz w:val="20"/>
                <w:lang w:val="en-US" w:eastAsia="en-US" w:bidi="ar-SA"/>
              </w:rPr>
              <w:t>54</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47EBBD09" w14:textId="51630CD3">
            <w:pPr>
              <w:widowControl/>
              <w:suppressAutoHyphens/>
              <w:jc w:val="center"/>
              <w:rPr>
                <w:rStyle w:val="DefaultParagraphFont"/>
                <w:snapToGrid/>
                <w:kern w:val="0"/>
                <w:sz w:val="20"/>
                <w:lang w:val="en-US" w:eastAsia="en-US" w:bidi="ar-SA"/>
              </w:rPr>
            </w:pPr>
            <w:r>
              <w:rPr>
                <w:snapToGrid w:val="0"/>
                <w:kern w:val="28"/>
                <w:sz w:val="20"/>
                <w:lang w:val="en-US" w:eastAsia="en-US" w:bidi="ar-SA"/>
              </w:rPr>
              <w:t>$87.71</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39BFE8EC" w14:textId="5FEFDA1C">
            <w:pPr>
              <w:widowControl/>
              <w:suppressAutoHyphens/>
              <w:jc w:val="center"/>
              <w:rPr>
                <w:rStyle w:val="DefaultParagraphFont"/>
                <w:snapToGrid/>
                <w:kern w:val="0"/>
                <w:sz w:val="20"/>
                <w:lang w:val="en-US" w:eastAsia="en-US" w:bidi="ar-SA"/>
              </w:rPr>
            </w:pPr>
            <w:r>
              <w:rPr>
                <w:snapToGrid w:val="0"/>
                <w:kern w:val="28"/>
                <w:sz w:val="20"/>
                <w:lang w:val="en-US" w:eastAsia="en-US" w:bidi="ar-SA"/>
              </w:rPr>
              <w:t>1.678</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125779BB" w14:textId="77777777">
            <w:pPr>
              <w:widowControl/>
              <w:suppressAutoHyphens/>
              <w:rPr>
                <w:rStyle w:val="DefaultParagraphFont"/>
                <w:snapToGrid/>
                <w:kern w:val="0"/>
                <w:sz w:val="20"/>
                <w:lang w:val="en-US" w:eastAsia="en-US" w:bidi="ar-SA"/>
              </w:rPr>
            </w:pPr>
          </w:p>
        </w:tc>
      </w:tr>
      <w:tr w14:paraId="3E22B37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2C692A" w:rsidP="004E16D7" w14:paraId="198A4917"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BC038B" w:rsidRPr="002C692A" w:rsidP="004E16D7" w14:paraId="6922C548"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DBS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75F73FC3"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DC1FCC" w:rsidP="004E16D7" w14:paraId="295621BD" w14:textId="07A66F9B">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BC038B" w:rsidRPr="00DC1FCC" w:rsidP="004E16D7" w14:paraId="685919E9" w14:textId="017E943E">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163</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BC038B" w:rsidRPr="00DC1FCC" w:rsidP="004E16D7" w14:paraId="3D440012" w14:textId="436F7423">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$25.27</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BC038B" w:rsidRPr="00DC1FCC" w:rsidP="004E16D7" w14:paraId="74C3991D" w14:textId="65E9B696">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0.383</w:t>
            </w:r>
          </w:p>
        </w:tc>
        <w:tc>
          <w:tcPr>
            <w:tcW w:w="688"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C038B" w:rsidRPr="00BC3F74" w:rsidP="004E16D7" w14:paraId="0ED5E0EE" w14:textId="11785F35">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4.5%</w:t>
            </w:r>
          </w:p>
        </w:tc>
      </w:tr>
      <w:tr w14:paraId="1D9060B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2C692A" w:rsidP="004E16D7" w14:paraId="544B03F7"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BC038B" w:rsidRPr="002C692A" w:rsidP="004E16D7" w14:paraId="5CE3F59E"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BC038B" w:rsidRPr="002C692A" w:rsidP="004E16D7" w14:paraId="305294E7"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6B2727F9" w14:textId="78444700">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5835754A" w14:textId="29C3736F">
            <w:pPr>
              <w:widowControl/>
              <w:suppressAutoHyphens/>
              <w:jc w:val="center"/>
              <w:rPr>
                <w:rStyle w:val="DefaultParagraphFont"/>
                <w:snapToGrid/>
                <w:kern w:val="0"/>
                <w:sz w:val="20"/>
                <w:lang w:val="en-US" w:eastAsia="en-US" w:bidi="ar-SA"/>
              </w:rPr>
            </w:pPr>
            <w:r>
              <w:rPr>
                <w:snapToGrid w:val="0"/>
                <w:kern w:val="28"/>
                <w:sz w:val="20"/>
                <w:lang w:val="en-US" w:eastAsia="en-US" w:bidi="ar-SA"/>
              </w:rPr>
              <w:t>162</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15E17F36" w14:textId="38317812">
            <w:pPr>
              <w:widowControl/>
              <w:suppressAutoHyphens/>
              <w:jc w:val="center"/>
              <w:rPr>
                <w:rStyle w:val="DefaultParagraphFont"/>
                <w:snapToGrid/>
                <w:kern w:val="0"/>
                <w:sz w:val="20"/>
                <w:lang w:val="en-US" w:eastAsia="en-US" w:bidi="ar-SA"/>
              </w:rPr>
            </w:pPr>
            <w:r>
              <w:rPr>
                <w:snapToGrid w:val="0"/>
                <w:kern w:val="28"/>
                <w:sz w:val="20"/>
                <w:lang w:val="en-US" w:eastAsia="en-US" w:bidi="ar-SA"/>
              </w:rPr>
              <w:t>$24.18</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06DA009B" w14:textId="67AB54EE">
            <w:pPr>
              <w:widowControl/>
              <w:suppressAutoHyphens/>
              <w:jc w:val="center"/>
              <w:rPr>
                <w:rStyle w:val="DefaultParagraphFont"/>
                <w:snapToGrid/>
                <w:kern w:val="0"/>
                <w:sz w:val="20"/>
                <w:lang w:val="en-US" w:eastAsia="en-US" w:bidi="ar-SA"/>
              </w:rPr>
            </w:pPr>
            <w:r>
              <w:rPr>
                <w:snapToGrid w:val="0"/>
                <w:kern w:val="28"/>
                <w:sz w:val="20"/>
                <w:lang w:val="en-US" w:eastAsia="en-US" w:bidi="ar-SA"/>
              </w:rPr>
              <w:t>0.438</w:t>
            </w:r>
          </w:p>
        </w:tc>
        <w:tc>
          <w:tcPr>
            <w:tcW w:w="688" w:type="pct"/>
            <w:vMerge/>
            <w:tcBorders>
              <w:top w:val="single" w:sz="4" w:space="0" w:color="auto"/>
              <w:left w:val="single" w:sz="4" w:space="0" w:color="auto"/>
              <w:bottom w:val="single" w:sz="4" w:space="0" w:color="auto"/>
              <w:right w:val="single" w:sz="12" w:space="0" w:color="auto"/>
            </w:tcBorders>
            <w:vAlign w:val="center"/>
            <w:hideMark/>
          </w:tcPr>
          <w:p w:rsidR="00BC038B" w:rsidRPr="002C692A" w:rsidP="004E16D7" w14:paraId="7455E072" w14:textId="77777777">
            <w:pPr>
              <w:widowControl/>
              <w:suppressAutoHyphens/>
              <w:rPr>
                <w:rStyle w:val="DefaultParagraphFont"/>
                <w:snapToGrid/>
                <w:kern w:val="0"/>
                <w:sz w:val="20"/>
                <w:lang w:val="en-US" w:eastAsia="en-US" w:bidi="ar-SA"/>
              </w:rPr>
            </w:pPr>
          </w:p>
        </w:tc>
      </w:tr>
      <w:tr w14:paraId="32CE744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2C692A" w:rsidP="004E16D7" w14:paraId="46DB0427"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BC038B" w:rsidRPr="002C692A" w:rsidP="004E16D7" w14:paraId="5B3B246F"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06F18F1E"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7C0C2EBD" w14:textId="41209DE2">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7A69F561" w14:textId="41AA0850">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4DF779A8" w14:textId="306480F9">
            <w:pPr>
              <w:widowControl/>
              <w:suppressAutoHyphens/>
              <w:jc w:val="center"/>
              <w:rPr>
                <w:rStyle w:val="DefaultParagraphFont"/>
                <w:snapToGrid/>
                <w:kern w:val="0"/>
                <w:sz w:val="20"/>
                <w:lang w:val="en-US" w:eastAsia="en-US" w:bidi="ar-SA"/>
              </w:rPr>
            </w:pPr>
            <w:r>
              <w:rPr>
                <w:snapToGrid w:val="0"/>
                <w:kern w:val="28"/>
                <w:sz w:val="20"/>
                <w:lang w:val="en-US" w:eastAsia="en-US" w:bidi="ar-SA"/>
              </w:rPr>
              <w:t>$73.73</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2A02FFC5" w14:textId="1CBFDC45">
            <w:pPr>
              <w:widowControl/>
              <w:suppressAutoHyphens/>
              <w:jc w:val="center"/>
              <w:rPr>
                <w:rStyle w:val="DefaultParagraphFont"/>
                <w:snapToGrid/>
                <w:kern w:val="0"/>
                <w:sz w:val="20"/>
                <w:lang w:val="en-US" w:eastAsia="en-US" w:bidi="ar-SA"/>
              </w:rPr>
            </w:pPr>
            <w:r>
              <w:rPr>
                <w:snapToGrid w:val="0"/>
                <w:kern w:val="28"/>
                <w:sz w:val="20"/>
                <w:lang w:val="en-US" w:eastAsia="en-US" w:bidi="ar-SA"/>
              </w:rPr>
              <w:t>0.378</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BC038B" w:rsidRPr="002C692A" w:rsidP="004E16D7" w14:paraId="501AE4F5" w14:textId="3E225518">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r>
      <w:tr w14:paraId="798D337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2C692A" w:rsidP="004E16D7" w14:paraId="354FA980"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BC038B" w:rsidRPr="002C692A" w:rsidP="004E16D7" w14:paraId="4C2667F2"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BC038B" w:rsidRPr="002C692A" w:rsidP="004E16D7" w14:paraId="786E7D96"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41D4D90E" w14:textId="6D16AE1F">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1D97C7C7" w14:textId="41CC69B5">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62D7E107" w14:textId="526E95B5">
            <w:pPr>
              <w:widowControl/>
              <w:suppressAutoHyphens/>
              <w:jc w:val="center"/>
              <w:rPr>
                <w:rStyle w:val="DefaultParagraphFont"/>
                <w:snapToGrid/>
                <w:kern w:val="0"/>
                <w:sz w:val="20"/>
                <w:lang w:val="en-US" w:eastAsia="en-US" w:bidi="ar-SA"/>
              </w:rPr>
            </w:pPr>
            <w:r>
              <w:rPr>
                <w:snapToGrid w:val="0"/>
                <w:kern w:val="28"/>
                <w:sz w:val="20"/>
                <w:lang w:val="en-US" w:eastAsia="en-US" w:bidi="ar-SA"/>
              </w:rPr>
              <w:t>$71.33</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0EE0AB2E" w14:textId="7186D2F6">
            <w:pPr>
              <w:widowControl/>
              <w:suppressAutoHyphens/>
              <w:jc w:val="center"/>
              <w:rPr>
                <w:rStyle w:val="DefaultParagraphFont"/>
                <w:snapToGrid/>
                <w:kern w:val="0"/>
                <w:sz w:val="20"/>
                <w:lang w:val="en-US" w:eastAsia="en-US" w:bidi="ar-SA"/>
              </w:rPr>
            </w:pPr>
            <w:r>
              <w:rPr>
                <w:snapToGrid w:val="0"/>
                <w:kern w:val="28"/>
                <w:sz w:val="20"/>
                <w:lang w:val="en-US" w:eastAsia="en-US" w:bidi="ar-SA"/>
              </w:rPr>
              <w:t>0.346</w:t>
            </w:r>
          </w:p>
        </w:tc>
        <w:tc>
          <w:tcPr>
            <w:tcW w:w="688" w:type="pct"/>
            <w:vMerge/>
            <w:tcBorders>
              <w:top w:val="nil"/>
              <w:left w:val="single" w:sz="4" w:space="0" w:color="auto"/>
              <w:bottom w:val="single" w:sz="4" w:space="0" w:color="auto"/>
              <w:right w:val="single" w:sz="12" w:space="0" w:color="auto"/>
            </w:tcBorders>
            <w:vAlign w:val="center"/>
            <w:hideMark/>
          </w:tcPr>
          <w:p w:rsidR="00BC038B" w:rsidRPr="002C692A" w:rsidP="004E16D7" w14:paraId="5C13AAD2" w14:textId="77777777">
            <w:pPr>
              <w:widowControl/>
              <w:suppressAutoHyphens/>
              <w:rPr>
                <w:rStyle w:val="DefaultParagraphFont"/>
                <w:snapToGrid/>
                <w:kern w:val="0"/>
                <w:sz w:val="20"/>
                <w:lang w:val="en-US" w:eastAsia="en-US" w:bidi="ar-SA"/>
              </w:rPr>
            </w:pPr>
          </w:p>
        </w:tc>
      </w:tr>
      <w:tr w14:paraId="2EA476E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2C692A" w:rsidP="004E16D7" w14:paraId="38FB919A"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BC038B" w:rsidRPr="002C692A" w:rsidP="004E16D7" w14:paraId="260D9E15"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73765D00"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1EDAACE2" w14:textId="3D9F5607">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46271286" w14:textId="2C4F4783">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63FE6FE6" w14:textId="0DDC54ED">
            <w:pPr>
              <w:widowControl/>
              <w:suppressAutoHyphens/>
              <w:jc w:val="center"/>
              <w:rPr>
                <w:rStyle w:val="DefaultParagraphFont"/>
                <w:snapToGrid/>
                <w:kern w:val="0"/>
                <w:sz w:val="20"/>
                <w:lang w:val="en-US" w:eastAsia="en-US" w:bidi="ar-SA"/>
              </w:rPr>
            </w:pPr>
            <w:r>
              <w:rPr>
                <w:snapToGrid w:val="0"/>
                <w:kern w:val="28"/>
                <w:sz w:val="20"/>
                <w:lang w:val="en-US" w:eastAsia="en-US" w:bidi="ar-SA"/>
              </w:rPr>
              <w:t>$85.23</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3317C6DD" w14:textId="5F25A1CB">
            <w:pPr>
              <w:widowControl/>
              <w:suppressAutoHyphens/>
              <w:jc w:val="center"/>
              <w:rPr>
                <w:rStyle w:val="DefaultParagraphFont"/>
                <w:snapToGrid/>
                <w:kern w:val="0"/>
                <w:sz w:val="20"/>
                <w:lang w:val="en-US" w:eastAsia="en-US" w:bidi="ar-SA"/>
              </w:rPr>
            </w:pPr>
            <w:r>
              <w:rPr>
                <w:snapToGrid w:val="0"/>
                <w:kern w:val="28"/>
                <w:sz w:val="20"/>
                <w:lang w:val="en-US" w:eastAsia="en-US" w:bidi="ar-SA"/>
              </w:rPr>
              <w:t>0.696</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BC038B" w:rsidRPr="002C692A" w:rsidP="004E16D7" w14:paraId="3234CCE0" w14:textId="029B797F">
            <w:pPr>
              <w:widowControl/>
              <w:suppressAutoHyphens/>
              <w:jc w:val="center"/>
              <w:rPr>
                <w:rStyle w:val="DefaultParagraphFont"/>
                <w:snapToGrid/>
                <w:kern w:val="0"/>
                <w:sz w:val="20"/>
                <w:lang w:val="en-US" w:eastAsia="en-US" w:bidi="ar-SA"/>
              </w:rPr>
            </w:pPr>
            <w:r>
              <w:rPr>
                <w:snapToGrid w:val="0"/>
                <w:kern w:val="28"/>
                <w:sz w:val="20"/>
                <w:lang w:val="en-US" w:eastAsia="en-US" w:bidi="ar-SA"/>
              </w:rPr>
              <w:t>3.8%*</w:t>
            </w:r>
          </w:p>
        </w:tc>
      </w:tr>
      <w:tr w14:paraId="4FE50CF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C80BBB" w:rsidRPr="002C692A" w:rsidP="004E16D7" w14:paraId="767176D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C80BBB" w:rsidRPr="002C692A" w:rsidP="004E16D7" w14:paraId="79E925E4"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C80BBB" w:rsidRPr="002C692A" w:rsidP="004E16D7" w14:paraId="005F8B8D"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C80BBB" w:rsidRPr="002C692A" w:rsidP="004E16D7" w14:paraId="6C794D1A" w14:textId="21909BEF">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048FD716" w14:textId="43BAEC67">
            <w:pPr>
              <w:widowControl/>
              <w:suppressAutoHyphens/>
              <w:jc w:val="center"/>
              <w:rPr>
                <w:rStyle w:val="DefaultParagraphFont"/>
                <w:snapToGrid/>
                <w:kern w:val="0"/>
                <w:sz w:val="20"/>
                <w:lang w:val="en-US" w:eastAsia="en-US" w:bidi="ar-SA"/>
              </w:rPr>
            </w:pPr>
            <w:r>
              <w:rPr>
                <w:snapToGrid w:val="0"/>
                <w:kern w:val="28"/>
                <w:sz w:val="20"/>
                <w:lang w:val="en-US" w:eastAsia="en-US" w:bidi="ar-SA"/>
              </w:rPr>
              <w:t>110</w:t>
            </w:r>
          </w:p>
        </w:tc>
        <w:tc>
          <w:tcPr>
            <w:tcW w:w="704"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1D3B136D" w14:textId="750C0E52">
            <w:pPr>
              <w:widowControl/>
              <w:suppressAutoHyphens/>
              <w:jc w:val="center"/>
              <w:rPr>
                <w:rStyle w:val="DefaultParagraphFont"/>
                <w:snapToGrid/>
                <w:kern w:val="0"/>
                <w:sz w:val="20"/>
                <w:lang w:val="en-US" w:eastAsia="en-US" w:bidi="ar-SA"/>
              </w:rPr>
            </w:pPr>
            <w:r>
              <w:rPr>
                <w:snapToGrid w:val="0"/>
                <w:kern w:val="28"/>
                <w:sz w:val="20"/>
                <w:lang w:val="en-US" w:eastAsia="en-US" w:bidi="ar-SA"/>
              </w:rPr>
              <w:t>$80.66</w:t>
            </w:r>
          </w:p>
        </w:tc>
        <w:tc>
          <w:tcPr>
            <w:tcW w:w="597" w:type="pct"/>
            <w:tcBorders>
              <w:top w:val="nil"/>
              <w:left w:val="nil"/>
              <w:bottom w:val="single" w:sz="4" w:space="0" w:color="auto"/>
              <w:right w:val="single" w:sz="4" w:space="0" w:color="auto"/>
            </w:tcBorders>
            <w:shd w:val="clear" w:color="auto" w:fill="auto"/>
            <w:noWrap/>
            <w:vAlign w:val="center"/>
            <w:hideMark/>
          </w:tcPr>
          <w:p w:rsidR="00C80BBB" w:rsidRPr="002C692A" w:rsidP="004E16D7" w14:paraId="7E650B6B" w14:textId="6A8E56FF">
            <w:pPr>
              <w:widowControl/>
              <w:suppressAutoHyphens/>
              <w:jc w:val="center"/>
              <w:rPr>
                <w:rStyle w:val="DefaultParagraphFont"/>
                <w:snapToGrid/>
                <w:kern w:val="0"/>
                <w:sz w:val="20"/>
                <w:lang w:val="en-US" w:eastAsia="en-US" w:bidi="ar-SA"/>
              </w:rPr>
            </w:pPr>
            <w:r>
              <w:rPr>
                <w:snapToGrid w:val="0"/>
                <w:kern w:val="28"/>
                <w:sz w:val="20"/>
                <w:lang w:val="en-US" w:eastAsia="en-US" w:bidi="ar-SA"/>
              </w:rPr>
              <w:t>0.675</w:t>
            </w:r>
          </w:p>
        </w:tc>
        <w:tc>
          <w:tcPr>
            <w:tcW w:w="688" w:type="pct"/>
            <w:vMerge/>
            <w:tcBorders>
              <w:top w:val="nil"/>
              <w:left w:val="single" w:sz="4" w:space="0" w:color="auto"/>
              <w:bottom w:val="single" w:sz="4" w:space="0" w:color="auto"/>
              <w:right w:val="single" w:sz="12" w:space="0" w:color="auto"/>
            </w:tcBorders>
            <w:vAlign w:val="center"/>
            <w:hideMark/>
          </w:tcPr>
          <w:p w:rsidR="00C80BBB" w:rsidRPr="002C692A" w:rsidP="004E16D7" w14:paraId="05740B60" w14:textId="77777777">
            <w:pPr>
              <w:widowControl/>
              <w:suppressAutoHyphens/>
              <w:rPr>
                <w:rStyle w:val="DefaultParagraphFont"/>
                <w:snapToGrid/>
                <w:kern w:val="0"/>
                <w:sz w:val="20"/>
                <w:lang w:val="en-US" w:eastAsia="en-US" w:bidi="ar-SA"/>
              </w:rPr>
            </w:pPr>
          </w:p>
        </w:tc>
      </w:tr>
      <w:tr w14:paraId="7DDBBC5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2C692A" w:rsidP="004E16D7" w14:paraId="212EFDDB"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8" w:space="0" w:color="000000"/>
              <w:right w:val="single" w:sz="4" w:space="0" w:color="auto"/>
            </w:tcBorders>
            <w:shd w:val="clear" w:color="auto" w:fill="auto"/>
            <w:vAlign w:val="center"/>
            <w:hideMark/>
          </w:tcPr>
          <w:p w:rsidR="00BC038B" w:rsidRPr="002C692A" w:rsidP="004E16D7" w14:paraId="22CD6EC9" w14:textId="71AC7489">
            <w:pPr>
              <w:widowControl/>
              <w:suppressAutoHyphens/>
              <w:jc w:val="center"/>
              <w:rPr>
                <w:rStyle w:val="DefaultParagraphFont"/>
                <w:b/>
                <w:snapToGrid/>
                <w:kern w:val="0"/>
                <w:sz w:val="20"/>
                <w:lang w:val="en-US" w:eastAsia="en-US" w:bidi="ar-SA"/>
              </w:rPr>
            </w:pPr>
            <w:r>
              <w:rPr>
                <w:b/>
                <w:snapToGrid/>
                <w:kern w:val="0"/>
                <w:sz w:val="20"/>
                <w:lang w:val="en-US" w:eastAsia="en-US" w:bidi="ar-SA"/>
              </w:rPr>
              <w:t>Wireless and Low Penetration Test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3E1FDFA6"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DC1FCC" w:rsidP="004E16D7" w14:paraId="67D3B9D8" w14:textId="0ECE5D46">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BC038B" w:rsidRPr="00DC1FCC" w:rsidP="004E16D7" w14:paraId="408D8BCE" w14:textId="418E8967">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40</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BC038B" w:rsidRPr="00DC1FCC" w:rsidP="004E16D7" w14:paraId="11392CBD" w14:textId="10871F91">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$25.96</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BC038B" w:rsidRPr="00DC1FCC" w:rsidP="004E16D7" w14:paraId="59760C66" w14:textId="72F0D3A9">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0.771</w:t>
            </w:r>
          </w:p>
        </w:tc>
        <w:tc>
          <w:tcPr>
            <w:tcW w:w="688"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C038B" w:rsidRPr="00BC3F74" w:rsidP="004E16D7" w14:paraId="20C698AC" w14:textId="1EEB6097">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3.8%</w:t>
            </w:r>
          </w:p>
        </w:tc>
      </w:tr>
      <w:tr w14:paraId="369CBCF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C104CF" w:rsidP="004E16D7" w14:paraId="71D68A0F"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BC038B" w:rsidRPr="00C104CF" w:rsidP="004E16D7" w14:paraId="4E7B63E6"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BC038B" w:rsidRPr="002C692A" w:rsidP="004E16D7" w14:paraId="6EB45188"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16A8CC97" w14:textId="66F21A8D">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64BD6BD5" w14:textId="7BAC510E">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51DEC64F" w14:textId="6DBBDE21">
            <w:pPr>
              <w:widowControl/>
              <w:suppressAutoHyphens/>
              <w:jc w:val="center"/>
              <w:rPr>
                <w:rStyle w:val="DefaultParagraphFont"/>
                <w:snapToGrid/>
                <w:kern w:val="0"/>
                <w:sz w:val="20"/>
                <w:lang w:val="en-US" w:eastAsia="en-US" w:bidi="ar-SA"/>
              </w:rPr>
            </w:pPr>
            <w:r>
              <w:rPr>
                <w:snapToGrid w:val="0"/>
                <w:kern w:val="28"/>
                <w:sz w:val="20"/>
                <w:lang w:val="en-US" w:eastAsia="en-US" w:bidi="ar-SA"/>
              </w:rPr>
              <w:t>$25.00</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6A6AAF2C" w14:textId="1479E92E">
            <w:pPr>
              <w:widowControl/>
              <w:suppressAutoHyphens/>
              <w:jc w:val="center"/>
              <w:rPr>
                <w:rStyle w:val="DefaultParagraphFont"/>
                <w:snapToGrid/>
                <w:kern w:val="0"/>
                <w:sz w:val="20"/>
                <w:lang w:val="en-US" w:eastAsia="en-US" w:bidi="ar-SA"/>
              </w:rPr>
            </w:pPr>
            <w:r>
              <w:rPr>
                <w:snapToGrid w:val="0"/>
                <w:kern w:val="28"/>
                <w:sz w:val="20"/>
                <w:lang w:val="en-US" w:eastAsia="en-US" w:bidi="ar-SA"/>
              </w:rPr>
              <w:t>0.767</w:t>
            </w:r>
          </w:p>
        </w:tc>
        <w:tc>
          <w:tcPr>
            <w:tcW w:w="688" w:type="pct"/>
            <w:vMerge/>
            <w:tcBorders>
              <w:top w:val="single" w:sz="4" w:space="0" w:color="auto"/>
              <w:left w:val="single" w:sz="4" w:space="0" w:color="auto"/>
              <w:bottom w:val="single" w:sz="4" w:space="0" w:color="auto"/>
              <w:right w:val="single" w:sz="12" w:space="0" w:color="auto"/>
            </w:tcBorders>
            <w:vAlign w:val="center"/>
            <w:hideMark/>
          </w:tcPr>
          <w:p w:rsidR="00BC038B" w:rsidRPr="002C692A" w:rsidP="004E16D7" w14:paraId="19CF0919" w14:textId="77777777">
            <w:pPr>
              <w:widowControl/>
              <w:suppressAutoHyphens/>
              <w:rPr>
                <w:rStyle w:val="DefaultParagraphFont"/>
                <w:snapToGrid/>
                <w:kern w:val="0"/>
                <w:sz w:val="20"/>
                <w:lang w:val="en-US" w:eastAsia="en-US" w:bidi="ar-SA"/>
              </w:rPr>
            </w:pPr>
          </w:p>
        </w:tc>
      </w:tr>
      <w:tr w14:paraId="4F1DC99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C104CF" w:rsidP="004E16D7" w14:paraId="3609B14F"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BC038B" w:rsidRPr="00C104CF" w:rsidP="004E16D7" w14:paraId="2CE40748"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42F817FE"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42BD4603" w14:textId="454E4E4F">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7233B9A7" w14:textId="08399A18">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45663055" w14:textId="3E506908">
            <w:pPr>
              <w:widowControl/>
              <w:suppressAutoHyphens/>
              <w:jc w:val="center"/>
              <w:rPr>
                <w:rStyle w:val="DefaultParagraphFont"/>
                <w:snapToGrid/>
                <w:kern w:val="0"/>
                <w:sz w:val="20"/>
                <w:lang w:val="en-US" w:eastAsia="en-US" w:bidi="ar-SA"/>
              </w:rPr>
            </w:pPr>
            <w:r>
              <w:rPr>
                <w:snapToGrid w:val="0"/>
                <w:kern w:val="28"/>
                <w:sz w:val="20"/>
                <w:lang w:val="en-US" w:eastAsia="en-US" w:bidi="ar-SA"/>
              </w:rPr>
              <w:t>$73.02</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7C58FFAC" w14:textId="28BB86A7">
            <w:pPr>
              <w:widowControl/>
              <w:suppressAutoHyphens/>
              <w:jc w:val="center"/>
              <w:rPr>
                <w:rStyle w:val="DefaultParagraphFont"/>
                <w:snapToGrid/>
                <w:kern w:val="0"/>
                <w:sz w:val="20"/>
                <w:lang w:val="en-US" w:eastAsia="en-US" w:bidi="ar-SA"/>
              </w:rPr>
            </w:pPr>
            <w:r>
              <w:rPr>
                <w:snapToGrid w:val="0"/>
                <w:kern w:val="28"/>
                <w:sz w:val="20"/>
                <w:lang w:val="en-US" w:eastAsia="en-US" w:bidi="ar-SA"/>
              </w:rPr>
              <w:t>1.033</w:t>
            </w:r>
          </w:p>
        </w:tc>
        <w:tc>
          <w:tcPr>
            <w:tcW w:w="688" w:type="pct"/>
            <w:vMerge w:val="restart"/>
            <w:tcBorders>
              <w:top w:val="nil"/>
              <w:left w:val="single" w:sz="4" w:space="0" w:color="auto"/>
              <w:bottom w:val="single" w:sz="4" w:space="0" w:color="auto"/>
              <w:right w:val="single" w:sz="12" w:space="0" w:color="auto"/>
            </w:tcBorders>
            <w:shd w:val="clear" w:color="auto" w:fill="auto"/>
            <w:noWrap/>
            <w:vAlign w:val="center"/>
            <w:hideMark/>
          </w:tcPr>
          <w:p w:rsidR="00BC038B" w:rsidRPr="002C692A" w:rsidP="004E16D7" w14:paraId="7D555EAB" w14:textId="7BAF2107">
            <w:pPr>
              <w:widowControl/>
              <w:suppressAutoHyphens/>
              <w:jc w:val="center"/>
              <w:rPr>
                <w:rStyle w:val="DefaultParagraphFont"/>
                <w:snapToGrid/>
                <w:kern w:val="0"/>
                <w:sz w:val="20"/>
                <w:lang w:val="en-US" w:eastAsia="en-US" w:bidi="ar-SA"/>
              </w:rPr>
            </w:pPr>
            <w:r>
              <w:rPr>
                <w:snapToGrid w:val="0"/>
                <w:kern w:val="28"/>
                <w:sz w:val="20"/>
                <w:lang w:val="en-US" w:eastAsia="en-US" w:bidi="ar-SA"/>
              </w:rPr>
              <w:t>2.5%</w:t>
            </w:r>
          </w:p>
        </w:tc>
      </w:tr>
      <w:tr w14:paraId="4D65983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C104CF" w:rsidP="004E16D7" w14:paraId="44CCAA35"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BC038B" w:rsidRPr="00C104CF" w:rsidP="004E16D7" w14:paraId="7AAA9E19"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BC038B" w:rsidRPr="002C692A" w:rsidP="004E16D7" w14:paraId="7E802608"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153FF1FA" w14:textId="0C0394E6">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5132BB0B" w14:textId="7AC57627">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223E69D1" w14:textId="730EA486">
            <w:pPr>
              <w:widowControl/>
              <w:suppressAutoHyphens/>
              <w:jc w:val="center"/>
              <w:rPr>
                <w:rStyle w:val="DefaultParagraphFont"/>
                <w:snapToGrid/>
                <w:kern w:val="0"/>
                <w:sz w:val="20"/>
                <w:lang w:val="en-US" w:eastAsia="en-US" w:bidi="ar-SA"/>
              </w:rPr>
            </w:pPr>
            <w:r>
              <w:rPr>
                <w:snapToGrid w:val="0"/>
                <w:kern w:val="28"/>
                <w:sz w:val="20"/>
                <w:lang w:val="en-US" w:eastAsia="en-US" w:bidi="ar-SA"/>
              </w:rPr>
              <w:t>$71.22</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4F6E4214" w14:textId="5E6AB28B">
            <w:pPr>
              <w:widowControl/>
              <w:suppressAutoHyphens/>
              <w:jc w:val="center"/>
              <w:rPr>
                <w:rStyle w:val="DefaultParagraphFont"/>
                <w:snapToGrid/>
                <w:kern w:val="0"/>
                <w:sz w:val="20"/>
                <w:lang w:val="en-US" w:eastAsia="en-US" w:bidi="ar-SA"/>
              </w:rPr>
            </w:pPr>
            <w:r>
              <w:rPr>
                <w:snapToGrid w:val="0"/>
                <w:kern w:val="28"/>
                <w:sz w:val="20"/>
                <w:lang w:val="en-US" w:eastAsia="en-US" w:bidi="ar-SA"/>
              </w:rPr>
              <w:t>0.905</w:t>
            </w:r>
          </w:p>
        </w:tc>
        <w:tc>
          <w:tcPr>
            <w:tcW w:w="688" w:type="pct"/>
            <w:vMerge/>
            <w:tcBorders>
              <w:top w:val="nil"/>
              <w:left w:val="single" w:sz="4" w:space="0" w:color="auto"/>
              <w:bottom w:val="single" w:sz="4" w:space="0" w:color="auto"/>
              <w:right w:val="single" w:sz="12" w:space="0" w:color="auto"/>
            </w:tcBorders>
            <w:vAlign w:val="center"/>
            <w:hideMark/>
          </w:tcPr>
          <w:p w:rsidR="00BC038B" w:rsidRPr="002C692A" w:rsidP="004E16D7" w14:paraId="53E9DA39" w14:textId="77777777">
            <w:pPr>
              <w:widowControl/>
              <w:suppressAutoHyphens/>
              <w:rPr>
                <w:rStyle w:val="DefaultParagraphFont"/>
                <w:snapToGrid/>
                <w:kern w:val="0"/>
                <w:sz w:val="20"/>
                <w:lang w:val="en-US" w:eastAsia="en-US" w:bidi="ar-SA"/>
              </w:rPr>
            </w:pPr>
          </w:p>
        </w:tc>
      </w:tr>
      <w:tr w14:paraId="6C03897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BC038B" w:rsidRPr="00C104CF" w:rsidP="004E16D7" w14:paraId="4D8C87AF"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BC038B" w:rsidRPr="00C104CF" w:rsidP="004E16D7" w14:paraId="233E3664"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BC038B" w:rsidRPr="002C692A" w:rsidP="004E16D7" w14:paraId="24B970CC"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BC038B" w:rsidRPr="002C692A" w:rsidP="004E16D7" w14:paraId="79290D1C" w14:textId="2CA43E0B">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36E8E48E" w14:textId="24EC2C9A">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704"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1F94FF51" w14:textId="7500F2DC">
            <w:pPr>
              <w:widowControl/>
              <w:suppressAutoHyphens/>
              <w:jc w:val="center"/>
              <w:rPr>
                <w:rStyle w:val="DefaultParagraphFont"/>
                <w:snapToGrid/>
                <w:kern w:val="0"/>
                <w:sz w:val="20"/>
                <w:lang w:val="en-US" w:eastAsia="en-US" w:bidi="ar-SA"/>
              </w:rPr>
            </w:pPr>
            <w:r>
              <w:rPr>
                <w:snapToGrid w:val="0"/>
                <w:kern w:val="28"/>
                <w:sz w:val="20"/>
                <w:lang w:val="en-US" w:eastAsia="en-US" w:bidi="ar-SA"/>
              </w:rPr>
              <w:t>$85.30</w:t>
            </w:r>
          </w:p>
        </w:tc>
        <w:tc>
          <w:tcPr>
            <w:tcW w:w="597" w:type="pct"/>
            <w:tcBorders>
              <w:top w:val="nil"/>
              <w:left w:val="nil"/>
              <w:bottom w:val="single" w:sz="4" w:space="0" w:color="auto"/>
              <w:right w:val="single" w:sz="4" w:space="0" w:color="auto"/>
            </w:tcBorders>
            <w:shd w:val="clear" w:color="auto" w:fill="auto"/>
            <w:noWrap/>
            <w:vAlign w:val="center"/>
            <w:hideMark/>
          </w:tcPr>
          <w:p w:rsidR="00BC038B" w:rsidRPr="002C692A" w:rsidP="004E16D7" w14:paraId="32139733" w14:textId="6AD4A49D">
            <w:pPr>
              <w:widowControl/>
              <w:suppressAutoHyphens/>
              <w:jc w:val="center"/>
              <w:rPr>
                <w:rStyle w:val="DefaultParagraphFont"/>
                <w:snapToGrid/>
                <w:kern w:val="0"/>
                <w:sz w:val="20"/>
                <w:lang w:val="en-US" w:eastAsia="en-US" w:bidi="ar-SA"/>
              </w:rPr>
            </w:pPr>
            <w:r>
              <w:rPr>
                <w:snapToGrid w:val="0"/>
                <w:kern w:val="28"/>
                <w:sz w:val="20"/>
                <w:lang w:val="en-US" w:eastAsia="en-US" w:bidi="ar-SA"/>
              </w:rPr>
              <w:t>1.118</w:t>
            </w:r>
          </w:p>
        </w:tc>
        <w:tc>
          <w:tcPr>
            <w:tcW w:w="688" w:type="pct"/>
            <w:vMerge w:val="restart"/>
            <w:tcBorders>
              <w:top w:val="nil"/>
              <w:left w:val="single" w:sz="4" w:space="0" w:color="auto"/>
              <w:bottom w:val="single" w:sz="8" w:space="0" w:color="000000"/>
              <w:right w:val="single" w:sz="12" w:space="0" w:color="auto"/>
            </w:tcBorders>
            <w:shd w:val="clear" w:color="auto" w:fill="auto"/>
            <w:noWrap/>
            <w:vAlign w:val="center"/>
            <w:hideMark/>
          </w:tcPr>
          <w:p w:rsidR="00BC038B" w:rsidRPr="002C692A" w:rsidP="004E16D7" w14:paraId="349C5206" w14:textId="1DBB617E">
            <w:pPr>
              <w:widowControl/>
              <w:suppressAutoHyphens/>
              <w:jc w:val="center"/>
              <w:rPr>
                <w:rStyle w:val="DefaultParagraphFont"/>
                <w:snapToGrid/>
                <w:kern w:val="0"/>
                <w:sz w:val="20"/>
                <w:lang w:val="en-US" w:eastAsia="en-US" w:bidi="ar-SA"/>
              </w:rPr>
            </w:pPr>
            <w:r>
              <w:rPr>
                <w:snapToGrid w:val="0"/>
                <w:kern w:val="28"/>
                <w:sz w:val="20"/>
                <w:lang w:val="en-US" w:eastAsia="en-US" w:bidi="ar-SA"/>
              </w:rPr>
              <w:t>2.4%</w:t>
            </w:r>
          </w:p>
        </w:tc>
      </w:tr>
      <w:tr w14:paraId="64D5867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12" w:space="0" w:color="auto"/>
              <w:right w:val="single" w:sz="4" w:space="0" w:color="auto"/>
            </w:tcBorders>
            <w:vAlign w:val="center"/>
            <w:hideMark/>
          </w:tcPr>
          <w:p w:rsidR="00C104CF" w:rsidRPr="00C104CF" w:rsidP="004E16D7" w14:paraId="5EBE9464"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12" w:space="0" w:color="auto"/>
              <w:right w:val="single" w:sz="4" w:space="0" w:color="auto"/>
            </w:tcBorders>
            <w:vAlign w:val="center"/>
            <w:hideMark/>
          </w:tcPr>
          <w:p w:rsidR="00C104CF" w:rsidRPr="00C104CF" w:rsidP="004E16D7" w14:paraId="504FB6A4"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12" w:space="0" w:color="auto"/>
              <w:right w:val="single" w:sz="4" w:space="0" w:color="auto"/>
            </w:tcBorders>
            <w:vAlign w:val="center"/>
            <w:hideMark/>
          </w:tcPr>
          <w:p w:rsidR="00C104CF" w:rsidRPr="002C692A" w:rsidP="004E16D7" w14:paraId="1D1E8427" w14:textId="77777777">
            <w:pPr>
              <w:widowControl/>
              <w:suppressAutoHyphens/>
              <w:rPr>
                <w:rStyle w:val="DefaultParagraphFont"/>
                <w:snapToGrid/>
                <w:kern w:val="0"/>
                <w:sz w:val="20"/>
                <w:lang w:val="en-US" w:eastAsia="en-US" w:bidi="ar-SA"/>
              </w:rPr>
            </w:pPr>
          </w:p>
        </w:tc>
        <w:tc>
          <w:tcPr>
            <w:tcW w:w="385" w:type="pct"/>
            <w:tcBorders>
              <w:top w:val="nil"/>
              <w:left w:val="nil"/>
              <w:bottom w:val="single" w:sz="12" w:space="0" w:color="auto"/>
              <w:right w:val="single" w:sz="4" w:space="0" w:color="auto"/>
            </w:tcBorders>
            <w:shd w:val="clear" w:color="auto" w:fill="auto"/>
            <w:noWrap/>
            <w:vAlign w:val="bottom"/>
            <w:hideMark/>
          </w:tcPr>
          <w:p w:rsidR="00C104CF" w:rsidRPr="002C692A" w:rsidP="004E16D7" w14:paraId="36C08617" w14:textId="77777777">
            <w:pPr>
              <w:widowControl/>
              <w:suppressAutoHyphens/>
              <w:jc w:val="center"/>
              <w:rPr>
                <w:rStyle w:val="DefaultParagraphFont"/>
                <w:snapToGrid/>
                <w:kern w:val="0"/>
                <w:sz w:val="20"/>
                <w:lang w:val="en-US" w:eastAsia="en-US" w:bidi="ar-SA"/>
              </w:rPr>
            </w:pPr>
            <w:r w:rsidRPr="002C692A">
              <w:rPr>
                <w:snapToGrid/>
                <w:kern w:val="0"/>
                <w:sz w:val="20"/>
                <w:lang w:val="en-US" w:eastAsia="en-US" w:bidi="ar-SA"/>
              </w:rPr>
              <w:t>2015</w:t>
            </w:r>
          </w:p>
        </w:tc>
        <w:tc>
          <w:tcPr>
            <w:tcW w:w="319" w:type="pct"/>
            <w:tcBorders>
              <w:top w:val="nil"/>
              <w:left w:val="nil"/>
              <w:bottom w:val="single" w:sz="12" w:space="0" w:color="auto"/>
              <w:right w:val="single" w:sz="4" w:space="0" w:color="auto"/>
            </w:tcBorders>
            <w:shd w:val="clear" w:color="auto" w:fill="auto"/>
            <w:noWrap/>
            <w:vAlign w:val="bottom"/>
            <w:hideMark/>
          </w:tcPr>
          <w:p w:rsidR="00C104CF" w:rsidRPr="002C692A" w:rsidP="004E16D7" w14:paraId="12E4E37F" w14:textId="77777777">
            <w:pPr>
              <w:widowControl/>
              <w:suppressAutoHyphens/>
              <w:jc w:val="center"/>
              <w:rPr>
                <w:rStyle w:val="DefaultParagraphFont"/>
                <w:snapToGrid/>
                <w:kern w:val="0"/>
                <w:sz w:val="20"/>
                <w:lang w:val="en-US" w:eastAsia="en-US" w:bidi="ar-SA"/>
              </w:rPr>
            </w:pPr>
            <w:r w:rsidRPr="002C692A">
              <w:rPr>
                <w:snapToGrid/>
                <w:kern w:val="0"/>
                <w:sz w:val="20"/>
                <w:lang w:val="en-US" w:eastAsia="en-US" w:bidi="ar-SA"/>
              </w:rPr>
              <w:t>39</w:t>
            </w:r>
          </w:p>
        </w:tc>
        <w:tc>
          <w:tcPr>
            <w:tcW w:w="704" w:type="pct"/>
            <w:tcBorders>
              <w:top w:val="nil"/>
              <w:left w:val="nil"/>
              <w:bottom w:val="single" w:sz="12" w:space="0" w:color="auto"/>
              <w:right w:val="single" w:sz="4" w:space="0" w:color="auto"/>
            </w:tcBorders>
            <w:shd w:val="clear" w:color="auto" w:fill="auto"/>
            <w:noWrap/>
            <w:vAlign w:val="bottom"/>
            <w:hideMark/>
          </w:tcPr>
          <w:p w:rsidR="00C104CF" w:rsidRPr="002C692A" w:rsidP="004E16D7" w14:paraId="71F82905" w14:textId="77777777">
            <w:pPr>
              <w:widowControl/>
              <w:suppressAutoHyphens/>
              <w:jc w:val="center"/>
              <w:rPr>
                <w:rStyle w:val="DefaultParagraphFont"/>
                <w:snapToGrid/>
                <w:kern w:val="0"/>
                <w:sz w:val="20"/>
                <w:lang w:val="en-US" w:eastAsia="en-US" w:bidi="ar-SA"/>
              </w:rPr>
            </w:pPr>
            <w:r w:rsidRPr="002C692A">
              <w:rPr>
                <w:snapToGrid/>
                <w:kern w:val="0"/>
                <w:sz w:val="20"/>
                <w:lang w:val="en-US" w:eastAsia="en-US" w:bidi="ar-SA"/>
              </w:rPr>
              <w:t>$83.31</w:t>
            </w:r>
          </w:p>
        </w:tc>
        <w:tc>
          <w:tcPr>
            <w:tcW w:w="597" w:type="pct"/>
            <w:tcBorders>
              <w:top w:val="nil"/>
              <w:left w:val="nil"/>
              <w:bottom w:val="single" w:sz="12" w:space="0" w:color="auto"/>
              <w:right w:val="single" w:sz="4" w:space="0" w:color="auto"/>
            </w:tcBorders>
            <w:shd w:val="clear" w:color="auto" w:fill="auto"/>
            <w:noWrap/>
            <w:vAlign w:val="bottom"/>
            <w:hideMark/>
          </w:tcPr>
          <w:p w:rsidR="00C104CF" w:rsidRPr="002C692A" w:rsidP="004E16D7" w14:paraId="584A9342" w14:textId="77777777">
            <w:pPr>
              <w:widowControl/>
              <w:suppressAutoHyphens/>
              <w:jc w:val="center"/>
              <w:rPr>
                <w:rStyle w:val="DefaultParagraphFont"/>
                <w:snapToGrid/>
                <w:kern w:val="0"/>
                <w:sz w:val="20"/>
                <w:lang w:val="en-US" w:eastAsia="en-US" w:bidi="ar-SA"/>
              </w:rPr>
            </w:pPr>
            <w:r w:rsidRPr="002C692A">
              <w:rPr>
                <w:snapToGrid/>
                <w:kern w:val="0"/>
                <w:sz w:val="20"/>
                <w:lang w:val="en-US" w:eastAsia="en-US" w:bidi="ar-SA"/>
              </w:rPr>
              <w:t>0.953</w:t>
            </w:r>
          </w:p>
        </w:tc>
        <w:tc>
          <w:tcPr>
            <w:tcW w:w="688" w:type="pct"/>
            <w:vMerge/>
            <w:tcBorders>
              <w:top w:val="nil"/>
              <w:left w:val="single" w:sz="4" w:space="0" w:color="auto"/>
              <w:bottom w:val="single" w:sz="12" w:space="0" w:color="auto"/>
              <w:right w:val="single" w:sz="12" w:space="0" w:color="auto"/>
            </w:tcBorders>
            <w:vAlign w:val="center"/>
            <w:hideMark/>
          </w:tcPr>
          <w:p w:rsidR="00C104CF" w:rsidRPr="002C692A" w:rsidP="004E16D7" w14:paraId="4000414A" w14:textId="77777777">
            <w:pPr>
              <w:widowControl/>
              <w:suppressAutoHyphens/>
              <w:rPr>
                <w:rStyle w:val="DefaultParagraphFont"/>
                <w:snapToGrid/>
                <w:kern w:val="0"/>
                <w:sz w:val="20"/>
                <w:lang w:val="en-US" w:eastAsia="en-US" w:bidi="ar-SA"/>
              </w:rPr>
            </w:pPr>
          </w:p>
        </w:tc>
      </w:tr>
      <w:tr w14:paraId="3C7B48BC" w14:textId="77777777" w:rsidTr="00A46F4A">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val="restart"/>
            <w:tcBorders>
              <w:top w:val="single" w:sz="12" w:space="0" w:color="auto"/>
              <w:left w:val="nil"/>
              <w:bottom w:val="nil"/>
              <w:right w:val="nil"/>
            </w:tcBorders>
            <w:shd w:val="clear" w:color="auto" w:fill="auto"/>
            <w:vAlign w:val="bottom"/>
            <w:hideMark/>
          </w:tcPr>
          <w:p w:rsidR="00C104CF" w:rsidRPr="00C104CF" w:rsidP="004E16D7" w14:paraId="6E93F06C" w14:textId="1053D36A">
            <w:pPr>
              <w:widowControl/>
              <w:suppressAutoHyphens/>
              <w:rPr>
                <w:rStyle w:val="DefaultParagraphFont"/>
                <w:snapToGrid/>
                <w:kern w:val="0"/>
                <w:sz w:val="20"/>
                <w:lang w:val="en-US" w:eastAsia="en-US" w:bidi="ar-SA"/>
              </w:rPr>
            </w:pPr>
            <w:r w:rsidRPr="00C104CF">
              <w:rPr>
                <w:snapToGrid/>
                <w:kern w:val="0"/>
                <w:sz w:val="20"/>
                <w:lang w:val="en-US" w:eastAsia="en-US" w:bidi="ar-SA"/>
              </w:rPr>
              <w:t xml:space="preserve">Source: 2016 survey. * </w:t>
            </w:r>
            <w:r w:rsidR="00627256">
              <w:rPr>
                <w:snapToGrid/>
                <w:kern w:val="0"/>
                <w:sz w:val="20"/>
                <w:lang w:val="en-US" w:eastAsia="en-US" w:bidi="ar-SA"/>
              </w:rPr>
              <w:t>A</w:t>
            </w:r>
            <w:r w:rsidRPr="00C104CF">
              <w:rPr>
                <w:snapToGrid/>
                <w:kern w:val="0"/>
                <w:sz w:val="20"/>
                <w:lang w:val="en-US" w:eastAsia="en-US" w:bidi="ar-SA"/>
              </w:rPr>
              <w:t xml:space="preserve">nnual change is statistically significant at the 95% confidence level. </w:t>
            </w:r>
            <w:r w:rsidR="00297FBE">
              <w:rPr>
                <w:snapToGrid/>
                <w:kern w:val="0"/>
                <w:sz w:val="20"/>
                <w:lang w:val="en-US" w:eastAsia="en-US" w:bidi="ar-SA"/>
              </w:rPr>
              <w:t xml:space="preserve"> </w:t>
            </w:r>
            <w:r w:rsidR="00627256">
              <w:rPr>
                <w:snapToGrid/>
                <w:kern w:val="0"/>
                <w:sz w:val="20"/>
                <w:lang w:val="en-US" w:eastAsia="en-US" w:bidi="ar-SA"/>
              </w:rPr>
              <w:t>Price</w:t>
            </w:r>
            <w:r w:rsidRPr="00C104CF">
              <w:rPr>
                <w:snapToGrid/>
                <w:kern w:val="0"/>
                <w:sz w:val="20"/>
                <w:lang w:val="en-US" w:eastAsia="en-US" w:bidi="ar-SA"/>
              </w:rPr>
              <w:t xml:space="preserve"> do</w:t>
            </w:r>
            <w:r w:rsidR="00627256">
              <w:rPr>
                <w:snapToGrid/>
                <w:kern w:val="0"/>
                <w:sz w:val="20"/>
                <w:lang w:val="en-US" w:eastAsia="en-US" w:bidi="ar-SA"/>
              </w:rPr>
              <w:t>es</w:t>
            </w:r>
            <w:r w:rsidRPr="00C104CF">
              <w:rPr>
                <w:snapToGrid/>
                <w:kern w:val="0"/>
                <w:sz w:val="20"/>
                <w:lang w:val="en-US" w:eastAsia="en-US" w:bidi="ar-SA"/>
              </w:rPr>
              <w:t xml:space="preserve"> not include equipment, unless the operator bundles the programming service and equipment in a single price.</w:t>
            </w:r>
          </w:p>
        </w:tc>
      </w:tr>
      <w:tr w14:paraId="4760D6F1" w14:textId="77777777" w:rsidTr="00A46F4A">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tcBorders>
              <w:top w:val="nil"/>
              <w:left w:val="nil"/>
              <w:bottom w:val="nil"/>
              <w:right w:val="nil"/>
            </w:tcBorders>
            <w:vAlign w:val="bottom"/>
            <w:hideMark/>
          </w:tcPr>
          <w:p w:rsidR="00C104CF" w:rsidRPr="00C104CF" w:rsidP="004E16D7" w14:paraId="60A2248B" w14:textId="77777777">
            <w:pPr>
              <w:widowControl/>
              <w:suppressAutoHyphens/>
              <w:rPr>
                <w:rStyle w:val="DefaultParagraphFont"/>
                <w:snapToGrid/>
                <w:kern w:val="0"/>
                <w:sz w:val="20"/>
                <w:lang w:val="en-US" w:eastAsia="en-US" w:bidi="ar-SA"/>
              </w:rPr>
            </w:pPr>
          </w:p>
        </w:tc>
      </w:tr>
      <w:tr w14:paraId="72146054" w14:textId="77777777" w:rsidTr="00A46F4A">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tcBorders>
              <w:top w:val="nil"/>
              <w:left w:val="nil"/>
              <w:bottom w:val="nil"/>
              <w:right w:val="nil"/>
            </w:tcBorders>
            <w:vAlign w:val="bottom"/>
            <w:hideMark/>
          </w:tcPr>
          <w:p w:rsidR="00C104CF" w:rsidRPr="00C104CF" w:rsidP="004E16D7" w14:paraId="6922AB59" w14:textId="77777777">
            <w:pPr>
              <w:widowControl/>
              <w:suppressAutoHyphens/>
              <w:rPr>
                <w:rStyle w:val="DefaultParagraphFont"/>
                <w:snapToGrid/>
                <w:kern w:val="0"/>
                <w:sz w:val="20"/>
                <w:lang w:val="en-US" w:eastAsia="en-US" w:bidi="ar-SA"/>
              </w:rPr>
            </w:pPr>
          </w:p>
        </w:tc>
      </w:tr>
      <w:tr w14:paraId="790AEB74" w14:textId="77777777" w:rsidTr="00A46F4A">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tcBorders>
              <w:top w:val="nil"/>
              <w:left w:val="nil"/>
              <w:bottom w:val="nil"/>
              <w:right w:val="nil"/>
            </w:tcBorders>
            <w:vAlign w:val="center"/>
            <w:hideMark/>
          </w:tcPr>
          <w:p w:rsidR="00C104CF" w:rsidRPr="00C104CF" w:rsidP="004E16D7" w14:paraId="12C05F0B" w14:textId="77777777">
            <w:pPr>
              <w:widowControl/>
              <w:suppressAutoHyphens/>
              <w:rPr>
                <w:rStyle w:val="DefaultParagraphFont"/>
                <w:snapToGrid/>
                <w:kern w:val="0"/>
                <w:sz w:val="20"/>
                <w:lang w:val="en-US" w:eastAsia="en-US" w:bidi="ar-SA"/>
              </w:rPr>
            </w:pPr>
          </w:p>
        </w:tc>
      </w:tr>
    </w:tbl>
    <w:p w:rsidR="00C104CF" w:rsidP="004E16D7" w14:paraId="32F7C5C4" w14:textId="77777777">
      <w:pPr>
        <w:suppressAutoHyphens/>
      </w:pPr>
    </w:p>
    <w:p w:rsidR="00BE6C03" w:rsidP="004E16D7" w14:paraId="666AB728" w14:textId="77777777">
      <w:pPr>
        <w:widowControl/>
        <w:suppressAutoHyphens/>
        <w:rPr>
          <w:szCs w:val="22"/>
        </w:rPr>
      </w:pPr>
    </w:p>
    <w:p w:rsidR="00E64499" w:rsidP="004E16D7" w14:paraId="0B30450E" w14:textId="77777777">
      <w:pPr>
        <w:widowControl/>
        <w:suppressAutoHyphens/>
        <w:rPr>
          <w:b/>
          <w:szCs w:val="22"/>
        </w:rPr>
      </w:pPr>
    </w:p>
    <w:tbl>
      <w:tblPr>
        <w:tblW w:w="5000" w:type="pct"/>
        <w:tblInd w:w="0" w:type="dxa"/>
        <w:tblLayout w:type="fixed"/>
        <w:tblCellMar>
          <w:top w:w="0" w:type="dxa"/>
          <w:left w:w="108" w:type="dxa"/>
          <w:bottom w:w="0" w:type="dxa"/>
          <w:right w:w="108" w:type="dxa"/>
        </w:tblCellMar>
        <w:tblLook w:val="04A0"/>
      </w:tblPr>
      <w:tblGrid>
        <w:gridCol w:w="1338"/>
        <w:gridCol w:w="1260"/>
        <w:gridCol w:w="1707"/>
        <w:gridCol w:w="718"/>
        <w:gridCol w:w="595"/>
        <w:gridCol w:w="1314"/>
        <w:gridCol w:w="1114"/>
        <w:gridCol w:w="1284"/>
      </w:tblGrid>
      <w:tr w14:paraId="73569A04" w14:textId="77777777" w:rsidTr="00A46F4A">
        <w:tblPrEx>
          <w:tblW w:w="5000" w:type="pct"/>
          <w:tblInd w:w="0" w:type="dxa"/>
          <w:tblLayout w:type="fixed"/>
          <w:tblCellMar>
            <w:top w:w="0" w:type="dxa"/>
            <w:left w:w="108" w:type="dxa"/>
            <w:bottom w:w="0" w:type="dxa"/>
            <w:right w:w="108" w:type="dxa"/>
          </w:tblCellMar>
          <w:tblLook w:val="04A0"/>
        </w:tblPrEx>
        <w:trPr>
          <w:trHeight w:hRule="exact" w:val="1152"/>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F0FCC" w:rsidRPr="002C692A" w:rsidP="004E16D7" w14:paraId="527795D5" w14:textId="7A9D57EE">
            <w:pPr>
              <w:widowControl/>
              <w:suppressAutoHyphens/>
              <w:jc w:val="center"/>
              <w:rPr>
                <w:rStyle w:val="DefaultParagraphFont"/>
                <w:b/>
                <w:bCs/>
                <w:snapToGrid/>
                <w:kern w:val="0"/>
                <w:sz w:val="24"/>
                <w:szCs w:val="24"/>
                <w:lang w:val="en-US" w:eastAsia="en-US" w:bidi="ar-SA"/>
              </w:rPr>
            </w:pPr>
            <w:r>
              <w:rPr>
                <w:b/>
                <w:bCs/>
                <w:snapToGrid/>
                <w:kern w:val="0"/>
                <w:sz w:val="24"/>
                <w:szCs w:val="24"/>
                <w:lang w:val="en-US" w:eastAsia="en-US" w:bidi="ar-SA"/>
              </w:rPr>
              <w:t>Attachment 3</w:t>
            </w:r>
          </w:p>
          <w:p w:rsidR="001F0FCC" w:rsidRPr="002C692A" w:rsidP="004E16D7" w14:paraId="50BBEDA3" w14:textId="0143418C">
            <w:pPr>
              <w:widowControl/>
              <w:suppressAutoHyphens/>
              <w:jc w:val="center"/>
              <w:rPr>
                <w:rStyle w:val="DefaultParagraphFont"/>
                <w:b/>
                <w:bCs/>
                <w:snapToGrid/>
                <w:kern w:val="0"/>
                <w:sz w:val="24"/>
                <w:szCs w:val="24"/>
                <w:lang w:val="en-US" w:eastAsia="en-US" w:bidi="ar-SA"/>
              </w:rPr>
            </w:pPr>
            <w:r w:rsidRPr="002C692A">
              <w:rPr>
                <w:b/>
                <w:bCs/>
                <w:snapToGrid/>
                <w:kern w:val="0"/>
                <w:sz w:val="24"/>
                <w:szCs w:val="24"/>
                <w:lang w:val="en-US" w:eastAsia="en-US" w:bidi="ar-SA"/>
              </w:rPr>
              <w:t>Average Price of Cable Programming</w:t>
            </w:r>
            <w:r>
              <w:rPr>
                <w:b/>
                <w:bCs/>
                <w:snapToGrid/>
                <w:kern w:val="0"/>
                <w:sz w:val="24"/>
                <w:szCs w:val="24"/>
                <w:lang w:val="en-US" w:eastAsia="en-US" w:bidi="ar-SA"/>
              </w:rPr>
              <w:t xml:space="preserve"> and Equipment</w:t>
            </w:r>
          </w:p>
          <w:p w:rsidR="001F0FCC" w:rsidRPr="004F4DA5" w:rsidP="004E16D7" w14:paraId="54985736" w14:textId="77777777">
            <w:pPr>
              <w:widowControl w:val="0"/>
              <w:suppressAutoHyphens/>
              <w:jc w:val="center"/>
              <w:rPr>
                <w:rStyle w:val="DefaultParagraphFont"/>
                <w:b/>
                <w:bCs/>
                <w:snapToGrid/>
                <w:kern w:val="0"/>
                <w:sz w:val="22"/>
                <w:szCs w:val="22"/>
                <w:lang w:val="en-US" w:eastAsia="en-US" w:bidi="ar-SA"/>
              </w:rPr>
            </w:pPr>
            <w:r w:rsidRPr="002C692A">
              <w:rPr>
                <w:b/>
                <w:bCs/>
                <w:snapToGrid/>
                <w:kern w:val="0"/>
                <w:sz w:val="24"/>
                <w:szCs w:val="24"/>
                <w:lang w:val="en-US" w:eastAsia="en-US" w:bidi="ar-SA"/>
              </w:rPr>
              <w:t>by Sample and Programming Service</w:t>
            </w:r>
          </w:p>
        </w:tc>
      </w:tr>
      <w:tr w14:paraId="7604B7C7" w14:textId="77777777" w:rsidTr="001F0FCC">
        <w:tblPrEx>
          <w:tblW w:w="5000" w:type="pct"/>
          <w:tblInd w:w="0" w:type="dxa"/>
          <w:tblLayout w:type="fixed"/>
          <w:tblCellMar>
            <w:top w:w="0" w:type="dxa"/>
            <w:left w:w="108" w:type="dxa"/>
            <w:bottom w:w="0" w:type="dxa"/>
            <w:right w:w="108" w:type="dxa"/>
          </w:tblCellMar>
          <w:tblLook w:val="04A0"/>
        </w:tblPrEx>
        <w:trPr>
          <w:trHeight w:hRule="exact" w:val="576"/>
        </w:trPr>
        <w:tc>
          <w:tcPr>
            <w:tcW w:w="717" w:type="pct"/>
            <w:tcBorders>
              <w:top w:val="single" w:sz="12" w:space="0" w:color="auto"/>
              <w:left w:val="single" w:sz="12" w:space="0" w:color="auto"/>
              <w:bottom w:val="single" w:sz="8" w:space="0" w:color="auto"/>
              <w:right w:val="single" w:sz="4" w:space="0" w:color="auto"/>
            </w:tcBorders>
            <w:shd w:val="clear" w:color="auto" w:fill="auto"/>
            <w:vAlign w:val="center"/>
            <w:hideMark/>
          </w:tcPr>
          <w:p w:rsidR="001F0FCC" w:rsidRPr="002C692A" w:rsidP="004E16D7" w14:paraId="5C5F7EC4"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Sample Group</w:t>
            </w:r>
          </w:p>
        </w:tc>
        <w:tc>
          <w:tcPr>
            <w:tcW w:w="675" w:type="pct"/>
            <w:tcBorders>
              <w:top w:val="single" w:sz="12" w:space="0" w:color="auto"/>
              <w:left w:val="nil"/>
              <w:bottom w:val="single" w:sz="8" w:space="0" w:color="auto"/>
              <w:right w:val="single" w:sz="4" w:space="0" w:color="auto"/>
            </w:tcBorders>
            <w:shd w:val="clear" w:color="auto" w:fill="auto"/>
            <w:vAlign w:val="center"/>
            <w:hideMark/>
          </w:tcPr>
          <w:p w:rsidR="001F0FCC" w:rsidRPr="002C692A" w:rsidP="004E16D7" w14:paraId="568F1405"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Subgroup</w:t>
            </w:r>
          </w:p>
        </w:tc>
        <w:tc>
          <w:tcPr>
            <w:tcW w:w="915" w:type="pct"/>
            <w:tcBorders>
              <w:top w:val="single" w:sz="12" w:space="0" w:color="auto"/>
              <w:left w:val="nil"/>
              <w:bottom w:val="single" w:sz="8" w:space="0" w:color="auto"/>
              <w:right w:val="single" w:sz="4" w:space="0" w:color="auto"/>
            </w:tcBorders>
            <w:shd w:val="clear" w:color="auto" w:fill="auto"/>
            <w:vAlign w:val="center"/>
            <w:hideMark/>
          </w:tcPr>
          <w:p w:rsidR="001F0FCC" w:rsidRPr="002C692A" w:rsidP="004E16D7" w14:paraId="49FFF675"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Service</w:t>
            </w:r>
          </w:p>
        </w:tc>
        <w:tc>
          <w:tcPr>
            <w:tcW w:w="385" w:type="pct"/>
            <w:tcBorders>
              <w:top w:val="single" w:sz="12" w:space="0" w:color="auto"/>
              <w:left w:val="nil"/>
              <w:bottom w:val="single" w:sz="8" w:space="0" w:color="auto"/>
              <w:right w:val="single" w:sz="4" w:space="0" w:color="auto"/>
            </w:tcBorders>
            <w:shd w:val="clear" w:color="auto" w:fill="auto"/>
            <w:vAlign w:val="center"/>
            <w:hideMark/>
          </w:tcPr>
          <w:p w:rsidR="001F0FCC" w:rsidRPr="002C692A" w:rsidP="004E16D7" w14:paraId="7B9EBCE5"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Year</w:t>
            </w:r>
          </w:p>
        </w:tc>
        <w:tc>
          <w:tcPr>
            <w:tcW w:w="319" w:type="pct"/>
            <w:tcBorders>
              <w:top w:val="single" w:sz="12" w:space="0" w:color="auto"/>
              <w:left w:val="nil"/>
              <w:bottom w:val="single" w:sz="8" w:space="0" w:color="auto"/>
              <w:right w:val="single" w:sz="4" w:space="0" w:color="auto"/>
            </w:tcBorders>
            <w:shd w:val="clear" w:color="auto" w:fill="auto"/>
            <w:vAlign w:val="center"/>
            <w:hideMark/>
          </w:tcPr>
          <w:p w:rsidR="001F0FCC" w:rsidRPr="002C692A" w:rsidP="004E16D7" w14:paraId="13C18798"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n</w:t>
            </w:r>
          </w:p>
        </w:tc>
        <w:tc>
          <w:tcPr>
            <w:tcW w:w="704" w:type="pct"/>
            <w:tcBorders>
              <w:top w:val="single" w:sz="12" w:space="0" w:color="auto"/>
              <w:left w:val="nil"/>
              <w:bottom w:val="single" w:sz="8" w:space="0" w:color="auto"/>
              <w:right w:val="single" w:sz="4" w:space="0" w:color="auto"/>
            </w:tcBorders>
            <w:shd w:val="clear" w:color="auto" w:fill="auto"/>
            <w:vAlign w:val="center"/>
            <w:hideMark/>
          </w:tcPr>
          <w:p w:rsidR="001F0FCC" w:rsidRPr="002C692A" w:rsidP="004E16D7" w14:paraId="027B8300"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Sample Mean</w:t>
            </w:r>
          </w:p>
        </w:tc>
        <w:tc>
          <w:tcPr>
            <w:tcW w:w="597" w:type="pct"/>
            <w:tcBorders>
              <w:top w:val="single" w:sz="12" w:space="0" w:color="auto"/>
              <w:left w:val="nil"/>
              <w:bottom w:val="single" w:sz="8" w:space="0" w:color="auto"/>
              <w:right w:val="single" w:sz="4" w:space="0" w:color="auto"/>
            </w:tcBorders>
            <w:shd w:val="clear" w:color="auto" w:fill="auto"/>
            <w:vAlign w:val="center"/>
            <w:hideMark/>
          </w:tcPr>
          <w:p w:rsidR="001F0FCC" w:rsidRPr="002C692A" w:rsidP="004E16D7" w14:paraId="575D53FE"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Standard Error</w:t>
            </w:r>
          </w:p>
        </w:tc>
        <w:tc>
          <w:tcPr>
            <w:tcW w:w="688" w:type="pct"/>
            <w:tcBorders>
              <w:top w:val="single" w:sz="12" w:space="0" w:color="auto"/>
              <w:left w:val="nil"/>
              <w:bottom w:val="single" w:sz="8" w:space="0" w:color="auto"/>
              <w:right w:val="single" w:sz="12" w:space="0" w:color="auto"/>
            </w:tcBorders>
            <w:shd w:val="clear" w:color="auto" w:fill="auto"/>
            <w:vAlign w:val="center"/>
            <w:hideMark/>
          </w:tcPr>
          <w:p w:rsidR="001F0FCC" w:rsidRPr="002C692A" w:rsidP="004E16D7" w14:paraId="326C0B92" w14:textId="77777777">
            <w:pPr>
              <w:widowControl/>
              <w:suppressAutoHyphens/>
              <w:jc w:val="center"/>
              <w:rPr>
                <w:rStyle w:val="DefaultParagraphFont"/>
                <w:b/>
                <w:bCs/>
                <w:iCs/>
                <w:snapToGrid/>
                <w:kern w:val="0"/>
                <w:sz w:val="22"/>
                <w:szCs w:val="22"/>
                <w:lang w:val="en-US" w:eastAsia="en-US" w:bidi="ar-SA"/>
              </w:rPr>
            </w:pPr>
            <w:r w:rsidRPr="002C692A">
              <w:rPr>
                <w:b/>
                <w:bCs/>
                <w:iCs/>
                <w:snapToGrid/>
                <w:kern w:val="0"/>
                <w:sz w:val="22"/>
                <w:szCs w:val="22"/>
                <w:lang w:val="en-US" w:eastAsia="en-US" w:bidi="ar-SA"/>
              </w:rPr>
              <w:t>Annual Change</w:t>
            </w:r>
          </w:p>
        </w:tc>
      </w:tr>
      <w:tr w14:paraId="3B6E436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val="restart"/>
            <w:tcBorders>
              <w:top w:val="nil"/>
              <w:left w:val="single" w:sz="12" w:space="0" w:color="auto"/>
              <w:bottom w:val="single" w:sz="4" w:space="0" w:color="auto"/>
              <w:right w:val="single" w:sz="4" w:space="0" w:color="auto"/>
            </w:tcBorders>
            <w:shd w:val="clear" w:color="auto" w:fill="auto"/>
            <w:vAlign w:val="center"/>
            <w:hideMark/>
          </w:tcPr>
          <w:p w:rsidR="00DF3AC5" w:rsidRPr="002C692A" w:rsidP="004E16D7" w14:paraId="2E0B4208" w14:textId="77777777">
            <w:pPr>
              <w:widowControl/>
              <w:suppressAutoHyphens/>
              <w:jc w:val="center"/>
              <w:rPr>
                <w:rStyle w:val="DefaultParagraphFont"/>
                <w:b/>
                <w:snapToGrid/>
                <w:kern w:val="0"/>
                <w:sz w:val="20"/>
                <w:lang w:val="en-US" w:eastAsia="en-US" w:bidi="ar-SA"/>
              </w:rPr>
            </w:pPr>
            <w:r>
              <w:rPr>
                <w:b/>
                <w:snapToGrid/>
                <w:kern w:val="0"/>
                <w:sz w:val="20"/>
                <w:lang w:val="en-US" w:eastAsia="en-US" w:bidi="ar-SA"/>
              </w:rPr>
              <w:t>Full</w:t>
            </w:r>
            <w:r w:rsidRPr="002C692A">
              <w:rPr>
                <w:b/>
                <w:snapToGrid/>
                <w:kern w:val="0"/>
                <w:sz w:val="20"/>
                <w:lang w:val="en-US" w:eastAsia="en-US" w:bidi="ar-SA"/>
              </w:rPr>
              <w:t xml:space="preserve"> sample</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DF3AC5" w:rsidRPr="002C692A" w:rsidP="004E16D7" w14:paraId="00F106C0" w14:textId="77777777">
            <w:pPr>
              <w:widowControl/>
              <w:suppressAutoHyphens/>
              <w:jc w:val="center"/>
              <w:rPr>
                <w:rStyle w:val="DefaultParagraphFont"/>
                <w:b/>
                <w:snapToGrid/>
                <w:kern w:val="0"/>
                <w:sz w:val="20"/>
                <w:lang w:val="en-US" w:eastAsia="en-US" w:bidi="ar-SA"/>
              </w:rPr>
            </w:pPr>
            <w:r>
              <w:rPr>
                <w:b/>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99C9F0F"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488EDBD7" w14:textId="6DF71E7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2B94A0CC" w14:textId="372074C6">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767</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7FE975D7" w14:textId="11D32F41">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$30.00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3A5AC11A" w14:textId="3F3E4683">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0.296</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DF3AC5" w:rsidP="004E16D7" w14:paraId="46AECFFF" w14:textId="1B65FE66">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5.0%*</w:t>
            </w:r>
          </w:p>
        </w:tc>
      </w:tr>
      <w:tr w14:paraId="4029998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101C9120"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32F82FC6"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764D8CC7"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81EA3EF" w14:textId="23E17115">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A83C231" w14:textId="397C7D2F">
            <w:pPr>
              <w:widowControl/>
              <w:suppressAutoHyphens/>
              <w:jc w:val="center"/>
              <w:rPr>
                <w:rStyle w:val="DefaultParagraphFont"/>
                <w:snapToGrid/>
                <w:kern w:val="0"/>
                <w:sz w:val="20"/>
                <w:lang w:val="en-US" w:eastAsia="en-US" w:bidi="ar-SA"/>
              </w:rPr>
            </w:pPr>
            <w:r>
              <w:rPr>
                <w:snapToGrid w:val="0"/>
                <w:kern w:val="28"/>
                <w:sz w:val="20"/>
                <w:lang w:val="en-US" w:eastAsia="en-US" w:bidi="ar-SA"/>
              </w:rPr>
              <w:t>752</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BBDBEBF" w14:textId="3096FAB8">
            <w:pPr>
              <w:widowControl/>
              <w:suppressAutoHyphens/>
              <w:jc w:val="center"/>
              <w:rPr>
                <w:rStyle w:val="DefaultParagraphFont"/>
                <w:snapToGrid/>
                <w:kern w:val="0"/>
                <w:sz w:val="20"/>
                <w:lang w:val="en-US" w:eastAsia="en-US" w:bidi="ar-SA"/>
              </w:rPr>
            </w:pPr>
            <w:r>
              <w:rPr>
                <w:snapToGrid w:val="0"/>
                <w:kern w:val="28"/>
                <w:sz w:val="20"/>
                <w:lang w:val="en-US" w:eastAsia="en-US" w:bidi="ar-SA"/>
              </w:rPr>
              <w:t>$28.58</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94B8346" w14:textId="1AAD2040">
            <w:pPr>
              <w:widowControl/>
              <w:suppressAutoHyphens/>
              <w:jc w:val="center"/>
              <w:rPr>
                <w:rStyle w:val="DefaultParagraphFont"/>
                <w:snapToGrid/>
                <w:kern w:val="0"/>
                <w:sz w:val="20"/>
                <w:lang w:val="en-US" w:eastAsia="en-US" w:bidi="ar-SA"/>
              </w:rPr>
            </w:pPr>
            <w:r>
              <w:rPr>
                <w:snapToGrid w:val="0"/>
                <w:kern w:val="28"/>
                <w:sz w:val="20"/>
                <w:lang w:val="en-US" w:eastAsia="en-US" w:bidi="ar-SA"/>
              </w:rPr>
              <w:t>0.314</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00F7DEC3" w14:textId="77777777">
            <w:pPr>
              <w:widowControl/>
              <w:suppressAutoHyphens/>
              <w:rPr>
                <w:rStyle w:val="DefaultParagraphFont"/>
                <w:snapToGrid/>
                <w:kern w:val="0"/>
                <w:sz w:val="20"/>
                <w:lang w:val="en-US" w:eastAsia="en-US" w:bidi="ar-SA"/>
              </w:rPr>
            </w:pPr>
          </w:p>
        </w:tc>
      </w:tr>
      <w:tr w14:paraId="3FE53D30"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16F2F2B0"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154FC71"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4653EDD"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B296686" w14:textId="6660D57F">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E4EF789" w14:textId="7D132FDE">
            <w:pPr>
              <w:widowControl/>
              <w:suppressAutoHyphens/>
              <w:jc w:val="center"/>
              <w:rPr>
                <w:rStyle w:val="DefaultParagraphFont"/>
                <w:snapToGrid/>
                <w:kern w:val="0"/>
                <w:sz w:val="20"/>
                <w:lang w:val="en-US" w:eastAsia="en-US" w:bidi="ar-SA"/>
              </w:rPr>
            </w:pPr>
            <w:r>
              <w:rPr>
                <w:snapToGrid w:val="0"/>
                <w:kern w:val="28"/>
                <w:sz w:val="20"/>
                <w:lang w:val="en-US" w:eastAsia="en-US" w:bidi="ar-SA"/>
              </w:rPr>
              <w:t>765</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67B2496" w14:textId="4513F7C2">
            <w:pPr>
              <w:widowControl/>
              <w:suppressAutoHyphens/>
              <w:jc w:val="center"/>
              <w:rPr>
                <w:rStyle w:val="DefaultParagraphFont"/>
                <w:snapToGrid/>
                <w:kern w:val="0"/>
                <w:sz w:val="20"/>
                <w:lang w:val="en-US" w:eastAsia="en-US" w:bidi="ar-SA"/>
              </w:rPr>
            </w:pPr>
            <w:r>
              <w:rPr>
                <w:snapToGrid w:val="0"/>
                <w:kern w:val="28"/>
                <w:sz w:val="20"/>
                <w:lang w:val="en-US" w:eastAsia="en-US" w:bidi="ar-SA"/>
              </w:rPr>
              <w:t>$76.30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D37809C" w14:textId="73109ADE">
            <w:pPr>
              <w:widowControl/>
              <w:suppressAutoHyphens/>
              <w:jc w:val="center"/>
              <w:rPr>
                <w:rStyle w:val="DefaultParagraphFont"/>
                <w:snapToGrid/>
                <w:kern w:val="0"/>
                <w:sz w:val="20"/>
                <w:lang w:val="en-US" w:eastAsia="en-US" w:bidi="ar-SA"/>
              </w:rPr>
            </w:pPr>
            <w:r>
              <w:rPr>
                <w:snapToGrid w:val="0"/>
                <w:kern w:val="28"/>
                <w:sz w:val="20"/>
                <w:lang w:val="en-US" w:eastAsia="en-US" w:bidi="ar-SA"/>
              </w:rPr>
              <w:t>0.307</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754DACA5" w14:textId="32DD46F4">
            <w:pPr>
              <w:widowControl/>
              <w:suppressAutoHyphens/>
              <w:jc w:val="center"/>
              <w:rPr>
                <w:rStyle w:val="DefaultParagraphFont"/>
                <w:snapToGrid/>
                <w:kern w:val="0"/>
                <w:sz w:val="20"/>
                <w:lang w:val="en-US" w:eastAsia="en-US" w:bidi="ar-SA"/>
              </w:rPr>
            </w:pPr>
            <w:r>
              <w:rPr>
                <w:snapToGrid w:val="0"/>
                <w:kern w:val="28"/>
                <w:sz w:val="20"/>
                <w:lang w:val="en-US" w:eastAsia="en-US" w:bidi="ar-SA"/>
              </w:rPr>
              <w:t>3.3%*</w:t>
            </w:r>
          </w:p>
        </w:tc>
      </w:tr>
      <w:tr w14:paraId="6898B73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58692F0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563E2284"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28BF0F46"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4B9CACB" w14:textId="5459EE5C">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26A5A9D6" w14:textId="19451125">
            <w:pPr>
              <w:widowControl/>
              <w:suppressAutoHyphens/>
              <w:jc w:val="center"/>
              <w:rPr>
                <w:rStyle w:val="DefaultParagraphFont"/>
                <w:snapToGrid/>
                <w:kern w:val="0"/>
                <w:sz w:val="20"/>
                <w:lang w:val="en-US" w:eastAsia="en-US" w:bidi="ar-SA"/>
              </w:rPr>
            </w:pPr>
            <w:r>
              <w:rPr>
                <w:snapToGrid w:val="0"/>
                <w:kern w:val="28"/>
                <w:sz w:val="20"/>
                <w:lang w:val="en-US" w:eastAsia="en-US" w:bidi="ar-SA"/>
              </w:rPr>
              <w:t>749</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C713349" w14:textId="2A58C1B5">
            <w:pPr>
              <w:widowControl/>
              <w:suppressAutoHyphens/>
              <w:jc w:val="center"/>
              <w:rPr>
                <w:rStyle w:val="DefaultParagraphFont"/>
                <w:snapToGrid/>
                <w:kern w:val="0"/>
                <w:sz w:val="20"/>
                <w:lang w:val="en-US" w:eastAsia="en-US" w:bidi="ar-SA"/>
              </w:rPr>
            </w:pPr>
            <w:r>
              <w:rPr>
                <w:snapToGrid w:val="0"/>
                <w:kern w:val="28"/>
                <w:sz w:val="20"/>
                <w:lang w:val="en-US" w:eastAsia="en-US" w:bidi="ar-SA"/>
              </w:rPr>
              <w:t>$73.85</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DC9485E" w14:textId="2B364921">
            <w:pPr>
              <w:widowControl/>
              <w:suppressAutoHyphens/>
              <w:jc w:val="center"/>
              <w:rPr>
                <w:rStyle w:val="DefaultParagraphFont"/>
                <w:snapToGrid/>
                <w:kern w:val="0"/>
                <w:sz w:val="20"/>
                <w:lang w:val="en-US" w:eastAsia="en-US" w:bidi="ar-SA"/>
              </w:rPr>
            </w:pPr>
            <w:r>
              <w:rPr>
                <w:snapToGrid w:val="0"/>
                <w:kern w:val="28"/>
                <w:sz w:val="20"/>
                <w:lang w:val="en-US" w:eastAsia="en-US" w:bidi="ar-SA"/>
              </w:rPr>
              <w:t>0.316</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0DEA179E" w14:textId="77777777">
            <w:pPr>
              <w:widowControl/>
              <w:suppressAutoHyphens/>
              <w:rPr>
                <w:rStyle w:val="DefaultParagraphFont"/>
                <w:snapToGrid/>
                <w:kern w:val="0"/>
                <w:sz w:val="20"/>
                <w:lang w:val="en-US" w:eastAsia="en-US" w:bidi="ar-SA"/>
              </w:rPr>
            </w:pPr>
          </w:p>
        </w:tc>
      </w:tr>
      <w:tr w14:paraId="1BA38B9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45BA1A11"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F86CA88"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1147A67"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9A8A7B2" w14:textId="08503FFC">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6362F2E" w14:textId="3E21A5EA">
            <w:pPr>
              <w:widowControl/>
              <w:suppressAutoHyphens/>
              <w:jc w:val="center"/>
              <w:rPr>
                <w:rStyle w:val="DefaultParagraphFont"/>
                <w:snapToGrid/>
                <w:kern w:val="0"/>
                <w:sz w:val="20"/>
                <w:lang w:val="en-US" w:eastAsia="en-US" w:bidi="ar-SA"/>
              </w:rPr>
            </w:pPr>
            <w:r>
              <w:rPr>
                <w:snapToGrid w:val="0"/>
                <w:kern w:val="28"/>
                <w:sz w:val="20"/>
                <w:lang w:val="en-US" w:eastAsia="en-US" w:bidi="ar-SA"/>
              </w:rPr>
              <w:t>724</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7BCD78B" w14:textId="5444B1B7">
            <w:pPr>
              <w:widowControl/>
              <w:suppressAutoHyphens/>
              <w:jc w:val="center"/>
              <w:rPr>
                <w:rStyle w:val="DefaultParagraphFont"/>
                <w:snapToGrid/>
                <w:kern w:val="0"/>
                <w:sz w:val="20"/>
                <w:lang w:val="en-US" w:eastAsia="en-US" w:bidi="ar-SA"/>
              </w:rPr>
            </w:pPr>
            <w:r>
              <w:rPr>
                <w:snapToGrid w:val="0"/>
                <w:kern w:val="28"/>
                <w:sz w:val="20"/>
                <w:lang w:val="en-US" w:eastAsia="en-US" w:bidi="ar-SA"/>
              </w:rPr>
              <w:t>$90.42</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2A5D58D" w14:textId="65E7FDDC">
            <w:pPr>
              <w:widowControl/>
              <w:suppressAutoHyphens/>
              <w:jc w:val="center"/>
              <w:rPr>
                <w:rStyle w:val="DefaultParagraphFont"/>
                <w:snapToGrid/>
                <w:kern w:val="0"/>
                <w:sz w:val="20"/>
                <w:lang w:val="en-US" w:eastAsia="en-US" w:bidi="ar-SA"/>
              </w:rPr>
            </w:pPr>
            <w:r>
              <w:rPr>
                <w:snapToGrid w:val="0"/>
                <w:kern w:val="28"/>
                <w:sz w:val="20"/>
                <w:lang w:val="en-US" w:eastAsia="en-US" w:bidi="ar-SA"/>
              </w:rPr>
              <w:t>0.327</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1EFE44D6" w14:textId="6DF7C572">
            <w:pPr>
              <w:widowControl/>
              <w:suppressAutoHyphens/>
              <w:jc w:val="center"/>
              <w:rPr>
                <w:rStyle w:val="DefaultParagraphFont"/>
                <w:snapToGrid/>
                <w:kern w:val="0"/>
                <w:sz w:val="20"/>
                <w:lang w:val="en-US" w:eastAsia="en-US" w:bidi="ar-SA"/>
              </w:rPr>
            </w:pPr>
            <w:r>
              <w:rPr>
                <w:snapToGrid w:val="0"/>
                <w:kern w:val="28"/>
                <w:sz w:val="20"/>
                <w:lang w:val="en-US" w:eastAsia="en-US" w:bidi="ar-SA"/>
              </w:rPr>
              <w:t>3.7%*</w:t>
            </w:r>
          </w:p>
        </w:tc>
      </w:tr>
      <w:tr w14:paraId="1BD5F5C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6C2E6B54"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4BD8690E"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48431B85"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183AA90" w14:textId="5724D595">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33329B5" w14:textId="3B968671">
            <w:pPr>
              <w:widowControl/>
              <w:suppressAutoHyphens/>
              <w:jc w:val="center"/>
              <w:rPr>
                <w:rStyle w:val="DefaultParagraphFont"/>
                <w:snapToGrid/>
                <w:kern w:val="0"/>
                <w:sz w:val="20"/>
                <w:lang w:val="en-US" w:eastAsia="en-US" w:bidi="ar-SA"/>
              </w:rPr>
            </w:pPr>
            <w:r>
              <w:rPr>
                <w:snapToGrid w:val="0"/>
                <w:kern w:val="28"/>
                <w:sz w:val="20"/>
                <w:lang w:val="en-US" w:eastAsia="en-US" w:bidi="ar-SA"/>
              </w:rPr>
              <w:t>710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CD3E4F7" w14:textId="44D0BA5F">
            <w:pPr>
              <w:widowControl/>
              <w:suppressAutoHyphens/>
              <w:jc w:val="center"/>
              <w:rPr>
                <w:rStyle w:val="DefaultParagraphFont"/>
                <w:snapToGrid/>
                <w:kern w:val="0"/>
                <w:sz w:val="20"/>
                <w:lang w:val="en-US" w:eastAsia="en-US" w:bidi="ar-SA"/>
              </w:rPr>
            </w:pPr>
            <w:r>
              <w:rPr>
                <w:snapToGrid w:val="0"/>
                <w:kern w:val="28"/>
                <w:sz w:val="20"/>
                <w:lang w:val="en-US" w:eastAsia="en-US" w:bidi="ar-SA"/>
              </w:rPr>
              <w:t>$87.20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80393E7" w14:textId="5FB9FE41">
            <w:pPr>
              <w:widowControl/>
              <w:suppressAutoHyphens/>
              <w:jc w:val="center"/>
              <w:rPr>
                <w:rStyle w:val="DefaultParagraphFont"/>
                <w:snapToGrid/>
                <w:kern w:val="0"/>
                <w:sz w:val="20"/>
                <w:lang w:val="en-US" w:eastAsia="en-US" w:bidi="ar-SA"/>
              </w:rPr>
            </w:pPr>
            <w:r>
              <w:rPr>
                <w:snapToGrid w:val="0"/>
                <w:kern w:val="28"/>
                <w:sz w:val="20"/>
                <w:lang w:val="en-US" w:eastAsia="en-US" w:bidi="ar-SA"/>
              </w:rPr>
              <w:t>0.303</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0C4DB2ED" w14:textId="77777777">
            <w:pPr>
              <w:widowControl/>
              <w:suppressAutoHyphens/>
              <w:rPr>
                <w:rStyle w:val="DefaultParagraphFont"/>
                <w:snapToGrid/>
                <w:kern w:val="0"/>
                <w:sz w:val="20"/>
                <w:lang w:val="en-US" w:eastAsia="en-US" w:bidi="ar-SA"/>
              </w:rPr>
            </w:pPr>
          </w:p>
        </w:tc>
      </w:tr>
      <w:tr w14:paraId="7B4B500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DF3AC5" w:rsidP="004E16D7" w14:paraId="7A43B327"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Non</w:t>
            </w:r>
            <w:r>
              <w:rPr>
                <w:b/>
                <w:snapToGrid/>
                <w:kern w:val="0"/>
                <w:sz w:val="20"/>
                <w:lang w:val="en-US" w:eastAsia="en-US" w:bidi="ar-SA"/>
              </w:rPr>
              <w:t>-</w:t>
            </w:r>
          </w:p>
          <w:p w:rsidR="00DF3AC5" w:rsidP="004E16D7" w14:paraId="123CDEC6"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Competitive</w:t>
            </w:r>
          </w:p>
          <w:p w:rsidR="00DF3AC5" w:rsidRPr="002C692A" w:rsidP="004E16D7" w14:paraId="443B124B" w14:textId="77777777">
            <w:pPr>
              <w:widowControl/>
              <w:suppressAutoHyphens/>
              <w:jc w:val="center"/>
              <w:rPr>
                <w:rStyle w:val="DefaultParagraphFont"/>
                <w:b/>
                <w:snapToGrid/>
                <w:kern w:val="0"/>
                <w:sz w:val="20"/>
                <w:lang w:val="en-US" w:eastAsia="en-US" w:bidi="ar-SA"/>
              </w:rPr>
            </w:pPr>
            <w:r>
              <w:rPr>
                <w:b/>
                <w:snapToGrid/>
                <w:kern w:val="0"/>
                <w:sz w:val="20"/>
                <w:lang w:val="en-US" w:eastAsia="en-US" w:bidi="ar-SA"/>
              </w:rPr>
              <w:t>Group</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DF3AC5" w:rsidRPr="002C692A" w:rsidP="004E16D7" w14:paraId="2939A236" w14:textId="77777777">
            <w:pPr>
              <w:widowControl/>
              <w:suppressAutoHyphens/>
              <w:jc w:val="center"/>
              <w:rPr>
                <w:rStyle w:val="DefaultParagraphFont"/>
                <w:b/>
                <w:snapToGrid/>
                <w:kern w:val="0"/>
                <w:sz w:val="20"/>
                <w:lang w:val="en-US" w:eastAsia="en-US" w:bidi="ar-SA"/>
              </w:rPr>
            </w:pPr>
            <w:r>
              <w:rPr>
                <w:b/>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310B8BA"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538B7982" w14:textId="4B67B8FD">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28C14413" w14:textId="162CD6E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452</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195D4A32" w14:textId="34D3DEAF">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$29.83</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2AF429F8" w14:textId="4A2C8287">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0.443</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DF3AC5" w:rsidP="004E16D7" w14:paraId="73FAE5B5" w14:textId="555E9934">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4.6%*</w:t>
            </w:r>
          </w:p>
        </w:tc>
      </w:tr>
      <w:tr w14:paraId="0E5C5153"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134B1A4E"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433CE77F"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1289BFB7"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98C9B62" w14:textId="765642ED">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231D884" w14:textId="039C3A8E">
            <w:pPr>
              <w:widowControl/>
              <w:suppressAutoHyphens/>
              <w:jc w:val="center"/>
              <w:rPr>
                <w:rStyle w:val="DefaultParagraphFont"/>
                <w:snapToGrid/>
                <w:kern w:val="0"/>
                <w:sz w:val="20"/>
                <w:lang w:val="en-US" w:eastAsia="en-US" w:bidi="ar-SA"/>
              </w:rPr>
            </w:pPr>
            <w:r>
              <w:rPr>
                <w:snapToGrid w:val="0"/>
                <w:kern w:val="28"/>
                <w:sz w:val="20"/>
                <w:lang w:val="en-US" w:eastAsia="en-US" w:bidi="ar-SA"/>
              </w:rPr>
              <w:t>440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D4C1898" w14:textId="72F71E10">
            <w:pPr>
              <w:widowControl/>
              <w:suppressAutoHyphens/>
              <w:jc w:val="center"/>
              <w:rPr>
                <w:rStyle w:val="DefaultParagraphFont"/>
                <w:snapToGrid/>
                <w:kern w:val="0"/>
                <w:sz w:val="20"/>
                <w:lang w:val="en-US" w:eastAsia="en-US" w:bidi="ar-SA"/>
              </w:rPr>
            </w:pPr>
            <w:r>
              <w:rPr>
                <w:snapToGrid w:val="0"/>
                <w:kern w:val="28"/>
                <w:sz w:val="20"/>
                <w:lang w:val="en-US" w:eastAsia="en-US" w:bidi="ar-SA"/>
              </w:rPr>
              <w:t>$28.51</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2B58547D" w14:textId="4BC0179F">
            <w:pPr>
              <w:widowControl/>
              <w:suppressAutoHyphens/>
              <w:jc w:val="center"/>
              <w:rPr>
                <w:rStyle w:val="DefaultParagraphFont"/>
                <w:snapToGrid/>
                <w:kern w:val="0"/>
                <w:sz w:val="20"/>
                <w:lang w:val="en-US" w:eastAsia="en-US" w:bidi="ar-SA"/>
              </w:rPr>
            </w:pPr>
            <w:r>
              <w:rPr>
                <w:snapToGrid w:val="0"/>
                <w:kern w:val="28"/>
                <w:sz w:val="20"/>
                <w:lang w:val="en-US" w:eastAsia="en-US" w:bidi="ar-SA"/>
              </w:rPr>
              <w:t>0.452</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76AE0E02" w14:textId="77777777">
            <w:pPr>
              <w:widowControl/>
              <w:suppressAutoHyphens/>
              <w:rPr>
                <w:rStyle w:val="DefaultParagraphFont"/>
                <w:snapToGrid/>
                <w:kern w:val="0"/>
                <w:sz w:val="20"/>
                <w:lang w:val="en-US" w:eastAsia="en-US" w:bidi="ar-SA"/>
              </w:rPr>
            </w:pPr>
          </w:p>
        </w:tc>
      </w:tr>
      <w:tr w14:paraId="11ED3F2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06A89487"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C56BB70"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76617A98"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4A9214B" w14:textId="5E815BA4">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76EE854" w14:textId="1EF642CB">
            <w:pPr>
              <w:widowControl/>
              <w:suppressAutoHyphens/>
              <w:jc w:val="center"/>
              <w:rPr>
                <w:rStyle w:val="DefaultParagraphFont"/>
                <w:snapToGrid/>
                <w:kern w:val="0"/>
                <w:sz w:val="20"/>
                <w:lang w:val="en-US" w:eastAsia="en-US" w:bidi="ar-SA"/>
              </w:rPr>
            </w:pPr>
            <w:r>
              <w:rPr>
                <w:snapToGrid w:val="0"/>
                <w:kern w:val="28"/>
                <w:sz w:val="20"/>
                <w:lang w:val="en-US" w:eastAsia="en-US" w:bidi="ar-SA"/>
              </w:rPr>
              <w:t>450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4D3AD31" w14:textId="41725792">
            <w:pPr>
              <w:widowControl/>
              <w:suppressAutoHyphens/>
              <w:jc w:val="center"/>
              <w:rPr>
                <w:rStyle w:val="DefaultParagraphFont"/>
                <w:snapToGrid/>
                <w:kern w:val="0"/>
                <w:sz w:val="20"/>
                <w:lang w:val="en-US" w:eastAsia="en-US" w:bidi="ar-SA"/>
              </w:rPr>
            </w:pPr>
            <w:r>
              <w:rPr>
                <w:snapToGrid w:val="0"/>
                <w:kern w:val="28"/>
                <w:sz w:val="20"/>
                <w:lang w:val="en-US" w:eastAsia="en-US" w:bidi="ar-SA"/>
              </w:rPr>
              <w:t>$74.14</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7A80000" w14:textId="543E4C59">
            <w:pPr>
              <w:widowControl/>
              <w:suppressAutoHyphens/>
              <w:jc w:val="center"/>
              <w:rPr>
                <w:rStyle w:val="DefaultParagraphFont"/>
                <w:snapToGrid/>
                <w:kern w:val="0"/>
                <w:sz w:val="20"/>
                <w:lang w:val="en-US" w:eastAsia="en-US" w:bidi="ar-SA"/>
              </w:rPr>
            </w:pPr>
            <w:r>
              <w:rPr>
                <w:snapToGrid w:val="0"/>
                <w:kern w:val="28"/>
                <w:sz w:val="20"/>
                <w:lang w:val="en-US" w:eastAsia="en-US" w:bidi="ar-SA"/>
              </w:rPr>
              <w:t>0.467</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4314D99D" w14:textId="29284439">
            <w:pPr>
              <w:widowControl/>
              <w:suppressAutoHyphens/>
              <w:jc w:val="center"/>
              <w:rPr>
                <w:rStyle w:val="DefaultParagraphFont"/>
                <w:snapToGrid/>
                <w:kern w:val="0"/>
                <w:sz w:val="20"/>
                <w:lang w:val="en-US" w:eastAsia="en-US" w:bidi="ar-SA"/>
              </w:rPr>
            </w:pPr>
            <w:r>
              <w:rPr>
                <w:snapToGrid w:val="0"/>
                <w:kern w:val="28"/>
                <w:sz w:val="20"/>
                <w:lang w:val="en-US" w:eastAsia="en-US" w:bidi="ar-SA"/>
              </w:rPr>
              <w:t>3.6%*</w:t>
            </w:r>
          </w:p>
        </w:tc>
      </w:tr>
      <w:tr w14:paraId="3289DC4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559D1402"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6158432"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027D221F"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592BC55" w14:textId="312EFDF4">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94FBDC8" w14:textId="638DA694">
            <w:pPr>
              <w:widowControl/>
              <w:suppressAutoHyphens/>
              <w:jc w:val="center"/>
              <w:rPr>
                <w:rStyle w:val="DefaultParagraphFont"/>
                <w:snapToGrid/>
                <w:kern w:val="0"/>
                <w:sz w:val="20"/>
                <w:lang w:val="en-US" w:eastAsia="en-US" w:bidi="ar-SA"/>
              </w:rPr>
            </w:pPr>
            <w:r>
              <w:rPr>
                <w:snapToGrid w:val="0"/>
                <w:kern w:val="28"/>
                <w:sz w:val="20"/>
                <w:lang w:val="en-US" w:eastAsia="en-US" w:bidi="ar-SA"/>
              </w:rPr>
              <w:t>438</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3307547" w14:textId="43A6D638">
            <w:pPr>
              <w:widowControl/>
              <w:suppressAutoHyphens/>
              <w:jc w:val="center"/>
              <w:rPr>
                <w:rStyle w:val="DefaultParagraphFont"/>
                <w:snapToGrid/>
                <w:kern w:val="0"/>
                <w:sz w:val="20"/>
                <w:lang w:val="en-US" w:eastAsia="en-US" w:bidi="ar-SA"/>
              </w:rPr>
            </w:pPr>
            <w:r>
              <w:rPr>
                <w:snapToGrid w:val="0"/>
                <w:kern w:val="28"/>
                <w:sz w:val="20"/>
                <w:lang w:val="en-US" w:eastAsia="en-US" w:bidi="ar-SA"/>
              </w:rPr>
              <w:t>$71.56</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50FF38B" w14:textId="0D742351">
            <w:pPr>
              <w:widowControl/>
              <w:suppressAutoHyphens/>
              <w:jc w:val="center"/>
              <w:rPr>
                <w:rStyle w:val="DefaultParagraphFont"/>
                <w:snapToGrid/>
                <w:kern w:val="0"/>
                <w:sz w:val="20"/>
                <w:lang w:val="en-US" w:eastAsia="en-US" w:bidi="ar-SA"/>
              </w:rPr>
            </w:pPr>
            <w:r>
              <w:rPr>
                <w:snapToGrid w:val="0"/>
                <w:kern w:val="28"/>
                <w:sz w:val="20"/>
                <w:lang w:val="en-US" w:eastAsia="en-US" w:bidi="ar-SA"/>
              </w:rPr>
              <w:t>0.488</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3FFEF1AA" w14:textId="77777777">
            <w:pPr>
              <w:widowControl/>
              <w:suppressAutoHyphens/>
              <w:rPr>
                <w:rStyle w:val="DefaultParagraphFont"/>
                <w:snapToGrid/>
                <w:kern w:val="0"/>
                <w:sz w:val="20"/>
                <w:lang w:val="en-US" w:eastAsia="en-US" w:bidi="ar-SA"/>
              </w:rPr>
            </w:pPr>
          </w:p>
        </w:tc>
      </w:tr>
      <w:tr w14:paraId="3E6743F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6DD366C1"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6219DC58"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526FAE8"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3744F14" w14:textId="10BD090A">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00A7FF7" w14:textId="7494EA95">
            <w:pPr>
              <w:widowControl/>
              <w:suppressAutoHyphens/>
              <w:jc w:val="center"/>
              <w:rPr>
                <w:rStyle w:val="DefaultParagraphFont"/>
                <w:snapToGrid/>
                <w:kern w:val="0"/>
                <w:sz w:val="20"/>
                <w:lang w:val="en-US" w:eastAsia="en-US" w:bidi="ar-SA"/>
              </w:rPr>
            </w:pPr>
            <w:r>
              <w:rPr>
                <w:snapToGrid w:val="0"/>
                <w:kern w:val="28"/>
                <w:sz w:val="20"/>
                <w:lang w:val="en-US" w:eastAsia="en-US" w:bidi="ar-SA"/>
              </w:rPr>
              <w:t>409</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DDC0E6E" w14:textId="7AFC995C">
            <w:pPr>
              <w:widowControl/>
              <w:suppressAutoHyphens/>
              <w:jc w:val="center"/>
              <w:rPr>
                <w:rStyle w:val="DefaultParagraphFont"/>
                <w:snapToGrid/>
                <w:kern w:val="0"/>
                <w:sz w:val="20"/>
                <w:lang w:val="en-US" w:eastAsia="en-US" w:bidi="ar-SA"/>
              </w:rPr>
            </w:pPr>
            <w:r>
              <w:rPr>
                <w:snapToGrid w:val="0"/>
                <w:kern w:val="28"/>
                <w:sz w:val="20"/>
                <w:lang w:val="en-US" w:eastAsia="en-US" w:bidi="ar-SA"/>
              </w:rPr>
              <w:t>$89.76</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E227AC9" w14:textId="20A041A7">
            <w:pPr>
              <w:widowControl/>
              <w:suppressAutoHyphens/>
              <w:jc w:val="center"/>
              <w:rPr>
                <w:rStyle w:val="DefaultParagraphFont"/>
                <w:snapToGrid/>
                <w:kern w:val="0"/>
                <w:sz w:val="20"/>
                <w:lang w:val="en-US" w:eastAsia="en-US" w:bidi="ar-SA"/>
              </w:rPr>
            </w:pPr>
            <w:r>
              <w:rPr>
                <w:snapToGrid w:val="0"/>
                <w:kern w:val="28"/>
                <w:sz w:val="20"/>
                <w:lang w:val="en-US" w:eastAsia="en-US" w:bidi="ar-SA"/>
              </w:rPr>
              <w:t>0.492</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6BCD4F47" w14:textId="08CDFA81">
            <w:pPr>
              <w:widowControl/>
              <w:suppressAutoHyphens/>
              <w:jc w:val="center"/>
              <w:rPr>
                <w:rStyle w:val="DefaultParagraphFont"/>
                <w:snapToGrid/>
                <w:kern w:val="0"/>
                <w:sz w:val="20"/>
                <w:lang w:val="en-US" w:eastAsia="en-US" w:bidi="ar-SA"/>
              </w:rPr>
            </w:pPr>
            <w:r>
              <w:rPr>
                <w:snapToGrid w:val="0"/>
                <w:kern w:val="28"/>
                <w:sz w:val="20"/>
                <w:lang w:val="en-US" w:eastAsia="en-US" w:bidi="ar-SA"/>
              </w:rPr>
              <w:t>3.5%*</w:t>
            </w:r>
          </w:p>
        </w:tc>
      </w:tr>
      <w:tr w14:paraId="49B83C3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4" w:space="0" w:color="auto"/>
              <w:right w:val="single" w:sz="4" w:space="0" w:color="auto"/>
            </w:tcBorders>
            <w:vAlign w:val="center"/>
            <w:hideMark/>
          </w:tcPr>
          <w:p w:rsidR="00DF3AC5" w:rsidRPr="002C692A" w:rsidP="004E16D7" w14:paraId="1AA7273C"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1998EDBC"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1AE4FCF9"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DC98E5C" w14:textId="7FC845E0">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8673837" w14:textId="0DDA0411">
            <w:pPr>
              <w:widowControl/>
              <w:suppressAutoHyphens/>
              <w:jc w:val="center"/>
              <w:rPr>
                <w:rStyle w:val="DefaultParagraphFont"/>
                <w:snapToGrid/>
                <w:kern w:val="0"/>
                <w:sz w:val="20"/>
                <w:lang w:val="en-US" w:eastAsia="en-US" w:bidi="ar-SA"/>
              </w:rPr>
            </w:pPr>
            <w:r>
              <w:rPr>
                <w:snapToGrid w:val="0"/>
                <w:kern w:val="28"/>
                <w:sz w:val="20"/>
                <w:lang w:val="en-US" w:eastAsia="en-US" w:bidi="ar-SA"/>
              </w:rPr>
              <w:t>400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AE452D2" w14:textId="04787BDA">
            <w:pPr>
              <w:widowControl/>
              <w:suppressAutoHyphens/>
              <w:jc w:val="center"/>
              <w:rPr>
                <w:rStyle w:val="DefaultParagraphFont"/>
                <w:snapToGrid/>
                <w:kern w:val="0"/>
                <w:sz w:val="20"/>
                <w:lang w:val="en-US" w:eastAsia="en-US" w:bidi="ar-SA"/>
              </w:rPr>
            </w:pPr>
            <w:r>
              <w:rPr>
                <w:snapToGrid w:val="0"/>
                <w:kern w:val="28"/>
                <w:sz w:val="20"/>
                <w:lang w:val="en-US" w:eastAsia="en-US" w:bidi="ar-SA"/>
              </w:rPr>
              <w:t>$86.69</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44A2F03" w14:textId="71818B34">
            <w:pPr>
              <w:widowControl/>
              <w:suppressAutoHyphens/>
              <w:jc w:val="center"/>
              <w:rPr>
                <w:rStyle w:val="DefaultParagraphFont"/>
                <w:snapToGrid/>
                <w:kern w:val="0"/>
                <w:sz w:val="20"/>
                <w:lang w:val="en-US" w:eastAsia="en-US" w:bidi="ar-SA"/>
              </w:rPr>
            </w:pPr>
            <w:r>
              <w:rPr>
                <w:snapToGrid w:val="0"/>
                <w:kern w:val="28"/>
                <w:sz w:val="20"/>
                <w:lang w:val="en-US" w:eastAsia="en-US" w:bidi="ar-SA"/>
              </w:rPr>
              <w:t>0.468</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1CFA4F13" w14:textId="77777777">
            <w:pPr>
              <w:widowControl/>
              <w:suppressAutoHyphens/>
              <w:rPr>
                <w:rStyle w:val="DefaultParagraphFont"/>
                <w:snapToGrid/>
                <w:kern w:val="0"/>
                <w:sz w:val="20"/>
                <w:lang w:val="en-US" w:eastAsia="en-US" w:bidi="ar-SA"/>
              </w:rPr>
            </w:pPr>
          </w:p>
        </w:tc>
      </w:tr>
      <w:tr w14:paraId="46070833"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val="restart"/>
            <w:tcBorders>
              <w:top w:val="nil"/>
              <w:left w:val="single" w:sz="12" w:space="0" w:color="auto"/>
              <w:bottom w:val="single" w:sz="8" w:space="0" w:color="000000"/>
              <w:right w:val="single" w:sz="4" w:space="0" w:color="auto"/>
            </w:tcBorders>
            <w:shd w:val="clear" w:color="auto" w:fill="auto"/>
            <w:vAlign w:val="center"/>
            <w:hideMark/>
          </w:tcPr>
          <w:p w:rsidR="00DF3AC5" w:rsidRPr="002C692A" w:rsidP="004E16D7" w14:paraId="3BEB8358"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Effective </w:t>
            </w:r>
          </w:p>
          <w:p w:rsidR="00DF3AC5" w:rsidP="004E16D7" w14:paraId="551A8DA0"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Competition</w:t>
            </w:r>
          </w:p>
          <w:p w:rsidR="00DF3AC5" w:rsidRPr="002C692A" w:rsidP="004E16D7" w14:paraId="76B817FA" w14:textId="77777777">
            <w:pPr>
              <w:widowControl/>
              <w:suppressAutoHyphens/>
              <w:jc w:val="center"/>
              <w:rPr>
                <w:rStyle w:val="DefaultParagraphFont"/>
                <w:b/>
                <w:snapToGrid/>
                <w:kern w:val="0"/>
                <w:sz w:val="20"/>
                <w:lang w:val="en-US" w:eastAsia="en-US" w:bidi="ar-SA"/>
              </w:rPr>
            </w:pPr>
            <w:r>
              <w:rPr>
                <w:b/>
                <w:snapToGrid/>
                <w:kern w:val="0"/>
                <w:sz w:val="20"/>
                <w:lang w:val="en-US" w:eastAsia="en-US" w:bidi="ar-SA"/>
              </w:rPr>
              <w:t>Group</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DF3AC5" w:rsidRPr="002C692A" w:rsidP="004E16D7" w14:paraId="0F7CBE65" w14:textId="77777777">
            <w:pPr>
              <w:widowControl/>
              <w:suppressAutoHyphens/>
              <w:jc w:val="center"/>
              <w:rPr>
                <w:rStyle w:val="DefaultParagraphFont"/>
                <w:b/>
                <w:snapToGrid/>
                <w:kern w:val="0"/>
                <w:sz w:val="20"/>
                <w:lang w:val="en-US" w:eastAsia="en-US" w:bidi="ar-SA"/>
              </w:rPr>
            </w:pPr>
            <w:r>
              <w:rPr>
                <w:b/>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FA0E3CF"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1A50621B" w14:textId="7F5A495C">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18D05A7C" w14:textId="08255CFB">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315</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0C2C1520" w14:textId="116C1E22">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$30.20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12332A72" w14:textId="75E04E6B">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0.386</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DF3AC5" w:rsidP="004E16D7" w14:paraId="4FF00545" w14:textId="610FD864">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5.4%*</w:t>
            </w:r>
          </w:p>
        </w:tc>
      </w:tr>
      <w:tr w14:paraId="77C31AF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16D2681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20F012D9"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350FD62A"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B97E01A" w14:textId="1C1B33DC">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C7D0CED" w14:textId="76F74F20">
            <w:pPr>
              <w:widowControl/>
              <w:suppressAutoHyphens/>
              <w:jc w:val="center"/>
              <w:rPr>
                <w:rStyle w:val="DefaultParagraphFont"/>
                <w:snapToGrid/>
                <w:kern w:val="0"/>
                <w:sz w:val="20"/>
                <w:lang w:val="en-US" w:eastAsia="en-US" w:bidi="ar-SA"/>
              </w:rPr>
            </w:pPr>
            <w:r>
              <w:rPr>
                <w:snapToGrid w:val="0"/>
                <w:kern w:val="28"/>
                <w:sz w:val="20"/>
                <w:lang w:val="en-US" w:eastAsia="en-US" w:bidi="ar-SA"/>
              </w:rPr>
              <w:t>312</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465C4E0" w14:textId="038D3975">
            <w:pPr>
              <w:widowControl/>
              <w:suppressAutoHyphens/>
              <w:jc w:val="center"/>
              <w:rPr>
                <w:rStyle w:val="DefaultParagraphFont"/>
                <w:snapToGrid/>
                <w:kern w:val="0"/>
                <w:sz w:val="20"/>
                <w:lang w:val="en-US" w:eastAsia="en-US" w:bidi="ar-SA"/>
              </w:rPr>
            </w:pPr>
            <w:r>
              <w:rPr>
                <w:snapToGrid w:val="0"/>
                <w:kern w:val="28"/>
                <w:sz w:val="20"/>
                <w:lang w:val="en-US" w:eastAsia="en-US" w:bidi="ar-SA"/>
              </w:rPr>
              <w:t>$28.65</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F3EAAF9" w14:textId="07A42AD0">
            <w:pPr>
              <w:widowControl/>
              <w:suppressAutoHyphens/>
              <w:jc w:val="center"/>
              <w:rPr>
                <w:rStyle w:val="DefaultParagraphFont"/>
                <w:snapToGrid/>
                <w:kern w:val="0"/>
                <w:sz w:val="20"/>
                <w:lang w:val="en-US" w:eastAsia="en-US" w:bidi="ar-SA"/>
              </w:rPr>
            </w:pPr>
            <w:r>
              <w:rPr>
                <w:snapToGrid w:val="0"/>
                <w:kern w:val="28"/>
                <w:sz w:val="20"/>
                <w:lang w:val="en-US" w:eastAsia="en-US" w:bidi="ar-SA"/>
              </w:rPr>
              <w:t>0.434</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22321E5A" w14:textId="77777777">
            <w:pPr>
              <w:widowControl/>
              <w:suppressAutoHyphens/>
              <w:rPr>
                <w:rStyle w:val="DefaultParagraphFont"/>
                <w:snapToGrid/>
                <w:kern w:val="0"/>
                <w:sz w:val="20"/>
                <w:lang w:val="en-US" w:eastAsia="en-US" w:bidi="ar-SA"/>
              </w:rPr>
            </w:pPr>
          </w:p>
        </w:tc>
      </w:tr>
      <w:tr w14:paraId="6B80C06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12EE5F62"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5DCDEA92"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FACD72E"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64C7C804" w14:textId="07F097EF">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F512628" w14:textId="3604E3E0">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731AB2A" w14:textId="3FD41A14">
            <w:pPr>
              <w:widowControl/>
              <w:suppressAutoHyphens/>
              <w:jc w:val="center"/>
              <w:rPr>
                <w:rStyle w:val="DefaultParagraphFont"/>
                <w:snapToGrid/>
                <w:kern w:val="0"/>
                <w:sz w:val="20"/>
                <w:lang w:val="en-US" w:eastAsia="en-US" w:bidi="ar-SA"/>
              </w:rPr>
            </w:pPr>
            <w:r>
              <w:rPr>
                <w:snapToGrid w:val="0"/>
                <w:kern w:val="28"/>
                <w:sz w:val="20"/>
                <w:lang w:val="en-US" w:eastAsia="en-US" w:bidi="ar-SA"/>
              </w:rPr>
              <w:t>$78.66</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78053E8" w14:textId="62A6B4CB">
            <w:pPr>
              <w:widowControl/>
              <w:suppressAutoHyphens/>
              <w:jc w:val="center"/>
              <w:rPr>
                <w:rStyle w:val="DefaultParagraphFont"/>
                <w:snapToGrid/>
                <w:kern w:val="0"/>
                <w:sz w:val="20"/>
                <w:lang w:val="en-US" w:eastAsia="en-US" w:bidi="ar-SA"/>
              </w:rPr>
            </w:pPr>
            <w:r>
              <w:rPr>
                <w:snapToGrid w:val="0"/>
                <w:kern w:val="28"/>
                <w:sz w:val="20"/>
                <w:lang w:val="en-US" w:eastAsia="en-US" w:bidi="ar-SA"/>
              </w:rPr>
              <w:t>0.378</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711FC977" w14:textId="37ED50A4">
            <w:pPr>
              <w:widowControl/>
              <w:suppressAutoHyphens/>
              <w:jc w:val="center"/>
              <w:rPr>
                <w:rStyle w:val="DefaultParagraphFont"/>
                <w:snapToGrid/>
                <w:kern w:val="0"/>
                <w:sz w:val="20"/>
                <w:lang w:val="en-US" w:eastAsia="en-US" w:bidi="ar-SA"/>
              </w:rPr>
            </w:pPr>
            <w:r>
              <w:rPr>
                <w:snapToGrid w:val="0"/>
                <w:kern w:val="28"/>
                <w:sz w:val="20"/>
                <w:lang w:val="en-US" w:eastAsia="en-US" w:bidi="ar-SA"/>
              </w:rPr>
              <w:t>3.1%*</w:t>
            </w:r>
          </w:p>
        </w:tc>
      </w:tr>
      <w:tr w14:paraId="4AE728A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456332D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9A3790B"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5F676147"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C0BC92C" w14:textId="3AEEE502">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B315170" w14:textId="618F2E97">
            <w:pPr>
              <w:widowControl/>
              <w:suppressAutoHyphens/>
              <w:jc w:val="center"/>
              <w:rPr>
                <w:rStyle w:val="DefaultParagraphFont"/>
                <w:snapToGrid/>
                <w:kern w:val="0"/>
                <w:sz w:val="20"/>
                <w:lang w:val="en-US" w:eastAsia="en-US" w:bidi="ar-SA"/>
              </w:rPr>
            </w:pPr>
            <w:r>
              <w:rPr>
                <w:snapToGrid w:val="0"/>
                <w:kern w:val="28"/>
                <w:sz w:val="20"/>
                <w:lang w:val="en-US" w:eastAsia="en-US" w:bidi="ar-SA"/>
              </w:rPr>
              <w:t>311</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E0DEEDB" w14:textId="5B936DD1">
            <w:pPr>
              <w:widowControl/>
              <w:suppressAutoHyphens/>
              <w:jc w:val="center"/>
              <w:rPr>
                <w:rStyle w:val="DefaultParagraphFont"/>
                <w:snapToGrid/>
                <w:kern w:val="0"/>
                <w:sz w:val="20"/>
                <w:lang w:val="en-US" w:eastAsia="en-US" w:bidi="ar-SA"/>
              </w:rPr>
            </w:pPr>
            <w:r>
              <w:rPr>
                <w:snapToGrid w:val="0"/>
                <w:kern w:val="28"/>
                <w:sz w:val="20"/>
                <w:lang w:val="en-US" w:eastAsia="en-US" w:bidi="ar-SA"/>
              </w:rPr>
              <w:t>$76.31</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7913819" w14:textId="1D077FE4">
            <w:pPr>
              <w:widowControl/>
              <w:suppressAutoHyphens/>
              <w:jc w:val="center"/>
              <w:rPr>
                <w:rStyle w:val="DefaultParagraphFont"/>
                <w:snapToGrid/>
                <w:kern w:val="0"/>
                <w:sz w:val="20"/>
                <w:lang w:val="en-US" w:eastAsia="en-US" w:bidi="ar-SA"/>
              </w:rPr>
            </w:pPr>
            <w:r>
              <w:rPr>
                <w:snapToGrid w:val="0"/>
                <w:kern w:val="28"/>
                <w:sz w:val="20"/>
                <w:lang w:val="en-US" w:eastAsia="en-US" w:bidi="ar-SA"/>
              </w:rPr>
              <w:t>0.376</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192210B1" w14:textId="77777777">
            <w:pPr>
              <w:widowControl/>
              <w:suppressAutoHyphens/>
              <w:rPr>
                <w:rStyle w:val="DefaultParagraphFont"/>
                <w:snapToGrid/>
                <w:kern w:val="0"/>
                <w:sz w:val="20"/>
                <w:lang w:val="en-US" w:eastAsia="en-US" w:bidi="ar-SA"/>
              </w:rPr>
            </w:pPr>
          </w:p>
        </w:tc>
      </w:tr>
      <w:tr w14:paraId="3AEA0DF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210F33A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5F3E9012"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7E29F806"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B1CF731" w14:textId="063FCD6C">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143D3C4" w14:textId="35D0CDB3">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21FCC2F" w14:textId="3843FD7E">
            <w:pPr>
              <w:widowControl/>
              <w:suppressAutoHyphens/>
              <w:jc w:val="center"/>
              <w:rPr>
                <w:rStyle w:val="DefaultParagraphFont"/>
                <w:snapToGrid/>
                <w:kern w:val="0"/>
                <w:sz w:val="20"/>
                <w:lang w:val="en-US" w:eastAsia="en-US" w:bidi="ar-SA"/>
              </w:rPr>
            </w:pPr>
            <w:r>
              <w:rPr>
                <w:snapToGrid w:val="0"/>
                <w:kern w:val="28"/>
                <w:sz w:val="20"/>
                <w:lang w:val="en-US" w:eastAsia="en-US" w:bidi="ar-SA"/>
              </w:rPr>
              <w:t>$91.10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8E919F0" w14:textId="4C953859">
            <w:pPr>
              <w:widowControl/>
              <w:suppressAutoHyphens/>
              <w:jc w:val="center"/>
              <w:rPr>
                <w:rStyle w:val="DefaultParagraphFont"/>
                <w:snapToGrid/>
                <w:kern w:val="0"/>
                <w:sz w:val="20"/>
                <w:lang w:val="en-US" w:eastAsia="en-US" w:bidi="ar-SA"/>
              </w:rPr>
            </w:pPr>
            <w:r>
              <w:rPr>
                <w:snapToGrid w:val="0"/>
                <w:kern w:val="28"/>
                <w:sz w:val="20"/>
                <w:lang w:val="en-US" w:eastAsia="en-US" w:bidi="ar-SA"/>
              </w:rPr>
              <w:t>0.428</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3194F790" w14:textId="263B7507">
            <w:pPr>
              <w:widowControl/>
              <w:suppressAutoHyphens/>
              <w:jc w:val="center"/>
              <w:rPr>
                <w:rStyle w:val="DefaultParagraphFont"/>
                <w:snapToGrid/>
                <w:kern w:val="0"/>
                <w:sz w:val="20"/>
                <w:lang w:val="en-US" w:eastAsia="en-US" w:bidi="ar-SA"/>
              </w:rPr>
            </w:pPr>
            <w:r>
              <w:rPr>
                <w:snapToGrid w:val="0"/>
                <w:kern w:val="28"/>
                <w:sz w:val="20"/>
                <w:lang w:val="en-US" w:eastAsia="en-US" w:bidi="ar-SA"/>
              </w:rPr>
              <w:t>3.8%*</w:t>
            </w:r>
          </w:p>
        </w:tc>
      </w:tr>
      <w:tr w14:paraId="7325A42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40261DC9"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11518130"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7ED5C7C1"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6A5D3597" w14:textId="683DE86A">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4DDD313" w14:textId="627A20C5">
            <w:pPr>
              <w:widowControl/>
              <w:suppressAutoHyphens/>
              <w:jc w:val="center"/>
              <w:rPr>
                <w:rStyle w:val="DefaultParagraphFont"/>
                <w:snapToGrid/>
                <w:kern w:val="0"/>
                <w:sz w:val="20"/>
                <w:lang w:val="en-US" w:eastAsia="en-US" w:bidi="ar-SA"/>
              </w:rPr>
            </w:pPr>
            <w:r>
              <w:rPr>
                <w:snapToGrid w:val="0"/>
                <w:kern w:val="28"/>
                <w:sz w:val="20"/>
                <w:lang w:val="en-US" w:eastAsia="en-US" w:bidi="ar-SA"/>
              </w:rPr>
              <w:t>310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CF744FD" w14:textId="23A75635">
            <w:pPr>
              <w:widowControl/>
              <w:suppressAutoHyphens/>
              <w:jc w:val="center"/>
              <w:rPr>
                <w:rStyle w:val="DefaultParagraphFont"/>
                <w:snapToGrid/>
                <w:kern w:val="0"/>
                <w:sz w:val="20"/>
                <w:lang w:val="en-US" w:eastAsia="en-US" w:bidi="ar-SA"/>
              </w:rPr>
            </w:pPr>
            <w:r>
              <w:rPr>
                <w:snapToGrid w:val="0"/>
                <w:kern w:val="28"/>
                <w:sz w:val="20"/>
                <w:lang w:val="en-US" w:eastAsia="en-US" w:bidi="ar-SA"/>
              </w:rPr>
              <w:t>$87.73</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51E6385" w14:textId="3845218E">
            <w:pPr>
              <w:widowControl/>
              <w:suppressAutoHyphens/>
              <w:jc w:val="center"/>
              <w:rPr>
                <w:rStyle w:val="DefaultParagraphFont"/>
                <w:snapToGrid/>
                <w:kern w:val="0"/>
                <w:sz w:val="20"/>
                <w:lang w:val="en-US" w:eastAsia="en-US" w:bidi="ar-SA"/>
              </w:rPr>
            </w:pPr>
            <w:r>
              <w:rPr>
                <w:snapToGrid w:val="0"/>
                <w:kern w:val="28"/>
                <w:sz w:val="20"/>
                <w:lang w:val="en-US" w:eastAsia="en-US" w:bidi="ar-SA"/>
              </w:rPr>
              <w:t>0.384</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09DCB558" w14:textId="77777777">
            <w:pPr>
              <w:widowControl/>
              <w:suppressAutoHyphens/>
              <w:rPr>
                <w:rStyle w:val="DefaultParagraphFont"/>
                <w:snapToGrid/>
                <w:kern w:val="0"/>
                <w:sz w:val="20"/>
                <w:lang w:val="en-US" w:eastAsia="en-US" w:bidi="ar-SA"/>
              </w:rPr>
            </w:pPr>
          </w:p>
        </w:tc>
      </w:tr>
      <w:tr w14:paraId="00644A3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0616FB9B"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DF3AC5" w:rsidRPr="002C692A" w:rsidP="004E16D7" w14:paraId="3ABF2CF8"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Cable </w:t>
            </w:r>
          </w:p>
          <w:p w:rsidR="00DF3AC5" w:rsidRPr="002C692A" w:rsidP="004E16D7" w14:paraId="532D00C2"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overbuild </w:t>
            </w:r>
            <w:r>
              <w:rPr>
                <w:b/>
                <w:snapToGrid/>
                <w:kern w:val="0"/>
                <w:sz w:val="20"/>
                <w:lang w:val="en-US" w:eastAsia="en-US" w:bidi="ar-SA"/>
              </w:rPr>
              <w:t>i</w:t>
            </w:r>
            <w:r w:rsidRPr="002C692A">
              <w:rPr>
                <w:b/>
                <w:snapToGrid/>
                <w:kern w:val="0"/>
                <w:sz w:val="20"/>
                <w:lang w:val="en-US" w:eastAsia="en-US" w:bidi="ar-SA"/>
              </w:rPr>
              <w:t>ncumbents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0082E414"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38747F53" w14:textId="5A165AEC">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6845657F" w14:textId="0548642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4953B657" w14:textId="022F9A5F">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$29.70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2B871574" w14:textId="34DB0058">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1.058</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DF3AC5" w:rsidP="004E16D7" w14:paraId="784EC18E" w14:textId="52055207">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3.4%</w:t>
            </w:r>
          </w:p>
        </w:tc>
      </w:tr>
      <w:tr w14:paraId="3F534F1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227EF8F8"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7C21FA4A"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3E8BD9F3"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6351CDE" w14:textId="001DD98C">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EA11F1B" w14:textId="7E1EC84A">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63319F6" w14:textId="0017F12F">
            <w:pPr>
              <w:widowControl/>
              <w:suppressAutoHyphens/>
              <w:jc w:val="center"/>
              <w:rPr>
                <w:rStyle w:val="DefaultParagraphFont"/>
                <w:snapToGrid/>
                <w:kern w:val="0"/>
                <w:sz w:val="20"/>
                <w:lang w:val="en-US" w:eastAsia="en-US" w:bidi="ar-SA"/>
              </w:rPr>
            </w:pPr>
            <w:r>
              <w:rPr>
                <w:snapToGrid w:val="0"/>
                <w:kern w:val="28"/>
                <w:sz w:val="20"/>
                <w:lang w:val="en-US" w:eastAsia="en-US" w:bidi="ar-SA"/>
              </w:rPr>
              <w:t>$28.71</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177D354" w14:textId="6B6C923A">
            <w:pPr>
              <w:widowControl/>
              <w:suppressAutoHyphens/>
              <w:jc w:val="center"/>
              <w:rPr>
                <w:rStyle w:val="DefaultParagraphFont"/>
                <w:snapToGrid/>
                <w:kern w:val="0"/>
                <w:sz w:val="20"/>
                <w:lang w:val="en-US" w:eastAsia="en-US" w:bidi="ar-SA"/>
              </w:rPr>
            </w:pPr>
            <w:r>
              <w:rPr>
                <w:snapToGrid w:val="0"/>
                <w:kern w:val="28"/>
                <w:sz w:val="20"/>
                <w:lang w:val="en-US" w:eastAsia="en-US" w:bidi="ar-SA"/>
              </w:rPr>
              <w:t>1.121</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6CF2F2A3" w14:textId="77777777">
            <w:pPr>
              <w:widowControl/>
              <w:suppressAutoHyphens/>
              <w:rPr>
                <w:rStyle w:val="DefaultParagraphFont"/>
                <w:snapToGrid/>
                <w:kern w:val="0"/>
                <w:sz w:val="20"/>
                <w:lang w:val="en-US" w:eastAsia="en-US" w:bidi="ar-SA"/>
              </w:rPr>
            </w:pPr>
          </w:p>
        </w:tc>
      </w:tr>
      <w:tr w14:paraId="5627FFE3"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7A0E6F6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16D5F11C"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88F7559"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2959753" w14:textId="13ACB334">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FDB0346" w14:textId="7D398AB8">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0197024" w14:textId="43486CB0">
            <w:pPr>
              <w:widowControl/>
              <w:suppressAutoHyphens/>
              <w:jc w:val="center"/>
              <w:rPr>
                <w:rStyle w:val="DefaultParagraphFont"/>
                <w:snapToGrid/>
                <w:kern w:val="0"/>
                <w:sz w:val="20"/>
                <w:lang w:val="en-US" w:eastAsia="en-US" w:bidi="ar-SA"/>
              </w:rPr>
            </w:pPr>
            <w:r>
              <w:rPr>
                <w:snapToGrid w:val="0"/>
                <w:kern w:val="28"/>
                <w:sz w:val="20"/>
                <w:lang w:val="en-US" w:eastAsia="en-US" w:bidi="ar-SA"/>
              </w:rPr>
              <w:t>$78.47</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AEFFB82" w14:textId="2A6AC59D">
            <w:pPr>
              <w:widowControl/>
              <w:suppressAutoHyphens/>
              <w:jc w:val="center"/>
              <w:rPr>
                <w:rStyle w:val="DefaultParagraphFont"/>
                <w:snapToGrid/>
                <w:kern w:val="0"/>
                <w:sz w:val="20"/>
                <w:lang w:val="en-US" w:eastAsia="en-US" w:bidi="ar-SA"/>
              </w:rPr>
            </w:pPr>
            <w:r>
              <w:rPr>
                <w:snapToGrid w:val="0"/>
                <w:kern w:val="28"/>
                <w:sz w:val="20"/>
                <w:lang w:val="en-US" w:eastAsia="en-US" w:bidi="ar-SA"/>
              </w:rPr>
              <w:t>0.551</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03906965" w14:textId="3128B122">
            <w:pPr>
              <w:widowControl/>
              <w:suppressAutoHyphens/>
              <w:jc w:val="center"/>
              <w:rPr>
                <w:rStyle w:val="DefaultParagraphFont"/>
                <w:snapToGrid/>
                <w:kern w:val="0"/>
                <w:sz w:val="20"/>
                <w:lang w:val="en-US" w:eastAsia="en-US" w:bidi="ar-SA"/>
              </w:rPr>
            </w:pPr>
            <w:r>
              <w:rPr>
                <w:snapToGrid w:val="0"/>
                <w:kern w:val="28"/>
                <w:sz w:val="20"/>
                <w:lang w:val="en-US" w:eastAsia="en-US" w:bidi="ar-SA"/>
              </w:rPr>
              <w:t>2.2%*</w:t>
            </w:r>
          </w:p>
        </w:tc>
      </w:tr>
      <w:tr w14:paraId="0DF5D2A0"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57908A25"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5F108FBF"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19677838"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17BAA0D" w14:textId="77306F78">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03786EB" w14:textId="372FD3DB">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D3FC92E" w14:textId="4E66B2E5">
            <w:pPr>
              <w:widowControl/>
              <w:suppressAutoHyphens/>
              <w:jc w:val="center"/>
              <w:rPr>
                <w:rStyle w:val="DefaultParagraphFont"/>
                <w:snapToGrid/>
                <w:kern w:val="0"/>
                <w:sz w:val="20"/>
                <w:lang w:val="en-US" w:eastAsia="en-US" w:bidi="ar-SA"/>
              </w:rPr>
            </w:pPr>
            <w:r>
              <w:rPr>
                <w:snapToGrid w:val="0"/>
                <w:kern w:val="28"/>
                <w:sz w:val="20"/>
                <w:lang w:val="en-US" w:eastAsia="en-US" w:bidi="ar-SA"/>
              </w:rPr>
              <w:t>$76.77</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3159B17" w14:textId="2B8FAF35">
            <w:pPr>
              <w:widowControl/>
              <w:suppressAutoHyphens/>
              <w:jc w:val="center"/>
              <w:rPr>
                <w:rStyle w:val="DefaultParagraphFont"/>
                <w:snapToGrid/>
                <w:kern w:val="0"/>
                <w:sz w:val="20"/>
                <w:lang w:val="en-US" w:eastAsia="en-US" w:bidi="ar-SA"/>
              </w:rPr>
            </w:pPr>
            <w:r>
              <w:rPr>
                <w:snapToGrid w:val="0"/>
                <w:kern w:val="28"/>
                <w:sz w:val="20"/>
                <w:lang w:val="en-US" w:eastAsia="en-US" w:bidi="ar-SA"/>
              </w:rPr>
              <w:t>0.458</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5EEB8FBB" w14:textId="77777777">
            <w:pPr>
              <w:widowControl/>
              <w:suppressAutoHyphens/>
              <w:rPr>
                <w:rStyle w:val="DefaultParagraphFont"/>
                <w:snapToGrid/>
                <w:kern w:val="0"/>
                <w:sz w:val="20"/>
                <w:lang w:val="en-US" w:eastAsia="en-US" w:bidi="ar-SA"/>
              </w:rPr>
            </w:pPr>
          </w:p>
        </w:tc>
      </w:tr>
      <w:tr w14:paraId="6596366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2A9E07DD"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BA0648F"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33E6910"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C515D9C" w14:textId="5D56D7D5">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880F87F" w14:textId="72D34439">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6C9FD47" w14:textId="7F73FAE8">
            <w:pPr>
              <w:widowControl/>
              <w:suppressAutoHyphens/>
              <w:jc w:val="center"/>
              <w:rPr>
                <w:rStyle w:val="DefaultParagraphFont"/>
                <w:snapToGrid/>
                <w:kern w:val="0"/>
                <w:sz w:val="20"/>
                <w:lang w:val="en-US" w:eastAsia="en-US" w:bidi="ar-SA"/>
              </w:rPr>
            </w:pPr>
            <w:r>
              <w:rPr>
                <w:snapToGrid w:val="0"/>
                <w:kern w:val="28"/>
                <w:sz w:val="20"/>
                <w:lang w:val="en-US" w:eastAsia="en-US" w:bidi="ar-SA"/>
              </w:rPr>
              <w:t>$89.20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E0637CD" w14:textId="48361BC2">
            <w:pPr>
              <w:widowControl/>
              <w:suppressAutoHyphens/>
              <w:jc w:val="center"/>
              <w:rPr>
                <w:rStyle w:val="DefaultParagraphFont"/>
                <w:snapToGrid/>
                <w:kern w:val="0"/>
                <w:sz w:val="20"/>
                <w:lang w:val="en-US" w:eastAsia="en-US" w:bidi="ar-SA"/>
              </w:rPr>
            </w:pPr>
            <w:r>
              <w:rPr>
                <w:snapToGrid w:val="0"/>
                <w:kern w:val="28"/>
                <w:sz w:val="20"/>
                <w:lang w:val="en-US" w:eastAsia="en-US" w:bidi="ar-SA"/>
              </w:rPr>
              <w:t>0.704</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2F97975A" w14:textId="01202FFC">
            <w:pPr>
              <w:widowControl/>
              <w:suppressAutoHyphens/>
              <w:jc w:val="center"/>
              <w:rPr>
                <w:rStyle w:val="DefaultParagraphFont"/>
                <w:snapToGrid/>
                <w:kern w:val="0"/>
                <w:sz w:val="20"/>
                <w:lang w:val="en-US" w:eastAsia="en-US" w:bidi="ar-SA"/>
              </w:rPr>
            </w:pPr>
            <w:r>
              <w:rPr>
                <w:snapToGrid w:val="0"/>
                <w:kern w:val="28"/>
                <w:sz w:val="20"/>
                <w:lang w:val="en-US" w:eastAsia="en-US" w:bidi="ar-SA"/>
              </w:rPr>
              <w:t>3.4%*</w:t>
            </w:r>
          </w:p>
        </w:tc>
      </w:tr>
      <w:tr w14:paraId="5C9C17AC"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4EB1FE09"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1D6B7956"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3F1A9875"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7A578D87" w14:textId="7DDF6BE9">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BDD69C2" w14:textId="3328C21A">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82EF8BD" w14:textId="69B39A5E">
            <w:pPr>
              <w:widowControl/>
              <w:suppressAutoHyphens/>
              <w:jc w:val="center"/>
              <w:rPr>
                <w:rStyle w:val="DefaultParagraphFont"/>
                <w:snapToGrid/>
                <w:kern w:val="0"/>
                <w:sz w:val="20"/>
                <w:lang w:val="en-US" w:eastAsia="en-US" w:bidi="ar-SA"/>
              </w:rPr>
            </w:pPr>
            <w:r>
              <w:rPr>
                <w:snapToGrid w:val="0"/>
                <w:kern w:val="28"/>
                <w:sz w:val="20"/>
                <w:lang w:val="en-US" w:eastAsia="en-US" w:bidi="ar-SA"/>
              </w:rPr>
              <w:t>$86.31</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D094C84" w14:textId="715C2ADF">
            <w:pPr>
              <w:widowControl/>
              <w:suppressAutoHyphens/>
              <w:jc w:val="center"/>
              <w:rPr>
                <w:rStyle w:val="DefaultParagraphFont"/>
                <w:snapToGrid/>
                <w:kern w:val="0"/>
                <w:sz w:val="20"/>
                <w:lang w:val="en-US" w:eastAsia="en-US" w:bidi="ar-SA"/>
              </w:rPr>
            </w:pPr>
            <w:r>
              <w:rPr>
                <w:snapToGrid w:val="0"/>
                <w:kern w:val="28"/>
                <w:sz w:val="20"/>
                <w:lang w:val="en-US" w:eastAsia="en-US" w:bidi="ar-SA"/>
              </w:rPr>
              <w:t>0.517</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78C94655" w14:textId="77777777">
            <w:pPr>
              <w:widowControl/>
              <w:suppressAutoHyphens/>
              <w:rPr>
                <w:rStyle w:val="DefaultParagraphFont"/>
                <w:snapToGrid/>
                <w:kern w:val="0"/>
                <w:sz w:val="20"/>
                <w:lang w:val="en-US" w:eastAsia="en-US" w:bidi="ar-SA"/>
              </w:rPr>
            </w:pPr>
          </w:p>
        </w:tc>
      </w:tr>
      <w:tr w14:paraId="1A3A32B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6B4517CB"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DF3AC5" w:rsidRPr="002C692A" w:rsidP="004E16D7" w14:paraId="54AEBFAE"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Cable </w:t>
            </w:r>
          </w:p>
          <w:p w:rsidR="00DF3AC5" w:rsidRPr="002C692A" w:rsidP="004E16D7" w14:paraId="4EFC56A5"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 xml:space="preserve">overbuild </w:t>
            </w:r>
            <w:r>
              <w:rPr>
                <w:b/>
                <w:snapToGrid/>
                <w:kern w:val="0"/>
                <w:sz w:val="20"/>
                <w:lang w:val="en-US" w:eastAsia="en-US" w:bidi="ar-SA"/>
              </w:rPr>
              <w:t>r</w:t>
            </w:r>
            <w:r w:rsidRPr="002C692A">
              <w:rPr>
                <w:b/>
                <w:snapToGrid/>
                <w:kern w:val="0"/>
                <w:sz w:val="20"/>
                <w:lang w:val="en-US" w:eastAsia="en-US" w:bidi="ar-SA"/>
              </w:rPr>
              <w:t>ivals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194C904"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03F06677" w14:textId="3EE8831C">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389785B3" w14:textId="42CAF612">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27F0ECC9" w14:textId="13094B53">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$30.00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60B89CCE" w14:textId="7456F2CF">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0.822</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DF3AC5" w:rsidP="004E16D7" w14:paraId="2564771C" w14:textId="4ADD86BA">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5.7%</w:t>
            </w:r>
          </w:p>
        </w:tc>
      </w:tr>
      <w:tr w14:paraId="1B70544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45B812C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41B66CDC"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0E7B0FB6"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2168027" w14:textId="19645891">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43F1323" w14:textId="3EA4239C">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2CDFDAF" w14:textId="50402FE9">
            <w:pPr>
              <w:widowControl/>
              <w:suppressAutoHyphens/>
              <w:jc w:val="center"/>
              <w:rPr>
                <w:rStyle w:val="DefaultParagraphFont"/>
                <w:snapToGrid/>
                <w:kern w:val="0"/>
                <w:sz w:val="20"/>
                <w:lang w:val="en-US" w:eastAsia="en-US" w:bidi="ar-SA"/>
              </w:rPr>
            </w:pPr>
            <w:r>
              <w:rPr>
                <w:snapToGrid w:val="0"/>
                <w:kern w:val="28"/>
                <w:sz w:val="20"/>
                <w:lang w:val="en-US" w:eastAsia="en-US" w:bidi="ar-SA"/>
              </w:rPr>
              <w:t>$28.38</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389DF7F" w14:textId="089562A1">
            <w:pPr>
              <w:widowControl/>
              <w:suppressAutoHyphens/>
              <w:jc w:val="center"/>
              <w:rPr>
                <w:rStyle w:val="DefaultParagraphFont"/>
                <w:snapToGrid/>
                <w:kern w:val="0"/>
                <w:sz w:val="20"/>
                <w:lang w:val="en-US" w:eastAsia="en-US" w:bidi="ar-SA"/>
              </w:rPr>
            </w:pPr>
            <w:r>
              <w:rPr>
                <w:snapToGrid w:val="0"/>
                <w:kern w:val="28"/>
                <w:sz w:val="20"/>
                <w:lang w:val="en-US" w:eastAsia="en-US" w:bidi="ar-SA"/>
              </w:rPr>
              <w:t>0.633</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5B4FB219" w14:textId="77777777">
            <w:pPr>
              <w:widowControl/>
              <w:suppressAutoHyphens/>
              <w:rPr>
                <w:rStyle w:val="DefaultParagraphFont"/>
                <w:snapToGrid/>
                <w:kern w:val="0"/>
                <w:sz w:val="20"/>
                <w:lang w:val="en-US" w:eastAsia="en-US" w:bidi="ar-SA"/>
              </w:rPr>
            </w:pPr>
          </w:p>
        </w:tc>
      </w:tr>
      <w:tr w14:paraId="5800703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3F5F0B67"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3C454ACE"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9539940"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72B12FB" w14:textId="120A1F9B">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A83DBC9" w14:textId="11D0AE76">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F937520" w14:textId="5615641D">
            <w:pPr>
              <w:widowControl/>
              <w:suppressAutoHyphens/>
              <w:jc w:val="center"/>
              <w:rPr>
                <w:rStyle w:val="DefaultParagraphFont"/>
                <w:snapToGrid/>
                <w:kern w:val="0"/>
                <w:sz w:val="20"/>
                <w:lang w:val="en-US" w:eastAsia="en-US" w:bidi="ar-SA"/>
              </w:rPr>
            </w:pPr>
            <w:r>
              <w:rPr>
                <w:snapToGrid w:val="0"/>
                <w:kern w:val="28"/>
                <w:sz w:val="20"/>
                <w:lang w:val="en-US" w:eastAsia="en-US" w:bidi="ar-SA"/>
              </w:rPr>
              <w:t>$73.27</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70134EE" w14:textId="7F5C94E4">
            <w:pPr>
              <w:widowControl/>
              <w:suppressAutoHyphens/>
              <w:jc w:val="center"/>
              <w:rPr>
                <w:rStyle w:val="DefaultParagraphFont"/>
                <w:snapToGrid/>
                <w:kern w:val="0"/>
                <w:sz w:val="20"/>
                <w:lang w:val="en-US" w:eastAsia="en-US" w:bidi="ar-SA"/>
              </w:rPr>
            </w:pPr>
            <w:r>
              <w:rPr>
                <w:snapToGrid w:val="0"/>
                <w:kern w:val="28"/>
                <w:sz w:val="20"/>
                <w:lang w:val="en-US" w:eastAsia="en-US" w:bidi="ar-SA"/>
              </w:rPr>
              <w:t>1.433</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54583BF1" w14:textId="2F865F8B">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r>
      <w:tr w14:paraId="2A85BC8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23DD6B0F"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060F512"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22A6661E"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64A857AD" w14:textId="40EB7334">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29387AB7" w14:textId="196BF1A3">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6C88369" w14:textId="7297F3DF">
            <w:pPr>
              <w:widowControl/>
              <w:suppressAutoHyphens/>
              <w:jc w:val="center"/>
              <w:rPr>
                <w:rStyle w:val="DefaultParagraphFont"/>
                <w:snapToGrid/>
                <w:kern w:val="0"/>
                <w:sz w:val="20"/>
                <w:lang w:val="en-US" w:eastAsia="en-US" w:bidi="ar-SA"/>
              </w:rPr>
            </w:pPr>
            <w:r>
              <w:rPr>
                <w:snapToGrid w:val="0"/>
                <w:kern w:val="28"/>
                <w:sz w:val="20"/>
                <w:lang w:val="en-US" w:eastAsia="en-US" w:bidi="ar-SA"/>
              </w:rPr>
              <w:t>$69.42</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566578C" w14:textId="527D65D4">
            <w:pPr>
              <w:widowControl/>
              <w:suppressAutoHyphens/>
              <w:jc w:val="center"/>
              <w:rPr>
                <w:rStyle w:val="DefaultParagraphFont"/>
                <w:snapToGrid/>
                <w:kern w:val="0"/>
                <w:sz w:val="20"/>
                <w:lang w:val="en-US" w:eastAsia="en-US" w:bidi="ar-SA"/>
              </w:rPr>
            </w:pPr>
            <w:r>
              <w:rPr>
                <w:snapToGrid w:val="0"/>
                <w:kern w:val="28"/>
                <w:sz w:val="20"/>
                <w:lang w:val="en-US" w:eastAsia="en-US" w:bidi="ar-SA"/>
              </w:rPr>
              <w:t>1.824</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423947D6" w14:textId="77777777">
            <w:pPr>
              <w:widowControl/>
              <w:suppressAutoHyphens/>
              <w:rPr>
                <w:rStyle w:val="DefaultParagraphFont"/>
                <w:snapToGrid/>
                <w:kern w:val="0"/>
                <w:sz w:val="20"/>
                <w:lang w:val="en-US" w:eastAsia="en-US" w:bidi="ar-SA"/>
              </w:rPr>
            </w:pPr>
          </w:p>
        </w:tc>
      </w:tr>
      <w:tr w14:paraId="5BCC0D23"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679D5995"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1A82963A"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EC9F488"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44B6C77E" w14:textId="4ED35F99">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3100E8E" w14:textId="19D5B65D">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A0B3901" w14:textId="45647361">
            <w:pPr>
              <w:widowControl/>
              <w:suppressAutoHyphens/>
              <w:jc w:val="center"/>
              <w:rPr>
                <w:rStyle w:val="DefaultParagraphFont"/>
                <w:snapToGrid/>
                <w:kern w:val="0"/>
                <w:sz w:val="20"/>
                <w:lang w:val="en-US" w:eastAsia="en-US" w:bidi="ar-SA"/>
              </w:rPr>
            </w:pPr>
            <w:r>
              <w:rPr>
                <w:snapToGrid w:val="0"/>
                <w:kern w:val="28"/>
                <w:sz w:val="20"/>
                <w:lang w:val="en-US" w:eastAsia="en-US" w:bidi="ar-SA"/>
              </w:rPr>
              <w:t>$100.95</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B967F8D" w14:textId="74EA84E9">
            <w:pPr>
              <w:widowControl/>
              <w:suppressAutoHyphens/>
              <w:jc w:val="center"/>
              <w:rPr>
                <w:rStyle w:val="DefaultParagraphFont"/>
                <w:snapToGrid/>
                <w:kern w:val="0"/>
                <w:sz w:val="20"/>
                <w:lang w:val="en-US" w:eastAsia="en-US" w:bidi="ar-SA"/>
              </w:rPr>
            </w:pPr>
            <w:r>
              <w:rPr>
                <w:snapToGrid w:val="0"/>
                <w:kern w:val="28"/>
                <w:sz w:val="20"/>
                <w:lang w:val="en-US" w:eastAsia="en-US" w:bidi="ar-SA"/>
              </w:rPr>
              <w:t>2.053</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07A83A2A" w14:textId="510C31DC">
            <w:pPr>
              <w:widowControl/>
              <w:suppressAutoHyphens/>
              <w:jc w:val="center"/>
              <w:rPr>
                <w:rStyle w:val="DefaultParagraphFont"/>
                <w:snapToGrid/>
                <w:kern w:val="0"/>
                <w:sz w:val="20"/>
                <w:lang w:val="en-US" w:eastAsia="en-US" w:bidi="ar-SA"/>
              </w:rPr>
            </w:pPr>
            <w:r>
              <w:rPr>
                <w:snapToGrid w:val="0"/>
                <w:kern w:val="28"/>
                <w:sz w:val="20"/>
                <w:lang w:val="en-US" w:eastAsia="en-US" w:bidi="ar-SA"/>
              </w:rPr>
              <w:t>4.8%</w:t>
            </w:r>
          </w:p>
        </w:tc>
      </w:tr>
      <w:tr w14:paraId="128FC9A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3E20D42D"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0C78A1BC"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0AE1658B"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04013A79" w14:textId="037121F6">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E2CF78B" w14:textId="2E57194F">
            <w:pPr>
              <w:widowControl/>
              <w:suppressAutoHyphens/>
              <w:jc w:val="center"/>
              <w:rPr>
                <w:rStyle w:val="DefaultParagraphFont"/>
                <w:snapToGrid/>
                <w:kern w:val="0"/>
                <w:sz w:val="20"/>
                <w:lang w:val="en-US" w:eastAsia="en-US" w:bidi="ar-SA"/>
              </w:rPr>
            </w:pPr>
            <w:r>
              <w:rPr>
                <w:snapToGrid w:val="0"/>
                <w:kern w:val="28"/>
                <w:sz w:val="20"/>
                <w:lang w:val="en-US" w:eastAsia="en-US" w:bidi="ar-SA"/>
              </w:rPr>
              <w:t>54</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E216331" w14:textId="70B59778">
            <w:pPr>
              <w:widowControl/>
              <w:suppressAutoHyphens/>
              <w:jc w:val="center"/>
              <w:rPr>
                <w:rStyle w:val="DefaultParagraphFont"/>
                <w:snapToGrid/>
                <w:kern w:val="0"/>
                <w:sz w:val="20"/>
                <w:lang w:val="en-US" w:eastAsia="en-US" w:bidi="ar-SA"/>
              </w:rPr>
            </w:pPr>
            <w:r>
              <w:rPr>
                <w:snapToGrid w:val="0"/>
                <w:kern w:val="28"/>
                <w:sz w:val="20"/>
                <w:lang w:val="en-US" w:eastAsia="en-US" w:bidi="ar-SA"/>
              </w:rPr>
              <w:t>$96.36</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1E72485" w14:textId="475B3AD1">
            <w:pPr>
              <w:widowControl/>
              <w:suppressAutoHyphens/>
              <w:jc w:val="center"/>
              <w:rPr>
                <w:rStyle w:val="DefaultParagraphFont"/>
                <w:snapToGrid/>
                <w:kern w:val="0"/>
                <w:sz w:val="20"/>
                <w:lang w:val="en-US" w:eastAsia="en-US" w:bidi="ar-SA"/>
              </w:rPr>
            </w:pPr>
            <w:r>
              <w:rPr>
                <w:snapToGrid w:val="0"/>
                <w:kern w:val="28"/>
                <w:sz w:val="20"/>
                <w:lang w:val="en-US" w:eastAsia="en-US" w:bidi="ar-SA"/>
              </w:rPr>
              <w:t>1.604</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5B70D45D" w14:textId="77777777">
            <w:pPr>
              <w:widowControl/>
              <w:suppressAutoHyphens/>
              <w:rPr>
                <w:rStyle w:val="DefaultParagraphFont"/>
                <w:snapToGrid/>
                <w:kern w:val="0"/>
                <w:sz w:val="20"/>
                <w:lang w:val="en-US" w:eastAsia="en-US" w:bidi="ar-SA"/>
              </w:rPr>
            </w:pPr>
          </w:p>
        </w:tc>
      </w:tr>
      <w:tr w14:paraId="61CB669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3137EBA7"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DF3AC5" w:rsidRPr="002C692A" w:rsidP="004E16D7" w14:paraId="4958334B" w14:textId="77777777">
            <w:pPr>
              <w:widowControl/>
              <w:suppressAutoHyphens/>
              <w:jc w:val="center"/>
              <w:rPr>
                <w:rStyle w:val="DefaultParagraphFont"/>
                <w:b/>
                <w:snapToGrid/>
                <w:kern w:val="0"/>
                <w:sz w:val="20"/>
                <w:lang w:val="en-US" w:eastAsia="en-US" w:bidi="ar-SA"/>
              </w:rPr>
            </w:pPr>
            <w:r w:rsidRPr="002C692A">
              <w:rPr>
                <w:b/>
                <w:snapToGrid/>
                <w:kern w:val="0"/>
                <w:sz w:val="20"/>
                <w:lang w:val="en-US" w:eastAsia="en-US" w:bidi="ar-SA"/>
              </w:rPr>
              <w:t>DBS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7B4A4FA"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4829F7C4" w14:textId="7822F5EF">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DF3AC5" w:rsidRPr="00DC1FCC" w:rsidP="004E16D7" w14:paraId="0D12F817" w14:textId="28C4210D">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163</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DF3AC5" w:rsidRPr="00DC1FCC" w:rsidP="004E16D7" w14:paraId="2BC454B0" w14:textId="0A4BA2DB">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$30.28</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DF3AC5" w:rsidRPr="00DC1FCC" w:rsidP="004E16D7" w14:paraId="25F19E9C" w14:textId="089653D2">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0.460</w:t>
            </w:r>
          </w:p>
        </w:tc>
        <w:tc>
          <w:tcPr>
            <w:tcW w:w="688"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F3AC5" w:rsidRPr="00DF3AC5" w:rsidP="004E16D7" w14:paraId="415E82C4" w14:textId="5BE1A102">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6.0%*</w:t>
            </w:r>
          </w:p>
        </w:tc>
      </w:tr>
      <w:tr w14:paraId="26F6722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532C1423"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5D0D55A9"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639C1127"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754B006C" w14:textId="308F67BC">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95C27B8" w14:textId="6904576F">
            <w:pPr>
              <w:widowControl/>
              <w:suppressAutoHyphens/>
              <w:jc w:val="center"/>
              <w:rPr>
                <w:rStyle w:val="DefaultParagraphFont"/>
                <w:snapToGrid/>
                <w:kern w:val="0"/>
                <w:sz w:val="20"/>
                <w:lang w:val="en-US" w:eastAsia="en-US" w:bidi="ar-SA"/>
              </w:rPr>
            </w:pPr>
            <w:r>
              <w:rPr>
                <w:snapToGrid w:val="0"/>
                <w:kern w:val="28"/>
                <w:sz w:val="20"/>
                <w:lang w:val="en-US" w:eastAsia="en-US" w:bidi="ar-SA"/>
              </w:rPr>
              <w:t>162</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F6C9AAE" w14:textId="6CD9329C">
            <w:pPr>
              <w:widowControl/>
              <w:suppressAutoHyphens/>
              <w:jc w:val="center"/>
              <w:rPr>
                <w:rStyle w:val="DefaultParagraphFont"/>
                <w:snapToGrid/>
                <w:kern w:val="0"/>
                <w:sz w:val="20"/>
                <w:lang w:val="en-US" w:eastAsia="en-US" w:bidi="ar-SA"/>
              </w:rPr>
            </w:pPr>
            <w:r>
              <w:rPr>
                <w:snapToGrid w:val="0"/>
                <w:kern w:val="28"/>
                <w:sz w:val="20"/>
                <w:lang w:val="en-US" w:eastAsia="en-US" w:bidi="ar-SA"/>
              </w:rPr>
              <w:t>$28.57</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476E113" w14:textId="78B36C2D">
            <w:pPr>
              <w:widowControl/>
              <w:suppressAutoHyphens/>
              <w:jc w:val="center"/>
              <w:rPr>
                <w:rStyle w:val="DefaultParagraphFont"/>
                <w:snapToGrid/>
                <w:kern w:val="0"/>
                <w:sz w:val="20"/>
                <w:lang w:val="en-US" w:eastAsia="en-US" w:bidi="ar-SA"/>
              </w:rPr>
            </w:pPr>
            <w:r>
              <w:rPr>
                <w:snapToGrid w:val="0"/>
                <w:kern w:val="28"/>
                <w:sz w:val="20"/>
                <w:lang w:val="en-US" w:eastAsia="en-US" w:bidi="ar-SA"/>
              </w:rPr>
              <w:t>0.530</w:t>
            </w:r>
          </w:p>
        </w:tc>
        <w:tc>
          <w:tcPr>
            <w:tcW w:w="688" w:type="pct"/>
            <w:vMerge/>
            <w:tcBorders>
              <w:top w:val="single" w:sz="4" w:space="0" w:color="auto"/>
              <w:left w:val="single" w:sz="4" w:space="0" w:color="auto"/>
              <w:bottom w:val="single" w:sz="4" w:space="0" w:color="auto"/>
              <w:right w:val="single" w:sz="8" w:space="0" w:color="auto"/>
            </w:tcBorders>
            <w:vAlign w:val="center"/>
            <w:hideMark/>
          </w:tcPr>
          <w:p w:rsidR="00DF3AC5" w:rsidRPr="002C692A" w:rsidP="004E16D7" w14:paraId="1FA563E8" w14:textId="77777777">
            <w:pPr>
              <w:widowControl/>
              <w:suppressAutoHyphens/>
              <w:rPr>
                <w:rStyle w:val="DefaultParagraphFont"/>
                <w:snapToGrid/>
                <w:kern w:val="0"/>
                <w:sz w:val="20"/>
                <w:lang w:val="en-US" w:eastAsia="en-US" w:bidi="ar-SA"/>
              </w:rPr>
            </w:pPr>
          </w:p>
        </w:tc>
      </w:tr>
      <w:tr w14:paraId="59B16AA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57853454"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2C355A47"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5D50E84"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299AA4B0" w14:textId="2CE1BEA2">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2CACB966" w14:textId="1F41F001">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9514023" w14:textId="25335308">
            <w:pPr>
              <w:widowControl/>
              <w:suppressAutoHyphens/>
              <w:jc w:val="center"/>
              <w:rPr>
                <w:rStyle w:val="DefaultParagraphFont"/>
                <w:snapToGrid/>
                <w:kern w:val="0"/>
                <w:sz w:val="20"/>
                <w:lang w:val="en-US" w:eastAsia="en-US" w:bidi="ar-SA"/>
              </w:rPr>
            </w:pPr>
            <w:r>
              <w:rPr>
                <w:snapToGrid w:val="0"/>
                <w:kern w:val="28"/>
                <w:sz w:val="20"/>
                <w:lang w:val="en-US" w:eastAsia="en-US" w:bidi="ar-SA"/>
              </w:rPr>
              <w:t>$79.00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D1686DC" w14:textId="07F0227B">
            <w:pPr>
              <w:widowControl/>
              <w:suppressAutoHyphens/>
              <w:jc w:val="center"/>
              <w:rPr>
                <w:rStyle w:val="DefaultParagraphFont"/>
                <w:snapToGrid/>
                <w:kern w:val="0"/>
                <w:sz w:val="20"/>
                <w:lang w:val="en-US" w:eastAsia="en-US" w:bidi="ar-SA"/>
              </w:rPr>
            </w:pPr>
            <w:r>
              <w:rPr>
                <w:snapToGrid w:val="0"/>
                <w:kern w:val="28"/>
                <w:sz w:val="20"/>
                <w:lang w:val="en-US" w:eastAsia="en-US" w:bidi="ar-SA"/>
              </w:rPr>
              <w:t>0.499</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24408169" w14:textId="79EAACA1">
            <w:pPr>
              <w:widowControl/>
              <w:suppressAutoHyphens/>
              <w:jc w:val="center"/>
              <w:rPr>
                <w:rStyle w:val="DefaultParagraphFont"/>
                <w:snapToGrid/>
                <w:kern w:val="0"/>
                <w:sz w:val="20"/>
                <w:lang w:val="en-US" w:eastAsia="en-US" w:bidi="ar-SA"/>
              </w:rPr>
            </w:pPr>
            <w:r>
              <w:rPr>
                <w:snapToGrid w:val="0"/>
                <w:kern w:val="28"/>
                <w:sz w:val="20"/>
                <w:lang w:val="en-US" w:eastAsia="en-US" w:bidi="ar-SA"/>
              </w:rPr>
              <w:t>3.2%*</w:t>
            </w:r>
          </w:p>
        </w:tc>
      </w:tr>
      <w:tr w14:paraId="701C44B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0655ED94"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2987F6DF"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60169403"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D393079" w14:textId="785AB3D2">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60575AF" w14:textId="14F96798">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A80B1B6" w14:textId="2F063830">
            <w:pPr>
              <w:widowControl/>
              <w:suppressAutoHyphens/>
              <w:jc w:val="center"/>
              <w:rPr>
                <w:rStyle w:val="DefaultParagraphFont"/>
                <w:snapToGrid/>
                <w:kern w:val="0"/>
                <w:sz w:val="20"/>
                <w:lang w:val="en-US" w:eastAsia="en-US" w:bidi="ar-SA"/>
              </w:rPr>
            </w:pPr>
            <w:r>
              <w:rPr>
                <w:snapToGrid w:val="0"/>
                <w:kern w:val="28"/>
                <w:sz w:val="20"/>
                <w:lang w:val="en-US" w:eastAsia="en-US" w:bidi="ar-SA"/>
              </w:rPr>
              <w:t>$76.53</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62E65C3" w14:textId="34D9DC5F">
            <w:pPr>
              <w:widowControl/>
              <w:suppressAutoHyphens/>
              <w:jc w:val="center"/>
              <w:rPr>
                <w:rStyle w:val="DefaultParagraphFont"/>
                <w:snapToGrid/>
                <w:kern w:val="0"/>
                <w:sz w:val="20"/>
                <w:lang w:val="en-US" w:eastAsia="en-US" w:bidi="ar-SA"/>
              </w:rPr>
            </w:pPr>
            <w:r>
              <w:rPr>
                <w:snapToGrid w:val="0"/>
                <w:kern w:val="28"/>
                <w:sz w:val="20"/>
                <w:lang w:val="en-US" w:eastAsia="en-US" w:bidi="ar-SA"/>
              </w:rPr>
              <w:t>0.503</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7D02D116" w14:textId="77777777">
            <w:pPr>
              <w:widowControl/>
              <w:suppressAutoHyphens/>
              <w:rPr>
                <w:rStyle w:val="DefaultParagraphFont"/>
                <w:snapToGrid/>
                <w:kern w:val="0"/>
                <w:sz w:val="20"/>
                <w:lang w:val="en-US" w:eastAsia="en-US" w:bidi="ar-SA"/>
              </w:rPr>
            </w:pPr>
          </w:p>
        </w:tc>
      </w:tr>
      <w:tr w14:paraId="26CB3D4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0785B100"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2EE3F23E" w14:textId="77777777">
            <w:pPr>
              <w:widowControl/>
              <w:suppressAutoHyphens/>
              <w:rPr>
                <w:rStyle w:val="DefaultParagraphFont"/>
                <w:b/>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79D0F290"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FF6676F" w14:textId="74D71B0B">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AEB0789" w14:textId="4C6DDC3E">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758CD00F" w14:textId="7E34058E">
            <w:pPr>
              <w:widowControl/>
              <w:suppressAutoHyphens/>
              <w:jc w:val="center"/>
              <w:rPr>
                <w:rStyle w:val="DefaultParagraphFont"/>
                <w:snapToGrid/>
                <w:kern w:val="0"/>
                <w:sz w:val="20"/>
                <w:lang w:val="en-US" w:eastAsia="en-US" w:bidi="ar-SA"/>
              </w:rPr>
            </w:pPr>
            <w:r>
              <w:rPr>
                <w:snapToGrid w:val="0"/>
                <w:kern w:val="28"/>
                <w:sz w:val="20"/>
                <w:lang w:val="en-US" w:eastAsia="en-US" w:bidi="ar-SA"/>
              </w:rPr>
              <w:t>$91.12</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3616BF9E" w14:textId="474D0825">
            <w:pPr>
              <w:widowControl/>
              <w:suppressAutoHyphens/>
              <w:jc w:val="center"/>
              <w:rPr>
                <w:rStyle w:val="DefaultParagraphFont"/>
                <w:snapToGrid/>
                <w:kern w:val="0"/>
                <w:sz w:val="20"/>
                <w:lang w:val="en-US" w:eastAsia="en-US" w:bidi="ar-SA"/>
              </w:rPr>
            </w:pPr>
            <w:r>
              <w:rPr>
                <w:snapToGrid w:val="0"/>
                <w:kern w:val="28"/>
                <w:sz w:val="20"/>
                <w:lang w:val="en-US" w:eastAsia="en-US" w:bidi="ar-SA"/>
              </w:rPr>
              <w:t>0.557</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21C1E718" w14:textId="3AED93B3">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r>
      <w:tr w14:paraId="074FAA9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5DFA205C" w14:textId="77777777">
            <w:pPr>
              <w:widowControl/>
              <w:suppressAutoHyphens/>
              <w:rPr>
                <w:rStyle w:val="DefaultParagraphFont"/>
                <w:b/>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DF3AC5" w:rsidRPr="002C692A" w:rsidP="004E16D7" w14:paraId="5FB84E46" w14:textId="77777777">
            <w:pPr>
              <w:widowControl/>
              <w:suppressAutoHyphens/>
              <w:rPr>
                <w:rStyle w:val="DefaultParagraphFont"/>
                <w:b/>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3C9FC000"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795A168" w14:textId="0046DC64">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225DF1B8" w14:textId="3A771434">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90ED8A5" w14:textId="3CADFD5A">
            <w:pPr>
              <w:widowControl/>
              <w:suppressAutoHyphens/>
              <w:jc w:val="center"/>
              <w:rPr>
                <w:rStyle w:val="DefaultParagraphFont"/>
                <w:snapToGrid/>
                <w:kern w:val="0"/>
                <w:sz w:val="20"/>
                <w:lang w:val="en-US" w:eastAsia="en-US" w:bidi="ar-SA"/>
              </w:rPr>
            </w:pPr>
            <w:r>
              <w:rPr>
                <w:snapToGrid w:val="0"/>
                <w:kern w:val="28"/>
                <w:sz w:val="20"/>
                <w:lang w:val="en-US" w:eastAsia="en-US" w:bidi="ar-SA"/>
              </w:rPr>
              <w:t>$87.60</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999D948" w14:textId="361AD09E">
            <w:pPr>
              <w:widowControl/>
              <w:suppressAutoHyphens/>
              <w:jc w:val="center"/>
              <w:rPr>
                <w:rStyle w:val="DefaultParagraphFont"/>
                <w:snapToGrid/>
                <w:kern w:val="0"/>
                <w:sz w:val="20"/>
                <w:lang w:val="en-US" w:eastAsia="en-US" w:bidi="ar-SA"/>
              </w:rPr>
            </w:pPr>
            <w:r>
              <w:rPr>
                <w:snapToGrid w:val="0"/>
                <w:kern w:val="28"/>
                <w:sz w:val="20"/>
                <w:lang w:val="en-US" w:eastAsia="en-US" w:bidi="ar-SA"/>
              </w:rPr>
              <w:t>0.513</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3E31607F" w14:textId="77777777">
            <w:pPr>
              <w:widowControl/>
              <w:suppressAutoHyphens/>
              <w:rPr>
                <w:rStyle w:val="DefaultParagraphFont"/>
                <w:snapToGrid/>
                <w:kern w:val="0"/>
                <w:sz w:val="20"/>
                <w:lang w:val="en-US" w:eastAsia="en-US" w:bidi="ar-SA"/>
              </w:rPr>
            </w:pPr>
          </w:p>
        </w:tc>
      </w:tr>
      <w:tr w14:paraId="6299476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2C692A" w:rsidP="004E16D7" w14:paraId="16508DD8" w14:textId="77777777">
            <w:pPr>
              <w:widowControl/>
              <w:suppressAutoHyphens/>
              <w:rPr>
                <w:rStyle w:val="DefaultParagraphFont"/>
                <w:b/>
                <w:snapToGrid/>
                <w:kern w:val="0"/>
                <w:sz w:val="20"/>
                <w:lang w:val="en-US" w:eastAsia="en-US" w:bidi="ar-SA"/>
              </w:rPr>
            </w:pPr>
          </w:p>
        </w:tc>
        <w:tc>
          <w:tcPr>
            <w:tcW w:w="675" w:type="pct"/>
            <w:vMerge w:val="restart"/>
            <w:tcBorders>
              <w:top w:val="nil"/>
              <w:left w:val="single" w:sz="4" w:space="0" w:color="auto"/>
              <w:bottom w:val="single" w:sz="8" w:space="0" w:color="000000"/>
              <w:right w:val="single" w:sz="4" w:space="0" w:color="auto"/>
            </w:tcBorders>
            <w:shd w:val="clear" w:color="auto" w:fill="auto"/>
            <w:vAlign w:val="center"/>
            <w:hideMark/>
          </w:tcPr>
          <w:p w:rsidR="00DF3AC5" w:rsidRPr="002C692A" w:rsidP="004E16D7" w14:paraId="2B5E5E47" w14:textId="47481391">
            <w:pPr>
              <w:widowControl/>
              <w:suppressAutoHyphens/>
              <w:jc w:val="center"/>
              <w:rPr>
                <w:rStyle w:val="DefaultParagraphFont"/>
                <w:b/>
                <w:snapToGrid/>
                <w:kern w:val="0"/>
                <w:sz w:val="20"/>
                <w:lang w:val="en-US" w:eastAsia="en-US" w:bidi="ar-SA"/>
              </w:rPr>
            </w:pPr>
            <w:r>
              <w:rPr>
                <w:b/>
                <w:snapToGrid/>
                <w:kern w:val="0"/>
                <w:sz w:val="20"/>
                <w:lang w:val="en-US" w:eastAsia="en-US" w:bidi="ar-SA"/>
              </w:rPr>
              <w:t>Wireless and Low Penetration Test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5E539638" w14:textId="77777777">
            <w:pPr>
              <w:widowControl/>
              <w:suppressAutoHyphens/>
              <w:rPr>
                <w:rStyle w:val="DefaultParagraphFont"/>
                <w:b/>
                <w:snapToGrid/>
                <w:kern w:val="0"/>
                <w:sz w:val="20"/>
                <w:lang w:val="en-US" w:eastAsia="en-US" w:bidi="ar-SA"/>
              </w:rPr>
            </w:pPr>
            <w:r w:rsidRPr="002C692A">
              <w:rPr>
                <w:b/>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DC1FCC" w:rsidP="004E16D7" w14:paraId="47B6C6AC" w14:textId="58926162">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49F096A4" w14:textId="0A3E3DD7">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2DCFE978" w14:textId="2870E773">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$30.89</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DC1FCC" w:rsidP="004E16D7" w14:paraId="1C3C7CE8" w14:textId="5C59FD6F">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0.560</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DF3AC5" w:rsidP="004E16D7" w14:paraId="5790A1BA" w14:textId="33237DD7">
            <w:pPr>
              <w:widowControl/>
              <w:suppressAutoHyphens/>
              <w:jc w:val="center"/>
              <w:rPr>
                <w:rStyle w:val="DefaultParagraphFont"/>
                <w:b/>
                <w:snapToGrid/>
                <w:kern w:val="0"/>
                <w:sz w:val="20"/>
                <w:lang w:val="en-US" w:eastAsia="en-US" w:bidi="ar-SA"/>
              </w:rPr>
            </w:pPr>
            <w:r w:rsidRPr="00A46F4A">
              <w:rPr>
                <w:b/>
                <w:snapToGrid w:val="0"/>
                <w:kern w:val="28"/>
                <w:sz w:val="20"/>
                <w:lang w:val="en-US" w:eastAsia="en-US" w:bidi="ar-SA"/>
              </w:rPr>
              <w:t>4.7%</w:t>
            </w:r>
          </w:p>
        </w:tc>
      </w:tr>
      <w:tr w14:paraId="22D9C53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C104CF" w:rsidP="004E16D7" w14:paraId="2D55AE76"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DF3AC5" w:rsidRPr="00C104CF" w:rsidP="004E16D7" w14:paraId="4B12AF7F"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26E371AE"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7E8CF22E" w14:textId="0AA05E09">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0033C3FA" w14:textId="651F1243">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CF20BA2" w14:textId="1FD9BF1F">
            <w:pPr>
              <w:widowControl/>
              <w:suppressAutoHyphens/>
              <w:jc w:val="center"/>
              <w:rPr>
                <w:rStyle w:val="DefaultParagraphFont"/>
                <w:snapToGrid/>
                <w:kern w:val="0"/>
                <w:sz w:val="20"/>
                <w:lang w:val="en-US" w:eastAsia="en-US" w:bidi="ar-SA"/>
              </w:rPr>
            </w:pPr>
            <w:r>
              <w:rPr>
                <w:snapToGrid w:val="0"/>
                <w:kern w:val="28"/>
                <w:sz w:val="20"/>
                <w:lang w:val="en-US" w:eastAsia="en-US" w:bidi="ar-SA"/>
              </w:rPr>
              <w:t>$29.49</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CB5406F" w14:textId="4ABEF977">
            <w:pPr>
              <w:widowControl/>
              <w:suppressAutoHyphens/>
              <w:jc w:val="center"/>
              <w:rPr>
                <w:rStyle w:val="DefaultParagraphFont"/>
                <w:snapToGrid/>
                <w:kern w:val="0"/>
                <w:sz w:val="20"/>
                <w:lang w:val="en-US" w:eastAsia="en-US" w:bidi="ar-SA"/>
              </w:rPr>
            </w:pPr>
            <w:r>
              <w:rPr>
                <w:snapToGrid w:val="0"/>
                <w:kern w:val="28"/>
                <w:sz w:val="20"/>
                <w:lang w:val="en-US" w:eastAsia="en-US" w:bidi="ar-SA"/>
              </w:rPr>
              <w:t>0.532</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6075D0D7" w14:textId="77777777">
            <w:pPr>
              <w:widowControl/>
              <w:suppressAutoHyphens/>
              <w:rPr>
                <w:rStyle w:val="DefaultParagraphFont"/>
                <w:snapToGrid/>
                <w:kern w:val="0"/>
                <w:sz w:val="20"/>
                <w:lang w:val="en-US" w:eastAsia="en-US" w:bidi="ar-SA"/>
              </w:rPr>
            </w:pPr>
          </w:p>
        </w:tc>
      </w:tr>
      <w:tr w14:paraId="3E16FA7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C104CF" w:rsidP="004E16D7" w14:paraId="177075AD"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DF3AC5" w:rsidRPr="00C104CF" w:rsidP="004E16D7" w14:paraId="505F3062"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6ED004D4"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3D562211" w14:textId="7AE0F695">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2C65B321" w14:textId="4FFC74BF">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495C15E" w14:textId="5BA9EF3C">
            <w:pPr>
              <w:widowControl/>
              <w:suppressAutoHyphens/>
              <w:jc w:val="center"/>
              <w:rPr>
                <w:rStyle w:val="DefaultParagraphFont"/>
                <w:snapToGrid/>
                <w:kern w:val="0"/>
                <w:sz w:val="20"/>
                <w:lang w:val="en-US" w:eastAsia="en-US" w:bidi="ar-SA"/>
              </w:rPr>
            </w:pPr>
            <w:r>
              <w:rPr>
                <w:snapToGrid w:val="0"/>
                <w:kern w:val="28"/>
                <w:sz w:val="20"/>
                <w:lang w:val="en-US" w:eastAsia="en-US" w:bidi="ar-SA"/>
              </w:rPr>
              <w:t>$78.56</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10281ED3" w14:textId="6E3A2841">
            <w:pPr>
              <w:widowControl/>
              <w:suppressAutoHyphens/>
              <w:jc w:val="center"/>
              <w:rPr>
                <w:rStyle w:val="DefaultParagraphFont"/>
                <w:snapToGrid/>
                <w:kern w:val="0"/>
                <w:sz w:val="20"/>
                <w:lang w:val="en-US" w:eastAsia="en-US" w:bidi="ar-SA"/>
              </w:rPr>
            </w:pPr>
            <w:r>
              <w:rPr>
                <w:snapToGrid w:val="0"/>
                <w:kern w:val="28"/>
                <w:sz w:val="20"/>
                <w:lang w:val="en-US" w:eastAsia="en-US" w:bidi="ar-SA"/>
              </w:rPr>
              <w:t>1.219</w:t>
            </w:r>
          </w:p>
        </w:tc>
        <w:tc>
          <w:tcPr>
            <w:tcW w:w="68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DF3AC5" w:rsidRPr="002C692A" w:rsidP="004E16D7" w14:paraId="6E3338CD" w14:textId="739F649D">
            <w:pPr>
              <w:widowControl/>
              <w:suppressAutoHyphens/>
              <w:jc w:val="center"/>
              <w:rPr>
                <w:rStyle w:val="DefaultParagraphFont"/>
                <w:snapToGrid/>
                <w:kern w:val="0"/>
                <w:sz w:val="20"/>
                <w:lang w:val="en-US" w:eastAsia="en-US" w:bidi="ar-SA"/>
              </w:rPr>
            </w:pPr>
            <w:r>
              <w:rPr>
                <w:snapToGrid w:val="0"/>
                <w:kern w:val="28"/>
                <w:sz w:val="20"/>
                <w:lang w:val="en-US" w:eastAsia="en-US" w:bidi="ar-SA"/>
              </w:rPr>
              <w:t>2.9%</w:t>
            </w:r>
          </w:p>
        </w:tc>
      </w:tr>
      <w:tr w14:paraId="5A15ED2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8" w:space="0" w:color="000000"/>
              <w:right w:val="single" w:sz="4" w:space="0" w:color="auto"/>
            </w:tcBorders>
            <w:vAlign w:val="center"/>
            <w:hideMark/>
          </w:tcPr>
          <w:p w:rsidR="00DF3AC5" w:rsidRPr="00C104CF" w:rsidP="004E16D7" w14:paraId="1294B4E1"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DF3AC5" w:rsidRPr="00C104CF" w:rsidP="004E16D7" w14:paraId="6DEBCDF0"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DF3AC5" w:rsidRPr="002C692A" w:rsidP="004E16D7" w14:paraId="0A4864DB"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F3AC5" w:rsidRPr="002C692A" w:rsidP="004E16D7" w14:paraId="1651D1FE" w14:textId="26520D3A">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5BF1CC19" w14:textId="00BDBC3E">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704"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662FB837" w14:textId="24CFF92A">
            <w:pPr>
              <w:widowControl/>
              <w:suppressAutoHyphens/>
              <w:jc w:val="center"/>
              <w:rPr>
                <w:rStyle w:val="DefaultParagraphFont"/>
                <w:snapToGrid/>
                <w:kern w:val="0"/>
                <w:sz w:val="20"/>
                <w:lang w:val="en-US" w:eastAsia="en-US" w:bidi="ar-SA"/>
              </w:rPr>
            </w:pPr>
            <w:r>
              <w:rPr>
                <w:snapToGrid w:val="0"/>
                <w:kern w:val="28"/>
                <w:sz w:val="20"/>
                <w:lang w:val="en-US" w:eastAsia="en-US" w:bidi="ar-SA"/>
              </w:rPr>
              <w:t>$76.34</w:t>
            </w:r>
          </w:p>
        </w:tc>
        <w:tc>
          <w:tcPr>
            <w:tcW w:w="597" w:type="pct"/>
            <w:tcBorders>
              <w:top w:val="nil"/>
              <w:left w:val="nil"/>
              <w:bottom w:val="single" w:sz="4" w:space="0" w:color="auto"/>
              <w:right w:val="single" w:sz="4" w:space="0" w:color="auto"/>
            </w:tcBorders>
            <w:shd w:val="clear" w:color="auto" w:fill="auto"/>
            <w:noWrap/>
            <w:vAlign w:val="center"/>
            <w:hideMark/>
          </w:tcPr>
          <w:p w:rsidR="00DF3AC5" w:rsidRPr="002C692A" w:rsidP="004E16D7" w14:paraId="4FBB0DB7" w14:textId="7D6B2350">
            <w:pPr>
              <w:widowControl/>
              <w:suppressAutoHyphens/>
              <w:jc w:val="center"/>
              <w:rPr>
                <w:rStyle w:val="DefaultParagraphFont"/>
                <w:snapToGrid/>
                <w:kern w:val="0"/>
                <w:sz w:val="20"/>
                <w:lang w:val="en-US" w:eastAsia="en-US" w:bidi="ar-SA"/>
              </w:rPr>
            </w:pPr>
            <w:r>
              <w:rPr>
                <w:snapToGrid w:val="0"/>
                <w:kern w:val="28"/>
                <w:sz w:val="20"/>
                <w:lang w:val="en-US" w:eastAsia="en-US" w:bidi="ar-SA"/>
              </w:rPr>
              <w:t>1.185</w:t>
            </w:r>
          </w:p>
        </w:tc>
        <w:tc>
          <w:tcPr>
            <w:tcW w:w="688" w:type="pct"/>
            <w:vMerge/>
            <w:tcBorders>
              <w:top w:val="nil"/>
              <w:left w:val="single" w:sz="4" w:space="0" w:color="auto"/>
              <w:bottom w:val="single" w:sz="4" w:space="0" w:color="auto"/>
              <w:right w:val="single" w:sz="8" w:space="0" w:color="auto"/>
            </w:tcBorders>
            <w:vAlign w:val="center"/>
            <w:hideMark/>
          </w:tcPr>
          <w:p w:rsidR="00DF3AC5" w:rsidRPr="002C692A" w:rsidP="004E16D7" w14:paraId="560A095C" w14:textId="77777777">
            <w:pPr>
              <w:widowControl/>
              <w:suppressAutoHyphens/>
              <w:rPr>
                <w:rStyle w:val="DefaultParagraphFont"/>
                <w:snapToGrid/>
                <w:kern w:val="0"/>
                <w:sz w:val="20"/>
                <w:lang w:val="en-US" w:eastAsia="en-US" w:bidi="ar-SA"/>
              </w:rPr>
            </w:pPr>
          </w:p>
        </w:tc>
      </w:tr>
      <w:tr w14:paraId="5FA8704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nil"/>
              <w:left w:val="single" w:sz="12" w:space="0" w:color="auto"/>
              <w:bottom w:val="single" w:sz="12" w:space="0" w:color="auto"/>
              <w:right w:val="single" w:sz="4" w:space="0" w:color="auto"/>
            </w:tcBorders>
            <w:vAlign w:val="center"/>
            <w:hideMark/>
          </w:tcPr>
          <w:p w:rsidR="00DF3AC5" w:rsidRPr="00C104CF" w:rsidP="004E16D7" w14:paraId="1636FB9C" w14:textId="77777777">
            <w:pPr>
              <w:widowControl/>
              <w:suppressAutoHyphens/>
              <w:rPr>
                <w:rStyle w:val="DefaultParagraphFont"/>
                <w:snapToGrid/>
                <w:kern w:val="0"/>
                <w:sz w:val="20"/>
                <w:lang w:val="en-US" w:eastAsia="en-US" w:bidi="ar-SA"/>
              </w:rPr>
            </w:pPr>
          </w:p>
        </w:tc>
        <w:tc>
          <w:tcPr>
            <w:tcW w:w="675" w:type="pct"/>
            <w:vMerge/>
            <w:tcBorders>
              <w:top w:val="nil"/>
              <w:left w:val="single" w:sz="4" w:space="0" w:color="auto"/>
              <w:bottom w:val="single" w:sz="12" w:space="0" w:color="auto"/>
              <w:right w:val="single" w:sz="4" w:space="0" w:color="auto"/>
            </w:tcBorders>
            <w:vAlign w:val="center"/>
            <w:hideMark/>
          </w:tcPr>
          <w:p w:rsidR="00DF3AC5" w:rsidRPr="00C104CF" w:rsidP="004E16D7" w14:paraId="565F435F"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12" w:space="0" w:color="auto"/>
              <w:right w:val="single" w:sz="4" w:space="0" w:color="auto"/>
            </w:tcBorders>
            <w:shd w:val="clear" w:color="auto" w:fill="auto"/>
            <w:noWrap/>
            <w:vAlign w:val="center"/>
            <w:hideMark/>
          </w:tcPr>
          <w:p w:rsidR="00DF3AC5" w:rsidRPr="002C692A" w:rsidP="004E16D7" w14:paraId="1FA87A17" w14:textId="77777777">
            <w:pPr>
              <w:widowControl/>
              <w:suppressAutoHyphens/>
              <w:rPr>
                <w:rStyle w:val="DefaultParagraphFont"/>
                <w:snapToGrid/>
                <w:kern w:val="0"/>
                <w:sz w:val="20"/>
                <w:lang w:val="en-US" w:eastAsia="en-US" w:bidi="ar-SA"/>
              </w:rPr>
            </w:pPr>
            <w:r w:rsidRPr="002C692A">
              <w:rPr>
                <w:snapToGrid/>
                <w:kern w:val="0"/>
                <w:sz w:val="20"/>
                <w:lang w:val="en-US" w:eastAsia="en-US" w:bidi="ar-SA"/>
              </w:rPr>
              <w:t>Next most popular</w:t>
            </w:r>
          </w:p>
        </w:tc>
        <w:tc>
          <w:tcPr>
            <w:tcW w:w="385" w:type="pct"/>
            <w:tcBorders>
              <w:top w:val="nil"/>
              <w:left w:val="single" w:sz="4" w:space="0" w:color="auto"/>
              <w:bottom w:val="single" w:sz="8" w:space="0" w:color="auto"/>
              <w:right w:val="single" w:sz="4" w:space="0" w:color="auto"/>
            </w:tcBorders>
            <w:shd w:val="clear" w:color="auto" w:fill="auto"/>
            <w:noWrap/>
            <w:vAlign w:val="center"/>
            <w:hideMark/>
          </w:tcPr>
          <w:p w:rsidR="00DF3AC5" w:rsidRPr="002C692A" w:rsidP="004E16D7" w14:paraId="1D609162" w14:textId="56AE9209">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19" w:type="pct"/>
            <w:tcBorders>
              <w:top w:val="nil"/>
              <w:left w:val="nil"/>
              <w:bottom w:val="single" w:sz="8" w:space="0" w:color="auto"/>
              <w:right w:val="single" w:sz="4" w:space="0" w:color="auto"/>
            </w:tcBorders>
            <w:shd w:val="clear" w:color="auto" w:fill="auto"/>
            <w:noWrap/>
            <w:vAlign w:val="center"/>
            <w:hideMark/>
          </w:tcPr>
          <w:p w:rsidR="00DF3AC5" w:rsidRPr="002C692A" w:rsidP="004E16D7" w14:paraId="1CB62BF4" w14:textId="6924D2A9">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704" w:type="pct"/>
            <w:tcBorders>
              <w:top w:val="nil"/>
              <w:left w:val="nil"/>
              <w:bottom w:val="single" w:sz="8" w:space="0" w:color="auto"/>
              <w:right w:val="single" w:sz="4" w:space="0" w:color="auto"/>
            </w:tcBorders>
            <w:shd w:val="clear" w:color="auto" w:fill="auto"/>
            <w:noWrap/>
            <w:vAlign w:val="center"/>
            <w:hideMark/>
          </w:tcPr>
          <w:p w:rsidR="00DF3AC5" w:rsidRPr="002C692A" w:rsidP="004E16D7" w14:paraId="13C0F0D5" w14:textId="124F4B07">
            <w:pPr>
              <w:widowControl/>
              <w:suppressAutoHyphens/>
              <w:jc w:val="center"/>
              <w:rPr>
                <w:rStyle w:val="DefaultParagraphFont"/>
                <w:snapToGrid/>
                <w:kern w:val="0"/>
                <w:sz w:val="20"/>
                <w:lang w:val="en-US" w:eastAsia="en-US" w:bidi="ar-SA"/>
              </w:rPr>
            </w:pPr>
            <w:r>
              <w:rPr>
                <w:snapToGrid w:val="0"/>
                <w:kern w:val="28"/>
                <w:sz w:val="20"/>
                <w:lang w:val="en-US" w:eastAsia="en-US" w:bidi="ar-SA"/>
              </w:rPr>
              <w:t>$91.16</w:t>
            </w:r>
          </w:p>
        </w:tc>
        <w:tc>
          <w:tcPr>
            <w:tcW w:w="597" w:type="pct"/>
            <w:tcBorders>
              <w:top w:val="nil"/>
              <w:left w:val="nil"/>
              <w:bottom w:val="single" w:sz="8" w:space="0" w:color="auto"/>
              <w:right w:val="single" w:sz="4" w:space="0" w:color="auto"/>
            </w:tcBorders>
            <w:shd w:val="clear" w:color="auto" w:fill="auto"/>
            <w:noWrap/>
            <w:vAlign w:val="center"/>
            <w:hideMark/>
          </w:tcPr>
          <w:p w:rsidR="00DF3AC5" w:rsidRPr="002C692A" w:rsidP="004E16D7" w14:paraId="6BE3CFE7" w14:textId="5C355192">
            <w:pPr>
              <w:widowControl/>
              <w:suppressAutoHyphens/>
              <w:jc w:val="center"/>
              <w:rPr>
                <w:rStyle w:val="DefaultParagraphFont"/>
                <w:snapToGrid/>
                <w:kern w:val="0"/>
                <w:sz w:val="20"/>
                <w:lang w:val="en-US" w:eastAsia="en-US" w:bidi="ar-SA"/>
              </w:rPr>
            </w:pPr>
            <w:r>
              <w:rPr>
                <w:snapToGrid w:val="0"/>
                <w:kern w:val="28"/>
                <w:sz w:val="20"/>
                <w:lang w:val="en-US" w:eastAsia="en-US" w:bidi="ar-SA"/>
              </w:rPr>
              <w:t>1.135</w:t>
            </w:r>
          </w:p>
        </w:tc>
        <w:tc>
          <w:tcPr>
            <w:tcW w:w="688"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DF3AC5" w:rsidRPr="002C692A" w:rsidP="004E16D7" w14:paraId="1DABB76C" w14:textId="44E3CE20">
            <w:pPr>
              <w:widowControl/>
              <w:suppressAutoHyphens/>
              <w:jc w:val="center"/>
              <w:rPr>
                <w:rStyle w:val="DefaultParagraphFont"/>
                <w:snapToGrid/>
                <w:kern w:val="0"/>
                <w:sz w:val="20"/>
                <w:lang w:val="en-US" w:eastAsia="en-US" w:bidi="ar-SA"/>
              </w:rPr>
            </w:pPr>
            <w:r>
              <w:rPr>
                <w:snapToGrid w:val="0"/>
                <w:kern w:val="28"/>
                <w:sz w:val="20"/>
                <w:lang w:val="en-US" w:eastAsia="en-US" w:bidi="ar-SA"/>
              </w:rPr>
              <w:t>2.7%</w:t>
            </w:r>
          </w:p>
        </w:tc>
      </w:tr>
      <w:tr w14:paraId="6D383C7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17" w:type="pct"/>
            <w:vMerge/>
            <w:tcBorders>
              <w:top w:val="single" w:sz="12" w:space="0" w:color="auto"/>
              <w:left w:val="single" w:sz="12" w:space="0" w:color="auto"/>
              <w:bottom w:val="single" w:sz="12" w:space="0" w:color="auto"/>
              <w:right w:val="single" w:sz="4" w:space="0" w:color="auto"/>
            </w:tcBorders>
            <w:vAlign w:val="center"/>
            <w:hideMark/>
          </w:tcPr>
          <w:p w:rsidR="00DF3AC5" w:rsidRPr="00C104CF" w:rsidP="004E16D7" w14:paraId="5BE8C0B7" w14:textId="77777777">
            <w:pPr>
              <w:widowControl/>
              <w:suppressAutoHyphens/>
              <w:rPr>
                <w:rStyle w:val="DefaultParagraphFont"/>
                <w:snapToGrid/>
                <w:kern w:val="0"/>
                <w:sz w:val="20"/>
                <w:lang w:val="en-US" w:eastAsia="en-US" w:bidi="ar-SA"/>
              </w:rPr>
            </w:pPr>
          </w:p>
        </w:tc>
        <w:tc>
          <w:tcPr>
            <w:tcW w:w="675" w:type="pct"/>
            <w:vMerge/>
            <w:tcBorders>
              <w:top w:val="single" w:sz="12" w:space="0" w:color="auto"/>
              <w:left w:val="single" w:sz="4" w:space="0" w:color="auto"/>
              <w:bottom w:val="single" w:sz="12" w:space="0" w:color="auto"/>
              <w:right w:val="single" w:sz="4" w:space="0" w:color="auto"/>
            </w:tcBorders>
            <w:vAlign w:val="center"/>
            <w:hideMark/>
          </w:tcPr>
          <w:p w:rsidR="00DF3AC5" w:rsidRPr="00C104CF" w:rsidP="004E16D7" w14:paraId="0B3613A9" w14:textId="77777777">
            <w:pPr>
              <w:widowControl/>
              <w:suppressAutoHyphens/>
              <w:rPr>
                <w:rStyle w:val="DefaultParagraphFont"/>
                <w:snapToGrid/>
                <w:kern w:val="0"/>
                <w:sz w:val="20"/>
                <w:lang w:val="en-US" w:eastAsia="en-US" w:bidi="ar-SA"/>
              </w:rPr>
            </w:pPr>
          </w:p>
        </w:tc>
        <w:tc>
          <w:tcPr>
            <w:tcW w:w="915" w:type="pct"/>
            <w:vMerge/>
            <w:tcBorders>
              <w:top w:val="single" w:sz="12" w:space="0" w:color="auto"/>
              <w:left w:val="single" w:sz="4" w:space="0" w:color="auto"/>
              <w:bottom w:val="single" w:sz="12" w:space="0" w:color="auto"/>
              <w:right w:val="single" w:sz="4" w:space="0" w:color="auto"/>
            </w:tcBorders>
            <w:vAlign w:val="center"/>
            <w:hideMark/>
          </w:tcPr>
          <w:p w:rsidR="00DF3AC5" w:rsidRPr="002C692A" w:rsidP="004E16D7" w14:paraId="349CF271" w14:textId="77777777">
            <w:pPr>
              <w:widowControl/>
              <w:suppressAutoHyphens/>
              <w:rPr>
                <w:rStyle w:val="DefaultParagraphFont"/>
                <w:snapToGrid/>
                <w:kern w:val="0"/>
                <w:sz w:val="20"/>
                <w:lang w:val="en-US" w:eastAsia="en-US" w:bidi="ar-SA"/>
              </w:rPr>
            </w:pPr>
          </w:p>
        </w:tc>
        <w:tc>
          <w:tcPr>
            <w:tcW w:w="385"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F3AC5" w:rsidRPr="002C692A" w:rsidP="004E16D7" w14:paraId="040DADCC" w14:textId="4FFAB572">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19" w:type="pct"/>
            <w:tcBorders>
              <w:top w:val="single" w:sz="8" w:space="0" w:color="auto"/>
              <w:left w:val="nil"/>
              <w:bottom w:val="single" w:sz="8" w:space="0" w:color="auto"/>
              <w:right w:val="single" w:sz="4" w:space="0" w:color="auto"/>
            </w:tcBorders>
            <w:shd w:val="clear" w:color="auto" w:fill="auto"/>
            <w:noWrap/>
            <w:vAlign w:val="center"/>
            <w:hideMark/>
          </w:tcPr>
          <w:p w:rsidR="00DF3AC5" w:rsidRPr="002C692A" w:rsidP="004E16D7" w14:paraId="1BD12F4C" w14:textId="5409495F">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704" w:type="pct"/>
            <w:tcBorders>
              <w:top w:val="single" w:sz="8" w:space="0" w:color="auto"/>
              <w:left w:val="nil"/>
              <w:bottom w:val="single" w:sz="8" w:space="0" w:color="auto"/>
              <w:right w:val="single" w:sz="4" w:space="0" w:color="auto"/>
            </w:tcBorders>
            <w:shd w:val="clear" w:color="auto" w:fill="auto"/>
            <w:noWrap/>
            <w:vAlign w:val="center"/>
            <w:hideMark/>
          </w:tcPr>
          <w:p w:rsidR="00DF3AC5" w:rsidRPr="002C692A" w:rsidP="004E16D7" w14:paraId="43103553" w14:textId="4881050E">
            <w:pPr>
              <w:widowControl/>
              <w:suppressAutoHyphens/>
              <w:jc w:val="center"/>
              <w:rPr>
                <w:rStyle w:val="DefaultParagraphFont"/>
                <w:snapToGrid/>
                <w:kern w:val="0"/>
                <w:sz w:val="20"/>
                <w:lang w:val="en-US" w:eastAsia="en-US" w:bidi="ar-SA"/>
              </w:rPr>
            </w:pPr>
            <w:r>
              <w:rPr>
                <w:snapToGrid w:val="0"/>
                <w:kern w:val="28"/>
                <w:sz w:val="20"/>
                <w:lang w:val="en-US" w:eastAsia="en-US" w:bidi="ar-SA"/>
              </w:rPr>
              <w:t>$88.80</w:t>
            </w:r>
          </w:p>
        </w:tc>
        <w:tc>
          <w:tcPr>
            <w:tcW w:w="597" w:type="pct"/>
            <w:tcBorders>
              <w:top w:val="single" w:sz="8" w:space="0" w:color="auto"/>
              <w:left w:val="nil"/>
              <w:bottom w:val="single" w:sz="8" w:space="0" w:color="auto"/>
              <w:right w:val="single" w:sz="4" w:space="0" w:color="auto"/>
            </w:tcBorders>
            <w:shd w:val="clear" w:color="auto" w:fill="auto"/>
            <w:noWrap/>
            <w:vAlign w:val="center"/>
            <w:hideMark/>
          </w:tcPr>
          <w:p w:rsidR="00DF3AC5" w:rsidRPr="002C692A" w:rsidP="004E16D7" w14:paraId="5FDA8C43" w14:textId="0F57917C">
            <w:pPr>
              <w:widowControl/>
              <w:suppressAutoHyphens/>
              <w:jc w:val="center"/>
              <w:rPr>
                <w:rStyle w:val="DefaultParagraphFont"/>
                <w:snapToGrid/>
                <w:kern w:val="0"/>
                <w:sz w:val="20"/>
                <w:lang w:val="en-US" w:eastAsia="en-US" w:bidi="ar-SA"/>
              </w:rPr>
            </w:pPr>
            <w:r>
              <w:rPr>
                <w:snapToGrid w:val="0"/>
                <w:kern w:val="28"/>
                <w:sz w:val="20"/>
                <w:lang w:val="en-US" w:eastAsia="en-US" w:bidi="ar-SA"/>
              </w:rPr>
              <w:t>1.046</w:t>
            </w:r>
          </w:p>
        </w:tc>
        <w:tc>
          <w:tcPr>
            <w:tcW w:w="688" w:type="pct"/>
            <w:vMerge/>
            <w:tcBorders>
              <w:top w:val="nil"/>
              <w:left w:val="single" w:sz="4" w:space="0" w:color="auto"/>
              <w:bottom w:val="single" w:sz="8" w:space="0" w:color="000000"/>
              <w:right w:val="single" w:sz="8" w:space="0" w:color="auto"/>
            </w:tcBorders>
            <w:vAlign w:val="center"/>
            <w:hideMark/>
          </w:tcPr>
          <w:p w:rsidR="00DF3AC5" w:rsidRPr="002C692A" w:rsidP="004E16D7" w14:paraId="5E43E1BF" w14:textId="77777777">
            <w:pPr>
              <w:widowControl/>
              <w:suppressAutoHyphens/>
              <w:rPr>
                <w:rStyle w:val="DefaultParagraphFont"/>
                <w:snapToGrid/>
                <w:kern w:val="0"/>
                <w:sz w:val="20"/>
                <w:lang w:val="en-US" w:eastAsia="en-US" w:bidi="ar-SA"/>
              </w:rPr>
            </w:pPr>
          </w:p>
        </w:tc>
      </w:tr>
      <w:tr w14:paraId="6F1A4769" w14:textId="77777777" w:rsidTr="001F0FCC">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val="restart"/>
            <w:tcBorders>
              <w:top w:val="single" w:sz="12" w:space="0" w:color="auto"/>
              <w:left w:val="nil"/>
              <w:bottom w:val="nil"/>
              <w:right w:val="nil"/>
            </w:tcBorders>
            <w:shd w:val="clear" w:color="auto" w:fill="auto"/>
            <w:vAlign w:val="bottom"/>
            <w:hideMark/>
          </w:tcPr>
          <w:p w:rsidR="00DF3AC5" w:rsidRPr="00C104CF" w:rsidP="004E16D7" w14:paraId="2173B603" w14:textId="4B2FF976">
            <w:pPr>
              <w:widowControl/>
              <w:suppressAutoHyphens/>
              <w:rPr>
                <w:rStyle w:val="DefaultParagraphFont"/>
                <w:snapToGrid/>
                <w:kern w:val="0"/>
                <w:sz w:val="20"/>
                <w:lang w:val="en-US" w:eastAsia="en-US" w:bidi="ar-SA"/>
              </w:rPr>
            </w:pPr>
            <w:r w:rsidRPr="00C85A41">
              <w:rPr>
                <w:snapToGrid/>
                <w:kern w:val="0"/>
                <w:sz w:val="20"/>
                <w:lang w:val="en-US" w:eastAsia="en-US" w:bidi="ar-SA"/>
              </w:rPr>
              <w:t xml:space="preserve">Source: </w:t>
            </w:r>
            <w:r w:rsidR="00921DD1">
              <w:rPr>
                <w:snapToGrid/>
                <w:kern w:val="0"/>
                <w:sz w:val="20"/>
                <w:lang w:val="en-US" w:eastAsia="en-US" w:bidi="ar-SA"/>
              </w:rPr>
              <w:t xml:space="preserve"> </w:t>
            </w:r>
            <w:r w:rsidRPr="00C85A41">
              <w:rPr>
                <w:snapToGrid/>
                <w:kern w:val="0"/>
                <w:sz w:val="20"/>
                <w:lang w:val="en-US" w:eastAsia="en-US" w:bidi="ar-SA"/>
              </w:rPr>
              <w:t xml:space="preserve">2016 survey. </w:t>
            </w:r>
            <w:r w:rsidR="00921DD1">
              <w:rPr>
                <w:snapToGrid/>
                <w:kern w:val="0"/>
                <w:sz w:val="20"/>
                <w:lang w:val="en-US" w:eastAsia="en-US" w:bidi="ar-SA"/>
              </w:rPr>
              <w:t xml:space="preserve"> </w:t>
            </w:r>
            <w:r w:rsidRPr="00C85A41">
              <w:rPr>
                <w:snapToGrid/>
                <w:kern w:val="0"/>
                <w:sz w:val="20"/>
                <w:lang w:val="en-US" w:eastAsia="en-US" w:bidi="ar-SA"/>
              </w:rPr>
              <w:t xml:space="preserve">*Annual change is statistically significant at the 95% confidence level. </w:t>
            </w:r>
            <w:r w:rsidR="00857830">
              <w:rPr>
                <w:snapToGrid/>
                <w:kern w:val="0"/>
                <w:sz w:val="20"/>
                <w:lang w:val="en-US" w:eastAsia="en-US" w:bidi="ar-SA"/>
              </w:rPr>
              <w:t xml:space="preserve"> </w:t>
            </w:r>
            <w:r w:rsidRPr="00C85A41">
              <w:rPr>
                <w:snapToGrid/>
                <w:kern w:val="0"/>
                <w:sz w:val="20"/>
                <w:lang w:val="en-US" w:eastAsia="en-US" w:bidi="ar-SA"/>
              </w:rPr>
              <w:t xml:space="preserve">Equipment </w:t>
            </w:r>
            <w:r>
              <w:rPr>
                <w:snapToGrid/>
                <w:kern w:val="0"/>
                <w:sz w:val="20"/>
                <w:lang w:val="en-US" w:eastAsia="en-US" w:bidi="ar-SA"/>
              </w:rPr>
              <w:t>price</w:t>
            </w:r>
            <w:r w:rsidRPr="00C85A41">
              <w:rPr>
                <w:snapToGrid/>
                <w:kern w:val="0"/>
                <w:sz w:val="20"/>
                <w:lang w:val="en-US" w:eastAsia="en-US" w:bidi="ar-SA"/>
              </w:rPr>
              <w:t xml:space="preserve"> added to programming price if equipment necessary to receive all channels and equipment is not included in the price of programming.</w:t>
            </w:r>
          </w:p>
        </w:tc>
      </w:tr>
      <w:tr w14:paraId="51B62791" w14:textId="77777777" w:rsidTr="001F0FCC">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tcBorders>
              <w:top w:val="nil"/>
              <w:left w:val="nil"/>
              <w:bottom w:val="nil"/>
              <w:right w:val="nil"/>
            </w:tcBorders>
            <w:vAlign w:val="bottom"/>
            <w:hideMark/>
          </w:tcPr>
          <w:p w:rsidR="00DF3AC5" w:rsidRPr="00C104CF" w:rsidP="004E16D7" w14:paraId="5E327B6F" w14:textId="77777777">
            <w:pPr>
              <w:widowControl/>
              <w:suppressAutoHyphens/>
              <w:rPr>
                <w:rStyle w:val="DefaultParagraphFont"/>
                <w:snapToGrid/>
                <w:kern w:val="0"/>
                <w:sz w:val="20"/>
                <w:lang w:val="en-US" w:eastAsia="en-US" w:bidi="ar-SA"/>
              </w:rPr>
            </w:pPr>
          </w:p>
        </w:tc>
      </w:tr>
      <w:tr w14:paraId="54DC9819" w14:textId="77777777" w:rsidTr="001F0FCC">
        <w:tblPrEx>
          <w:tblW w:w="5000" w:type="pct"/>
          <w:tblInd w:w="0" w:type="dxa"/>
          <w:tblLayout w:type="fixed"/>
          <w:tblCellMar>
            <w:top w:w="0" w:type="dxa"/>
            <w:left w:w="108" w:type="dxa"/>
            <w:bottom w:w="0" w:type="dxa"/>
            <w:right w:w="108" w:type="dxa"/>
          </w:tblCellMar>
          <w:tblLook w:val="04A0"/>
        </w:tblPrEx>
        <w:trPr>
          <w:trHeight w:hRule="exact" w:val="144"/>
        </w:trPr>
        <w:tc>
          <w:tcPr>
            <w:tcW w:w="5000" w:type="pct"/>
            <w:gridSpan w:val="8"/>
            <w:vMerge/>
            <w:tcBorders>
              <w:top w:val="nil"/>
              <w:left w:val="nil"/>
              <w:bottom w:val="nil"/>
              <w:right w:val="nil"/>
            </w:tcBorders>
            <w:vAlign w:val="bottom"/>
            <w:hideMark/>
          </w:tcPr>
          <w:p w:rsidR="00DF3AC5" w:rsidRPr="00C104CF" w:rsidP="004E16D7" w14:paraId="5418C223" w14:textId="77777777">
            <w:pPr>
              <w:widowControl/>
              <w:suppressAutoHyphens/>
              <w:rPr>
                <w:rStyle w:val="DefaultParagraphFont"/>
                <w:snapToGrid/>
                <w:kern w:val="0"/>
                <w:sz w:val="20"/>
                <w:lang w:val="en-US" w:eastAsia="en-US" w:bidi="ar-SA"/>
              </w:rPr>
            </w:pPr>
          </w:p>
        </w:tc>
      </w:tr>
      <w:tr w14:paraId="4D831046" w14:textId="77777777" w:rsidTr="00A46F4A">
        <w:tblPrEx>
          <w:tblW w:w="5000" w:type="pct"/>
          <w:tblInd w:w="0" w:type="dxa"/>
          <w:tblLayout w:type="fixed"/>
          <w:tblCellMar>
            <w:top w:w="0" w:type="dxa"/>
            <w:left w:w="108" w:type="dxa"/>
            <w:bottom w:w="0" w:type="dxa"/>
            <w:right w:w="108" w:type="dxa"/>
          </w:tblCellMar>
          <w:tblLook w:val="04A0"/>
        </w:tblPrEx>
        <w:trPr>
          <w:trHeight w:hRule="exact" w:val="378"/>
        </w:trPr>
        <w:tc>
          <w:tcPr>
            <w:tcW w:w="5000" w:type="pct"/>
            <w:gridSpan w:val="8"/>
            <w:vMerge/>
            <w:tcBorders>
              <w:top w:val="nil"/>
              <w:left w:val="nil"/>
              <w:bottom w:val="nil"/>
              <w:right w:val="nil"/>
            </w:tcBorders>
            <w:vAlign w:val="center"/>
            <w:hideMark/>
          </w:tcPr>
          <w:p w:rsidR="00DF3AC5" w:rsidRPr="00C104CF" w:rsidP="004E16D7" w14:paraId="2DC3D9B0" w14:textId="77777777">
            <w:pPr>
              <w:widowControl/>
              <w:suppressAutoHyphens/>
              <w:rPr>
                <w:rStyle w:val="DefaultParagraphFont"/>
                <w:snapToGrid/>
                <w:kern w:val="0"/>
                <w:sz w:val="20"/>
                <w:lang w:val="en-US" w:eastAsia="en-US" w:bidi="ar-SA"/>
              </w:rPr>
            </w:pPr>
          </w:p>
        </w:tc>
      </w:tr>
    </w:tbl>
    <w:p w:rsidR="00F2746C" w:rsidP="004E16D7" w14:paraId="10A73B77" w14:textId="77777777">
      <w:pPr>
        <w:suppressAutoHyphens/>
      </w:pPr>
      <w:r>
        <w:br w:type="page"/>
      </w:r>
    </w:p>
    <w:tbl>
      <w:tblPr>
        <w:tblW w:w="5048" w:type="pct"/>
        <w:tblInd w:w="0" w:type="dxa"/>
        <w:tblCellMar>
          <w:top w:w="0" w:type="dxa"/>
          <w:left w:w="108" w:type="dxa"/>
          <w:bottom w:w="0" w:type="dxa"/>
          <w:right w:w="108" w:type="dxa"/>
        </w:tblCellMar>
        <w:tblLook w:val="04A0"/>
      </w:tblPr>
      <w:tblGrid>
        <w:gridCol w:w="1321"/>
        <w:gridCol w:w="1325"/>
        <w:gridCol w:w="1822"/>
        <w:gridCol w:w="696"/>
        <w:gridCol w:w="817"/>
        <w:gridCol w:w="1117"/>
        <w:gridCol w:w="1117"/>
        <w:gridCol w:w="1215"/>
      </w:tblGrid>
      <w:tr w14:paraId="6DE41AF8" w14:textId="77777777" w:rsidTr="00910791">
        <w:tblPrEx>
          <w:tblW w:w="5048" w:type="pct"/>
          <w:tblInd w:w="0" w:type="dxa"/>
          <w:tblCellMar>
            <w:top w:w="0" w:type="dxa"/>
            <w:left w:w="108" w:type="dxa"/>
            <w:bottom w:w="0" w:type="dxa"/>
            <w:right w:w="108" w:type="dxa"/>
          </w:tblCellMar>
          <w:tblLook w:val="04A0"/>
        </w:tblPrEx>
        <w:trPr>
          <w:trHeight w:hRule="exact" w:val="1159"/>
        </w:trPr>
        <w:tc>
          <w:tcPr>
            <w:tcW w:w="5000" w:type="pct"/>
            <w:gridSpan w:val="8"/>
            <w:tcBorders>
              <w:top w:val="single" w:sz="8" w:space="0" w:color="auto"/>
              <w:left w:val="single" w:sz="8" w:space="0" w:color="auto"/>
              <w:right w:val="single" w:sz="8" w:space="0" w:color="000000"/>
            </w:tcBorders>
            <w:shd w:val="clear" w:color="auto" w:fill="auto"/>
            <w:noWrap/>
            <w:vAlign w:val="center"/>
            <w:hideMark/>
          </w:tcPr>
          <w:p w:rsidR="0052550F" w:rsidRPr="00910791" w:rsidP="004E16D7" w14:paraId="17FBA7B8" w14:textId="2AF4E94F">
            <w:pPr>
              <w:widowControl/>
              <w:suppressAutoHyphens/>
              <w:jc w:val="center"/>
              <w:rPr>
                <w:rStyle w:val="DefaultParagraphFont"/>
                <w:b/>
                <w:bCs/>
                <w:snapToGrid/>
                <w:kern w:val="0"/>
                <w:sz w:val="24"/>
                <w:szCs w:val="24"/>
                <w:lang w:val="en-US" w:eastAsia="en-US" w:bidi="ar-SA"/>
              </w:rPr>
            </w:pPr>
            <w:r w:rsidRPr="00910791">
              <w:rPr>
                <w:b/>
                <w:bCs/>
                <w:snapToGrid/>
                <w:kern w:val="0"/>
                <w:sz w:val="24"/>
                <w:szCs w:val="24"/>
                <w:lang w:val="en-US" w:eastAsia="en-US" w:bidi="ar-SA"/>
              </w:rPr>
              <w:t>Attachment 4</w:t>
            </w:r>
          </w:p>
          <w:p w:rsidR="0052550F" w:rsidRPr="00910791" w:rsidP="004E16D7" w14:paraId="2C5E0EFE" w14:textId="77777777">
            <w:pPr>
              <w:widowControl/>
              <w:suppressAutoHyphens/>
              <w:jc w:val="center"/>
              <w:rPr>
                <w:rStyle w:val="DefaultParagraphFont"/>
                <w:b/>
                <w:bCs/>
                <w:snapToGrid/>
                <w:kern w:val="0"/>
                <w:sz w:val="24"/>
                <w:szCs w:val="24"/>
                <w:lang w:val="en-US" w:eastAsia="en-US" w:bidi="ar-SA"/>
              </w:rPr>
            </w:pPr>
            <w:r w:rsidRPr="00910791">
              <w:rPr>
                <w:b/>
                <w:bCs/>
                <w:snapToGrid/>
                <w:kern w:val="0"/>
                <w:sz w:val="24"/>
                <w:szCs w:val="24"/>
                <w:lang w:val="en-US" w:eastAsia="en-US" w:bidi="ar-SA"/>
              </w:rPr>
              <w:t>Average Price per Channel</w:t>
            </w:r>
          </w:p>
          <w:p w:rsidR="0052550F" w:rsidRPr="0052550F" w:rsidP="004E16D7" w14:paraId="7DDBA208" w14:textId="41AEE75B">
            <w:pPr>
              <w:widowControl w:val="0"/>
              <w:suppressAutoHyphens/>
              <w:jc w:val="center"/>
              <w:rPr>
                <w:rStyle w:val="DefaultParagraphFont"/>
                <w:b/>
                <w:bCs/>
                <w:snapToGrid/>
                <w:kern w:val="0"/>
                <w:sz w:val="22"/>
                <w:szCs w:val="22"/>
                <w:lang w:val="en-US" w:eastAsia="en-US" w:bidi="ar-SA"/>
              </w:rPr>
            </w:pPr>
            <w:r>
              <w:rPr>
                <w:b/>
                <w:bCs/>
                <w:snapToGrid/>
                <w:kern w:val="0"/>
                <w:sz w:val="24"/>
                <w:szCs w:val="24"/>
                <w:lang w:val="en-US" w:eastAsia="en-US" w:bidi="ar-SA"/>
              </w:rPr>
              <w:t>b</w:t>
            </w:r>
            <w:r w:rsidRPr="00910791">
              <w:rPr>
                <w:b/>
                <w:bCs/>
                <w:snapToGrid/>
                <w:kern w:val="0"/>
                <w:sz w:val="24"/>
                <w:szCs w:val="24"/>
                <w:lang w:val="en-US" w:eastAsia="en-US" w:bidi="ar-SA"/>
              </w:rPr>
              <w:t>y Sample and Programming Service</w:t>
            </w:r>
          </w:p>
        </w:tc>
      </w:tr>
      <w:tr w14:paraId="1C26D69E" w14:textId="77777777" w:rsidTr="00ED7F5C">
        <w:tblPrEx>
          <w:tblW w:w="5048" w:type="pct"/>
          <w:tblInd w:w="0" w:type="dxa"/>
          <w:tblCellMar>
            <w:top w:w="0" w:type="dxa"/>
            <w:left w:w="108" w:type="dxa"/>
            <w:bottom w:w="0" w:type="dxa"/>
            <w:right w:w="108" w:type="dxa"/>
          </w:tblCellMar>
          <w:tblLook w:val="04A0"/>
        </w:tblPrEx>
        <w:trPr>
          <w:trHeight w:hRule="exact" w:val="579"/>
        </w:trPr>
        <w:tc>
          <w:tcPr>
            <w:tcW w:w="70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2550F" w:rsidRPr="00F2746C" w:rsidP="004E16D7" w14:paraId="6D576034"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Sample Group</w:t>
            </w:r>
          </w:p>
        </w:tc>
        <w:tc>
          <w:tcPr>
            <w:tcW w:w="703" w:type="pct"/>
            <w:tcBorders>
              <w:top w:val="single" w:sz="8" w:space="0" w:color="auto"/>
              <w:left w:val="nil"/>
              <w:bottom w:val="single" w:sz="8" w:space="0" w:color="auto"/>
              <w:right w:val="single" w:sz="4" w:space="0" w:color="auto"/>
            </w:tcBorders>
            <w:shd w:val="clear" w:color="auto" w:fill="auto"/>
            <w:vAlign w:val="center"/>
            <w:hideMark/>
          </w:tcPr>
          <w:p w:rsidR="0052550F" w:rsidRPr="00F2746C" w:rsidP="004E16D7" w14:paraId="4C12AB18"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Subgroup</w:t>
            </w:r>
          </w:p>
        </w:tc>
        <w:tc>
          <w:tcPr>
            <w:tcW w:w="966" w:type="pct"/>
            <w:tcBorders>
              <w:top w:val="single" w:sz="8" w:space="0" w:color="auto"/>
              <w:left w:val="nil"/>
              <w:bottom w:val="single" w:sz="8" w:space="0" w:color="auto"/>
              <w:right w:val="single" w:sz="4" w:space="0" w:color="auto"/>
            </w:tcBorders>
            <w:shd w:val="clear" w:color="auto" w:fill="auto"/>
            <w:vAlign w:val="center"/>
            <w:hideMark/>
          </w:tcPr>
          <w:p w:rsidR="0052550F" w:rsidRPr="00F2746C" w:rsidP="004E16D7" w14:paraId="033A8978"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Service</w:t>
            </w:r>
          </w:p>
        </w:tc>
        <w:tc>
          <w:tcPr>
            <w:tcW w:w="369" w:type="pct"/>
            <w:tcBorders>
              <w:top w:val="single" w:sz="8" w:space="0" w:color="auto"/>
              <w:left w:val="nil"/>
              <w:bottom w:val="single" w:sz="8" w:space="0" w:color="auto"/>
              <w:right w:val="single" w:sz="4" w:space="0" w:color="auto"/>
            </w:tcBorders>
            <w:shd w:val="clear" w:color="auto" w:fill="auto"/>
            <w:vAlign w:val="center"/>
            <w:hideMark/>
          </w:tcPr>
          <w:p w:rsidR="0052550F" w:rsidRPr="00F2746C" w:rsidP="004E16D7" w14:paraId="77B87A96"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Year</w:t>
            </w:r>
          </w:p>
        </w:tc>
        <w:tc>
          <w:tcPr>
            <w:tcW w:w="433" w:type="pct"/>
            <w:tcBorders>
              <w:top w:val="single" w:sz="8" w:space="0" w:color="auto"/>
              <w:left w:val="nil"/>
              <w:bottom w:val="single" w:sz="8" w:space="0" w:color="auto"/>
              <w:right w:val="single" w:sz="4" w:space="0" w:color="auto"/>
            </w:tcBorders>
            <w:shd w:val="clear" w:color="auto" w:fill="auto"/>
            <w:vAlign w:val="center"/>
            <w:hideMark/>
          </w:tcPr>
          <w:p w:rsidR="0052550F" w:rsidRPr="00F2746C" w:rsidP="004E16D7" w14:paraId="7B43BCF5"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n</w:t>
            </w:r>
          </w:p>
        </w:tc>
        <w:tc>
          <w:tcPr>
            <w:tcW w:w="592" w:type="pct"/>
            <w:tcBorders>
              <w:top w:val="single" w:sz="8" w:space="0" w:color="auto"/>
              <w:left w:val="nil"/>
              <w:bottom w:val="single" w:sz="8" w:space="0" w:color="auto"/>
              <w:right w:val="single" w:sz="4" w:space="0" w:color="auto"/>
            </w:tcBorders>
            <w:shd w:val="clear" w:color="auto" w:fill="auto"/>
            <w:vAlign w:val="center"/>
            <w:hideMark/>
          </w:tcPr>
          <w:p w:rsidR="0052550F" w:rsidRPr="00F2746C" w:rsidP="004E16D7" w14:paraId="70B50C7F"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Sample Mean</w:t>
            </w:r>
          </w:p>
        </w:tc>
        <w:tc>
          <w:tcPr>
            <w:tcW w:w="592" w:type="pct"/>
            <w:tcBorders>
              <w:top w:val="single" w:sz="8" w:space="0" w:color="auto"/>
              <w:left w:val="nil"/>
              <w:bottom w:val="single" w:sz="8" w:space="0" w:color="auto"/>
              <w:right w:val="single" w:sz="4" w:space="0" w:color="auto"/>
            </w:tcBorders>
            <w:shd w:val="clear" w:color="auto" w:fill="auto"/>
            <w:vAlign w:val="center"/>
            <w:hideMark/>
          </w:tcPr>
          <w:p w:rsidR="0052550F" w:rsidRPr="00F2746C" w:rsidP="004E16D7" w14:paraId="6CAD49F6"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Standard Error</w:t>
            </w:r>
          </w:p>
        </w:tc>
        <w:tc>
          <w:tcPr>
            <w:tcW w:w="645" w:type="pct"/>
            <w:tcBorders>
              <w:top w:val="single" w:sz="8" w:space="0" w:color="auto"/>
              <w:left w:val="nil"/>
              <w:bottom w:val="single" w:sz="8" w:space="0" w:color="auto"/>
              <w:right w:val="single" w:sz="8" w:space="0" w:color="auto"/>
            </w:tcBorders>
            <w:shd w:val="clear" w:color="auto" w:fill="auto"/>
            <w:vAlign w:val="center"/>
            <w:hideMark/>
          </w:tcPr>
          <w:p w:rsidR="0052550F" w:rsidRPr="00F2746C" w:rsidP="004E16D7" w14:paraId="4EFB5CE0" w14:textId="77777777">
            <w:pPr>
              <w:widowControl/>
              <w:suppressAutoHyphens/>
              <w:jc w:val="center"/>
              <w:rPr>
                <w:rStyle w:val="DefaultParagraphFont"/>
                <w:b/>
                <w:bCs/>
                <w:iCs/>
                <w:snapToGrid/>
                <w:kern w:val="0"/>
                <w:sz w:val="22"/>
                <w:szCs w:val="22"/>
                <w:lang w:val="en-US" w:eastAsia="en-US" w:bidi="ar-SA"/>
              </w:rPr>
            </w:pPr>
            <w:r w:rsidRPr="00F2746C">
              <w:rPr>
                <w:b/>
                <w:bCs/>
                <w:iCs/>
                <w:snapToGrid/>
                <w:kern w:val="0"/>
                <w:sz w:val="22"/>
                <w:szCs w:val="22"/>
                <w:lang w:val="en-US" w:eastAsia="en-US" w:bidi="ar-SA"/>
              </w:rPr>
              <w:t>Annual Change</w:t>
            </w:r>
          </w:p>
        </w:tc>
      </w:tr>
      <w:tr w14:paraId="33E3189F"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val="restart"/>
            <w:tcBorders>
              <w:top w:val="nil"/>
              <w:left w:val="single" w:sz="8" w:space="0" w:color="auto"/>
              <w:bottom w:val="single" w:sz="4" w:space="0" w:color="auto"/>
              <w:right w:val="single" w:sz="4" w:space="0" w:color="auto"/>
            </w:tcBorders>
            <w:shd w:val="clear" w:color="auto" w:fill="auto"/>
            <w:vAlign w:val="center"/>
            <w:hideMark/>
          </w:tcPr>
          <w:p w:rsidR="00ED7F5C" w:rsidRPr="0052550F" w:rsidP="004E16D7" w14:paraId="19042BB1" w14:textId="2D574C94">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Full</w:t>
            </w:r>
            <w:r w:rsidRPr="0052550F">
              <w:rPr>
                <w:b/>
                <w:bCs/>
                <w:snapToGrid/>
                <w:kern w:val="0"/>
                <w:sz w:val="20"/>
                <w:lang w:val="en-US" w:eastAsia="en-US" w:bidi="ar-SA"/>
              </w:rPr>
              <w:t xml:space="preserve"> sample</w:t>
            </w:r>
          </w:p>
        </w:tc>
        <w:tc>
          <w:tcPr>
            <w:tcW w:w="703"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F2746C" w:rsidP="004E16D7" w14:paraId="500CD2EE" w14:textId="4079B08E">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704E60E"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31FA68A6"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6E8D7FAB" w14:textId="72677B7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767</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4567BB62" w14:textId="06F855E8">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$0.63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378C669C" w14:textId="0004587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0.013</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BC3F74" w:rsidP="004E16D7" w14:paraId="20493781" w14:textId="41C25CAA">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1.0%</w:t>
            </w:r>
          </w:p>
        </w:tc>
      </w:tr>
      <w:tr w14:paraId="215F1595"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2A344D8D"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338FE022" w14:textId="77777777">
            <w:pPr>
              <w:widowControl/>
              <w:suppressAutoHyphens/>
              <w:rPr>
                <w:rStyle w:val="DefaultParagraphFont"/>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31963DE3"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E6310C" w:rsidP="004E16D7" w14:paraId="6BD0F685" w14:textId="77777777">
            <w:pPr>
              <w:widowControl/>
              <w:suppressAutoHyphens/>
              <w:jc w:val="center"/>
              <w:rPr>
                <w:rStyle w:val="DefaultParagraphFont"/>
                <w:bCs/>
                <w:snapToGrid/>
                <w:kern w:val="0"/>
                <w:sz w:val="20"/>
                <w:lang w:val="en-US" w:eastAsia="en-US" w:bidi="ar-SA"/>
              </w:rPr>
            </w:pPr>
            <w:r w:rsidRPr="00E6310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A8E29FA" w14:textId="5869CFA2">
            <w:pPr>
              <w:widowControl/>
              <w:suppressAutoHyphens/>
              <w:jc w:val="center"/>
              <w:rPr>
                <w:rStyle w:val="DefaultParagraphFont"/>
                <w:bCs/>
                <w:snapToGrid/>
                <w:kern w:val="0"/>
                <w:sz w:val="20"/>
                <w:lang w:val="en-US" w:eastAsia="en-US" w:bidi="ar-SA"/>
              </w:rPr>
            </w:pPr>
            <w:r>
              <w:rPr>
                <w:snapToGrid w:val="0"/>
                <w:kern w:val="28"/>
                <w:sz w:val="20"/>
                <w:lang w:val="en-US" w:eastAsia="en-US" w:bidi="ar-SA"/>
              </w:rPr>
              <w:t>752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AED37C2" w14:textId="6E4F5470">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$0.62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980E273" w14:textId="74673DAD">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0.012</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307C0881" w14:textId="77777777">
            <w:pPr>
              <w:widowControl/>
              <w:suppressAutoHyphens/>
              <w:rPr>
                <w:rStyle w:val="DefaultParagraphFont"/>
                <w:b/>
                <w:bCs/>
                <w:snapToGrid/>
                <w:kern w:val="0"/>
                <w:sz w:val="20"/>
                <w:lang w:val="en-US" w:eastAsia="en-US" w:bidi="ar-SA"/>
              </w:rPr>
            </w:pPr>
          </w:p>
        </w:tc>
      </w:tr>
      <w:tr w14:paraId="466F2337"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57CBAB00"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3B6C0FD8" w14:textId="77777777">
            <w:pPr>
              <w:widowControl/>
              <w:suppressAutoHyphens/>
              <w:rPr>
                <w:rStyle w:val="DefaultParagraphFont"/>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3BA89A13"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E2BA51E"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B6A3E0C" w14:textId="37B612C1">
            <w:pPr>
              <w:widowControl/>
              <w:suppressAutoHyphens/>
              <w:jc w:val="center"/>
              <w:rPr>
                <w:rStyle w:val="DefaultParagraphFont"/>
                <w:snapToGrid/>
                <w:kern w:val="0"/>
                <w:sz w:val="20"/>
                <w:lang w:val="en-US" w:eastAsia="en-US" w:bidi="ar-SA"/>
              </w:rPr>
            </w:pPr>
            <w:r>
              <w:rPr>
                <w:snapToGrid w:val="0"/>
                <w:kern w:val="28"/>
                <w:sz w:val="20"/>
                <w:lang w:val="en-US" w:eastAsia="en-US" w:bidi="ar-SA"/>
              </w:rPr>
              <w:t>765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5DB3D82" w14:textId="5EFA4828">
            <w:pPr>
              <w:widowControl/>
              <w:suppressAutoHyphens/>
              <w:jc w:val="center"/>
              <w:rPr>
                <w:rStyle w:val="DefaultParagraphFont"/>
                <w:snapToGrid/>
                <w:kern w:val="0"/>
                <w:sz w:val="20"/>
                <w:lang w:val="en-US" w:eastAsia="en-US" w:bidi="ar-SA"/>
              </w:rPr>
            </w:pPr>
            <w:r>
              <w:rPr>
                <w:snapToGrid w:val="0"/>
                <w:kern w:val="28"/>
                <w:sz w:val="20"/>
                <w:lang w:val="en-US" w:eastAsia="en-US" w:bidi="ar-SA"/>
              </w:rPr>
              <w:t>$0.47</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6D3747A" w14:textId="42AF22C3">
            <w:pPr>
              <w:widowControl/>
              <w:suppressAutoHyphens/>
              <w:jc w:val="center"/>
              <w:rPr>
                <w:rStyle w:val="DefaultParagraphFont"/>
                <w:snapToGrid/>
                <w:kern w:val="0"/>
                <w:sz w:val="20"/>
                <w:lang w:val="en-US" w:eastAsia="en-US" w:bidi="ar-SA"/>
              </w:rPr>
            </w:pPr>
            <w:r>
              <w:rPr>
                <w:snapToGrid w:val="0"/>
                <w:kern w:val="28"/>
                <w:sz w:val="20"/>
                <w:lang w:val="en-US" w:eastAsia="en-US" w:bidi="ar-SA"/>
              </w:rPr>
              <w:t>0.006</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69283466" w14:textId="53D572D2">
            <w:pPr>
              <w:widowControl/>
              <w:suppressAutoHyphens/>
              <w:jc w:val="center"/>
              <w:rPr>
                <w:rStyle w:val="DefaultParagraphFont"/>
                <w:snapToGrid/>
                <w:kern w:val="0"/>
                <w:sz w:val="20"/>
                <w:lang w:val="en-US" w:eastAsia="en-US" w:bidi="ar-SA"/>
              </w:rPr>
            </w:pPr>
            <w:r>
              <w:rPr>
                <w:snapToGrid w:val="0"/>
                <w:kern w:val="28"/>
                <w:sz w:val="20"/>
                <w:lang w:val="en-US" w:eastAsia="en-US" w:bidi="ar-SA"/>
              </w:rPr>
              <w:t>2.1%</w:t>
            </w:r>
          </w:p>
        </w:tc>
      </w:tr>
      <w:tr w14:paraId="658F9632"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30A6DFFB"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0CEB6259" w14:textId="77777777">
            <w:pPr>
              <w:widowControl/>
              <w:suppressAutoHyphens/>
              <w:rPr>
                <w:rStyle w:val="DefaultParagraphFont"/>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3D28B2B8"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5D5D1422"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6DA4DA4" w14:textId="3EA2D647">
            <w:pPr>
              <w:widowControl/>
              <w:suppressAutoHyphens/>
              <w:jc w:val="center"/>
              <w:rPr>
                <w:rStyle w:val="DefaultParagraphFont"/>
                <w:snapToGrid/>
                <w:kern w:val="0"/>
                <w:sz w:val="20"/>
                <w:lang w:val="en-US" w:eastAsia="en-US" w:bidi="ar-SA"/>
              </w:rPr>
            </w:pPr>
            <w:r>
              <w:rPr>
                <w:snapToGrid w:val="0"/>
                <w:kern w:val="28"/>
                <w:sz w:val="20"/>
                <w:lang w:val="en-US" w:eastAsia="en-US" w:bidi="ar-SA"/>
              </w:rPr>
              <w:t>749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FE17EFF" w14:textId="08034287">
            <w:pPr>
              <w:widowControl/>
              <w:suppressAutoHyphens/>
              <w:jc w:val="center"/>
              <w:rPr>
                <w:rStyle w:val="DefaultParagraphFont"/>
                <w:snapToGrid/>
                <w:kern w:val="0"/>
                <w:sz w:val="20"/>
                <w:lang w:val="en-US" w:eastAsia="en-US" w:bidi="ar-SA"/>
              </w:rPr>
            </w:pPr>
            <w:r>
              <w:rPr>
                <w:snapToGrid w:val="0"/>
                <w:kern w:val="28"/>
                <w:sz w:val="20"/>
                <w:lang w:val="en-US" w:eastAsia="en-US" w:bidi="ar-SA"/>
              </w:rPr>
              <w:t>$0.46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58D1BE1F" w14:textId="001BFBA1">
            <w:pPr>
              <w:widowControl/>
              <w:suppressAutoHyphens/>
              <w:jc w:val="center"/>
              <w:rPr>
                <w:rStyle w:val="DefaultParagraphFont"/>
                <w:snapToGrid/>
                <w:kern w:val="0"/>
                <w:sz w:val="20"/>
                <w:lang w:val="en-US" w:eastAsia="en-US" w:bidi="ar-SA"/>
              </w:rPr>
            </w:pPr>
            <w:r>
              <w:rPr>
                <w:snapToGrid w:val="0"/>
                <w:kern w:val="28"/>
                <w:sz w:val="20"/>
                <w:lang w:val="en-US" w:eastAsia="en-US" w:bidi="ar-SA"/>
              </w:rPr>
              <w:t>0.006</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0177A207" w14:textId="77777777">
            <w:pPr>
              <w:widowControl/>
              <w:suppressAutoHyphens/>
              <w:rPr>
                <w:rStyle w:val="DefaultParagraphFont"/>
                <w:snapToGrid/>
                <w:kern w:val="0"/>
                <w:sz w:val="20"/>
                <w:lang w:val="en-US" w:eastAsia="en-US" w:bidi="ar-SA"/>
              </w:rPr>
            </w:pPr>
          </w:p>
        </w:tc>
      </w:tr>
      <w:tr w14:paraId="7F3B1E1A"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5081EA16"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22FE1ED8" w14:textId="77777777">
            <w:pPr>
              <w:widowControl/>
              <w:suppressAutoHyphens/>
              <w:rPr>
                <w:rStyle w:val="DefaultParagraphFont"/>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09F1F793"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22B3713C"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90BD26D" w14:textId="4C910702">
            <w:pPr>
              <w:widowControl/>
              <w:suppressAutoHyphens/>
              <w:jc w:val="center"/>
              <w:rPr>
                <w:rStyle w:val="DefaultParagraphFont"/>
                <w:snapToGrid/>
                <w:kern w:val="0"/>
                <w:sz w:val="20"/>
                <w:lang w:val="en-US" w:eastAsia="en-US" w:bidi="ar-SA"/>
              </w:rPr>
            </w:pPr>
            <w:r>
              <w:rPr>
                <w:snapToGrid w:val="0"/>
                <w:kern w:val="28"/>
                <w:sz w:val="20"/>
                <w:lang w:val="en-US" w:eastAsia="en-US" w:bidi="ar-SA"/>
              </w:rPr>
              <w:t>724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5949250" w14:textId="72C6C86B">
            <w:pPr>
              <w:widowControl/>
              <w:suppressAutoHyphens/>
              <w:jc w:val="center"/>
              <w:rPr>
                <w:rStyle w:val="DefaultParagraphFont"/>
                <w:snapToGrid/>
                <w:kern w:val="0"/>
                <w:sz w:val="20"/>
                <w:lang w:val="en-US" w:eastAsia="en-US" w:bidi="ar-SA"/>
              </w:rPr>
            </w:pPr>
            <w:r>
              <w:rPr>
                <w:snapToGrid w:val="0"/>
                <w:kern w:val="28"/>
                <w:sz w:val="20"/>
                <w:lang w:val="en-US" w:eastAsia="en-US" w:bidi="ar-SA"/>
              </w:rPr>
              <w:t>$0.38</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FBDE46D" w14:textId="4F03A04A">
            <w:pPr>
              <w:widowControl/>
              <w:suppressAutoHyphens/>
              <w:jc w:val="center"/>
              <w:rPr>
                <w:rStyle w:val="DefaultParagraphFont"/>
                <w:snapToGrid/>
                <w:kern w:val="0"/>
                <w:sz w:val="20"/>
                <w:lang w:val="en-US" w:eastAsia="en-US" w:bidi="ar-SA"/>
              </w:rPr>
            </w:pPr>
            <w:r>
              <w:rPr>
                <w:snapToGrid w:val="0"/>
                <w:kern w:val="28"/>
                <w:sz w:val="20"/>
                <w:lang w:val="en-US" w:eastAsia="en-US" w:bidi="ar-SA"/>
              </w:rPr>
              <w:t>0.004</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52F0E983" w14:textId="5929149E">
            <w:pPr>
              <w:widowControl/>
              <w:suppressAutoHyphens/>
              <w:jc w:val="center"/>
              <w:rPr>
                <w:rStyle w:val="DefaultParagraphFont"/>
                <w:snapToGrid/>
                <w:kern w:val="0"/>
                <w:sz w:val="20"/>
                <w:lang w:val="en-US" w:eastAsia="en-US" w:bidi="ar-SA"/>
              </w:rPr>
            </w:pPr>
            <w:r>
              <w:rPr>
                <w:snapToGrid w:val="0"/>
                <w:kern w:val="28"/>
                <w:sz w:val="20"/>
                <w:lang w:val="en-US" w:eastAsia="en-US" w:bidi="ar-SA"/>
              </w:rPr>
              <w:t>2.3%</w:t>
            </w:r>
          </w:p>
        </w:tc>
      </w:tr>
      <w:tr w14:paraId="70C409E1"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19FED1A5"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5FBD66B4" w14:textId="77777777">
            <w:pPr>
              <w:widowControl/>
              <w:suppressAutoHyphens/>
              <w:rPr>
                <w:rStyle w:val="DefaultParagraphFont"/>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0019F756"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7F325FF3"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A97F8F2" w14:textId="1808D428">
            <w:pPr>
              <w:widowControl/>
              <w:suppressAutoHyphens/>
              <w:jc w:val="center"/>
              <w:rPr>
                <w:rStyle w:val="DefaultParagraphFont"/>
                <w:snapToGrid/>
                <w:kern w:val="0"/>
                <w:sz w:val="20"/>
                <w:lang w:val="en-US" w:eastAsia="en-US" w:bidi="ar-SA"/>
              </w:rPr>
            </w:pPr>
            <w:r>
              <w:rPr>
                <w:snapToGrid w:val="0"/>
                <w:kern w:val="28"/>
                <w:sz w:val="20"/>
                <w:lang w:val="en-US" w:eastAsia="en-US" w:bidi="ar-SA"/>
              </w:rPr>
              <w:t>710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336335B" w14:textId="25BFC572">
            <w:pPr>
              <w:widowControl/>
              <w:suppressAutoHyphens/>
              <w:jc w:val="center"/>
              <w:rPr>
                <w:rStyle w:val="DefaultParagraphFont"/>
                <w:snapToGrid/>
                <w:kern w:val="0"/>
                <w:sz w:val="20"/>
                <w:lang w:val="en-US" w:eastAsia="en-US" w:bidi="ar-SA"/>
              </w:rPr>
            </w:pPr>
            <w:r>
              <w:rPr>
                <w:snapToGrid w:val="0"/>
                <w:kern w:val="28"/>
                <w:sz w:val="20"/>
                <w:lang w:val="en-US" w:eastAsia="en-US" w:bidi="ar-SA"/>
              </w:rPr>
              <w:t>$0.37</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15D02ED" w14:textId="490661C2">
            <w:pPr>
              <w:widowControl/>
              <w:suppressAutoHyphens/>
              <w:jc w:val="center"/>
              <w:rPr>
                <w:rStyle w:val="DefaultParagraphFont"/>
                <w:snapToGrid/>
                <w:kern w:val="0"/>
                <w:sz w:val="20"/>
                <w:lang w:val="en-US" w:eastAsia="en-US" w:bidi="ar-SA"/>
              </w:rPr>
            </w:pPr>
            <w:r>
              <w:rPr>
                <w:snapToGrid w:val="0"/>
                <w:kern w:val="28"/>
                <w:sz w:val="20"/>
                <w:lang w:val="en-US" w:eastAsia="en-US" w:bidi="ar-SA"/>
              </w:rPr>
              <w:t>0.004</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384601E9" w14:textId="77777777">
            <w:pPr>
              <w:widowControl/>
              <w:suppressAutoHyphens/>
              <w:rPr>
                <w:rStyle w:val="DefaultParagraphFont"/>
                <w:snapToGrid/>
                <w:kern w:val="0"/>
                <w:sz w:val="20"/>
                <w:lang w:val="en-US" w:eastAsia="en-US" w:bidi="ar-SA"/>
              </w:rPr>
            </w:pPr>
          </w:p>
        </w:tc>
      </w:tr>
      <w:tr w14:paraId="74F9CB47"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ED7F5C" w:rsidP="004E16D7" w14:paraId="09218C28" w14:textId="1A94F8CC">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Non</w:t>
            </w:r>
            <w:r>
              <w:rPr>
                <w:b/>
                <w:bCs/>
                <w:snapToGrid/>
                <w:kern w:val="0"/>
                <w:sz w:val="20"/>
                <w:lang w:val="en-US" w:eastAsia="en-US" w:bidi="ar-SA"/>
              </w:rPr>
              <w:t>-</w:t>
            </w:r>
          </w:p>
          <w:p w:rsidR="00ED7F5C" w:rsidP="004E16D7" w14:paraId="3813F43E" w14:textId="06E290C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Competitive</w:t>
            </w:r>
          </w:p>
          <w:p w:rsidR="00ED7F5C" w:rsidRPr="0052550F" w:rsidP="004E16D7" w14:paraId="2BBBEC75" w14:textId="3CD8C848">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Group</w:t>
            </w:r>
          </w:p>
        </w:tc>
        <w:tc>
          <w:tcPr>
            <w:tcW w:w="703"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F2746C" w:rsidP="004E16D7" w14:paraId="636B17BF" w14:textId="4F1AC64D">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E7AF306"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6DC9F196"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77460179" w14:textId="14E123EC">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452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53B37412" w14:textId="1C2BE36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$0.73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2678ACC9" w14:textId="5AC00258">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0.021</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BC3F74" w:rsidP="004E16D7" w14:paraId="7E89511D" w14:textId="1326C39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0.1%</w:t>
            </w:r>
          </w:p>
        </w:tc>
      </w:tr>
      <w:tr w14:paraId="1F7E7304"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2DF86BD7"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2E4DD320" w14:textId="77777777">
            <w:pPr>
              <w:widowControl/>
              <w:suppressAutoHyphens/>
              <w:rPr>
                <w:rStyle w:val="DefaultParagraphFont"/>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7AA9390E"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F2746C" w:rsidP="004E16D7" w14:paraId="48FEC466" w14:textId="77777777">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F2746C" w:rsidP="004E16D7" w14:paraId="70C14FB3" w14:textId="512A0E42">
            <w:pPr>
              <w:widowControl/>
              <w:suppressAutoHyphens/>
              <w:jc w:val="center"/>
              <w:rPr>
                <w:rStyle w:val="DefaultParagraphFont"/>
                <w:bCs/>
                <w:snapToGrid/>
                <w:kern w:val="0"/>
                <w:sz w:val="20"/>
                <w:lang w:val="en-US" w:eastAsia="en-US" w:bidi="ar-SA"/>
              </w:rPr>
            </w:pPr>
            <w:r>
              <w:rPr>
                <w:snapToGrid w:val="0"/>
                <w:kern w:val="28"/>
                <w:sz w:val="20"/>
                <w:lang w:val="en-US" w:eastAsia="en-US" w:bidi="ar-SA"/>
              </w:rPr>
              <w:t>440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431B6D47" w14:textId="5571DFBA">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$0.73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0E3C2253" w14:textId="0CA0D60A">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0.020</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33FD825A" w14:textId="77777777">
            <w:pPr>
              <w:widowControl/>
              <w:suppressAutoHyphens/>
              <w:rPr>
                <w:rStyle w:val="DefaultParagraphFont"/>
                <w:b/>
                <w:bCs/>
                <w:snapToGrid/>
                <w:kern w:val="0"/>
                <w:sz w:val="20"/>
                <w:lang w:val="en-US" w:eastAsia="en-US" w:bidi="ar-SA"/>
              </w:rPr>
            </w:pPr>
          </w:p>
        </w:tc>
      </w:tr>
      <w:tr w14:paraId="22168C43"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510F1C65"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4BC13485" w14:textId="77777777">
            <w:pPr>
              <w:widowControl/>
              <w:suppressAutoHyphens/>
              <w:rPr>
                <w:rStyle w:val="DefaultParagraphFont"/>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E08A663"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3CE3F629"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06766B4" w14:textId="113FED97">
            <w:pPr>
              <w:widowControl/>
              <w:suppressAutoHyphens/>
              <w:jc w:val="center"/>
              <w:rPr>
                <w:rStyle w:val="DefaultParagraphFont"/>
                <w:snapToGrid/>
                <w:kern w:val="0"/>
                <w:sz w:val="20"/>
                <w:lang w:val="en-US" w:eastAsia="en-US" w:bidi="ar-SA"/>
              </w:rPr>
            </w:pPr>
            <w:r>
              <w:rPr>
                <w:snapToGrid w:val="0"/>
                <w:kern w:val="28"/>
                <w:sz w:val="20"/>
                <w:lang w:val="en-US" w:eastAsia="en-US" w:bidi="ar-SA"/>
              </w:rPr>
              <w:t>450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69DBB8C4" w14:textId="5C8A76EC">
            <w:pPr>
              <w:widowControl/>
              <w:suppressAutoHyphens/>
              <w:jc w:val="center"/>
              <w:rPr>
                <w:rStyle w:val="DefaultParagraphFont"/>
                <w:snapToGrid/>
                <w:kern w:val="0"/>
                <w:sz w:val="20"/>
                <w:lang w:val="en-US" w:eastAsia="en-US" w:bidi="ar-SA"/>
              </w:rPr>
            </w:pPr>
            <w:r>
              <w:rPr>
                <w:snapToGrid w:val="0"/>
                <w:kern w:val="28"/>
                <w:sz w:val="20"/>
                <w:lang w:val="en-US" w:eastAsia="en-US" w:bidi="ar-SA"/>
              </w:rPr>
              <w:t>$0.51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2D4C2BF1" w14:textId="470116FF">
            <w:pPr>
              <w:widowControl/>
              <w:suppressAutoHyphens/>
              <w:jc w:val="center"/>
              <w:rPr>
                <w:rStyle w:val="DefaultParagraphFont"/>
                <w:snapToGrid/>
                <w:kern w:val="0"/>
                <w:sz w:val="20"/>
                <w:lang w:val="en-US" w:eastAsia="en-US" w:bidi="ar-SA"/>
              </w:rPr>
            </w:pPr>
            <w:r>
              <w:rPr>
                <w:snapToGrid w:val="0"/>
                <w:kern w:val="28"/>
                <w:sz w:val="20"/>
                <w:lang w:val="en-US" w:eastAsia="en-US" w:bidi="ar-SA"/>
              </w:rPr>
              <w:t>0.010</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5E3E963D" w14:textId="0FDC179F">
            <w:pPr>
              <w:widowControl/>
              <w:suppressAutoHyphens/>
              <w:jc w:val="center"/>
              <w:rPr>
                <w:rStyle w:val="DefaultParagraphFont"/>
                <w:snapToGrid/>
                <w:kern w:val="0"/>
                <w:sz w:val="20"/>
                <w:lang w:val="en-US" w:eastAsia="en-US" w:bidi="ar-SA"/>
              </w:rPr>
            </w:pPr>
            <w:r>
              <w:rPr>
                <w:snapToGrid w:val="0"/>
                <w:kern w:val="28"/>
                <w:sz w:val="20"/>
                <w:lang w:val="en-US" w:eastAsia="en-US" w:bidi="ar-SA"/>
              </w:rPr>
              <w:t>2.2%</w:t>
            </w:r>
          </w:p>
        </w:tc>
      </w:tr>
      <w:tr w14:paraId="660933D6"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560FA19B"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30B7AB26" w14:textId="77777777">
            <w:pPr>
              <w:widowControl/>
              <w:suppressAutoHyphens/>
              <w:rPr>
                <w:rStyle w:val="DefaultParagraphFont"/>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112DA39B"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1EEA19C6"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5EB77B5" w14:textId="0982E038">
            <w:pPr>
              <w:widowControl/>
              <w:suppressAutoHyphens/>
              <w:jc w:val="center"/>
              <w:rPr>
                <w:rStyle w:val="DefaultParagraphFont"/>
                <w:snapToGrid/>
                <w:kern w:val="0"/>
                <w:sz w:val="20"/>
                <w:lang w:val="en-US" w:eastAsia="en-US" w:bidi="ar-SA"/>
              </w:rPr>
            </w:pPr>
            <w:r>
              <w:rPr>
                <w:snapToGrid w:val="0"/>
                <w:kern w:val="28"/>
                <w:sz w:val="20"/>
                <w:lang w:val="en-US" w:eastAsia="en-US" w:bidi="ar-SA"/>
              </w:rPr>
              <w:t>438</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55C05C4" w14:textId="7CE07352">
            <w:pPr>
              <w:widowControl/>
              <w:suppressAutoHyphens/>
              <w:jc w:val="center"/>
              <w:rPr>
                <w:rStyle w:val="DefaultParagraphFont"/>
                <w:snapToGrid/>
                <w:kern w:val="0"/>
                <w:sz w:val="20"/>
                <w:lang w:val="en-US" w:eastAsia="en-US" w:bidi="ar-SA"/>
              </w:rPr>
            </w:pPr>
            <w:r>
              <w:rPr>
                <w:snapToGrid w:val="0"/>
                <w:kern w:val="28"/>
                <w:sz w:val="20"/>
                <w:lang w:val="en-US" w:eastAsia="en-US" w:bidi="ar-SA"/>
              </w:rPr>
              <w:t>$0.50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655EDB8" w14:textId="49B50CB8">
            <w:pPr>
              <w:widowControl/>
              <w:suppressAutoHyphens/>
              <w:jc w:val="center"/>
              <w:rPr>
                <w:rStyle w:val="DefaultParagraphFont"/>
                <w:snapToGrid/>
                <w:kern w:val="0"/>
                <w:sz w:val="20"/>
                <w:lang w:val="en-US" w:eastAsia="en-US" w:bidi="ar-SA"/>
              </w:rPr>
            </w:pPr>
            <w:r>
              <w:rPr>
                <w:snapToGrid w:val="0"/>
                <w:kern w:val="28"/>
                <w:sz w:val="20"/>
                <w:lang w:val="en-US" w:eastAsia="en-US" w:bidi="ar-SA"/>
              </w:rPr>
              <w:t>0.010</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198D8A8E" w14:textId="77777777">
            <w:pPr>
              <w:widowControl/>
              <w:suppressAutoHyphens/>
              <w:rPr>
                <w:rStyle w:val="DefaultParagraphFont"/>
                <w:snapToGrid/>
                <w:kern w:val="0"/>
                <w:sz w:val="20"/>
                <w:lang w:val="en-US" w:eastAsia="en-US" w:bidi="ar-SA"/>
              </w:rPr>
            </w:pPr>
          </w:p>
        </w:tc>
      </w:tr>
      <w:tr w14:paraId="1A85D604"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0A16992C"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1FFEED33" w14:textId="77777777">
            <w:pPr>
              <w:widowControl/>
              <w:suppressAutoHyphens/>
              <w:rPr>
                <w:rStyle w:val="DefaultParagraphFont"/>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1DE8A8F"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217638F0"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F731060" w14:textId="41B5D978">
            <w:pPr>
              <w:widowControl/>
              <w:suppressAutoHyphens/>
              <w:jc w:val="center"/>
              <w:rPr>
                <w:rStyle w:val="DefaultParagraphFont"/>
                <w:snapToGrid/>
                <w:kern w:val="0"/>
                <w:sz w:val="20"/>
                <w:lang w:val="en-US" w:eastAsia="en-US" w:bidi="ar-SA"/>
              </w:rPr>
            </w:pPr>
            <w:r>
              <w:rPr>
                <w:snapToGrid w:val="0"/>
                <w:kern w:val="28"/>
                <w:sz w:val="20"/>
                <w:lang w:val="en-US" w:eastAsia="en-US" w:bidi="ar-SA"/>
              </w:rPr>
              <w:t>409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C480DC4" w14:textId="78649646">
            <w:pPr>
              <w:widowControl/>
              <w:suppressAutoHyphens/>
              <w:jc w:val="center"/>
              <w:rPr>
                <w:rStyle w:val="DefaultParagraphFont"/>
                <w:snapToGrid/>
                <w:kern w:val="0"/>
                <w:sz w:val="20"/>
                <w:lang w:val="en-US" w:eastAsia="en-US" w:bidi="ar-SA"/>
              </w:rPr>
            </w:pPr>
            <w:r>
              <w:rPr>
                <w:snapToGrid w:val="0"/>
                <w:kern w:val="28"/>
                <w:sz w:val="20"/>
                <w:lang w:val="en-US" w:eastAsia="en-US" w:bidi="ar-SA"/>
              </w:rPr>
              <w:t>$0.41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344D858" w14:textId="45E5F8C9">
            <w:pPr>
              <w:widowControl/>
              <w:suppressAutoHyphens/>
              <w:jc w:val="center"/>
              <w:rPr>
                <w:rStyle w:val="DefaultParagraphFont"/>
                <w:snapToGrid/>
                <w:kern w:val="0"/>
                <w:sz w:val="20"/>
                <w:lang w:val="en-US" w:eastAsia="en-US" w:bidi="ar-SA"/>
              </w:rPr>
            </w:pPr>
            <w:r>
              <w:rPr>
                <w:snapToGrid w:val="0"/>
                <w:kern w:val="28"/>
                <w:sz w:val="20"/>
                <w:lang w:val="en-US" w:eastAsia="en-US" w:bidi="ar-SA"/>
              </w:rPr>
              <w:t>0.007</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432C6E07" w14:textId="22860C84">
            <w:pPr>
              <w:widowControl/>
              <w:suppressAutoHyphens/>
              <w:jc w:val="center"/>
              <w:rPr>
                <w:rStyle w:val="DefaultParagraphFont"/>
                <w:snapToGrid/>
                <w:kern w:val="0"/>
                <w:sz w:val="20"/>
                <w:lang w:val="en-US" w:eastAsia="en-US" w:bidi="ar-SA"/>
              </w:rPr>
            </w:pPr>
            <w:r>
              <w:rPr>
                <w:snapToGrid w:val="0"/>
                <w:kern w:val="28"/>
                <w:sz w:val="20"/>
                <w:lang w:val="en-US" w:eastAsia="en-US" w:bidi="ar-SA"/>
              </w:rPr>
              <w:t>2.2%</w:t>
            </w:r>
          </w:p>
        </w:tc>
      </w:tr>
      <w:tr w14:paraId="48103C1E"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4" w:space="0" w:color="auto"/>
              <w:right w:val="single" w:sz="4" w:space="0" w:color="auto"/>
            </w:tcBorders>
            <w:vAlign w:val="center"/>
            <w:hideMark/>
          </w:tcPr>
          <w:p w:rsidR="00ED7F5C" w:rsidRPr="0052550F" w:rsidP="004E16D7" w14:paraId="1B701845"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F2746C" w:rsidP="004E16D7" w14:paraId="365FC71D" w14:textId="77777777">
            <w:pPr>
              <w:widowControl/>
              <w:suppressAutoHyphens/>
              <w:rPr>
                <w:rStyle w:val="DefaultParagraphFont"/>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13667848"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5D212657"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BC8BCAF" w14:textId="0B9AE119">
            <w:pPr>
              <w:widowControl/>
              <w:suppressAutoHyphens/>
              <w:jc w:val="center"/>
              <w:rPr>
                <w:rStyle w:val="DefaultParagraphFont"/>
                <w:snapToGrid/>
                <w:kern w:val="0"/>
                <w:sz w:val="20"/>
                <w:lang w:val="en-US" w:eastAsia="en-US" w:bidi="ar-SA"/>
              </w:rPr>
            </w:pPr>
            <w:r>
              <w:rPr>
                <w:snapToGrid w:val="0"/>
                <w:kern w:val="28"/>
                <w:sz w:val="20"/>
                <w:lang w:val="en-US" w:eastAsia="en-US" w:bidi="ar-SA"/>
              </w:rPr>
              <w:t>400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EFB60B0" w14:textId="4FBA37F3">
            <w:pPr>
              <w:widowControl/>
              <w:suppressAutoHyphens/>
              <w:jc w:val="center"/>
              <w:rPr>
                <w:rStyle w:val="DefaultParagraphFont"/>
                <w:snapToGrid/>
                <w:kern w:val="0"/>
                <w:sz w:val="20"/>
                <w:lang w:val="en-US" w:eastAsia="en-US" w:bidi="ar-SA"/>
              </w:rPr>
            </w:pPr>
            <w:r>
              <w:rPr>
                <w:snapToGrid w:val="0"/>
                <w:kern w:val="28"/>
                <w:sz w:val="20"/>
                <w:lang w:val="en-US" w:eastAsia="en-US" w:bidi="ar-SA"/>
              </w:rPr>
              <w:t>$0.40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CB914FB" w14:textId="36014423">
            <w:pPr>
              <w:widowControl/>
              <w:suppressAutoHyphens/>
              <w:jc w:val="center"/>
              <w:rPr>
                <w:rStyle w:val="DefaultParagraphFont"/>
                <w:snapToGrid/>
                <w:kern w:val="0"/>
                <w:sz w:val="20"/>
                <w:lang w:val="en-US" w:eastAsia="en-US" w:bidi="ar-SA"/>
              </w:rPr>
            </w:pPr>
            <w:r>
              <w:rPr>
                <w:snapToGrid w:val="0"/>
                <w:kern w:val="28"/>
                <w:sz w:val="20"/>
                <w:lang w:val="en-US" w:eastAsia="en-US" w:bidi="ar-SA"/>
              </w:rPr>
              <w:t>0.007</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7366C13D" w14:textId="77777777">
            <w:pPr>
              <w:widowControl/>
              <w:suppressAutoHyphens/>
              <w:rPr>
                <w:rStyle w:val="DefaultParagraphFont"/>
                <w:snapToGrid/>
                <w:kern w:val="0"/>
                <w:sz w:val="20"/>
                <w:lang w:val="en-US" w:eastAsia="en-US" w:bidi="ar-SA"/>
              </w:rPr>
            </w:pPr>
          </w:p>
        </w:tc>
      </w:tr>
      <w:tr w14:paraId="58DF739B"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val="restart"/>
            <w:tcBorders>
              <w:top w:val="nil"/>
              <w:left w:val="single" w:sz="8" w:space="0" w:color="auto"/>
              <w:bottom w:val="single" w:sz="8" w:space="0" w:color="000000"/>
              <w:right w:val="single" w:sz="4" w:space="0" w:color="auto"/>
            </w:tcBorders>
            <w:shd w:val="clear" w:color="auto" w:fill="auto"/>
            <w:vAlign w:val="center"/>
            <w:hideMark/>
          </w:tcPr>
          <w:p w:rsidR="00ED7F5C" w:rsidP="004E16D7" w14:paraId="63884F84"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Effective Competition</w:t>
            </w:r>
          </w:p>
          <w:p w:rsidR="00ED7F5C" w:rsidRPr="0052550F" w:rsidP="004E16D7" w14:paraId="31DF2796" w14:textId="7F5F613A">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Group</w:t>
            </w:r>
          </w:p>
        </w:tc>
        <w:tc>
          <w:tcPr>
            <w:tcW w:w="703"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F2746C" w:rsidP="004E16D7" w14:paraId="58FE736B" w14:textId="2E2690A1">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349EA61D"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55782FF"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49495005" w14:textId="699FCAE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315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1C8FB26D" w14:textId="3237F81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$0.52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4FBCB492" w14:textId="2835E4C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0.013</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BC3F74" w:rsidP="004E16D7" w14:paraId="15682EFE" w14:textId="369645EA">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w:t>
            </w:r>
          </w:p>
        </w:tc>
      </w:tr>
      <w:tr w14:paraId="19001FD0"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0F62D708"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5DDFF997"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7476EBB8"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F2746C" w:rsidP="004E16D7" w14:paraId="113DF832" w14:textId="77777777">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F2746C" w:rsidP="004E16D7" w14:paraId="11673D81" w14:textId="3E04EE83">
            <w:pPr>
              <w:widowControl/>
              <w:suppressAutoHyphens/>
              <w:jc w:val="center"/>
              <w:rPr>
                <w:rStyle w:val="DefaultParagraphFont"/>
                <w:bCs/>
                <w:snapToGrid/>
                <w:kern w:val="0"/>
                <w:sz w:val="20"/>
                <w:lang w:val="en-US" w:eastAsia="en-US" w:bidi="ar-SA"/>
              </w:rPr>
            </w:pPr>
            <w:r>
              <w:rPr>
                <w:snapToGrid w:val="0"/>
                <w:kern w:val="28"/>
                <w:sz w:val="20"/>
                <w:lang w:val="en-US" w:eastAsia="en-US" w:bidi="ar-SA"/>
              </w:rPr>
              <w:t>312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40AF3F33" w14:textId="5E3EDC86">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$0.51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1E18705B" w14:textId="2C9EDEB7">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0.013</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2A9B0AF5" w14:textId="77777777">
            <w:pPr>
              <w:widowControl/>
              <w:suppressAutoHyphens/>
              <w:rPr>
                <w:rStyle w:val="DefaultParagraphFont"/>
                <w:b/>
                <w:bCs/>
                <w:snapToGrid/>
                <w:kern w:val="0"/>
                <w:sz w:val="20"/>
                <w:lang w:val="en-US" w:eastAsia="en-US" w:bidi="ar-SA"/>
              </w:rPr>
            </w:pPr>
          </w:p>
        </w:tc>
      </w:tr>
      <w:tr w14:paraId="569A8764"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34D13AFE"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59D0E03D"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3D376651"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115D0952"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393B44BD" w14:textId="65D2EABE">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1C8D81C" w14:textId="67847A2D">
            <w:pPr>
              <w:widowControl/>
              <w:suppressAutoHyphens/>
              <w:jc w:val="center"/>
              <w:rPr>
                <w:rStyle w:val="DefaultParagraphFont"/>
                <w:snapToGrid/>
                <w:kern w:val="0"/>
                <w:sz w:val="20"/>
                <w:lang w:val="en-US" w:eastAsia="en-US" w:bidi="ar-SA"/>
              </w:rPr>
            </w:pPr>
            <w:r>
              <w:rPr>
                <w:snapToGrid w:val="0"/>
                <w:kern w:val="28"/>
                <w:sz w:val="20"/>
                <w:lang w:val="en-US" w:eastAsia="en-US" w:bidi="ar-SA"/>
              </w:rPr>
              <w:t>$0.42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1176EA9" w14:textId="604FF38D">
            <w:pPr>
              <w:widowControl/>
              <w:suppressAutoHyphens/>
              <w:jc w:val="center"/>
              <w:rPr>
                <w:rStyle w:val="DefaultParagraphFont"/>
                <w:snapToGrid/>
                <w:kern w:val="0"/>
                <w:sz w:val="20"/>
                <w:lang w:val="en-US" w:eastAsia="en-US" w:bidi="ar-SA"/>
              </w:rPr>
            </w:pPr>
            <w:r>
              <w:rPr>
                <w:snapToGrid w:val="0"/>
                <w:kern w:val="28"/>
                <w:sz w:val="20"/>
                <w:lang w:val="en-US" w:eastAsia="en-US" w:bidi="ar-SA"/>
              </w:rPr>
              <w:t>0.007</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7AFCFD9E" w14:textId="763F54F1">
            <w:pPr>
              <w:widowControl/>
              <w:suppressAutoHyphens/>
              <w:jc w:val="center"/>
              <w:rPr>
                <w:rStyle w:val="DefaultParagraphFont"/>
                <w:snapToGrid/>
                <w:kern w:val="0"/>
                <w:sz w:val="20"/>
                <w:lang w:val="en-US" w:eastAsia="en-US" w:bidi="ar-SA"/>
              </w:rPr>
            </w:pPr>
            <w:r>
              <w:rPr>
                <w:snapToGrid w:val="0"/>
                <w:kern w:val="28"/>
                <w:sz w:val="20"/>
                <w:lang w:val="en-US" w:eastAsia="en-US" w:bidi="ar-SA"/>
              </w:rPr>
              <w:t>1.8%</w:t>
            </w:r>
          </w:p>
        </w:tc>
      </w:tr>
      <w:tr w14:paraId="74D862E9"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0148E96A"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652F3211"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5EA0969C"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51BEBB35"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D20C69C" w14:textId="76AA90E4">
            <w:pPr>
              <w:widowControl/>
              <w:suppressAutoHyphens/>
              <w:jc w:val="center"/>
              <w:rPr>
                <w:rStyle w:val="DefaultParagraphFont"/>
                <w:snapToGrid/>
                <w:kern w:val="0"/>
                <w:sz w:val="20"/>
                <w:lang w:val="en-US" w:eastAsia="en-US" w:bidi="ar-SA"/>
              </w:rPr>
            </w:pPr>
            <w:r>
              <w:rPr>
                <w:snapToGrid w:val="0"/>
                <w:kern w:val="28"/>
                <w:sz w:val="20"/>
                <w:lang w:val="en-US" w:eastAsia="en-US" w:bidi="ar-SA"/>
              </w:rPr>
              <w:t>311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D7006CC" w14:textId="08857809">
            <w:pPr>
              <w:widowControl/>
              <w:suppressAutoHyphens/>
              <w:jc w:val="center"/>
              <w:rPr>
                <w:rStyle w:val="DefaultParagraphFont"/>
                <w:snapToGrid/>
                <w:kern w:val="0"/>
                <w:sz w:val="20"/>
                <w:lang w:val="en-US" w:eastAsia="en-US" w:bidi="ar-SA"/>
              </w:rPr>
            </w:pPr>
            <w:r>
              <w:rPr>
                <w:snapToGrid w:val="0"/>
                <w:kern w:val="28"/>
                <w:sz w:val="20"/>
                <w:lang w:val="en-US" w:eastAsia="en-US" w:bidi="ar-SA"/>
              </w:rPr>
              <w:t>$0.41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DC17576" w14:textId="035AB8D5">
            <w:pPr>
              <w:widowControl/>
              <w:suppressAutoHyphens/>
              <w:jc w:val="center"/>
              <w:rPr>
                <w:rStyle w:val="DefaultParagraphFont"/>
                <w:snapToGrid/>
                <w:kern w:val="0"/>
                <w:sz w:val="20"/>
                <w:lang w:val="en-US" w:eastAsia="en-US" w:bidi="ar-SA"/>
              </w:rPr>
            </w:pPr>
            <w:r>
              <w:rPr>
                <w:snapToGrid w:val="0"/>
                <w:kern w:val="28"/>
                <w:sz w:val="20"/>
                <w:lang w:val="en-US" w:eastAsia="en-US" w:bidi="ar-SA"/>
              </w:rPr>
              <w:t>0.005</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21C3EFEF" w14:textId="77777777">
            <w:pPr>
              <w:widowControl/>
              <w:suppressAutoHyphens/>
              <w:rPr>
                <w:rStyle w:val="DefaultParagraphFont"/>
                <w:snapToGrid/>
                <w:kern w:val="0"/>
                <w:sz w:val="20"/>
                <w:lang w:val="en-US" w:eastAsia="en-US" w:bidi="ar-SA"/>
              </w:rPr>
            </w:pPr>
          </w:p>
        </w:tc>
      </w:tr>
      <w:tr w14:paraId="0FCA27E3"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C57829A"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343A0E76"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32498768"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9DC5FA5"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264E25FE" w14:textId="4A716266">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F144E14" w14:textId="7AD8C488">
            <w:pPr>
              <w:widowControl/>
              <w:suppressAutoHyphens/>
              <w:jc w:val="center"/>
              <w:rPr>
                <w:rStyle w:val="DefaultParagraphFont"/>
                <w:snapToGrid/>
                <w:kern w:val="0"/>
                <w:sz w:val="20"/>
                <w:lang w:val="en-US" w:eastAsia="en-US" w:bidi="ar-SA"/>
              </w:rPr>
            </w:pPr>
            <w:r>
              <w:rPr>
                <w:snapToGrid w:val="0"/>
                <w:kern w:val="28"/>
                <w:sz w:val="20"/>
                <w:lang w:val="en-US" w:eastAsia="en-US" w:bidi="ar-SA"/>
              </w:rPr>
              <w:t>$0.35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69040FB5" w14:textId="68F8A1AB">
            <w:pPr>
              <w:widowControl/>
              <w:suppressAutoHyphens/>
              <w:jc w:val="center"/>
              <w:rPr>
                <w:rStyle w:val="DefaultParagraphFont"/>
                <w:snapToGrid/>
                <w:kern w:val="0"/>
                <w:sz w:val="20"/>
                <w:lang w:val="en-US" w:eastAsia="en-US" w:bidi="ar-SA"/>
              </w:rPr>
            </w:pPr>
            <w:r>
              <w:rPr>
                <w:snapToGrid w:val="0"/>
                <w:kern w:val="28"/>
                <w:sz w:val="20"/>
                <w:lang w:val="en-US" w:eastAsia="en-US" w:bidi="ar-SA"/>
              </w:rPr>
              <w:t>0.005</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5BDB86AB" w14:textId="255F1E86">
            <w:pPr>
              <w:widowControl/>
              <w:suppressAutoHyphens/>
              <w:jc w:val="center"/>
              <w:rPr>
                <w:rStyle w:val="DefaultParagraphFont"/>
                <w:snapToGrid/>
                <w:kern w:val="0"/>
                <w:sz w:val="20"/>
                <w:lang w:val="en-US" w:eastAsia="en-US" w:bidi="ar-SA"/>
              </w:rPr>
            </w:pPr>
            <w:r>
              <w:rPr>
                <w:snapToGrid w:val="0"/>
                <w:kern w:val="28"/>
                <w:sz w:val="20"/>
                <w:lang w:val="en-US" w:eastAsia="en-US" w:bidi="ar-SA"/>
              </w:rPr>
              <w:t>2.3%</w:t>
            </w:r>
          </w:p>
        </w:tc>
      </w:tr>
      <w:tr w14:paraId="3DC41B51"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5968FA2B"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2B522122"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08CDE335"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5D92112A"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7A958D7" w14:textId="4D22C8C1">
            <w:pPr>
              <w:widowControl/>
              <w:suppressAutoHyphens/>
              <w:jc w:val="center"/>
              <w:rPr>
                <w:rStyle w:val="DefaultParagraphFont"/>
                <w:snapToGrid/>
                <w:kern w:val="0"/>
                <w:sz w:val="20"/>
                <w:lang w:val="en-US" w:eastAsia="en-US" w:bidi="ar-SA"/>
              </w:rPr>
            </w:pPr>
            <w:r>
              <w:rPr>
                <w:snapToGrid w:val="0"/>
                <w:kern w:val="28"/>
                <w:sz w:val="20"/>
                <w:lang w:val="en-US" w:eastAsia="en-US" w:bidi="ar-SA"/>
              </w:rPr>
              <w:t>310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6C20F1D" w14:textId="4A7C784B">
            <w:pPr>
              <w:widowControl/>
              <w:suppressAutoHyphens/>
              <w:jc w:val="center"/>
              <w:rPr>
                <w:rStyle w:val="DefaultParagraphFont"/>
                <w:snapToGrid/>
                <w:kern w:val="0"/>
                <w:sz w:val="20"/>
                <w:lang w:val="en-US" w:eastAsia="en-US" w:bidi="ar-SA"/>
              </w:rPr>
            </w:pPr>
            <w:r>
              <w:rPr>
                <w:snapToGrid w:val="0"/>
                <w:kern w:val="28"/>
                <w:sz w:val="20"/>
                <w:lang w:val="en-US" w:eastAsia="en-US" w:bidi="ar-SA"/>
              </w:rPr>
              <w:t>$0.34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DCAB1AA" w14:textId="241FA978">
            <w:pPr>
              <w:widowControl/>
              <w:suppressAutoHyphens/>
              <w:jc w:val="center"/>
              <w:rPr>
                <w:rStyle w:val="DefaultParagraphFont"/>
                <w:snapToGrid/>
                <w:kern w:val="0"/>
                <w:sz w:val="20"/>
                <w:lang w:val="en-US" w:eastAsia="en-US" w:bidi="ar-SA"/>
              </w:rPr>
            </w:pPr>
            <w:r>
              <w:rPr>
                <w:snapToGrid w:val="0"/>
                <w:kern w:val="28"/>
                <w:sz w:val="20"/>
                <w:lang w:val="en-US" w:eastAsia="en-US" w:bidi="ar-SA"/>
              </w:rPr>
              <w:t>0.005</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040E9057" w14:textId="77777777">
            <w:pPr>
              <w:widowControl/>
              <w:suppressAutoHyphens/>
              <w:rPr>
                <w:rStyle w:val="DefaultParagraphFont"/>
                <w:snapToGrid/>
                <w:kern w:val="0"/>
                <w:sz w:val="20"/>
                <w:lang w:val="en-US" w:eastAsia="en-US" w:bidi="ar-SA"/>
              </w:rPr>
            </w:pPr>
          </w:p>
        </w:tc>
      </w:tr>
      <w:tr w14:paraId="609983B8"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758D7BB" w14:textId="77777777">
            <w:pPr>
              <w:widowControl/>
              <w:suppressAutoHyphens/>
              <w:rPr>
                <w:rStyle w:val="DefaultParagraphFont"/>
                <w:b/>
                <w:bCs/>
                <w:snapToGrid/>
                <w:kern w:val="0"/>
                <w:sz w:val="20"/>
                <w:lang w:val="en-US" w:eastAsia="en-US" w:bidi="ar-SA"/>
              </w:rPr>
            </w:pPr>
          </w:p>
        </w:tc>
        <w:tc>
          <w:tcPr>
            <w:tcW w:w="703"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P="004E16D7" w14:paraId="18873F8A"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Cable</w:t>
            </w:r>
          </w:p>
          <w:p w:rsidR="00ED7F5C" w:rsidP="004E16D7" w14:paraId="437814F2" w14:textId="6DB51A5C">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 xml:space="preserve"> </w:t>
            </w:r>
            <w:r>
              <w:rPr>
                <w:b/>
                <w:bCs/>
                <w:snapToGrid/>
                <w:kern w:val="0"/>
                <w:sz w:val="20"/>
                <w:lang w:val="en-US" w:eastAsia="en-US" w:bidi="ar-SA"/>
              </w:rPr>
              <w:t>o</w:t>
            </w:r>
            <w:r w:rsidRPr="0052550F">
              <w:rPr>
                <w:b/>
                <w:bCs/>
                <w:snapToGrid/>
                <w:kern w:val="0"/>
                <w:sz w:val="20"/>
                <w:lang w:val="en-US" w:eastAsia="en-US" w:bidi="ar-SA"/>
              </w:rPr>
              <w:t>verbuild</w:t>
            </w:r>
          </w:p>
          <w:p w:rsidR="00ED7F5C" w:rsidRPr="0052550F" w:rsidP="004E16D7" w14:paraId="1658EA97" w14:textId="70C85649">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 xml:space="preserve"> </w:t>
            </w:r>
            <w:r>
              <w:rPr>
                <w:b/>
                <w:bCs/>
                <w:snapToGrid/>
                <w:kern w:val="0"/>
                <w:sz w:val="20"/>
                <w:lang w:val="en-US" w:eastAsia="en-US" w:bidi="ar-SA"/>
              </w:rPr>
              <w:t>i</w:t>
            </w:r>
            <w:r w:rsidRPr="0052550F">
              <w:rPr>
                <w:b/>
                <w:bCs/>
                <w:snapToGrid/>
                <w:kern w:val="0"/>
                <w:sz w:val="20"/>
                <w:lang w:val="en-US" w:eastAsia="en-US" w:bidi="ar-SA"/>
              </w:rPr>
              <w:t>ncumbents</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6C2C6B89"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7F2647F3"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7AA325BE" w14:textId="57C13D5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5FEBDC96" w14:textId="2B5B57F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$0.44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67A5C5A" w14:textId="6A4AC0B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0.023</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BC3F74" w:rsidP="004E16D7" w14:paraId="4F35DE2F" w14:textId="50D06E2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-3.2%</w:t>
            </w:r>
          </w:p>
        </w:tc>
      </w:tr>
      <w:tr w14:paraId="4DC82B73"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7C5F1117"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661FAB18"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67F3AEC7"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F2746C" w:rsidP="004E16D7" w14:paraId="0A84FA30" w14:textId="77777777">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F2746C" w:rsidP="004E16D7" w14:paraId="2A7EBA83" w14:textId="671F5637">
            <w:pPr>
              <w:widowControl/>
              <w:suppressAutoHyphens/>
              <w:jc w:val="center"/>
              <w:rPr>
                <w:rStyle w:val="DefaultParagraphFont"/>
                <w:bCs/>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5AC5FA78" w14:textId="383B59B7">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$0.46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7826C759" w14:textId="57EDA43C">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0.028</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02BAA7E8" w14:textId="77777777">
            <w:pPr>
              <w:widowControl/>
              <w:suppressAutoHyphens/>
              <w:rPr>
                <w:rStyle w:val="DefaultParagraphFont"/>
                <w:b/>
                <w:bCs/>
                <w:snapToGrid/>
                <w:kern w:val="0"/>
                <w:sz w:val="20"/>
                <w:lang w:val="en-US" w:eastAsia="en-US" w:bidi="ar-SA"/>
              </w:rPr>
            </w:pPr>
          </w:p>
        </w:tc>
      </w:tr>
      <w:tr w14:paraId="6C840676"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1337AF27"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5A472383"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62A4934"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F475051"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DE11A26" w14:textId="52C27B12">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FB52522" w14:textId="09F84340">
            <w:pPr>
              <w:widowControl/>
              <w:suppressAutoHyphens/>
              <w:jc w:val="center"/>
              <w:rPr>
                <w:rStyle w:val="DefaultParagraphFont"/>
                <w:snapToGrid/>
                <w:kern w:val="0"/>
                <w:sz w:val="20"/>
                <w:lang w:val="en-US" w:eastAsia="en-US" w:bidi="ar-SA"/>
              </w:rPr>
            </w:pPr>
            <w:r>
              <w:rPr>
                <w:snapToGrid w:val="0"/>
                <w:kern w:val="28"/>
                <w:sz w:val="20"/>
                <w:lang w:val="en-US" w:eastAsia="en-US" w:bidi="ar-SA"/>
              </w:rPr>
              <w:t>$0.40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235E509C" w14:textId="14389C55">
            <w:pPr>
              <w:widowControl/>
              <w:suppressAutoHyphens/>
              <w:jc w:val="center"/>
              <w:rPr>
                <w:rStyle w:val="DefaultParagraphFont"/>
                <w:snapToGrid/>
                <w:kern w:val="0"/>
                <w:sz w:val="20"/>
                <w:lang w:val="en-US" w:eastAsia="en-US" w:bidi="ar-SA"/>
              </w:rPr>
            </w:pPr>
            <w:r>
              <w:rPr>
                <w:snapToGrid w:val="0"/>
                <w:kern w:val="28"/>
                <w:sz w:val="20"/>
                <w:lang w:val="en-US" w:eastAsia="en-US" w:bidi="ar-SA"/>
              </w:rPr>
              <w:t>0.010</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7447408B" w14:textId="5AD2378D">
            <w:pPr>
              <w:widowControl/>
              <w:suppressAutoHyphens/>
              <w:jc w:val="center"/>
              <w:rPr>
                <w:rStyle w:val="DefaultParagraphFont"/>
                <w:snapToGrid/>
                <w:kern w:val="0"/>
                <w:sz w:val="20"/>
                <w:lang w:val="en-US" w:eastAsia="en-US" w:bidi="ar-SA"/>
              </w:rPr>
            </w:pPr>
            <w:r>
              <w:rPr>
                <w:snapToGrid w:val="0"/>
                <w:kern w:val="28"/>
                <w:sz w:val="20"/>
                <w:lang w:val="en-US" w:eastAsia="en-US" w:bidi="ar-SA"/>
              </w:rPr>
              <w:t>-1.9%</w:t>
            </w:r>
          </w:p>
        </w:tc>
      </w:tr>
      <w:tr w14:paraId="22228879"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1FF8C159"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251E3D23"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141C3E56"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1A901BD2"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25881212" w14:textId="4DAA11C9">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7029FAA7" w14:textId="107925A3">
            <w:pPr>
              <w:widowControl/>
              <w:suppressAutoHyphens/>
              <w:jc w:val="center"/>
              <w:rPr>
                <w:rStyle w:val="DefaultParagraphFont"/>
                <w:snapToGrid/>
                <w:kern w:val="0"/>
                <w:sz w:val="20"/>
                <w:lang w:val="en-US" w:eastAsia="en-US" w:bidi="ar-SA"/>
              </w:rPr>
            </w:pPr>
            <w:r>
              <w:rPr>
                <w:snapToGrid w:val="0"/>
                <w:kern w:val="28"/>
                <w:sz w:val="20"/>
                <w:lang w:val="en-US" w:eastAsia="en-US" w:bidi="ar-SA"/>
              </w:rPr>
              <w:t>$0.41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581C8C3" w14:textId="12A59AFC">
            <w:pPr>
              <w:widowControl/>
              <w:suppressAutoHyphens/>
              <w:jc w:val="center"/>
              <w:rPr>
                <w:rStyle w:val="DefaultParagraphFont"/>
                <w:snapToGrid/>
                <w:kern w:val="0"/>
                <w:sz w:val="20"/>
                <w:lang w:val="en-US" w:eastAsia="en-US" w:bidi="ar-SA"/>
              </w:rPr>
            </w:pPr>
            <w:r>
              <w:rPr>
                <w:snapToGrid w:val="0"/>
                <w:kern w:val="28"/>
                <w:sz w:val="20"/>
                <w:lang w:val="en-US" w:eastAsia="en-US" w:bidi="ar-SA"/>
              </w:rPr>
              <w:t>0.011</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2EFFB07D" w14:textId="77777777">
            <w:pPr>
              <w:widowControl/>
              <w:suppressAutoHyphens/>
              <w:rPr>
                <w:rStyle w:val="DefaultParagraphFont"/>
                <w:snapToGrid/>
                <w:kern w:val="0"/>
                <w:sz w:val="20"/>
                <w:lang w:val="en-US" w:eastAsia="en-US" w:bidi="ar-SA"/>
              </w:rPr>
            </w:pPr>
          </w:p>
        </w:tc>
      </w:tr>
      <w:tr w14:paraId="47C59D3D"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1DA545D"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4FE3356C"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A854E91"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72404D1"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BD98E3B" w14:textId="763774EF">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74325222" w14:textId="488DE84A">
            <w:pPr>
              <w:widowControl/>
              <w:suppressAutoHyphens/>
              <w:jc w:val="center"/>
              <w:rPr>
                <w:rStyle w:val="DefaultParagraphFont"/>
                <w:snapToGrid/>
                <w:kern w:val="0"/>
                <w:sz w:val="20"/>
                <w:lang w:val="en-US" w:eastAsia="en-US" w:bidi="ar-SA"/>
              </w:rPr>
            </w:pPr>
            <w:r>
              <w:rPr>
                <w:snapToGrid w:val="0"/>
                <w:kern w:val="28"/>
                <w:sz w:val="20"/>
                <w:lang w:val="en-US" w:eastAsia="en-US" w:bidi="ar-SA"/>
              </w:rPr>
              <w:t>$0.33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985E759" w14:textId="07153547">
            <w:pPr>
              <w:widowControl/>
              <w:suppressAutoHyphens/>
              <w:jc w:val="center"/>
              <w:rPr>
                <w:rStyle w:val="DefaultParagraphFont"/>
                <w:snapToGrid/>
                <w:kern w:val="0"/>
                <w:sz w:val="20"/>
                <w:lang w:val="en-US" w:eastAsia="en-US" w:bidi="ar-SA"/>
              </w:rPr>
            </w:pPr>
            <w:r>
              <w:rPr>
                <w:snapToGrid w:val="0"/>
                <w:kern w:val="28"/>
                <w:sz w:val="20"/>
                <w:lang w:val="en-US" w:eastAsia="en-US" w:bidi="ar-SA"/>
              </w:rPr>
              <w:t>0.009</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31092B0F" w14:textId="53A9A8D4">
            <w:pPr>
              <w:widowControl/>
              <w:suppressAutoHyphens/>
              <w:jc w:val="center"/>
              <w:rPr>
                <w:rStyle w:val="DefaultParagraphFont"/>
                <w:snapToGrid/>
                <w:kern w:val="0"/>
                <w:sz w:val="20"/>
                <w:lang w:val="en-US" w:eastAsia="en-US" w:bidi="ar-SA"/>
              </w:rPr>
            </w:pPr>
            <w:r>
              <w:rPr>
                <w:snapToGrid w:val="0"/>
                <w:kern w:val="28"/>
                <w:sz w:val="20"/>
                <w:lang w:val="en-US" w:eastAsia="en-US" w:bidi="ar-SA"/>
              </w:rPr>
              <w:t>-0.3%</w:t>
            </w:r>
          </w:p>
        </w:tc>
      </w:tr>
      <w:tr w14:paraId="0412FCD6"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032E0F3F"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190B8E73"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6B648BD9"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0B55EBE9"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A4808A8" w14:textId="2EBEA429">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8810C05" w14:textId="62AC75E2">
            <w:pPr>
              <w:widowControl/>
              <w:suppressAutoHyphens/>
              <w:jc w:val="center"/>
              <w:rPr>
                <w:rStyle w:val="DefaultParagraphFont"/>
                <w:snapToGrid/>
                <w:kern w:val="0"/>
                <w:sz w:val="20"/>
                <w:lang w:val="en-US" w:eastAsia="en-US" w:bidi="ar-SA"/>
              </w:rPr>
            </w:pPr>
            <w:r>
              <w:rPr>
                <w:snapToGrid w:val="0"/>
                <w:kern w:val="28"/>
                <w:sz w:val="20"/>
                <w:lang w:val="en-US" w:eastAsia="en-US" w:bidi="ar-SA"/>
              </w:rPr>
              <w:t>$0.34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9B6E060" w14:textId="0D3359C3">
            <w:pPr>
              <w:widowControl/>
              <w:suppressAutoHyphens/>
              <w:jc w:val="center"/>
              <w:rPr>
                <w:rStyle w:val="DefaultParagraphFont"/>
                <w:snapToGrid/>
                <w:kern w:val="0"/>
                <w:sz w:val="20"/>
                <w:lang w:val="en-US" w:eastAsia="en-US" w:bidi="ar-SA"/>
              </w:rPr>
            </w:pPr>
            <w:r>
              <w:rPr>
                <w:snapToGrid w:val="0"/>
                <w:kern w:val="28"/>
                <w:sz w:val="20"/>
                <w:lang w:val="en-US" w:eastAsia="en-US" w:bidi="ar-SA"/>
              </w:rPr>
              <w:t>0.010</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07CAA46F" w14:textId="77777777">
            <w:pPr>
              <w:widowControl/>
              <w:suppressAutoHyphens/>
              <w:rPr>
                <w:rStyle w:val="DefaultParagraphFont"/>
                <w:snapToGrid/>
                <w:kern w:val="0"/>
                <w:sz w:val="20"/>
                <w:lang w:val="en-US" w:eastAsia="en-US" w:bidi="ar-SA"/>
              </w:rPr>
            </w:pPr>
          </w:p>
        </w:tc>
      </w:tr>
      <w:tr w14:paraId="04D01688"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677A4E4B" w14:textId="77777777">
            <w:pPr>
              <w:widowControl/>
              <w:suppressAutoHyphens/>
              <w:rPr>
                <w:rStyle w:val="DefaultParagraphFont"/>
                <w:b/>
                <w:bCs/>
                <w:snapToGrid/>
                <w:kern w:val="0"/>
                <w:sz w:val="20"/>
                <w:lang w:val="en-US" w:eastAsia="en-US" w:bidi="ar-SA"/>
              </w:rPr>
            </w:pPr>
          </w:p>
        </w:tc>
        <w:tc>
          <w:tcPr>
            <w:tcW w:w="703"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P="004E16D7" w14:paraId="4F657435"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Cable</w:t>
            </w:r>
          </w:p>
          <w:p w:rsidR="00ED7F5C" w:rsidP="004E16D7" w14:paraId="077AE7E3" w14:textId="1535FF20">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 xml:space="preserve"> </w:t>
            </w:r>
            <w:r>
              <w:rPr>
                <w:b/>
                <w:bCs/>
                <w:snapToGrid/>
                <w:kern w:val="0"/>
                <w:sz w:val="20"/>
                <w:lang w:val="en-US" w:eastAsia="en-US" w:bidi="ar-SA"/>
              </w:rPr>
              <w:t>o</w:t>
            </w:r>
            <w:r w:rsidRPr="0052550F">
              <w:rPr>
                <w:b/>
                <w:bCs/>
                <w:snapToGrid/>
                <w:kern w:val="0"/>
                <w:sz w:val="20"/>
                <w:lang w:val="en-US" w:eastAsia="en-US" w:bidi="ar-SA"/>
              </w:rPr>
              <w:t>verbuild</w:t>
            </w:r>
          </w:p>
          <w:p w:rsidR="00ED7F5C" w:rsidRPr="0052550F" w:rsidP="004E16D7" w14:paraId="5A1A880F" w14:textId="111EAC29">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 xml:space="preserve"> </w:t>
            </w:r>
            <w:r>
              <w:rPr>
                <w:b/>
                <w:bCs/>
                <w:snapToGrid/>
                <w:kern w:val="0"/>
                <w:sz w:val="20"/>
                <w:lang w:val="en-US" w:eastAsia="en-US" w:bidi="ar-SA"/>
              </w:rPr>
              <w:t>r</w:t>
            </w:r>
            <w:r w:rsidRPr="0052550F">
              <w:rPr>
                <w:b/>
                <w:bCs/>
                <w:snapToGrid/>
                <w:kern w:val="0"/>
                <w:sz w:val="20"/>
                <w:lang w:val="en-US" w:eastAsia="en-US" w:bidi="ar-SA"/>
              </w:rPr>
              <w:t>ivals</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6E2881B"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7B8C59C8"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525D5606" w14:textId="06074E9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1BA147F" w14:textId="615E5B3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$0.79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3AB130B1" w14:textId="7BDDD91E">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0.051</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BC3F74" w:rsidP="004E16D7" w14:paraId="3AA5C700" w14:textId="08DF3E13">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6.2%</w:t>
            </w:r>
          </w:p>
        </w:tc>
      </w:tr>
      <w:tr w14:paraId="721F6ADA"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3DFD167B"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31543391"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064B1513"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F2746C" w:rsidP="004E16D7" w14:paraId="097433C0" w14:textId="77777777">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F2746C" w:rsidP="004E16D7" w14:paraId="49F208EB" w14:textId="775D2136">
            <w:pPr>
              <w:widowControl/>
              <w:suppressAutoHyphens/>
              <w:jc w:val="center"/>
              <w:rPr>
                <w:rStyle w:val="DefaultParagraphFont"/>
                <w:bCs/>
                <w:snapToGrid/>
                <w:kern w:val="0"/>
                <w:sz w:val="20"/>
                <w:lang w:val="en-US" w:eastAsia="en-US" w:bidi="ar-SA"/>
              </w:rPr>
            </w:pPr>
            <w:r>
              <w:rPr>
                <w:snapToGrid w:val="0"/>
                <w:kern w:val="28"/>
                <w:sz w:val="20"/>
                <w:lang w:val="en-US" w:eastAsia="en-US" w:bidi="ar-SA"/>
              </w:rPr>
              <w:t>55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654CF3BD" w14:textId="4AD00B4E">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$0.75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542F87BB" w14:textId="2A4E7E63">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0.042</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3E76E441" w14:textId="77777777">
            <w:pPr>
              <w:widowControl/>
              <w:suppressAutoHyphens/>
              <w:rPr>
                <w:rStyle w:val="DefaultParagraphFont"/>
                <w:b/>
                <w:bCs/>
                <w:snapToGrid/>
                <w:kern w:val="0"/>
                <w:sz w:val="20"/>
                <w:lang w:val="en-US" w:eastAsia="en-US" w:bidi="ar-SA"/>
              </w:rPr>
            </w:pPr>
          </w:p>
        </w:tc>
      </w:tr>
      <w:tr w14:paraId="0403D09D"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3A5313D9"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202D3FFB"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02FC32FD"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203CCD3C"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79A288D" w14:textId="205367A5">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50128B14" w14:textId="3ABBE9F3">
            <w:pPr>
              <w:widowControl/>
              <w:suppressAutoHyphens/>
              <w:jc w:val="center"/>
              <w:rPr>
                <w:rStyle w:val="DefaultParagraphFont"/>
                <w:snapToGrid/>
                <w:kern w:val="0"/>
                <w:sz w:val="20"/>
                <w:lang w:val="en-US" w:eastAsia="en-US" w:bidi="ar-SA"/>
              </w:rPr>
            </w:pPr>
            <w:r>
              <w:rPr>
                <w:snapToGrid w:val="0"/>
                <w:kern w:val="28"/>
                <w:sz w:val="20"/>
                <w:lang w:val="en-US" w:eastAsia="en-US" w:bidi="ar-SA"/>
              </w:rPr>
              <w:t>$0.44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726E60A5" w14:textId="560AF448">
            <w:pPr>
              <w:widowControl/>
              <w:suppressAutoHyphens/>
              <w:jc w:val="center"/>
              <w:rPr>
                <w:rStyle w:val="DefaultParagraphFont"/>
                <w:snapToGrid/>
                <w:kern w:val="0"/>
                <w:sz w:val="20"/>
                <w:lang w:val="en-US" w:eastAsia="en-US" w:bidi="ar-SA"/>
              </w:rPr>
            </w:pPr>
            <w:r>
              <w:rPr>
                <w:snapToGrid w:val="0"/>
                <w:kern w:val="28"/>
                <w:sz w:val="20"/>
                <w:lang w:val="en-US" w:eastAsia="en-US" w:bidi="ar-SA"/>
              </w:rPr>
              <w:t>0.021</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0F7E86BE" w14:textId="7D4A424C">
            <w:pPr>
              <w:widowControl/>
              <w:suppressAutoHyphens/>
              <w:jc w:val="center"/>
              <w:rPr>
                <w:rStyle w:val="DefaultParagraphFont"/>
                <w:snapToGrid/>
                <w:kern w:val="0"/>
                <w:sz w:val="20"/>
                <w:lang w:val="en-US" w:eastAsia="en-US" w:bidi="ar-SA"/>
              </w:rPr>
            </w:pPr>
            <w:r>
              <w:rPr>
                <w:snapToGrid w:val="0"/>
                <w:kern w:val="28"/>
                <w:sz w:val="20"/>
                <w:lang w:val="en-US" w:eastAsia="en-US" w:bidi="ar-SA"/>
              </w:rPr>
              <w:t>6.0%</w:t>
            </w:r>
          </w:p>
        </w:tc>
      </w:tr>
      <w:tr w14:paraId="33E6966C"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166C33F"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7E5D01CE"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511B2556"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1974247E"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7A8BDDB" w14:textId="24DE5D24">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F884A5C" w14:textId="01A7E78D">
            <w:pPr>
              <w:widowControl/>
              <w:suppressAutoHyphens/>
              <w:jc w:val="center"/>
              <w:rPr>
                <w:rStyle w:val="DefaultParagraphFont"/>
                <w:snapToGrid/>
                <w:kern w:val="0"/>
                <w:sz w:val="20"/>
                <w:lang w:val="en-US" w:eastAsia="en-US" w:bidi="ar-SA"/>
              </w:rPr>
            </w:pPr>
            <w:r>
              <w:rPr>
                <w:snapToGrid w:val="0"/>
                <w:kern w:val="28"/>
                <w:sz w:val="20"/>
                <w:lang w:val="en-US" w:eastAsia="en-US" w:bidi="ar-SA"/>
              </w:rPr>
              <w:t>$0.42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6A99700E" w14:textId="216ACBEA">
            <w:pPr>
              <w:widowControl/>
              <w:suppressAutoHyphens/>
              <w:jc w:val="center"/>
              <w:rPr>
                <w:rStyle w:val="DefaultParagraphFont"/>
                <w:snapToGrid/>
                <w:kern w:val="0"/>
                <w:sz w:val="20"/>
                <w:lang w:val="en-US" w:eastAsia="en-US" w:bidi="ar-SA"/>
              </w:rPr>
            </w:pPr>
            <w:r>
              <w:rPr>
                <w:snapToGrid w:val="0"/>
                <w:kern w:val="28"/>
                <w:sz w:val="20"/>
                <w:lang w:val="en-US" w:eastAsia="en-US" w:bidi="ar-SA"/>
              </w:rPr>
              <w:t>0.019</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1B6CB19D" w14:textId="77777777">
            <w:pPr>
              <w:widowControl/>
              <w:suppressAutoHyphens/>
              <w:rPr>
                <w:rStyle w:val="DefaultParagraphFont"/>
                <w:snapToGrid/>
                <w:kern w:val="0"/>
                <w:sz w:val="20"/>
                <w:lang w:val="en-US" w:eastAsia="en-US" w:bidi="ar-SA"/>
              </w:rPr>
            </w:pPr>
          </w:p>
        </w:tc>
      </w:tr>
      <w:tr w14:paraId="65E13A3F"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30258487"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2A59F9F9"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8D79182"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60F61013"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AD39FAA" w14:textId="191D929F">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3A112C8" w14:textId="1E8EAF19">
            <w:pPr>
              <w:widowControl/>
              <w:suppressAutoHyphens/>
              <w:jc w:val="center"/>
              <w:rPr>
                <w:rStyle w:val="DefaultParagraphFont"/>
                <w:snapToGrid/>
                <w:kern w:val="0"/>
                <w:sz w:val="20"/>
                <w:lang w:val="en-US" w:eastAsia="en-US" w:bidi="ar-SA"/>
              </w:rPr>
            </w:pPr>
            <w:r>
              <w:rPr>
                <w:snapToGrid w:val="0"/>
                <w:kern w:val="28"/>
                <w:sz w:val="20"/>
                <w:lang w:val="en-US" w:eastAsia="en-US" w:bidi="ar-SA"/>
              </w:rPr>
              <w:t>$0.37</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555A23D9" w14:textId="62E01F4B">
            <w:pPr>
              <w:widowControl/>
              <w:suppressAutoHyphens/>
              <w:jc w:val="center"/>
              <w:rPr>
                <w:rStyle w:val="DefaultParagraphFont"/>
                <w:snapToGrid/>
                <w:kern w:val="0"/>
                <w:sz w:val="20"/>
                <w:lang w:val="en-US" w:eastAsia="en-US" w:bidi="ar-SA"/>
              </w:rPr>
            </w:pPr>
            <w:r>
              <w:rPr>
                <w:snapToGrid w:val="0"/>
                <w:kern w:val="28"/>
                <w:sz w:val="20"/>
                <w:lang w:val="en-US" w:eastAsia="en-US" w:bidi="ar-SA"/>
              </w:rPr>
              <w:t>0.018</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7E1E2793" w14:textId="4B1D7433">
            <w:pPr>
              <w:widowControl/>
              <w:suppressAutoHyphens/>
              <w:jc w:val="center"/>
              <w:rPr>
                <w:rStyle w:val="DefaultParagraphFont"/>
                <w:snapToGrid/>
                <w:kern w:val="0"/>
                <w:sz w:val="20"/>
                <w:lang w:val="en-US" w:eastAsia="en-US" w:bidi="ar-SA"/>
              </w:rPr>
            </w:pPr>
            <w:r>
              <w:rPr>
                <w:snapToGrid w:val="0"/>
                <w:kern w:val="28"/>
                <w:sz w:val="20"/>
                <w:lang w:val="en-US" w:eastAsia="en-US" w:bidi="ar-SA"/>
              </w:rPr>
              <w:t>4.3%</w:t>
            </w:r>
          </w:p>
        </w:tc>
      </w:tr>
      <w:tr w14:paraId="363B1F63"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0C8468DE"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4EB7C84A"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7B8BAF32"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38CD1C15"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2FBB227A" w14:textId="43FF928E">
            <w:pPr>
              <w:widowControl/>
              <w:suppressAutoHyphens/>
              <w:jc w:val="center"/>
              <w:rPr>
                <w:rStyle w:val="DefaultParagraphFont"/>
                <w:snapToGrid/>
                <w:kern w:val="0"/>
                <w:sz w:val="20"/>
                <w:lang w:val="en-US" w:eastAsia="en-US" w:bidi="ar-SA"/>
              </w:rPr>
            </w:pPr>
            <w:r>
              <w:rPr>
                <w:snapToGrid w:val="0"/>
                <w:kern w:val="28"/>
                <w:sz w:val="20"/>
                <w:lang w:val="en-US" w:eastAsia="en-US" w:bidi="ar-SA"/>
              </w:rPr>
              <w:t>54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9267BC9" w14:textId="3EA63D1C">
            <w:pPr>
              <w:widowControl/>
              <w:suppressAutoHyphens/>
              <w:jc w:val="center"/>
              <w:rPr>
                <w:rStyle w:val="DefaultParagraphFont"/>
                <w:snapToGrid/>
                <w:kern w:val="0"/>
                <w:sz w:val="20"/>
                <w:lang w:val="en-US" w:eastAsia="en-US" w:bidi="ar-SA"/>
              </w:rPr>
            </w:pPr>
            <w:r>
              <w:rPr>
                <w:snapToGrid w:val="0"/>
                <w:kern w:val="28"/>
                <w:sz w:val="20"/>
                <w:lang w:val="en-US" w:eastAsia="en-US" w:bidi="ar-SA"/>
              </w:rPr>
              <w:t>$0.35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467A337" w14:textId="0A8327C1">
            <w:pPr>
              <w:widowControl/>
              <w:suppressAutoHyphens/>
              <w:jc w:val="center"/>
              <w:rPr>
                <w:rStyle w:val="DefaultParagraphFont"/>
                <w:snapToGrid/>
                <w:kern w:val="0"/>
                <w:sz w:val="20"/>
                <w:lang w:val="en-US" w:eastAsia="en-US" w:bidi="ar-SA"/>
              </w:rPr>
            </w:pPr>
            <w:r>
              <w:rPr>
                <w:snapToGrid w:val="0"/>
                <w:kern w:val="28"/>
                <w:sz w:val="20"/>
                <w:lang w:val="en-US" w:eastAsia="en-US" w:bidi="ar-SA"/>
              </w:rPr>
              <w:t>0.016</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66ED3C9C" w14:textId="77777777">
            <w:pPr>
              <w:widowControl/>
              <w:suppressAutoHyphens/>
              <w:rPr>
                <w:rStyle w:val="DefaultParagraphFont"/>
                <w:snapToGrid/>
                <w:kern w:val="0"/>
                <w:sz w:val="20"/>
                <w:lang w:val="en-US" w:eastAsia="en-US" w:bidi="ar-SA"/>
              </w:rPr>
            </w:pPr>
          </w:p>
        </w:tc>
      </w:tr>
      <w:tr w14:paraId="7B9A70E0"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81153F4" w14:textId="77777777">
            <w:pPr>
              <w:widowControl/>
              <w:suppressAutoHyphens/>
              <w:rPr>
                <w:rStyle w:val="DefaultParagraphFont"/>
                <w:b/>
                <w:bCs/>
                <w:snapToGrid/>
                <w:kern w:val="0"/>
                <w:sz w:val="20"/>
                <w:lang w:val="en-US" w:eastAsia="en-US" w:bidi="ar-SA"/>
              </w:rPr>
            </w:pPr>
          </w:p>
        </w:tc>
        <w:tc>
          <w:tcPr>
            <w:tcW w:w="703"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52550F" w:rsidP="004E16D7" w14:paraId="3BCE8950"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DBS</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D769B73"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A367F5E"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5C" w:rsidRPr="00DC1FCC" w:rsidP="004E16D7" w14:paraId="27C104E7" w14:textId="6498BCA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163</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32E5DDE5" w14:textId="528A2C9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$0.52</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377E7B13" w14:textId="19DD28C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0.017</w:t>
            </w:r>
          </w:p>
        </w:tc>
        <w:tc>
          <w:tcPr>
            <w:tcW w:w="645"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7F5C" w:rsidRPr="00BC3F74" w:rsidP="004E16D7" w14:paraId="0A445C6D" w14:textId="5471E2D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3.1%</w:t>
            </w:r>
          </w:p>
        </w:tc>
      </w:tr>
      <w:tr w14:paraId="7B1F6C9C"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6EE932D0"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034F5612"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15A5916F"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F2746C" w:rsidP="004E16D7" w14:paraId="0BC91F34" w14:textId="77777777">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F2746C" w:rsidP="004E16D7" w14:paraId="3DBECA22" w14:textId="3017FA58">
            <w:pPr>
              <w:widowControl/>
              <w:suppressAutoHyphens/>
              <w:jc w:val="center"/>
              <w:rPr>
                <w:rStyle w:val="DefaultParagraphFont"/>
                <w:bCs/>
                <w:snapToGrid/>
                <w:kern w:val="0"/>
                <w:sz w:val="20"/>
                <w:lang w:val="en-US" w:eastAsia="en-US" w:bidi="ar-SA"/>
              </w:rPr>
            </w:pPr>
            <w:r>
              <w:rPr>
                <w:snapToGrid w:val="0"/>
                <w:kern w:val="28"/>
                <w:sz w:val="20"/>
                <w:lang w:val="en-US" w:eastAsia="en-US" w:bidi="ar-SA"/>
              </w:rPr>
              <w:t>162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5B5D55B0" w14:textId="22EBCA34">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$0.50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26AD2AE3" w14:textId="4AB8E443">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0.016</w:t>
            </w:r>
          </w:p>
        </w:tc>
        <w:tc>
          <w:tcPr>
            <w:tcW w:w="645" w:type="pct"/>
            <w:vMerge/>
            <w:tcBorders>
              <w:top w:val="single" w:sz="4" w:space="0" w:color="auto"/>
              <w:left w:val="single" w:sz="4" w:space="0" w:color="auto"/>
              <w:bottom w:val="single" w:sz="4" w:space="0" w:color="auto"/>
              <w:right w:val="single" w:sz="8" w:space="0" w:color="auto"/>
            </w:tcBorders>
            <w:vAlign w:val="center"/>
            <w:hideMark/>
          </w:tcPr>
          <w:p w:rsidR="00ED7F5C" w:rsidRPr="0052550F" w:rsidP="004E16D7" w14:paraId="5C531A29" w14:textId="77777777">
            <w:pPr>
              <w:widowControl/>
              <w:suppressAutoHyphens/>
              <w:rPr>
                <w:rStyle w:val="DefaultParagraphFont"/>
                <w:b/>
                <w:bCs/>
                <w:snapToGrid/>
                <w:kern w:val="0"/>
                <w:sz w:val="20"/>
                <w:lang w:val="en-US" w:eastAsia="en-US" w:bidi="ar-SA"/>
              </w:rPr>
            </w:pPr>
          </w:p>
        </w:tc>
      </w:tr>
      <w:tr w14:paraId="4A677F67"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7F969514"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4EE21C92"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36EF411"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629600A6"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2FA3BD4B" w14:textId="3219C119">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7A1A9AF" w14:textId="21119EFF">
            <w:pPr>
              <w:widowControl/>
              <w:suppressAutoHyphens/>
              <w:jc w:val="center"/>
              <w:rPr>
                <w:rStyle w:val="DefaultParagraphFont"/>
                <w:snapToGrid/>
                <w:kern w:val="0"/>
                <w:sz w:val="20"/>
                <w:lang w:val="en-US" w:eastAsia="en-US" w:bidi="ar-SA"/>
              </w:rPr>
            </w:pPr>
            <w:r>
              <w:rPr>
                <w:snapToGrid w:val="0"/>
                <w:kern w:val="28"/>
                <w:sz w:val="20"/>
                <w:lang w:val="en-US" w:eastAsia="en-US" w:bidi="ar-SA"/>
              </w:rPr>
              <w:t>$0.42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FF76455" w14:textId="3C0D57FB">
            <w:pPr>
              <w:widowControl/>
              <w:suppressAutoHyphens/>
              <w:jc w:val="center"/>
              <w:rPr>
                <w:rStyle w:val="DefaultParagraphFont"/>
                <w:snapToGrid/>
                <w:kern w:val="0"/>
                <w:sz w:val="20"/>
                <w:lang w:val="en-US" w:eastAsia="en-US" w:bidi="ar-SA"/>
              </w:rPr>
            </w:pPr>
            <w:r>
              <w:rPr>
                <w:snapToGrid w:val="0"/>
                <w:kern w:val="28"/>
                <w:sz w:val="20"/>
                <w:lang w:val="en-US" w:eastAsia="en-US" w:bidi="ar-SA"/>
              </w:rPr>
              <w:t>0.009</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60D0EED6" w14:textId="66F50CA0">
            <w:pPr>
              <w:widowControl/>
              <w:suppressAutoHyphens/>
              <w:jc w:val="center"/>
              <w:rPr>
                <w:rStyle w:val="DefaultParagraphFont"/>
                <w:snapToGrid/>
                <w:kern w:val="0"/>
                <w:sz w:val="20"/>
                <w:lang w:val="en-US" w:eastAsia="en-US" w:bidi="ar-SA"/>
              </w:rPr>
            </w:pPr>
            <w:r>
              <w:rPr>
                <w:snapToGrid w:val="0"/>
                <w:kern w:val="28"/>
                <w:sz w:val="20"/>
                <w:lang w:val="en-US" w:eastAsia="en-US" w:bidi="ar-SA"/>
              </w:rPr>
              <w:t>2.7%</w:t>
            </w:r>
          </w:p>
        </w:tc>
      </w:tr>
      <w:tr w14:paraId="2D7D17CD"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7F8F6F53"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3CAECC59"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18E23C4A"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3A2FA113"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0432699" w14:textId="61F24B29">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B2CAD79" w14:textId="273A5975">
            <w:pPr>
              <w:widowControl/>
              <w:suppressAutoHyphens/>
              <w:jc w:val="center"/>
              <w:rPr>
                <w:rStyle w:val="DefaultParagraphFont"/>
                <w:snapToGrid/>
                <w:kern w:val="0"/>
                <w:sz w:val="20"/>
                <w:lang w:val="en-US" w:eastAsia="en-US" w:bidi="ar-SA"/>
              </w:rPr>
            </w:pPr>
            <w:r>
              <w:rPr>
                <w:snapToGrid w:val="0"/>
                <w:kern w:val="28"/>
                <w:sz w:val="20"/>
                <w:lang w:val="en-US" w:eastAsia="en-US" w:bidi="ar-SA"/>
              </w:rPr>
              <w:t>$0.41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C07D865" w14:textId="0486B71F">
            <w:pPr>
              <w:widowControl/>
              <w:suppressAutoHyphens/>
              <w:jc w:val="center"/>
              <w:rPr>
                <w:rStyle w:val="DefaultParagraphFont"/>
                <w:snapToGrid/>
                <w:kern w:val="0"/>
                <w:sz w:val="20"/>
                <w:lang w:val="en-US" w:eastAsia="en-US" w:bidi="ar-SA"/>
              </w:rPr>
            </w:pPr>
            <w:r>
              <w:rPr>
                <w:snapToGrid w:val="0"/>
                <w:kern w:val="28"/>
                <w:sz w:val="20"/>
                <w:lang w:val="en-US" w:eastAsia="en-US" w:bidi="ar-SA"/>
              </w:rPr>
              <w:t>0.007</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14056194" w14:textId="77777777">
            <w:pPr>
              <w:widowControl/>
              <w:suppressAutoHyphens/>
              <w:rPr>
                <w:rStyle w:val="DefaultParagraphFont"/>
                <w:snapToGrid/>
                <w:kern w:val="0"/>
                <w:sz w:val="20"/>
                <w:lang w:val="en-US" w:eastAsia="en-US" w:bidi="ar-SA"/>
              </w:rPr>
            </w:pPr>
          </w:p>
        </w:tc>
      </w:tr>
      <w:tr w14:paraId="6B7E3810"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3306CD52"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26FF7EF5"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32B65160"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175C9796"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6300273" w14:textId="3F2BDD07">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ADACF05" w14:textId="10CB3B4C">
            <w:pPr>
              <w:widowControl/>
              <w:suppressAutoHyphens/>
              <w:jc w:val="center"/>
              <w:rPr>
                <w:rStyle w:val="DefaultParagraphFont"/>
                <w:snapToGrid/>
                <w:kern w:val="0"/>
                <w:sz w:val="20"/>
                <w:lang w:val="en-US" w:eastAsia="en-US" w:bidi="ar-SA"/>
              </w:rPr>
            </w:pPr>
            <w:r>
              <w:rPr>
                <w:snapToGrid w:val="0"/>
                <w:kern w:val="28"/>
                <w:sz w:val="20"/>
                <w:lang w:val="en-US" w:eastAsia="en-US" w:bidi="ar-SA"/>
              </w:rPr>
              <w:t>$0.35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0744B31C" w14:textId="5FAE9FB5">
            <w:pPr>
              <w:widowControl/>
              <w:suppressAutoHyphens/>
              <w:jc w:val="center"/>
              <w:rPr>
                <w:rStyle w:val="DefaultParagraphFont"/>
                <w:snapToGrid/>
                <w:kern w:val="0"/>
                <w:sz w:val="20"/>
                <w:lang w:val="en-US" w:eastAsia="en-US" w:bidi="ar-SA"/>
              </w:rPr>
            </w:pPr>
            <w:r>
              <w:rPr>
                <w:snapToGrid w:val="0"/>
                <w:kern w:val="28"/>
                <w:sz w:val="20"/>
                <w:lang w:val="en-US" w:eastAsia="en-US" w:bidi="ar-SA"/>
              </w:rPr>
              <w:t>0.007</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7197E6CD" w14:textId="4931DF6F">
            <w:pPr>
              <w:widowControl/>
              <w:suppressAutoHyphens/>
              <w:jc w:val="center"/>
              <w:rPr>
                <w:rStyle w:val="DefaultParagraphFont"/>
                <w:snapToGrid/>
                <w:kern w:val="0"/>
                <w:sz w:val="20"/>
                <w:lang w:val="en-US" w:eastAsia="en-US" w:bidi="ar-SA"/>
              </w:rPr>
            </w:pPr>
            <w:r>
              <w:rPr>
                <w:snapToGrid w:val="0"/>
                <w:kern w:val="28"/>
                <w:sz w:val="20"/>
                <w:lang w:val="en-US" w:eastAsia="en-US" w:bidi="ar-SA"/>
              </w:rPr>
              <w:t>3.1%</w:t>
            </w:r>
          </w:p>
        </w:tc>
      </w:tr>
      <w:tr w14:paraId="27C30CD5"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6439A5BC"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4" w:space="0" w:color="auto"/>
              <w:right w:val="single" w:sz="4" w:space="0" w:color="auto"/>
            </w:tcBorders>
            <w:vAlign w:val="center"/>
            <w:hideMark/>
          </w:tcPr>
          <w:p w:rsidR="00ED7F5C" w:rsidRPr="0052550F" w:rsidP="004E16D7" w14:paraId="12981B1B"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70548D4F"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76BDF9DF"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127C8AF" w14:textId="195588C2">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E4AD857" w14:textId="016C2F61">
            <w:pPr>
              <w:widowControl/>
              <w:suppressAutoHyphens/>
              <w:jc w:val="center"/>
              <w:rPr>
                <w:rStyle w:val="DefaultParagraphFont"/>
                <w:snapToGrid/>
                <w:kern w:val="0"/>
                <w:sz w:val="20"/>
                <w:lang w:val="en-US" w:eastAsia="en-US" w:bidi="ar-SA"/>
              </w:rPr>
            </w:pPr>
            <w:r>
              <w:rPr>
                <w:snapToGrid w:val="0"/>
                <w:kern w:val="28"/>
                <w:sz w:val="20"/>
                <w:lang w:val="en-US" w:eastAsia="en-US" w:bidi="ar-SA"/>
              </w:rPr>
              <w:t>$0.34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385A3156" w14:textId="2E6258DB">
            <w:pPr>
              <w:widowControl/>
              <w:suppressAutoHyphens/>
              <w:jc w:val="center"/>
              <w:rPr>
                <w:rStyle w:val="DefaultParagraphFont"/>
                <w:snapToGrid/>
                <w:kern w:val="0"/>
                <w:sz w:val="20"/>
                <w:lang w:val="en-US" w:eastAsia="en-US" w:bidi="ar-SA"/>
              </w:rPr>
            </w:pPr>
            <w:r>
              <w:rPr>
                <w:snapToGrid w:val="0"/>
                <w:kern w:val="28"/>
                <w:sz w:val="20"/>
                <w:lang w:val="en-US" w:eastAsia="en-US" w:bidi="ar-SA"/>
              </w:rPr>
              <w:t>0.007</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77237EC4" w14:textId="77777777">
            <w:pPr>
              <w:widowControl/>
              <w:suppressAutoHyphens/>
              <w:rPr>
                <w:rStyle w:val="DefaultParagraphFont"/>
                <w:snapToGrid/>
                <w:kern w:val="0"/>
                <w:sz w:val="20"/>
                <w:lang w:val="en-US" w:eastAsia="en-US" w:bidi="ar-SA"/>
              </w:rPr>
            </w:pPr>
          </w:p>
        </w:tc>
      </w:tr>
      <w:tr w14:paraId="3A931660"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00D002F3" w14:textId="77777777">
            <w:pPr>
              <w:widowControl/>
              <w:suppressAutoHyphens/>
              <w:rPr>
                <w:rStyle w:val="DefaultParagraphFont"/>
                <w:b/>
                <w:bCs/>
                <w:snapToGrid/>
                <w:kern w:val="0"/>
                <w:sz w:val="20"/>
                <w:lang w:val="en-US" w:eastAsia="en-US" w:bidi="ar-SA"/>
              </w:rPr>
            </w:pPr>
          </w:p>
        </w:tc>
        <w:tc>
          <w:tcPr>
            <w:tcW w:w="703" w:type="pct"/>
            <w:vMerge w:val="restart"/>
            <w:tcBorders>
              <w:top w:val="nil"/>
              <w:left w:val="single" w:sz="4" w:space="0" w:color="auto"/>
              <w:bottom w:val="single" w:sz="8" w:space="0" w:color="000000"/>
              <w:right w:val="single" w:sz="4" w:space="0" w:color="auto"/>
            </w:tcBorders>
            <w:shd w:val="clear" w:color="auto" w:fill="auto"/>
            <w:vAlign w:val="center"/>
            <w:hideMark/>
          </w:tcPr>
          <w:p w:rsidR="00ED7F5C" w:rsidRPr="0052550F" w:rsidP="004E16D7" w14:paraId="470DE743" w14:textId="0DF7A161">
            <w:pPr>
              <w:widowControl/>
              <w:suppressAutoHyphens/>
              <w:jc w:val="center"/>
              <w:rPr>
                <w:rStyle w:val="DefaultParagraphFont"/>
                <w:b/>
                <w:bCs/>
                <w:snapToGrid/>
                <w:kern w:val="0"/>
                <w:sz w:val="20"/>
                <w:lang w:val="en-US" w:eastAsia="en-US" w:bidi="ar-SA"/>
              </w:rPr>
            </w:pPr>
            <w:r>
              <w:rPr>
                <w:b/>
                <w:snapToGrid/>
                <w:kern w:val="0"/>
                <w:sz w:val="20"/>
                <w:lang w:val="en-US" w:eastAsia="en-US" w:bidi="ar-SA"/>
              </w:rPr>
              <w:t>Wireless and Low Penetration Test</w:t>
            </w: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7B6DDE03" w14:textId="77777777">
            <w:pPr>
              <w:widowControl/>
              <w:suppressAutoHyphens/>
              <w:rPr>
                <w:rStyle w:val="DefaultParagraphFont"/>
                <w:b/>
                <w:bCs/>
                <w:snapToGrid/>
                <w:kern w:val="0"/>
                <w:sz w:val="20"/>
                <w:lang w:val="en-US" w:eastAsia="en-US" w:bidi="ar-SA"/>
              </w:rPr>
            </w:pPr>
            <w:r w:rsidRPr="0052550F">
              <w:rPr>
                <w:b/>
                <w:bCs/>
                <w:snapToGrid/>
                <w:kern w:val="0"/>
                <w:sz w:val="20"/>
                <w:lang w:val="en-US" w:eastAsia="en-US" w:bidi="ar-SA"/>
              </w:rPr>
              <w:t>Basic service</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40EB1B3E" w14:textId="77777777">
            <w:pPr>
              <w:widowControl/>
              <w:suppressAutoHyphens/>
              <w:jc w:val="center"/>
              <w:rPr>
                <w:rStyle w:val="DefaultParagraphFont"/>
                <w:b/>
                <w:bCs/>
                <w:snapToGrid/>
                <w:kern w:val="0"/>
                <w:sz w:val="20"/>
                <w:lang w:val="en-US" w:eastAsia="en-US" w:bidi="ar-SA"/>
              </w:rPr>
            </w:pPr>
            <w:r w:rsidRPr="0052550F">
              <w:rPr>
                <w:b/>
                <w:bCs/>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1680E0A2" w14:textId="6FF6C0B8">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93668C9" w14:textId="684C370F">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$0.57</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75EE13A" w14:textId="4EE9255F">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0.021</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BC3F74" w:rsidP="004E16D7" w14:paraId="3DF351BA" w14:textId="614B8F11">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1.0%</w:t>
            </w:r>
          </w:p>
        </w:tc>
      </w:tr>
      <w:tr w14:paraId="1AB1A66E"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37CE377E"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8" w:space="0" w:color="000000"/>
              <w:right w:val="single" w:sz="4" w:space="0" w:color="auto"/>
            </w:tcBorders>
            <w:vAlign w:val="center"/>
            <w:hideMark/>
          </w:tcPr>
          <w:p w:rsidR="00ED7F5C" w:rsidRPr="0052550F" w:rsidP="004E16D7" w14:paraId="7D33B5B6"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43CEF842" w14:textId="77777777">
            <w:pPr>
              <w:widowControl/>
              <w:suppressAutoHyphens/>
              <w:rPr>
                <w:rStyle w:val="DefaultParagraphFont"/>
                <w:b/>
                <w:bCs/>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F2746C" w:rsidP="004E16D7" w14:paraId="7616E09A" w14:textId="77777777">
            <w:pPr>
              <w:widowControl/>
              <w:suppressAutoHyphens/>
              <w:jc w:val="center"/>
              <w:rPr>
                <w:rStyle w:val="DefaultParagraphFont"/>
                <w:bCs/>
                <w:snapToGrid/>
                <w:kern w:val="0"/>
                <w:sz w:val="20"/>
                <w:lang w:val="en-US" w:eastAsia="en-US" w:bidi="ar-SA"/>
              </w:rPr>
            </w:pPr>
            <w:r w:rsidRPr="00F2746C">
              <w:rPr>
                <w:bCs/>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F2746C" w:rsidP="004E16D7" w14:paraId="66B371F9" w14:textId="2ABC6C0C">
            <w:pPr>
              <w:widowControl/>
              <w:suppressAutoHyphens/>
              <w:jc w:val="center"/>
              <w:rPr>
                <w:rStyle w:val="DefaultParagraphFont"/>
                <w:bCs/>
                <w:snapToGrid/>
                <w:kern w:val="0"/>
                <w:sz w:val="20"/>
                <w:lang w:val="en-US" w:eastAsia="en-US" w:bidi="ar-SA"/>
              </w:rPr>
            </w:pPr>
            <w:r>
              <w:rPr>
                <w:snapToGrid w:val="0"/>
                <w:kern w:val="28"/>
                <w:sz w:val="20"/>
                <w:lang w:val="en-US" w:eastAsia="en-US" w:bidi="ar-SA"/>
              </w:rPr>
              <w:t>39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0D284B61" w14:textId="1989DF47">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F2746C" w:rsidP="004E16D7" w14:paraId="5DE08D9F" w14:textId="5947753E">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0.022</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0AA5EE3F" w14:textId="77777777">
            <w:pPr>
              <w:widowControl/>
              <w:suppressAutoHyphens/>
              <w:rPr>
                <w:rStyle w:val="DefaultParagraphFont"/>
                <w:b/>
                <w:bCs/>
                <w:snapToGrid/>
                <w:kern w:val="0"/>
                <w:sz w:val="20"/>
                <w:lang w:val="en-US" w:eastAsia="en-US" w:bidi="ar-SA"/>
              </w:rPr>
            </w:pPr>
          </w:p>
        </w:tc>
      </w:tr>
      <w:tr w14:paraId="547884A0"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C4A7EA3"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8" w:space="0" w:color="000000"/>
              <w:right w:val="single" w:sz="4" w:space="0" w:color="auto"/>
            </w:tcBorders>
            <w:vAlign w:val="center"/>
            <w:hideMark/>
          </w:tcPr>
          <w:p w:rsidR="00ED7F5C" w:rsidRPr="0052550F" w:rsidP="004E16D7" w14:paraId="40E9014A"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45E35810"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Expanded basic</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3DB63208"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1AA3D0B" w14:textId="2569AC2F">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AF48432" w14:textId="61FF46B0">
            <w:pPr>
              <w:widowControl/>
              <w:suppressAutoHyphens/>
              <w:jc w:val="center"/>
              <w:rPr>
                <w:rStyle w:val="DefaultParagraphFont"/>
                <w:snapToGrid/>
                <w:kern w:val="0"/>
                <w:sz w:val="20"/>
                <w:lang w:val="en-US" w:eastAsia="en-US" w:bidi="ar-SA"/>
              </w:rPr>
            </w:pPr>
            <w:r>
              <w:rPr>
                <w:snapToGrid w:val="0"/>
                <w:kern w:val="28"/>
                <w:sz w:val="20"/>
                <w:lang w:val="en-US" w:eastAsia="en-US" w:bidi="ar-SA"/>
              </w:rPr>
              <w:t>$0.43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21804AA8" w14:textId="1947AFF2">
            <w:pPr>
              <w:widowControl/>
              <w:suppressAutoHyphens/>
              <w:jc w:val="center"/>
              <w:rPr>
                <w:rStyle w:val="DefaultParagraphFont"/>
                <w:snapToGrid/>
                <w:kern w:val="0"/>
                <w:sz w:val="20"/>
                <w:lang w:val="en-US" w:eastAsia="en-US" w:bidi="ar-SA"/>
              </w:rPr>
            </w:pPr>
            <w:r>
              <w:rPr>
                <w:snapToGrid w:val="0"/>
                <w:kern w:val="28"/>
                <w:sz w:val="20"/>
                <w:lang w:val="en-US" w:eastAsia="en-US" w:bidi="ar-SA"/>
              </w:rPr>
              <w:t>0.011</w:t>
            </w:r>
          </w:p>
        </w:tc>
        <w:tc>
          <w:tcPr>
            <w:tcW w:w="645"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52550F" w:rsidP="004E16D7" w14:paraId="51BCD65D" w14:textId="6E35A0DE">
            <w:pPr>
              <w:widowControl/>
              <w:suppressAutoHyphens/>
              <w:jc w:val="center"/>
              <w:rPr>
                <w:rStyle w:val="DefaultParagraphFont"/>
                <w:snapToGrid/>
                <w:kern w:val="0"/>
                <w:sz w:val="20"/>
                <w:lang w:val="en-US" w:eastAsia="en-US" w:bidi="ar-SA"/>
              </w:rPr>
            </w:pPr>
            <w:r>
              <w:rPr>
                <w:snapToGrid w:val="0"/>
                <w:kern w:val="28"/>
                <w:sz w:val="20"/>
                <w:lang w:val="en-US" w:eastAsia="en-US" w:bidi="ar-SA"/>
              </w:rPr>
              <w:t>0.3%</w:t>
            </w:r>
          </w:p>
        </w:tc>
      </w:tr>
      <w:tr w14:paraId="15A87228"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2E84DBF9"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8" w:space="0" w:color="000000"/>
              <w:right w:val="single" w:sz="4" w:space="0" w:color="auto"/>
            </w:tcBorders>
            <w:vAlign w:val="center"/>
            <w:hideMark/>
          </w:tcPr>
          <w:p w:rsidR="00ED7F5C" w:rsidRPr="0052550F" w:rsidP="004E16D7" w14:paraId="39F79DDF"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4" w:space="0" w:color="auto"/>
              <w:right w:val="single" w:sz="4" w:space="0" w:color="auto"/>
            </w:tcBorders>
            <w:vAlign w:val="center"/>
            <w:hideMark/>
          </w:tcPr>
          <w:p w:rsidR="00ED7F5C" w:rsidRPr="0052550F" w:rsidP="004E16D7" w14:paraId="6B70599D" w14:textId="77777777">
            <w:pPr>
              <w:widowControl/>
              <w:suppressAutoHyphens/>
              <w:rPr>
                <w:rStyle w:val="DefaultParagraphFont"/>
                <w:snapToGrid/>
                <w:kern w:val="0"/>
                <w:sz w:val="20"/>
                <w:lang w:val="en-US" w:eastAsia="en-US" w:bidi="ar-SA"/>
              </w:rPr>
            </w:pP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502AC190"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13508FF3" w14:textId="1A694934">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4AF2091" w14:textId="542A20BD">
            <w:pPr>
              <w:widowControl/>
              <w:suppressAutoHyphens/>
              <w:jc w:val="center"/>
              <w:rPr>
                <w:rStyle w:val="DefaultParagraphFont"/>
                <w:snapToGrid/>
                <w:kern w:val="0"/>
                <w:sz w:val="20"/>
                <w:lang w:val="en-US" w:eastAsia="en-US" w:bidi="ar-SA"/>
              </w:rPr>
            </w:pPr>
            <w:r>
              <w:rPr>
                <w:snapToGrid w:val="0"/>
                <w:kern w:val="28"/>
                <w:sz w:val="20"/>
                <w:lang w:val="en-US" w:eastAsia="en-US" w:bidi="ar-SA"/>
              </w:rPr>
              <w:t>$0.42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1D811280" w14:textId="6F36CC1F">
            <w:pPr>
              <w:widowControl/>
              <w:suppressAutoHyphens/>
              <w:jc w:val="center"/>
              <w:rPr>
                <w:rStyle w:val="DefaultParagraphFont"/>
                <w:snapToGrid/>
                <w:kern w:val="0"/>
                <w:sz w:val="20"/>
                <w:lang w:val="en-US" w:eastAsia="en-US" w:bidi="ar-SA"/>
              </w:rPr>
            </w:pPr>
            <w:r>
              <w:rPr>
                <w:snapToGrid w:val="0"/>
                <w:kern w:val="28"/>
                <w:sz w:val="20"/>
                <w:lang w:val="en-US" w:eastAsia="en-US" w:bidi="ar-SA"/>
              </w:rPr>
              <w:t>0.013</w:t>
            </w:r>
          </w:p>
        </w:tc>
        <w:tc>
          <w:tcPr>
            <w:tcW w:w="645" w:type="pct"/>
            <w:vMerge/>
            <w:tcBorders>
              <w:top w:val="nil"/>
              <w:left w:val="single" w:sz="4" w:space="0" w:color="auto"/>
              <w:bottom w:val="single" w:sz="4" w:space="0" w:color="auto"/>
              <w:right w:val="single" w:sz="8" w:space="0" w:color="auto"/>
            </w:tcBorders>
            <w:vAlign w:val="center"/>
            <w:hideMark/>
          </w:tcPr>
          <w:p w:rsidR="00ED7F5C" w:rsidRPr="0052550F" w:rsidP="004E16D7" w14:paraId="7BAF7856" w14:textId="77777777">
            <w:pPr>
              <w:widowControl/>
              <w:suppressAutoHyphens/>
              <w:rPr>
                <w:rStyle w:val="DefaultParagraphFont"/>
                <w:snapToGrid/>
                <w:kern w:val="0"/>
                <w:sz w:val="20"/>
                <w:lang w:val="en-US" w:eastAsia="en-US" w:bidi="ar-SA"/>
              </w:rPr>
            </w:pPr>
          </w:p>
        </w:tc>
      </w:tr>
      <w:tr w14:paraId="4023A67F"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000000"/>
              <w:right w:val="single" w:sz="4" w:space="0" w:color="auto"/>
            </w:tcBorders>
            <w:vAlign w:val="center"/>
            <w:hideMark/>
          </w:tcPr>
          <w:p w:rsidR="00ED7F5C" w:rsidRPr="0052550F" w:rsidP="004E16D7" w14:paraId="7A302632"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8" w:space="0" w:color="000000"/>
              <w:right w:val="single" w:sz="4" w:space="0" w:color="auto"/>
            </w:tcBorders>
            <w:vAlign w:val="center"/>
            <w:hideMark/>
          </w:tcPr>
          <w:p w:rsidR="00ED7F5C" w:rsidRPr="0052550F" w:rsidP="004E16D7" w14:paraId="243638D0" w14:textId="77777777">
            <w:pPr>
              <w:widowControl/>
              <w:suppressAutoHyphens/>
              <w:rPr>
                <w:rStyle w:val="DefaultParagraphFont"/>
                <w:b/>
                <w:bCs/>
                <w:snapToGrid/>
                <w:kern w:val="0"/>
                <w:sz w:val="20"/>
                <w:lang w:val="en-US" w:eastAsia="en-US" w:bidi="ar-SA"/>
              </w:rPr>
            </w:pPr>
          </w:p>
        </w:tc>
        <w:tc>
          <w:tcPr>
            <w:tcW w:w="96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D7F5C" w:rsidRPr="0052550F" w:rsidP="004E16D7" w14:paraId="4F2E45B9" w14:textId="77777777">
            <w:pPr>
              <w:widowControl/>
              <w:suppressAutoHyphens/>
              <w:rPr>
                <w:rStyle w:val="DefaultParagraphFont"/>
                <w:snapToGrid/>
                <w:kern w:val="0"/>
                <w:sz w:val="20"/>
                <w:lang w:val="en-US" w:eastAsia="en-US" w:bidi="ar-SA"/>
              </w:rPr>
            </w:pPr>
            <w:r w:rsidRPr="0052550F">
              <w:rPr>
                <w:snapToGrid/>
                <w:kern w:val="0"/>
                <w:sz w:val="20"/>
                <w:lang w:val="en-US" w:eastAsia="en-US" w:bidi="ar-SA"/>
              </w:rPr>
              <w:t>Next most popular</w:t>
            </w:r>
          </w:p>
        </w:tc>
        <w:tc>
          <w:tcPr>
            <w:tcW w:w="369" w:type="pct"/>
            <w:tcBorders>
              <w:top w:val="nil"/>
              <w:left w:val="nil"/>
              <w:bottom w:val="single" w:sz="4" w:space="0" w:color="auto"/>
              <w:right w:val="single" w:sz="4" w:space="0" w:color="auto"/>
            </w:tcBorders>
            <w:shd w:val="clear" w:color="auto" w:fill="auto"/>
            <w:noWrap/>
            <w:vAlign w:val="bottom"/>
            <w:hideMark/>
          </w:tcPr>
          <w:p w:rsidR="00ED7F5C" w:rsidRPr="0052550F" w:rsidP="004E16D7" w14:paraId="3D35B2F5"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2016</w:t>
            </w:r>
          </w:p>
        </w:tc>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ED7F5C" w:rsidRPr="0052550F" w:rsidP="004E16D7" w14:paraId="501F384B" w14:textId="2441BCD2">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58BF8689" w14:textId="08F58C00">
            <w:pPr>
              <w:widowControl/>
              <w:suppressAutoHyphens/>
              <w:jc w:val="center"/>
              <w:rPr>
                <w:rStyle w:val="DefaultParagraphFont"/>
                <w:snapToGrid/>
                <w:kern w:val="0"/>
                <w:sz w:val="20"/>
                <w:lang w:val="en-US" w:eastAsia="en-US" w:bidi="ar-SA"/>
              </w:rPr>
            </w:pPr>
            <w:r>
              <w:rPr>
                <w:snapToGrid w:val="0"/>
                <w:kern w:val="28"/>
                <w:sz w:val="20"/>
                <w:lang w:val="en-US" w:eastAsia="en-US" w:bidi="ar-SA"/>
              </w:rPr>
              <w:t>$0.35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52550F" w:rsidP="004E16D7" w14:paraId="4699282F" w14:textId="4F0888F5">
            <w:pPr>
              <w:widowControl/>
              <w:suppressAutoHyphens/>
              <w:jc w:val="center"/>
              <w:rPr>
                <w:rStyle w:val="DefaultParagraphFont"/>
                <w:snapToGrid/>
                <w:kern w:val="0"/>
                <w:sz w:val="20"/>
                <w:lang w:val="en-US" w:eastAsia="en-US" w:bidi="ar-SA"/>
              </w:rPr>
            </w:pPr>
            <w:r>
              <w:rPr>
                <w:snapToGrid w:val="0"/>
                <w:kern w:val="28"/>
                <w:sz w:val="20"/>
                <w:lang w:val="en-US" w:eastAsia="en-US" w:bidi="ar-SA"/>
              </w:rPr>
              <w:t>0.011</w:t>
            </w:r>
          </w:p>
        </w:tc>
        <w:tc>
          <w:tcPr>
            <w:tcW w:w="645"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D7F5C" w:rsidRPr="0052550F" w:rsidP="004E16D7" w14:paraId="7CA77AEC" w14:textId="157AF83F">
            <w:pPr>
              <w:widowControl/>
              <w:suppressAutoHyphens/>
              <w:jc w:val="center"/>
              <w:rPr>
                <w:rStyle w:val="DefaultParagraphFont"/>
                <w:snapToGrid/>
                <w:kern w:val="0"/>
                <w:sz w:val="20"/>
                <w:lang w:val="en-US" w:eastAsia="en-US" w:bidi="ar-SA"/>
              </w:rPr>
            </w:pPr>
            <w:r>
              <w:rPr>
                <w:snapToGrid w:val="0"/>
                <w:kern w:val="28"/>
                <w:sz w:val="20"/>
                <w:lang w:val="en-US" w:eastAsia="en-US" w:bidi="ar-SA"/>
              </w:rPr>
              <w:t>0.7%</w:t>
            </w:r>
          </w:p>
        </w:tc>
      </w:tr>
      <w:tr w14:paraId="157FFEC3" w14:textId="77777777" w:rsidTr="00A46F4A">
        <w:tblPrEx>
          <w:tblW w:w="5048" w:type="pct"/>
          <w:tblInd w:w="0" w:type="dxa"/>
          <w:tblCellMar>
            <w:top w:w="0" w:type="dxa"/>
            <w:left w:w="108" w:type="dxa"/>
            <w:bottom w:w="0" w:type="dxa"/>
            <w:right w:w="108" w:type="dxa"/>
          </w:tblCellMar>
          <w:tblLook w:val="04A0"/>
        </w:tblPrEx>
        <w:trPr>
          <w:trHeight w:hRule="exact" w:val="231"/>
        </w:trPr>
        <w:tc>
          <w:tcPr>
            <w:tcW w:w="701" w:type="pct"/>
            <w:vMerge/>
            <w:tcBorders>
              <w:top w:val="nil"/>
              <w:left w:val="single" w:sz="8" w:space="0" w:color="auto"/>
              <w:bottom w:val="single" w:sz="8" w:space="0" w:color="auto"/>
              <w:right w:val="single" w:sz="4" w:space="0" w:color="auto"/>
            </w:tcBorders>
            <w:vAlign w:val="center"/>
            <w:hideMark/>
          </w:tcPr>
          <w:p w:rsidR="00ED7F5C" w:rsidRPr="0052550F" w:rsidP="004E16D7" w14:paraId="32B72C3B" w14:textId="77777777">
            <w:pPr>
              <w:widowControl/>
              <w:suppressAutoHyphens/>
              <w:rPr>
                <w:rStyle w:val="DefaultParagraphFont"/>
                <w:b/>
                <w:bCs/>
                <w:snapToGrid/>
                <w:kern w:val="0"/>
                <w:sz w:val="20"/>
                <w:lang w:val="en-US" w:eastAsia="en-US" w:bidi="ar-SA"/>
              </w:rPr>
            </w:pPr>
          </w:p>
        </w:tc>
        <w:tc>
          <w:tcPr>
            <w:tcW w:w="703" w:type="pct"/>
            <w:vMerge/>
            <w:tcBorders>
              <w:top w:val="nil"/>
              <w:left w:val="single" w:sz="4" w:space="0" w:color="auto"/>
              <w:bottom w:val="single" w:sz="8" w:space="0" w:color="auto"/>
              <w:right w:val="single" w:sz="4" w:space="0" w:color="auto"/>
            </w:tcBorders>
            <w:vAlign w:val="center"/>
            <w:hideMark/>
          </w:tcPr>
          <w:p w:rsidR="00ED7F5C" w:rsidRPr="0052550F" w:rsidP="004E16D7" w14:paraId="3828A1F6" w14:textId="77777777">
            <w:pPr>
              <w:widowControl/>
              <w:suppressAutoHyphens/>
              <w:rPr>
                <w:rStyle w:val="DefaultParagraphFont"/>
                <w:b/>
                <w:bCs/>
                <w:snapToGrid/>
                <w:kern w:val="0"/>
                <w:sz w:val="20"/>
                <w:lang w:val="en-US" w:eastAsia="en-US" w:bidi="ar-SA"/>
              </w:rPr>
            </w:pPr>
          </w:p>
        </w:tc>
        <w:tc>
          <w:tcPr>
            <w:tcW w:w="966" w:type="pct"/>
            <w:vMerge/>
            <w:tcBorders>
              <w:top w:val="nil"/>
              <w:left w:val="single" w:sz="4" w:space="0" w:color="auto"/>
              <w:bottom w:val="single" w:sz="8" w:space="0" w:color="auto"/>
              <w:right w:val="single" w:sz="4" w:space="0" w:color="auto"/>
            </w:tcBorders>
            <w:vAlign w:val="center"/>
            <w:hideMark/>
          </w:tcPr>
          <w:p w:rsidR="00ED7F5C" w:rsidRPr="0052550F" w:rsidP="004E16D7" w14:paraId="09DA1BA2" w14:textId="77777777">
            <w:pPr>
              <w:widowControl/>
              <w:suppressAutoHyphens/>
              <w:rPr>
                <w:rStyle w:val="DefaultParagraphFont"/>
                <w:snapToGrid/>
                <w:kern w:val="0"/>
                <w:sz w:val="20"/>
                <w:lang w:val="en-US" w:eastAsia="en-US" w:bidi="ar-SA"/>
              </w:rPr>
            </w:pPr>
          </w:p>
        </w:tc>
        <w:tc>
          <w:tcPr>
            <w:tcW w:w="369" w:type="pct"/>
            <w:tcBorders>
              <w:top w:val="nil"/>
              <w:left w:val="nil"/>
              <w:bottom w:val="single" w:sz="8" w:space="0" w:color="auto"/>
              <w:right w:val="single" w:sz="4" w:space="0" w:color="auto"/>
            </w:tcBorders>
            <w:shd w:val="clear" w:color="auto" w:fill="auto"/>
            <w:noWrap/>
            <w:vAlign w:val="bottom"/>
            <w:hideMark/>
          </w:tcPr>
          <w:p w:rsidR="00ED7F5C" w:rsidRPr="0052550F" w:rsidP="004E16D7" w14:paraId="0F62D159" w14:textId="77777777">
            <w:pPr>
              <w:widowControl/>
              <w:suppressAutoHyphens/>
              <w:jc w:val="center"/>
              <w:rPr>
                <w:rStyle w:val="DefaultParagraphFont"/>
                <w:snapToGrid/>
                <w:kern w:val="0"/>
                <w:sz w:val="20"/>
                <w:lang w:val="en-US" w:eastAsia="en-US" w:bidi="ar-SA"/>
              </w:rPr>
            </w:pPr>
            <w:r w:rsidRPr="0052550F">
              <w:rPr>
                <w:snapToGrid/>
                <w:kern w:val="0"/>
                <w:sz w:val="20"/>
                <w:lang w:val="en-US" w:eastAsia="en-US" w:bidi="ar-SA"/>
              </w:rPr>
              <w:t>2015</w:t>
            </w:r>
          </w:p>
        </w:tc>
        <w:tc>
          <w:tcPr>
            <w:tcW w:w="433" w:type="pct"/>
            <w:tcBorders>
              <w:top w:val="nil"/>
              <w:left w:val="single" w:sz="4" w:space="0" w:color="auto"/>
              <w:bottom w:val="single" w:sz="8" w:space="0" w:color="auto"/>
              <w:right w:val="single" w:sz="4" w:space="0" w:color="auto"/>
            </w:tcBorders>
            <w:shd w:val="clear" w:color="auto" w:fill="auto"/>
            <w:noWrap/>
            <w:vAlign w:val="center"/>
            <w:hideMark/>
          </w:tcPr>
          <w:p w:rsidR="00ED7F5C" w:rsidRPr="0052550F" w:rsidP="004E16D7" w14:paraId="5D05FF59" w14:textId="2992492D">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592" w:type="pct"/>
            <w:tcBorders>
              <w:top w:val="nil"/>
              <w:left w:val="nil"/>
              <w:bottom w:val="single" w:sz="8" w:space="0" w:color="auto"/>
              <w:right w:val="single" w:sz="4" w:space="0" w:color="auto"/>
            </w:tcBorders>
            <w:shd w:val="clear" w:color="auto" w:fill="auto"/>
            <w:noWrap/>
            <w:vAlign w:val="center"/>
            <w:hideMark/>
          </w:tcPr>
          <w:p w:rsidR="00ED7F5C" w:rsidRPr="0052550F" w:rsidP="004E16D7" w14:paraId="4A21E621" w14:textId="6C0E1757">
            <w:pPr>
              <w:widowControl/>
              <w:suppressAutoHyphens/>
              <w:jc w:val="center"/>
              <w:rPr>
                <w:rStyle w:val="DefaultParagraphFont"/>
                <w:snapToGrid/>
                <w:kern w:val="0"/>
                <w:sz w:val="20"/>
                <w:lang w:val="en-US" w:eastAsia="en-US" w:bidi="ar-SA"/>
              </w:rPr>
            </w:pPr>
            <w:r>
              <w:rPr>
                <w:snapToGrid w:val="0"/>
                <w:kern w:val="28"/>
                <w:sz w:val="20"/>
                <w:lang w:val="en-US" w:eastAsia="en-US" w:bidi="ar-SA"/>
              </w:rPr>
              <w:t>$0.34</w:t>
            </w:r>
          </w:p>
        </w:tc>
        <w:tc>
          <w:tcPr>
            <w:tcW w:w="592" w:type="pct"/>
            <w:tcBorders>
              <w:top w:val="nil"/>
              <w:left w:val="nil"/>
              <w:bottom w:val="single" w:sz="8" w:space="0" w:color="auto"/>
              <w:right w:val="single" w:sz="4" w:space="0" w:color="auto"/>
            </w:tcBorders>
            <w:shd w:val="clear" w:color="auto" w:fill="auto"/>
            <w:noWrap/>
            <w:vAlign w:val="center"/>
            <w:hideMark/>
          </w:tcPr>
          <w:p w:rsidR="00ED7F5C" w:rsidRPr="0052550F" w:rsidP="004E16D7" w14:paraId="11864FF1" w14:textId="73A25632">
            <w:pPr>
              <w:widowControl/>
              <w:suppressAutoHyphens/>
              <w:jc w:val="center"/>
              <w:rPr>
                <w:rStyle w:val="DefaultParagraphFont"/>
                <w:snapToGrid/>
                <w:kern w:val="0"/>
                <w:sz w:val="20"/>
                <w:lang w:val="en-US" w:eastAsia="en-US" w:bidi="ar-SA"/>
              </w:rPr>
            </w:pPr>
            <w:r>
              <w:rPr>
                <w:snapToGrid w:val="0"/>
                <w:kern w:val="28"/>
                <w:sz w:val="20"/>
                <w:lang w:val="en-US" w:eastAsia="en-US" w:bidi="ar-SA"/>
              </w:rPr>
              <w:t>0.012</w:t>
            </w:r>
          </w:p>
        </w:tc>
        <w:tc>
          <w:tcPr>
            <w:tcW w:w="645" w:type="pct"/>
            <w:vMerge/>
            <w:tcBorders>
              <w:top w:val="nil"/>
              <w:left w:val="single" w:sz="4" w:space="0" w:color="auto"/>
              <w:bottom w:val="single" w:sz="8" w:space="0" w:color="auto"/>
              <w:right w:val="single" w:sz="8" w:space="0" w:color="auto"/>
            </w:tcBorders>
            <w:vAlign w:val="center"/>
            <w:hideMark/>
          </w:tcPr>
          <w:p w:rsidR="00ED7F5C" w:rsidRPr="0052550F" w:rsidP="004E16D7" w14:paraId="68B57CC2" w14:textId="77777777">
            <w:pPr>
              <w:widowControl/>
              <w:suppressAutoHyphens/>
              <w:rPr>
                <w:rStyle w:val="DefaultParagraphFont"/>
                <w:snapToGrid/>
                <w:kern w:val="0"/>
                <w:sz w:val="20"/>
                <w:lang w:val="en-US" w:eastAsia="en-US" w:bidi="ar-SA"/>
              </w:rPr>
            </w:pPr>
          </w:p>
        </w:tc>
      </w:tr>
      <w:tr w14:paraId="5C5FC8D9" w14:textId="77777777" w:rsidTr="00910791">
        <w:tblPrEx>
          <w:tblW w:w="5048" w:type="pct"/>
          <w:tblInd w:w="0" w:type="dxa"/>
          <w:tblCellMar>
            <w:top w:w="0" w:type="dxa"/>
            <w:left w:w="108" w:type="dxa"/>
            <w:bottom w:w="0" w:type="dxa"/>
            <w:right w:w="108" w:type="dxa"/>
          </w:tblCellMar>
          <w:tblLook w:val="04A0"/>
        </w:tblPrEx>
        <w:trPr>
          <w:trHeight w:hRule="exact" w:val="869"/>
        </w:trPr>
        <w:tc>
          <w:tcPr>
            <w:tcW w:w="5000" w:type="pct"/>
            <w:gridSpan w:val="8"/>
            <w:tcBorders>
              <w:top w:val="single" w:sz="8" w:space="0" w:color="auto"/>
            </w:tcBorders>
            <w:vAlign w:val="bottom"/>
          </w:tcPr>
          <w:p w:rsidR="00910791" w:rsidRPr="0052550F" w:rsidP="004E16D7" w14:paraId="74FE5715" w14:textId="377BDF9A">
            <w:pPr>
              <w:widowControl/>
              <w:suppressAutoHyphens/>
              <w:rPr>
                <w:rStyle w:val="DefaultParagraphFont"/>
                <w:snapToGrid/>
                <w:kern w:val="0"/>
                <w:sz w:val="20"/>
                <w:lang w:val="en-US" w:eastAsia="en-US" w:bidi="ar-SA"/>
              </w:rPr>
            </w:pPr>
            <w:r w:rsidRPr="00517C2D">
              <w:rPr>
                <w:snapToGrid/>
                <w:kern w:val="0"/>
                <w:sz w:val="20"/>
                <w:lang w:val="en-US" w:eastAsia="en-US" w:bidi="ar-SA"/>
              </w:rPr>
              <w:t xml:space="preserve">Source: </w:t>
            </w:r>
            <w:r w:rsidR="00921DD1">
              <w:rPr>
                <w:snapToGrid/>
                <w:kern w:val="0"/>
                <w:sz w:val="20"/>
                <w:lang w:val="en-US" w:eastAsia="en-US" w:bidi="ar-SA"/>
              </w:rPr>
              <w:t xml:space="preserve"> </w:t>
            </w:r>
            <w:r w:rsidRPr="00517C2D">
              <w:rPr>
                <w:snapToGrid/>
                <w:kern w:val="0"/>
                <w:sz w:val="20"/>
                <w:lang w:val="en-US" w:eastAsia="en-US" w:bidi="ar-SA"/>
              </w:rPr>
              <w:t>2016 survey.</w:t>
            </w:r>
            <w:r w:rsidR="00921DD1">
              <w:rPr>
                <w:snapToGrid/>
                <w:kern w:val="0"/>
                <w:sz w:val="20"/>
                <w:lang w:val="en-US" w:eastAsia="en-US" w:bidi="ar-SA"/>
              </w:rPr>
              <w:t xml:space="preserve"> </w:t>
            </w:r>
            <w:r w:rsidRPr="00517C2D">
              <w:rPr>
                <w:snapToGrid/>
                <w:kern w:val="0"/>
                <w:sz w:val="20"/>
                <w:lang w:val="en-US" w:eastAsia="en-US" w:bidi="ar-SA"/>
              </w:rPr>
              <w:t xml:space="preserve"> </w:t>
            </w:r>
            <w:r w:rsidR="002357B9">
              <w:rPr>
                <w:snapToGrid/>
                <w:kern w:val="0"/>
                <w:sz w:val="20"/>
                <w:lang w:val="en-US" w:eastAsia="en-US" w:bidi="ar-SA"/>
              </w:rPr>
              <w:t>None of the results in this table are</w:t>
            </w:r>
            <w:r w:rsidRPr="00DA17CD" w:rsidR="002357B9">
              <w:rPr>
                <w:snapToGrid/>
                <w:kern w:val="0"/>
                <w:sz w:val="20"/>
                <w:lang w:val="en-US" w:eastAsia="en-US" w:bidi="ar-SA"/>
              </w:rPr>
              <w:t xml:space="preserve"> statistically significant at the 95% confidence </w:t>
            </w:r>
            <w:r w:rsidRPr="00DA17CD" w:rsidR="00316C18">
              <w:rPr>
                <w:snapToGrid/>
                <w:kern w:val="0"/>
                <w:sz w:val="20"/>
                <w:lang w:val="en-US" w:eastAsia="en-US" w:bidi="ar-SA"/>
              </w:rPr>
              <w:t>level.</w:t>
            </w:r>
            <w:r w:rsidRPr="00517C2D">
              <w:rPr>
                <w:snapToGrid/>
                <w:kern w:val="0"/>
                <w:sz w:val="20"/>
                <w:lang w:val="en-US" w:eastAsia="en-US" w:bidi="ar-SA"/>
              </w:rPr>
              <w:t xml:space="preserve"> </w:t>
            </w:r>
            <w:r w:rsidR="00857830">
              <w:rPr>
                <w:snapToGrid/>
                <w:kern w:val="0"/>
                <w:sz w:val="20"/>
                <w:lang w:val="en-US" w:eastAsia="en-US" w:bidi="ar-SA"/>
              </w:rPr>
              <w:t xml:space="preserve"> </w:t>
            </w:r>
            <w:r w:rsidRPr="00517C2D">
              <w:rPr>
                <w:snapToGrid/>
                <w:kern w:val="0"/>
                <w:sz w:val="20"/>
                <w:lang w:val="en-US" w:eastAsia="en-US" w:bidi="ar-SA"/>
              </w:rPr>
              <w:t>Price per channel is equal to the sum of the programming price and the price of the most commonly leased equipment divided by the number of channels the service offers.</w:t>
            </w:r>
          </w:p>
        </w:tc>
      </w:tr>
    </w:tbl>
    <w:p w:rsidR="00910791" w:rsidP="004E16D7" w14:paraId="047E0438" w14:textId="77777777">
      <w:pPr>
        <w:widowControl/>
        <w:suppressAutoHyphens/>
      </w:pPr>
      <w:r>
        <w:br w:type="page"/>
      </w:r>
    </w:p>
    <w:tbl>
      <w:tblPr>
        <w:tblW w:w="5000" w:type="pct"/>
        <w:tblInd w:w="0" w:type="dxa"/>
        <w:tblLayout w:type="fixed"/>
        <w:tblCellMar>
          <w:top w:w="0" w:type="dxa"/>
          <w:left w:w="108" w:type="dxa"/>
          <w:bottom w:w="0" w:type="dxa"/>
          <w:right w:w="108" w:type="dxa"/>
        </w:tblCellMar>
        <w:tblLook w:val="04A0"/>
      </w:tblPr>
      <w:tblGrid>
        <w:gridCol w:w="1603"/>
        <w:gridCol w:w="1267"/>
        <w:gridCol w:w="1711"/>
        <w:gridCol w:w="719"/>
        <w:gridCol w:w="659"/>
        <w:gridCol w:w="1315"/>
        <w:gridCol w:w="1115"/>
        <w:gridCol w:w="951"/>
      </w:tblGrid>
      <w:tr w14:paraId="1FE2976C" w14:textId="77777777" w:rsidTr="00A46F4A">
        <w:tblPrEx>
          <w:tblW w:w="5000" w:type="pct"/>
          <w:tblInd w:w="0" w:type="dxa"/>
          <w:tblLayout w:type="fixed"/>
          <w:tblCellMar>
            <w:top w:w="0" w:type="dxa"/>
            <w:left w:w="108" w:type="dxa"/>
            <w:bottom w:w="0" w:type="dxa"/>
            <w:right w:w="108" w:type="dxa"/>
          </w:tblCellMar>
          <w:tblLook w:val="04A0"/>
        </w:tblPrEx>
        <w:trPr>
          <w:trHeight w:hRule="exact" w:val="1152"/>
        </w:trPr>
        <w:tc>
          <w:tcPr>
            <w:tcW w:w="5000" w:type="pct"/>
            <w:gridSpan w:val="8"/>
            <w:tcBorders>
              <w:top w:val="single" w:sz="8" w:space="0" w:color="auto"/>
              <w:left w:val="single" w:sz="8" w:space="0" w:color="auto"/>
              <w:right w:val="single" w:sz="8" w:space="0" w:color="000000"/>
            </w:tcBorders>
            <w:shd w:val="clear" w:color="auto" w:fill="auto"/>
            <w:noWrap/>
            <w:vAlign w:val="center"/>
            <w:hideMark/>
          </w:tcPr>
          <w:p w:rsidR="00910791" w:rsidRPr="00910791" w:rsidP="004E16D7" w14:paraId="508AE1FB" w14:textId="77777777">
            <w:pPr>
              <w:widowControl/>
              <w:suppressAutoHyphens/>
              <w:jc w:val="center"/>
              <w:rPr>
                <w:rStyle w:val="DefaultParagraphFont"/>
                <w:b/>
                <w:bCs/>
                <w:snapToGrid/>
                <w:kern w:val="0"/>
                <w:sz w:val="22"/>
                <w:szCs w:val="22"/>
                <w:lang w:val="en-US" w:eastAsia="en-US" w:bidi="ar-SA"/>
              </w:rPr>
            </w:pPr>
            <w:r w:rsidRPr="00910791">
              <w:rPr>
                <w:b/>
                <w:bCs/>
                <w:snapToGrid/>
                <w:kern w:val="0"/>
                <w:sz w:val="22"/>
                <w:szCs w:val="22"/>
                <w:lang w:val="en-US" w:eastAsia="en-US" w:bidi="ar-SA"/>
              </w:rPr>
              <w:t>Attachment 5</w:t>
            </w:r>
          </w:p>
          <w:p w:rsidR="00910791" w:rsidRPr="00910791" w:rsidP="004E16D7" w14:paraId="7B0C4687" w14:textId="77777777">
            <w:pPr>
              <w:widowControl/>
              <w:suppressAutoHyphens/>
              <w:jc w:val="center"/>
              <w:rPr>
                <w:rStyle w:val="DefaultParagraphFont"/>
                <w:b/>
                <w:bCs/>
                <w:snapToGrid/>
                <w:kern w:val="0"/>
                <w:sz w:val="22"/>
                <w:szCs w:val="22"/>
                <w:lang w:val="en-US" w:eastAsia="en-US" w:bidi="ar-SA"/>
              </w:rPr>
            </w:pPr>
            <w:r w:rsidRPr="00910791">
              <w:rPr>
                <w:b/>
                <w:bCs/>
                <w:snapToGrid/>
                <w:kern w:val="0"/>
                <w:sz w:val="22"/>
                <w:szCs w:val="22"/>
                <w:lang w:val="en-US" w:eastAsia="en-US" w:bidi="ar-SA"/>
              </w:rPr>
              <w:t>Average Price of Equipment</w:t>
            </w:r>
          </w:p>
          <w:p w:rsidR="00910791" w:rsidRPr="00910791" w:rsidP="004E16D7" w14:paraId="717490C4" w14:textId="0AC38F4E">
            <w:pPr>
              <w:widowControl w:val="0"/>
              <w:suppressAutoHyphens/>
              <w:jc w:val="center"/>
              <w:rPr>
                <w:rStyle w:val="DefaultParagraphFont"/>
                <w:b/>
                <w:bCs/>
                <w:snapToGrid/>
                <w:kern w:val="0"/>
                <w:sz w:val="22"/>
                <w:szCs w:val="22"/>
                <w:lang w:val="en-US" w:eastAsia="en-US" w:bidi="ar-SA"/>
              </w:rPr>
            </w:pPr>
            <w:r>
              <w:rPr>
                <w:b/>
                <w:bCs/>
                <w:snapToGrid/>
                <w:kern w:val="0"/>
                <w:sz w:val="22"/>
                <w:szCs w:val="22"/>
                <w:lang w:val="en-US" w:eastAsia="en-US" w:bidi="ar-SA"/>
              </w:rPr>
              <w:t>b</w:t>
            </w:r>
            <w:r w:rsidRPr="00910791">
              <w:rPr>
                <w:b/>
                <w:bCs/>
                <w:snapToGrid/>
                <w:kern w:val="0"/>
                <w:sz w:val="22"/>
                <w:szCs w:val="22"/>
                <w:lang w:val="en-US" w:eastAsia="en-US" w:bidi="ar-SA"/>
              </w:rPr>
              <w:t>y Sample and Programming Service</w:t>
            </w:r>
          </w:p>
        </w:tc>
      </w:tr>
      <w:tr w14:paraId="4676EB5D" w14:textId="77777777" w:rsidTr="00A46F4A">
        <w:tblPrEx>
          <w:tblW w:w="5000" w:type="pct"/>
          <w:tblInd w:w="0" w:type="dxa"/>
          <w:tblLayout w:type="fixed"/>
          <w:tblCellMar>
            <w:top w:w="0" w:type="dxa"/>
            <w:left w:w="108" w:type="dxa"/>
            <w:bottom w:w="0" w:type="dxa"/>
            <w:right w:w="108" w:type="dxa"/>
          </w:tblCellMar>
          <w:tblLook w:val="04A0"/>
        </w:tblPrEx>
        <w:trPr>
          <w:trHeight w:hRule="exact" w:val="576"/>
        </w:trPr>
        <w:tc>
          <w:tcPr>
            <w:tcW w:w="85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10791" w:rsidRPr="00E6310C" w:rsidP="004E16D7" w14:paraId="36FCD478"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Sample Group</w:t>
            </w:r>
          </w:p>
        </w:tc>
        <w:tc>
          <w:tcPr>
            <w:tcW w:w="678" w:type="pct"/>
            <w:tcBorders>
              <w:top w:val="single" w:sz="8" w:space="0" w:color="auto"/>
              <w:left w:val="nil"/>
              <w:bottom w:val="single" w:sz="8" w:space="0" w:color="auto"/>
              <w:right w:val="single" w:sz="4" w:space="0" w:color="auto"/>
            </w:tcBorders>
            <w:shd w:val="clear" w:color="auto" w:fill="auto"/>
            <w:vAlign w:val="center"/>
            <w:hideMark/>
          </w:tcPr>
          <w:p w:rsidR="00910791" w:rsidRPr="00E6310C" w:rsidP="004E16D7" w14:paraId="1C6FC9C6"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Subgroup</w:t>
            </w:r>
          </w:p>
        </w:tc>
        <w:tc>
          <w:tcPr>
            <w:tcW w:w="916" w:type="pct"/>
            <w:tcBorders>
              <w:top w:val="single" w:sz="8" w:space="0" w:color="auto"/>
              <w:left w:val="nil"/>
              <w:bottom w:val="single" w:sz="8" w:space="0" w:color="auto"/>
              <w:right w:val="single" w:sz="4" w:space="0" w:color="auto"/>
            </w:tcBorders>
            <w:shd w:val="clear" w:color="auto" w:fill="auto"/>
            <w:vAlign w:val="center"/>
            <w:hideMark/>
          </w:tcPr>
          <w:p w:rsidR="00910791" w:rsidRPr="00E6310C" w:rsidP="004E16D7" w14:paraId="079C8407"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Service</w:t>
            </w:r>
          </w:p>
        </w:tc>
        <w:tc>
          <w:tcPr>
            <w:tcW w:w="385" w:type="pct"/>
            <w:tcBorders>
              <w:top w:val="single" w:sz="8" w:space="0" w:color="auto"/>
              <w:left w:val="nil"/>
              <w:bottom w:val="single" w:sz="8" w:space="0" w:color="auto"/>
              <w:right w:val="single" w:sz="4" w:space="0" w:color="auto"/>
            </w:tcBorders>
            <w:shd w:val="clear" w:color="auto" w:fill="auto"/>
            <w:vAlign w:val="center"/>
            <w:hideMark/>
          </w:tcPr>
          <w:p w:rsidR="00910791" w:rsidRPr="00E6310C" w:rsidP="004E16D7" w14:paraId="1A81C4E1"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Year</w:t>
            </w:r>
          </w:p>
        </w:tc>
        <w:tc>
          <w:tcPr>
            <w:tcW w:w="353" w:type="pct"/>
            <w:tcBorders>
              <w:top w:val="single" w:sz="8" w:space="0" w:color="auto"/>
              <w:left w:val="nil"/>
              <w:bottom w:val="single" w:sz="8" w:space="0" w:color="auto"/>
              <w:right w:val="single" w:sz="4" w:space="0" w:color="auto"/>
            </w:tcBorders>
            <w:shd w:val="clear" w:color="auto" w:fill="auto"/>
            <w:vAlign w:val="center"/>
            <w:hideMark/>
          </w:tcPr>
          <w:p w:rsidR="00910791" w:rsidRPr="00E6310C" w:rsidP="004E16D7" w14:paraId="7F6AB863"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n</w:t>
            </w:r>
          </w:p>
        </w:tc>
        <w:tc>
          <w:tcPr>
            <w:tcW w:w="704" w:type="pct"/>
            <w:tcBorders>
              <w:top w:val="single" w:sz="8" w:space="0" w:color="auto"/>
              <w:left w:val="nil"/>
              <w:bottom w:val="single" w:sz="8" w:space="0" w:color="auto"/>
              <w:right w:val="single" w:sz="4" w:space="0" w:color="auto"/>
            </w:tcBorders>
            <w:shd w:val="clear" w:color="auto" w:fill="auto"/>
            <w:vAlign w:val="center"/>
            <w:hideMark/>
          </w:tcPr>
          <w:p w:rsidR="00910791" w:rsidRPr="00E6310C" w:rsidP="004E16D7" w14:paraId="3C30A733"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Sample Mean</w:t>
            </w:r>
          </w:p>
        </w:tc>
        <w:tc>
          <w:tcPr>
            <w:tcW w:w="597" w:type="pct"/>
            <w:tcBorders>
              <w:top w:val="single" w:sz="8" w:space="0" w:color="auto"/>
              <w:left w:val="nil"/>
              <w:bottom w:val="single" w:sz="8" w:space="0" w:color="auto"/>
              <w:right w:val="single" w:sz="4" w:space="0" w:color="auto"/>
            </w:tcBorders>
            <w:shd w:val="clear" w:color="auto" w:fill="auto"/>
            <w:vAlign w:val="center"/>
            <w:hideMark/>
          </w:tcPr>
          <w:p w:rsidR="00910791" w:rsidRPr="00E6310C" w:rsidP="004E16D7" w14:paraId="318B2579"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Standard Error</w:t>
            </w:r>
          </w:p>
        </w:tc>
        <w:tc>
          <w:tcPr>
            <w:tcW w:w="509" w:type="pct"/>
            <w:tcBorders>
              <w:top w:val="single" w:sz="8" w:space="0" w:color="auto"/>
              <w:left w:val="nil"/>
              <w:bottom w:val="single" w:sz="8" w:space="0" w:color="auto"/>
              <w:right w:val="single" w:sz="8" w:space="0" w:color="auto"/>
            </w:tcBorders>
            <w:shd w:val="clear" w:color="auto" w:fill="auto"/>
            <w:vAlign w:val="center"/>
            <w:hideMark/>
          </w:tcPr>
          <w:p w:rsidR="00910791" w:rsidRPr="00E6310C" w:rsidP="004E16D7" w14:paraId="4229538C"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Annual Change</w:t>
            </w:r>
          </w:p>
        </w:tc>
      </w:tr>
      <w:tr w14:paraId="246E638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val="restart"/>
            <w:tcBorders>
              <w:top w:val="nil"/>
              <w:left w:val="single" w:sz="8" w:space="0" w:color="auto"/>
              <w:bottom w:val="single" w:sz="4" w:space="0" w:color="auto"/>
              <w:right w:val="single" w:sz="4" w:space="0" w:color="auto"/>
            </w:tcBorders>
            <w:shd w:val="clear" w:color="auto" w:fill="auto"/>
            <w:vAlign w:val="center"/>
            <w:hideMark/>
          </w:tcPr>
          <w:p w:rsidR="00ED7F5C" w:rsidRPr="00910791" w:rsidP="004E16D7" w14:paraId="5B302FE4"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Full sample</w:t>
            </w: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910791" w:rsidP="004E16D7" w14:paraId="62AA2740"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4B0B1E5"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9A56A64"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59EF741D" w14:textId="35D1A41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427</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52466B0E" w14:textId="4690DDCC">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$8.15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285CEDA" w14:textId="3E99B3FA">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0.171</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125D6813"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1.2%</w:t>
            </w:r>
          </w:p>
        </w:tc>
      </w:tr>
      <w:tr w14:paraId="4E124F7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39EC84C9"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41AEF7F3"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706AF273"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1E4296D"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91619FB" w14:textId="299A41A2">
            <w:pPr>
              <w:widowControl/>
              <w:suppressAutoHyphens/>
              <w:jc w:val="center"/>
              <w:rPr>
                <w:rStyle w:val="DefaultParagraphFont"/>
                <w:snapToGrid/>
                <w:kern w:val="0"/>
                <w:sz w:val="20"/>
                <w:lang w:val="en-US" w:eastAsia="en-US" w:bidi="ar-SA"/>
              </w:rPr>
            </w:pPr>
            <w:r>
              <w:rPr>
                <w:snapToGrid w:val="0"/>
                <w:kern w:val="28"/>
                <w:sz w:val="20"/>
                <w:lang w:val="en-US" w:eastAsia="en-US" w:bidi="ar-SA"/>
              </w:rPr>
              <w:t>381</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FEF94CB" w14:textId="1DD4A617">
            <w:pPr>
              <w:widowControl/>
              <w:suppressAutoHyphens/>
              <w:jc w:val="center"/>
              <w:rPr>
                <w:rStyle w:val="DefaultParagraphFont"/>
                <w:snapToGrid/>
                <w:kern w:val="0"/>
                <w:sz w:val="20"/>
                <w:lang w:val="en-US" w:eastAsia="en-US" w:bidi="ar-SA"/>
              </w:rPr>
            </w:pPr>
            <w:r>
              <w:rPr>
                <w:snapToGrid w:val="0"/>
                <w:kern w:val="28"/>
                <w:sz w:val="20"/>
                <w:lang w:val="en-US" w:eastAsia="en-US" w:bidi="ar-SA"/>
              </w:rPr>
              <w:t>$8.06</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52BE4B8" w14:textId="01F489B7">
            <w:pPr>
              <w:widowControl/>
              <w:suppressAutoHyphens/>
              <w:jc w:val="center"/>
              <w:rPr>
                <w:rStyle w:val="DefaultParagraphFont"/>
                <w:snapToGrid/>
                <w:kern w:val="0"/>
                <w:sz w:val="20"/>
                <w:lang w:val="en-US" w:eastAsia="en-US" w:bidi="ar-SA"/>
              </w:rPr>
            </w:pPr>
            <w:r>
              <w:rPr>
                <w:snapToGrid w:val="0"/>
                <w:kern w:val="28"/>
                <w:sz w:val="20"/>
                <w:lang w:val="en-US" w:eastAsia="en-US" w:bidi="ar-SA"/>
              </w:rPr>
              <w:t>0.163</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3FF250CB" w14:textId="77777777">
            <w:pPr>
              <w:widowControl/>
              <w:suppressAutoHyphens/>
              <w:rPr>
                <w:rStyle w:val="DefaultParagraphFont"/>
                <w:b/>
                <w:bCs/>
                <w:snapToGrid/>
                <w:kern w:val="0"/>
                <w:sz w:val="20"/>
                <w:lang w:val="en-US" w:eastAsia="en-US" w:bidi="ar-SA"/>
              </w:rPr>
            </w:pPr>
          </w:p>
        </w:tc>
      </w:tr>
      <w:tr w14:paraId="776DAFE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2F7E77C5"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21C5929D" w14:textId="77777777">
            <w:pPr>
              <w:widowControl/>
              <w:suppressAutoHyphens/>
              <w:rPr>
                <w:rStyle w:val="DefaultParagraphFont"/>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39666E7"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BF68BE7"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C61EA8C" w14:textId="1D53DE4A">
            <w:pPr>
              <w:widowControl/>
              <w:suppressAutoHyphens/>
              <w:jc w:val="center"/>
              <w:rPr>
                <w:rStyle w:val="DefaultParagraphFont"/>
                <w:snapToGrid/>
                <w:kern w:val="0"/>
                <w:sz w:val="20"/>
                <w:lang w:val="en-US" w:eastAsia="en-US" w:bidi="ar-SA"/>
              </w:rPr>
            </w:pPr>
            <w:r>
              <w:rPr>
                <w:snapToGrid w:val="0"/>
                <w:kern w:val="28"/>
                <w:sz w:val="20"/>
                <w:lang w:val="en-US" w:eastAsia="en-US" w:bidi="ar-SA"/>
              </w:rPr>
              <w:t>456</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36FB73B" w14:textId="35838830">
            <w:pPr>
              <w:widowControl/>
              <w:suppressAutoHyphens/>
              <w:jc w:val="center"/>
              <w:rPr>
                <w:rStyle w:val="DefaultParagraphFont"/>
                <w:snapToGrid/>
                <w:kern w:val="0"/>
                <w:sz w:val="20"/>
                <w:lang w:val="en-US" w:eastAsia="en-US" w:bidi="ar-SA"/>
              </w:rPr>
            </w:pPr>
            <w:r>
              <w:rPr>
                <w:snapToGrid w:val="0"/>
                <w:kern w:val="28"/>
                <w:sz w:val="20"/>
                <w:lang w:val="en-US" w:eastAsia="en-US" w:bidi="ar-SA"/>
              </w:rPr>
              <w:t>$8.25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FD51904" w14:textId="120C78F9">
            <w:pPr>
              <w:widowControl/>
              <w:suppressAutoHyphens/>
              <w:jc w:val="center"/>
              <w:rPr>
                <w:rStyle w:val="DefaultParagraphFont"/>
                <w:snapToGrid/>
                <w:kern w:val="0"/>
                <w:sz w:val="20"/>
                <w:lang w:val="en-US" w:eastAsia="en-US" w:bidi="ar-SA"/>
              </w:rPr>
            </w:pPr>
            <w:r>
              <w:rPr>
                <w:snapToGrid w:val="0"/>
                <w:kern w:val="28"/>
                <w:sz w:val="20"/>
                <w:lang w:val="en-US" w:eastAsia="en-US" w:bidi="ar-SA"/>
              </w:rPr>
              <w:t>0.159</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1D2D8C57"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1.3%</w:t>
            </w:r>
          </w:p>
        </w:tc>
      </w:tr>
      <w:tr w14:paraId="261BD5D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460344DB"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06756818"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61270EB9"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26CBD47"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10A6201E" w14:textId="0389B2A4">
            <w:pPr>
              <w:widowControl/>
              <w:suppressAutoHyphens/>
              <w:jc w:val="center"/>
              <w:rPr>
                <w:rStyle w:val="DefaultParagraphFont"/>
                <w:snapToGrid/>
                <w:kern w:val="0"/>
                <w:sz w:val="20"/>
                <w:lang w:val="en-US" w:eastAsia="en-US" w:bidi="ar-SA"/>
              </w:rPr>
            </w:pPr>
            <w:r>
              <w:rPr>
                <w:snapToGrid w:val="0"/>
                <w:kern w:val="28"/>
                <w:sz w:val="20"/>
                <w:lang w:val="en-US" w:eastAsia="en-US" w:bidi="ar-SA"/>
              </w:rPr>
              <w:t>436</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02AD1C6" w14:textId="5496EA4F">
            <w:pPr>
              <w:widowControl/>
              <w:suppressAutoHyphens/>
              <w:jc w:val="center"/>
              <w:rPr>
                <w:rStyle w:val="DefaultParagraphFont"/>
                <w:snapToGrid/>
                <w:kern w:val="0"/>
                <w:sz w:val="20"/>
                <w:lang w:val="en-US" w:eastAsia="en-US" w:bidi="ar-SA"/>
              </w:rPr>
            </w:pPr>
            <w:r>
              <w:rPr>
                <w:snapToGrid w:val="0"/>
                <w:kern w:val="28"/>
                <w:sz w:val="20"/>
                <w:lang w:val="en-US" w:eastAsia="en-US" w:bidi="ar-SA"/>
              </w:rPr>
              <w:t>$8.15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5BE7F96" w14:textId="3CA7C366">
            <w:pPr>
              <w:widowControl/>
              <w:suppressAutoHyphens/>
              <w:jc w:val="center"/>
              <w:rPr>
                <w:rStyle w:val="DefaultParagraphFont"/>
                <w:snapToGrid/>
                <w:kern w:val="0"/>
                <w:sz w:val="20"/>
                <w:lang w:val="en-US" w:eastAsia="en-US" w:bidi="ar-SA"/>
              </w:rPr>
            </w:pPr>
            <w:r>
              <w:rPr>
                <w:snapToGrid w:val="0"/>
                <w:kern w:val="28"/>
                <w:sz w:val="20"/>
                <w:lang w:val="en-US" w:eastAsia="en-US" w:bidi="ar-SA"/>
              </w:rPr>
              <w:t>0.138</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48314B20" w14:textId="77777777">
            <w:pPr>
              <w:widowControl/>
              <w:suppressAutoHyphens/>
              <w:rPr>
                <w:rStyle w:val="DefaultParagraphFont"/>
                <w:snapToGrid/>
                <w:kern w:val="0"/>
                <w:sz w:val="20"/>
                <w:lang w:val="en-US" w:eastAsia="en-US" w:bidi="ar-SA"/>
              </w:rPr>
            </w:pPr>
          </w:p>
        </w:tc>
      </w:tr>
      <w:tr w14:paraId="0EE09DDC"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14E7F420"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218D20A1" w14:textId="77777777">
            <w:pPr>
              <w:widowControl/>
              <w:suppressAutoHyphens/>
              <w:rPr>
                <w:rStyle w:val="DefaultParagraphFont"/>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E299263"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BE1A7E5"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AF2E46A" w14:textId="0AFFECB6">
            <w:pPr>
              <w:widowControl/>
              <w:suppressAutoHyphens/>
              <w:jc w:val="center"/>
              <w:rPr>
                <w:rStyle w:val="DefaultParagraphFont"/>
                <w:snapToGrid/>
                <w:kern w:val="0"/>
                <w:sz w:val="20"/>
                <w:lang w:val="en-US" w:eastAsia="en-US" w:bidi="ar-SA"/>
              </w:rPr>
            </w:pPr>
            <w:r>
              <w:rPr>
                <w:snapToGrid w:val="0"/>
                <w:kern w:val="28"/>
                <w:sz w:val="20"/>
                <w:lang w:val="en-US" w:eastAsia="en-US" w:bidi="ar-SA"/>
              </w:rPr>
              <w:t>457</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331A9BF" w14:textId="1728AEA1">
            <w:pPr>
              <w:widowControl/>
              <w:suppressAutoHyphens/>
              <w:jc w:val="center"/>
              <w:rPr>
                <w:rStyle w:val="DefaultParagraphFont"/>
                <w:snapToGrid/>
                <w:kern w:val="0"/>
                <w:sz w:val="20"/>
                <w:lang w:val="en-US" w:eastAsia="en-US" w:bidi="ar-SA"/>
              </w:rPr>
            </w:pPr>
            <w:r>
              <w:rPr>
                <w:snapToGrid w:val="0"/>
                <w:kern w:val="28"/>
                <w:sz w:val="20"/>
                <w:lang w:val="en-US" w:eastAsia="en-US" w:bidi="ar-SA"/>
              </w:rPr>
              <w:t>$9.06</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349EC50" w14:textId="0EC005EC">
            <w:pPr>
              <w:widowControl/>
              <w:suppressAutoHyphens/>
              <w:jc w:val="center"/>
              <w:rPr>
                <w:rStyle w:val="DefaultParagraphFont"/>
                <w:snapToGrid/>
                <w:kern w:val="0"/>
                <w:sz w:val="20"/>
                <w:lang w:val="en-US" w:eastAsia="en-US" w:bidi="ar-SA"/>
              </w:rPr>
            </w:pPr>
            <w:r>
              <w:rPr>
                <w:snapToGrid w:val="0"/>
                <w:kern w:val="28"/>
                <w:sz w:val="20"/>
                <w:lang w:val="en-US" w:eastAsia="en-US" w:bidi="ar-SA"/>
              </w:rPr>
              <w:t>0.114</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35FB906E"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5.1%*</w:t>
            </w:r>
          </w:p>
        </w:tc>
      </w:tr>
      <w:tr w14:paraId="19CD576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5A14C8DA"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6A6A3B6B"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08766B1D"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1F7F8F3"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61164BB5" w14:textId="77AFE162">
            <w:pPr>
              <w:widowControl/>
              <w:suppressAutoHyphens/>
              <w:jc w:val="center"/>
              <w:rPr>
                <w:rStyle w:val="DefaultParagraphFont"/>
                <w:snapToGrid/>
                <w:kern w:val="0"/>
                <w:sz w:val="20"/>
                <w:lang w:val="en-US" w:eastAsia="en-US" w:bidi="ar-SA"/>
              </w:rPr>
            </w:pPr>
            <w:r>
              <w:rPr>
                <w:snapToGrid w:val="0"/>
                <w:kern w:val="28"/>
                <w:sz w:val="20"/>
                <w:lang w:val="en-US" w:eastAsia="en-US" w:bidi="ar-SA"/>
              </w:rPr>
              <w:t>442</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F6338E5" w14:textId="316664B6">
            <w:pPr>
              <w:widowControl/>
              <w:suppressAutoHyphens/>
              <w:jc w:val="center"/>
              <w:rPr>
                <w:rStyle w:val="DefaultParagraphFont"/>
                <w:snapToGrid/>
                <w:kern w:val="0"/>
                <w:sz w:val="20"/>
                <w:lang w:val="en-US" w:eastAsia="en-US" w:bidi="ar-SA"/>
              </w:rPr>
            </w:pPr>
            <w:r>
              <w:rPr>
                <w:snapToGrid w:val="0"/>
                <w:kern w:val="28"/>
                <w:sz w:val="20"/>
                <w:lang w:val="en-US" w:eastAsia="en-US" w:bidi="ar-SA"/>
              </w:rPr>
              <w:t>$8.62</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C8A7060" w14:textId="40327A8D">
            <w:pPr>
              <w:widowControl/>
              <w:suppressAutoHyphens/>
              <w:jc w:val="center"/>
              <w:rPr>
                <w:rStyle w:val="DefaultParagraphFont"/>
                <w:snapToGrid/>
                <w:kern w:val="0"/>
                <w:sz w:val="20"/>
                <w:lang w:val="en-US" w:eastAsia="en-US" w:bidi="ar-SA"/>
              </w:rPr>
            </w:pPr>
            <w:r>
              <w:rPr>
                <w:snapToGrid w:val="0"/>
                <w:kern w:val="28"/>
                <w:sz w:val="20"/>
                <w:lang w:val="en-US" w:eastAsia="en-US" w:bidi="ar-SA"/>
              </w:rPr>
              <w:t>0.101</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3605DBC8" w14:textId="77777777">
            <w:pPr>
              <w:widowControl/>
              <w:suppressAutoHyphens/>
              <w:rPr>
                <w:rStyle w:val="DefaultParagraphFont"/>
                <w:snapToGrid/>
                <w:kern w:val="0"/>
                <w:sz w:val="20"/>
                <w:lang w:val="en-US" w:eastAsia="en-US" w:bidi="ar-SA"/>
              </w:rPr>
            </w:pPr>
          </w:p>
        </w:tc>
      </w:tr>
      <w:tr w14:paraId="5D4003D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ED7F5C" w:rsidP="004E16D7" w14:paraId="54EA05B0" w14:textId="30E91651">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Non</w:t>
            </w:r>
            <w:r>
              <w:rPr>
                <w:b/>
                <w:bCs/>
                <w:snapToGrid/>
                <w:kern w:val="0"/>
                <w:sz w:val="20"/>
                <w:lang w:val="en-US" w:eastAsia="en-US" w:bidi="ar-SA"/>
              </w:rPr>
              <w:t>-</w:t>
            </w:r>
          </w:p>
          <w:p w:rsidR="00ED7F5C" w:rsidP="004E16D7" w14:paraId="41CF9A07"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competitive</w:t>
            </w:r>
          </w:p>
          <w:p w:rsidR="00ED7F5C" w:rsidRPr="00910791" w:rsidP="004E16D7" w14:paraId="759E0844" w14:textId="5454D130">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Group</w:t>
            </w: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910791" w:rsidP="004E16D7" w14:paraId="4AB00559"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DCA0FDB"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BCF2D4F"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460A06FE" w14:textId="6B94444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218</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09BB0935" w14:textId="320CDF9E">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$8.12</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75CDBF1" w14:textId="32EB794E">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0.218</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706E9466"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2.6%</w:t>
            </w:r>
          </w:p>
        </w:tc>
      </w:tr>
      <w:tr w14:paraId="65C84B4C"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7BDF3F04"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3E817157"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06E5FE3C"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056FF4A"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648C9C43" w14:textId="0E997510">
            <w:pPr>
              <w:widowControl/>
              <w:suppressAutoHyphens/>
              <w:jc w:val="center"/>
              <w:rPr>
                <w:rStyle w:val="DefaultParagraphFont"/>
                <w:snapToGrid/>
                <w:kern w:val="0"/>
                <w:sz w:val="20"/>
                <w:lang w:val="en-US" w:eastAsia="en-US" w:bidi="ar-SA"/>
              </w:rPr>
            </w:pPr>
            <w:r>
              <w:rPr>
                <w:snapToGrid w:val="0"/>
                <w:kern w:val="28"/>
                <w:sz w:val="20"/>
                <w:lang w:val="en-US" w:eastAsia="en-US" w:bidi="ar-SA"/>
              </w:rPr>
              <w:t>203</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153A324" w14:textId="302CA47B">
            <w:pPr>
              <w:widowControl/>
              <w:suppressAutoHyphens/>
              <w:jc w:val="center"/>
              <w:rPr>
                <w:rStyle w:val="DefaultParagraphFont"/>
                <w:snapToGrid/>
                <w:kern w:val="0"/>
                <w:sz w:val="20"/>
                <w:lang w:val="en-US" w:eastAsia="en-US" w:bidi="ar-SA"/>
              </w:rPr>
            </w:pPr>
            <w:r>
              <w:rPr>
                <w:snapToGrid w:val="0"/>
                <w:kern w:val="28"/>
                <w:sz w:val="20"/>
                <w:lang w:val="en-US" w:eastAsia="en-US" w:bidi="ar-SA"/>
              </w:rPr>
              <w:t>$7.92</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0A645AB" w14:textId="3BAEC8F8">
            <w:pPr>
              <w:widowControl/>
              <w:suppressAutoHyphens/>
              <w:jc w:val="center"/>
              <w:rPr>
                <w:rStyle w:val="DefaultParagraphFont"/>
                <w:snapToGrid/>
                <w:kern w:val="0"/>
                <w:sz w:val="20"/>
                <w:lang w:val="en-US" w:eastAsia="en-US" w:bidi="ar-SA"/>
              </w:rPr>
            </w:pPr>
            <w:r>
              <w:rPr>
                <w:snapToGrid w:val="0"/>
                <w:kern w:val="28"/>
                <w:sz w:val="20"/>
                <w:lang w:val="en-US" w:eastAsia="en-US" w:bidi="ar-SA"/>
              </w:rPr>
              <w:t>0.215</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05CB5D55" w14:textId="77777777">
            <w:pPr>
              <w:widowControl/>
              <w:suppressAutoHyphens/>
              <w:rPr>
                <w:rStyle w:val="DefaultParagraphFont"/>
                <w:b/>
                <w:bCs/>
                <w:snapToGrid/>
                <w:kern w:val="0"/>
                <w:sz w:val="20"/>
                <w:lang w:val="en-US" w:eastAsia="en-US" w:bidi="ar-SA"/>
              </w:rPr>
            </w:pPr>
          </w:p>
        </w:tc>
      </w:tr>
      <w:tr w14:paraId="461E148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4FFD83C3"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4BB4B8D0" w14:textId="77777777">
            <w:pPr>
              <w:widowControl/>
              <w:suppressAutoHyphens/>
              <w:rPr>
                <w:rStyle w:val="DefaultParagraphFont"/>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6F22EFC2"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A54CA68"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11E5C509" w14:textId="3B60941B">
            <w:pPr>
              <w:widowControl/>
              <w:suppressAutoHyphens/>
              <w:jc w:val="center"/>
              <w:rPr>
                <w:rStyle w:val="DefaultParagraphFont"/>
                <w:snapToGrid/>
                <w:kern w:val="0"/>
                <w:sz w:val="20"/>
                <w:lang w:val="en-US" w:eastAsia="en-US" w:bidi="ar-SA"/>
              </w:rPr>
            </w:pPr>
            <w:r>
              <w:rPr>
                <w:snapToGrid w:val="0"/>
                <w:kern w:val="28"/>
                <w:sz w:val="20"/>
                <w:lang w:val="en-US" w:eastAsia="en-US" w:bidi="ar-SA"/>
              </w:rPr>
              <w:t>237</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6C4A829" w14:textId="031EAAA0">
            <w:pPr>
              <w:widowControl/>
              <w:suppressAutoHyphens/>
              <w:jc w:val="center"/>
              <w:rPr>
                <w:rStyle w:val="DefaultParagraphFont"/>
                <w:snapToGrid/>
                <w:kern w:val="0"/>
                <w:sz w:val="20"/>
                <w:lang w:val="en-US" w:eastAsia="en-US" w:bidi="ar-SA"/>
              </w:rPr>
            </w:pPr>
            <w:r>
              <w:rPr>
                <w:snapToGrid w:val="0"/>
                <w:kern w:val="28"/>
                <w:sz w:val="20"/>
                <w:lang w:val="en-US" w:eastAsia="en-US" w:bidi="ar-SA"/>
              </w:rPr>
              <w:t>$8.15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1740815" w14:textId="4A84754C">
            <w:pPr>
              <w:widowControl/>
              <w:suppressAutoHyphens/>
              <w:jc w:val="center"/>
              <w:rPr>
                <w:rStyle w:val="DefaultParagraphFont"/>
                <w:snapToGrid/>
                <w:kern w:val="0"/>
                <w:sz w:val="20"/>
                <w:lang w:val="en-US" w:eastAsia="en-US" w:bidi="ar-SA"/>
              </w:rPr>
            </w:pPr>
            <w:r>
              <w:rPr>
                <w:snapToGrid w:val="0"/>
                <w:kern w:val="28"/>
                <w:sz w:val="20"/>
                <w:lang w:val="en-US" w:eastAsia="en-US" w:bidi="ar-SA"/>
              </w:rPr>
              <w:t>0.207</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4B66E9A4" w14:textId="5694AECA">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w:t>
            </w:r>
            <w:r>
              <w:rPr>
                <w:snapToGrid/>
                <w:kern w:val="0"/>
                <w:sz w:val="20"/>
                <w:lang w:val="en-US" w:eastAsia="en-US" w:bidi="ar-SA"/>
              </w:rPr>
              <w:t>6</w:t>
            </w:r>
            <w:r w:rsidRPr="00910791">
              <w:rPr>
                <w:snapToGrid/>
                <w:kern w:val="0"/>
                <w:sz w:val="20"/>
                <w:lang w:val="en-US" w:eastAsia="en-US" w:bidi="ar-SA"/>
              </w:rPr>
              <w:t>%</w:t>
            </w:r>
          </w:p>
        </w:tc>
      </w:tr>
      <w:tr w14:paraId="0DE6A22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0B05E0ED"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7B9296D2"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41B0F55E"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CC1F363"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7A2E771" w14:textId="2102657C">
            <w:pPr>
              <w:widowControl/>
              <w:suppressAutoHyphens/>
              <w:jc w:val="center"/>
              <w:rPr>
                <w:rStyle w:val="DefaultParagraphFont"/>
                <w:snapToGrid/>
                <w:kern w:val="0"/>
                <w:sz w:val="20"/>
                <w:lang w:val="en-US" w:eastAsia="en-US" w:bidi="ar-SA"/>
              </w:rPr>
            </w:pPr>
            <w:r>
              <w:rPr>
                <w:snapToGrid w:val="0"/>
                <w:kern w:val="28"/>
                <w:sz w:val="20"/>
                <w:lang w:val="en-US" w:eastAsia="en-US" w:bidi="ar-SA"/>
              </w:rPr>
              <w:t>221</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F95C905" w14:textId="73FC0150">
            <w:pPr>
              <w:widowControl/>
              <w:suppressAutoHyphens/>
              <w:jc w:val="center"/>
              <w:rPr>
                <w:rStyle w:val="DefaultParagraphFont"/>
                <w:snapToGrid/>
                <w:kern w:val="0"/>
                <w:sz w:val="20"/>
                <w:lang w:val="en-US" w:eastAsia="en-US" w:bidi="ar-SA"/>
              </w:rPr>
            </w:pPr>
            <w:r>
              <w:rPr>
                <w:snapToGrid w:val="0"/>
                <w:kern w:val="28"/>
                <w:sz w:val="20"/>
                <w:lang w:val="en-US" w:eastAsia="en-US" w:bidi="ar-SA"/>
              </w:rPr>
              <w:t>$7.94</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04D9F1A" w14:textId="25CB4DE7">
            <w:pPr>
              <w:widowControl/>
              <w:suppressAutoHyphens/>
              <w:jc w:val="center"/>
              <w:rPr>
                <w:rStyle w:val="DefaultParagraphFont"/>
                <w:snapToGrid/>
                <w:kern w:val="0"/>
                <w:sz w:val="20"/>
                <w:lang w:val="en-US" w:eastAsia="en-US" w:bidi="ar-SA"/>
              </w:rPr>
            </w:pPr>
            <w:r>
              <w:rPr>
                <w:snapToGrid w:val="0"/>
                <w:kern w:val="28"/>
                <w:sz w:val="20"/>
                <w:lang w:val="en-US" w:eastAsia="en-US" w:bidi="ar-SA"/>
              </w:rPr>
              <w:t>0.203</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6CDDA3ED" w14:textId="77777777">
            <w:pPr>
              <w:widowControl/>
              <w:suppressAutoHyphens/>
              <w:rPr>
                <w:rStyle w:val="DefaultParagraphFont"/>
                <w:snapToGrid/>
                <w:kern w:val="0"/>
                <w:sz w:val="20"/>
                <w:lang w:val="en-US" w:eastAsia="en-US" w:bidi="ar-SA"/>
              </w:rPr>
            </w:pPr>
          </w:p>
        </w:tc>
      </w:tr>
      <w:tr w14:paraId="29ED075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63E6762C"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1B5059F1" w14:textId="77777777">
            <w:pPr>
              <w:widowControl/>
              <w:suppressAutoHyphens/>
              <w:rPr>
                <w:rStyle w:val="DefaultParagraphFont"/>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49731DD"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760D7C7"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0942EE19" w14:textId="037869DE">
            <w:pPr>
              <w:widowControl/>
              <w:suppressAutoHyphens/>
              <w:jc w:val="center"/>
              <w:rPr>
                <w:rStyle w:val="DefaultParagraphFont"/>
                <w:snapToGrid/>
                <w:kern w:val="0"/>
                <w:sz w:val="20"/>
                <w:lang w:val="en-US" w:eastAsia="en-US" w:bidi="ar-SA"/>
              </w:rPr>
            </w:pPr>
            <w:r>
              <w:rPr>
                <w:snapToGrid w:val="0"/>
                <w:kern w:val="28"/>
                <w:sz w:val="20"/>
                <w:lang w:val="en-US" w:eastAsia="en-US" w:bidi="ar-SA"/>
              </w:rPr>
              <w:t>242</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7B4F1C6" w14:textId="3D82200C">
            <w:pPr>
              <w:widowControl/>
              <w:suppressAutoHyphens/>
              <w:jc w:val="center"/>
              <w:rPr>
                <w:rStyle w:val="DefaultParagraphFont"/>
                <w:snapToGrid/>
                <w:kern w:val="0"/>
                <w:sz w:val="20"/>
                <w:lang w:val="en-US" w:eastAsia="en-US" w:bidi="ar-SA"/>
              </w:rPr>
            </w:pPr>
            <w:r>
              <w:rPr>
                <w:snapToGrid w:val="0"/>
                <w:kern w:val="28"/>
                <w:sz w:val="20"/>
                <w:lang w:val="en-US" w:eastAsia="en-US" w:bidi="ar-SA"/>
              </w:rPr>
              <w:t>$8.47</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3AC17B7" w14:textId="44144141">
            <w:pPr>
              <w:widowControl/>
              <w:suppressAutoHyphens/>
              <w:jc w:val="center"/>
              <w:rPr>
                <w:rStyle w:val="DefaultParagraphFont"/>
                <w:snapToGrid/>
                <w:kern w:val="0"/>
                <w:sz w:val="20"/>
                <w:lang w:val="en-US" w:eastAsia="en-US" w:bidi="ar-SA"/>
              </w:rPr>
            </w:pPr>
            <w:r>
              <w:rPr>
                <w:snapToGrid w:val="0"/>
                <w:kern w:val="28"/>
                <w:sz w:val="20"/>
                <w:lang w:val="en-US" w:eastAsia="en-US" w:bidi="ar-SA"/>
              </w:rPr>
              <w:t>0.184</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1C1698B5"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4.0%</w:t>
            </w:r>
          </w:p>
        </w:tc>
      </w:tr>
      <w:tr w14:paraId="2E43F02C"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4" w:space="0" w:color="auto"/>
              <w:right w:val="single" w:sz="4" w:space="0" w:color="auto"/>
            </w:tcBorders>
            <w:vAlign w:val="center"/>
            <w:hideMark/>
          </w:tcPr>
          <w:p w:rsidR="00ED7F5C" w:rsidRPr="00910791" w:rsidP="004E16D7" w14:paraId="053F2ED6"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63F46AE2"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32B54136"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E9377AD"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A63177E" w14:textId="58182CBC">
            <w:pPr>
              <w:widowControl/>
              <w:suppressAutoHyphens/>
              <w:jc w:val="center"/>
              <w:rPr>
                <w:rStyle w:val="DefaultParagraphFont"/>
                <w:snapToGrid/>
                <w:kern w:val="0"/>
                <w:sz w:val="20"/>
                <w:lang w:val="en-US" w:eastAsia="en-US" w:bidi="ar-SA"/>
              </w:rPr>
            </w:pPr>
            <w:r>
              <w:rPr>
                <w:snapToGrid w:val="0"/>
                <w:kern w:val="28"/>
                <w:sz w:val="20"/>
                <w:lang w:val="en-US" w:eastAsia="en-US" w:bidi="ar-SA"/>
              </w:rPr>
              <w:t>231</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6890920" w14:textId="32790522">
            <w:pPr>
              <w:widowControl/>
              <w:suppressAutoHyphens/>
              <w:jc w:val="center"/>
              <w:rPr>
                <w:rStyle w:val="DefaultParagraphFont"/>
                <w:snapToGrid/>
                <w:kern w:val="0"/>
                <w:sz w:val="20"/>
                <w:lang w:val="en-US" w:eastAsia="en-US" w:bidi="ar-SA"/>
              </w:rPr>
            </w:pPr>
            <w:r>
              <w:rPr>
                <w:snapToGrid w:val="0"/>
                <w:kern w:val="28"/>
                <w:sz w:val="20"/>
                <w:lang w:val="en-US" w:eastAsia="en-US" w:bidi="ar-SA"/>
              </w:rPr>
              <w:t>$8.14</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22FEDFC" w14:textId="67C6C536">
            <w:pPr>
              <w:widowControl/>
              <w:suppressAutoHyphens/>
              <w:jc w:val="center"/>
              <w:rPr>
                <w:rStyle w:val="DefaultParagraphFont"/>
                <w:snapToGrid/>
                <w:kern w:val="0"/>
                <w:sz w:val="20"/>
                <w:lang w:val="en-US" w:eastAsia="en-US" w:bidi="ar-SA"/>
              </w:rPr>
            </w:pPr>
            <w:r>
              <w:rPr>
                <w:snapToGrid w:val="0"/>
                <w:kern w:val="28"/>
                <w:sz w:val="20"/>
                <w:lang w:val="en-US" w:eastAsia="en-US" w:bidi="ar-SA"/>
              </w:rPr>
              <w:t>0.179</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43C9C2D3" w14:textId="77777777">
            <w:pPr>
              <w:widowControl/>
              <w:suppressAutoHyphens/>
              <w:rPr>
                <w:rStyle w:val="DefaultParagraphFont"/>
                <w:snapToGrid/>
                <w:kern w:val="0"/>
                <w:sz w:val="20"/>
                <w:lang w:val="en-US" w:eastAsia="en-US" w:bidi="ar-SA"/>
              </w:rPr>
            </w:pPr>
          </w:p>
        </w:tc>
      </w:tr>
      <w:tr w14:paraId="15E430F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val="restart"/>
            <w:tcBorders>
              <w:top w:val="nil"/>
              <w:left w:val="single" w:sz="8" w:space="0" w:color="auto"/>
              <w:bottom w:val="single" w:sz="8" w:space="0" w:color="000000"/>
              <w:right w:val="single" w:sz="4" w:space="0" w:color="auto"/>
            </w:tcBorders>
            <w:shd w:val="clear" w:color="auto" w:fill="auto"/>
            <w:vAlign w:val="center"/>
            <w:hideMark/>
          </w:tcPr>
          <w:p w:rsidR="00ED7F5C" w:rsidP="004E16D7" w14:paraId="6B21ABD8"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Effective</w:t>
            </w:r>
          </w:p>
          <w:p w:rsidR="00ED7F5C" w:rsidP="004E16D7" w14:paraId="7909F20C"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 xml:space="preserve"> Competition</w:t>
            </w:r>
          </w:p>
          <w:p w:rsidR="00ED7F5C" w:rsidRPr="00910791" w:rsidP="004E16D7" w14:paraId="7F618173" w14:textId="0D97A149">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Group</w:t>
            </w: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910791" w:rsidP="004E16D7" w14:paraId="5AB02531"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28FB1ED"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DA9A4DE"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0026B557" w14:textId="4F889CF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209</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807722A" w14:textId="46FB266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$8.18</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00B3B1DF" w14:textId="2BFCC90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0.257</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08BB5623"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-0.2%</w:t>
            </w:r>
          </w:p>
        </w:tc>
      </w:tr>
      <w:tr w14:paraId="745BD7FC"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6E3663AE"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379AEF67"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4DDF14EA"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2322E54"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A27ED68" w14:textId="1BB917AB">
            <w:pPr>
              <w:widowControl/>
              <w:suppressAutoHyphens/>
              <w:jc w:val="center"/>
              <w:rPr>
                <w:rStyle w:val="DefaultParagraphFont"/>
                <w:snapToGrid/>
                <w:kern w:val="0"/>
                <w:sz w:val="20"/>
                <w:lang w:val="en-US" w:eastAsia="en-US" w:bidi="ar-SA"/>
              </w:rPr>
            </w:pPr>
            <w:r>
              <w:rPr>
                <w:snapToGrid w:val="0"/>
                <w:kern w:val="28"/>
                <w:sz w:val="20"/>
                <w:lang w:val="en-US" w:eastAsia="en-US" w:bidi="ar-SA"/>
              </w:rPr>
              <w:t>178</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8CBA505" w14:textId="26CDB3D8">
            <w:pPr>
              <w:widowControl/>
              <w:suppressAutoHyphens/>
              <w:jc w:val="center"/>
              <w:rPr>
                <w:rStyle w:val="DefaultParagraphFont"/>
                <w:snapToGrid/>
                <w:kern w:val="0"/>
                <w:sz w:val="20"/>
                <w:lang w:val="en-US" w:eastAsia="en-US" w:bidi="ar-SA"/>
              </w:rPr>
            </w:pPr>
            <w:r>
              <w:rPr>
                <w:snapToGrid w:val="0"/>
                <w:kern w:val="28"/>
                <w:sz w:val="20"/>
                <w:lang w:val="en-US" w:eastAsia="en-US" w:bidi="ar-SA"/>
              </w:rPr>
              <w:t>$8.19</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786936C" w14:textId="3C792C34">
            <w:pPr>
              <w:widowControl/>
              <w:suppressAutoHyphens/>
              <w:jc w:val="center"/>
              <w:rPr>
                <w:rStyle w:val="DefaultParagraphFont"/>
                <w:snapToGrid/>
                <w:kern w:val="0"/>
                <w:sz w:val="20"/>
                <w:lang w:val="en-US" w:eastAsia="en-US" w:bidi="ar-SA"/>
              </w:rPr>
            </w:pPr>
            <w:r>
              <w:rPr>
                <w:snapToGrid w:val="0"/>
                <w:kern w:val="28"/>
                <w:sz w:val="20"/>
                <w:lang w:val="en-US" w:eastAsia="en-US" w:bidi="ar-SA"/>
              </w:rPr>
              <w:t>0.245</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10D27193" w14:textId="77777777">
            <w:pPr>
              <w:widowControl/>
              <w:suppressAutoHyphens/>
              <w:rPr>
                <w:rStyle w:val="DefaultParagraphFont"/>
                <w:b/>
                <w:bCs/>
                <w:snapToGrid/>
                <w:kern w:val="0"/>
                <w:sz w:val="20"/>
                <w:lang w:val="en-US" w:eastAsia="en-US" w:bidi="ar-SA"/>
              </w:rPr>
            </w:pPr>
          </w:p>
        </w:tc>
      </w:tr>
      <w:tr w14:paraId="5152291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0279D89C"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1777881B" w14:textId="77777777">
            <w:pPr>
              <w:widowControl/>
              <w:suppressAutoHyphens/>
              <w:rPr>
                <w:rStyle w:val="DefaultParagraphFont"/>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FAD2676"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0A9659F"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4DAC35B0" w14:textId="0FA18C5A">
            <w:pPr>
              <w:widowControl/>
              <w:suppressAutoHyphens/>
              <w:jc w:val="center"/>
              <w:rPr>
                <w:rStyle w:val="DefaultParagraphFont"/>
                <w:snapToGrid/>
                <w:kern w:val="0"/>
                <w:sz w:val="20"/>
                <w:lang w:val="en-US" w:eastAsia="en-US" w:bidi="ar-SA"/>
              </w:rPr>
            </w:pPr>
            <w:r>
              <w:rPr>
                <w:snapToGrid w:val="0"/>
                <w:kern w:val="28"/>
                <w:sz w:val="20"/>
                <w:lang w:val="en-US" w:eastAsia="en-US" w:bidi="ar-SA"/>
              </w:rPr>
              <w:t>219</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294923A" w14:textId="43921AC8">
            <w:pPr>
              <w:widowControl/>
              <w:suppressAutoHyphens/>
              <w:jc w:val="center"/>
              <w:rPr>
                <w:rStyle w:val="DefaultParagraphFont"/>
                <w:snapToGrid/>
                <w:kern w:val="0"/>
                <w:sz w:val="20"/>
                <w:lang w:val="en-US" w:eastAsia="en-US" w:bidi="ar-SA"/>
              </w:rPr>
            </w:pPr>
            <w:r>
              <w:rPr>
                <w:snapToGrid w:val="0"/>
                <w:kern w:val="28"/>
                <w:sz w:val="20"/>
                <w:lang w:val="en-US" w:eastAsia="en-US" w:bidi="ar-SA"/>
              </w:rPr>
              <w:t>$8.35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8BAAD7C" w14:textId="571A4C70">
            <w:pPr>
              <w:widowControl/>
              <w:suppressAutoHyphens/>
              <w:jc w:val="center"/>
              <w:rPr>
                <w:rStyle w:val="DefaultParagraphFont"/>
                <w:snapToGrid/>
                <w:kern w:val="0"/>
                <w:sz w:val="20"/>
                <w:lang w:val="en-US" w:eastAsia="en-US" w:bidi="ar-SA"/>
              </w:rPr>
            </w:pPr>
            <w:r>
              <w:rPr>
                <w:snapToGrid w:val="0"/>
                <w:kern w:val="28"/>
                <w:sz w:val="20"/>
                <w:lang w:val="en-US" w:eastAsia="en-US" w:bidi="ar-SA"/>
              </w:rPr>
              <w:t>0.238</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2C9E55E6"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0.3%</w:t>
            </w:r>
          </w:p>
        </w:tc>
      </w:tr>
      <w:tr w14:paraId="45CCDD0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57FFAE66"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06D264BC"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506F466E"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7EDC466"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794601C" w14:textId="26F3401A">
            <w:pPr>
              <w:widowControl/>
              <w:suppressAutoHyphens/>
              <w:jc w:val="center"/>
              <w:rPr>
                <w:rStyle w:val="DefaultParagraphFont"/>
                <w:snapToGrid/>
                <w:kern w:val="0"/>
                <w:sz w:val="20"/>
                <w:lang w:val="en-US" w:eastAsia="en-US" w:bidi="ar-SA"/>
              </w:rPr>
            </w:pPr>
            <w:r>
              <w:rPr>
                <w:snapToGrid w:val="0"/>
                <w:kern w:val="28"/>
                <w:sz w:val="20"/>
                <w:lang w:val="en-US" w:eastAsia="en-US" w:bidi="ar-SA"/>
              </w:rPr>
              <w:t>215</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237F0F4" w14:textId="5CEEEFFF">
            <w:pPr>
              <w:widowControl/>
              <w:suppressAutoHyphens/>
              <w:jc w:val="center"/>
              <w:rPr>
                <w:rStyle w:val="DefaultParagraphFont"/>
                <w:snapToGrid/>
                <w:kern w:val="0"/>
                <w:sz w:val="20"/>
                <w:lang w:val="en-US" w:eastAsia="en-US" w:bidi="ar-SA"/>
              </w:rPr>
            </w:pPr>
            <w:r>
              <w:rPr>
                <w:snapToGrid w:val="0"/>
                <w:kern w:val="28"/>
                <w:sz w:val="20"/>
                <w:lang w:val="en-US" w:eastAsia="en-US" w:bidi="ar-SA"/>
              </w:rPr>
              <w:t>$8.32</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723B839" w14:textId="5579FF93">
            <w:pPr>
              <w:widowControl/>
              <w:suppressAutoHyphens/>
              <w:jc w:val="center"/>
              <w:rPr>
                <w:rStyle w:val="DefaultParagraphFont"/>
                <w:snapToGrid/>
                <w:kern w:val="0"/>
                <w:sz w:val="20"/>
                <w:lang w:val="en-US" w:eastAsia="en-US" w:bidi="ar-SA"/>
              </w:rPr>
            </w:pPr>
            <w:r>
              <w:rPr>
                <w:snapToGrid w:val="0"/>
                <w:kern w:val="28"/>
                <w:sz w:val="20"/>
                <w:lang w:val="en-US" w:eastAsia="en-US" w:bidi="ar-SA"/>
              </w:rPr>
              <w:t>0.188</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605F5F03" w14:textId="77777777">
            <w:pPr>
              <w:widowControl/>
              <w:suppressAutoHyphens/>
              <w:rPr>
                <w:rStyle w:val="DefaultParagraphFont"/>
                <w:snapToGrid/>
                <w:kern w:val="0"/>
                <w:sz w:val="20"/>
                <w:lang w:val="en-US" w:eastAsia="en-US" w:bidi="ar-SA"/>
              </w:rPr>
            </w:pPr>
          </w:p>
        </w:tc>
      </w:tr>
      <w:tr w14:paraId="4ED1A1D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5F48B880"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03DAE79C" w14:textId="77777777">
            <w:pPr>
              <w:widowControl/>
              <w:suppressAutoHyphens/>
              <w:rPr>
                <w:rStyle w:val="DefaultParagraphFont"/>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FF40EBB"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0E60B93"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456F91F" w14:textId="444E807F">
            <w:pPr>
              <w:widowControl/>
              <w:suppressAutoHyphens/>
              <w:jc w:val="center"/>
              <w:rPr>
                <w:rStyle w:val="DefaultParagraphFont"/>
                <w:snapToGrid/>
                <w:kern w:val="0"/>
                <w:sz w:val="20"/>
                <w:lang w:val="en-US" w:eastAsia="en-US" w:bidi="ar-SA"/>
              </w:rPr>
            </w:pPr>
            <w:r>
              <w:rPr>
                <w:snapToGrid w:val="0"/>
                <w:kern w:val="28"/>
                <w:sz w:val="20"/>
                <w:lang w:val="en-US" w:eastAsia="en-US" w:bidi="ar-SA"/>
              </w:rPr>
              <w:t>215</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79FD143" w14:textId="12A456AA">
            <w:pPr>
              <w:widowControl/>
              <w:suppressAutoHyphens/>
              <w:jc w:val="center"/>
              <w:rPr>
                <w:rStyle w:val="DefaultParagraphFont"/>
                <w:snapToGrid/>
                <w:kern w:val="0"/>
                <w:sz w:val="20"/>
                <w:lang w:val="en-US" w:eastAsia="en-US" w:bidi="ar-SA"/>
              </w:rPr>
            </w:pPr>
            <w:r>
              <w:rPr>
                <w:snapToGrid w:val="0"/>
                <w:kern w:val="28"/>
                <w:sz w:val="20"/>
                <w:lang w:val="en-US" w:eastAsia="en-US" w:bidi="ar-SA"/>
              </w:rPr>
              <w:t>$9.58</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92BB742" w14:textId="459D7905">
            <w:pPr>
              <w:widowControl/>
              <w:suppressAutoHyphens/>
              <w:jc w:val="center"/>
              <w:rPr>
                <w:rStyle w:val="DefaultParagraphFont"/>
                <w:snapToGrid/>
                <w:kern w:val="0"/>
                <w:sz w:val="20"/>
                <w:lang w:val="en-US" w:eastAsia="en-US" w:bidi="ar-SA"/>
              </w:rPr>
            </w:pPr>
            <w:r>
              <w:rPr>
                <w:snapToGrid w:val="0"/>
                <w:kern w:val="28"/>
                <w:sz w:val="20"/>
                <w:lang w:val="en-US" w:eastAsia="en-US" w:bidi="ar-SA"/>
              </w:rPr>
              <w:t>0.137</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6D221021"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6.1%*</w:t>
            </w:r>
          </w:p>
        </w:tc>
      </w:tr>
      <w:tr w14:paraId="3126170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5B39DB6A"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55A36173" w14:textId="77777777">
            <w:pPr>
              <w:widowControl/>
              <w:suppressAutoHyphens/>
              <w:rPr>
                <w:rStyle w:val="DefaultParagraphFont"/>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77DE60DA"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9367080"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886A828" w14:textId="453896AC">
            <w:pPr>
              <w:widowControl/>
              <w:suppressAutoHyphens/>
              <w:jc w:val="center"/>
              <w:rPr>
                <w:rStyle w:val="DefaultParagraphFont"/>
                <w:snapToGrid/>
                <w:kern w:val="0"/>
                <w:sz w:val="20"/>
                <w:lang w:val="en-US" w:eastAsia="en-US" w:bidi="ar-SA"/>
              </w:rPr>
            </w:pPr>
            <w:r>
              <w:rPr>
                <w:snapToGrid w:val="0"/>
                <w:kern w:val="28"/>
                <w:sz w:val="20"/>
                <w:lang w:val="en-US" w:eastAsia="en-US" w:bidi="ar-SA"/>
              </w:rPr>
              <w:t>211</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0EDCF36" w14:textId="26F926DE">
            <w:pPr>
              <w:widowControl/>
              <w:suppressAutoHyphens/>
              <w:jc w:val="center"/>
              <w:rPr>
                <w:rStyle w:val="DefaultParagraphFont"/>
                <w:snapToGrid/>
                <w:kern w:val="0"/>
                <w:sz w:val="20"/>
                <w:lang w:val="en-US" w:eastAsia="en-US" w:bidi="ar-SA"/>
              </w:rPr>
            </w:pPr>
            <w:r>
              <w:rPr>
                <w:snapToGrid w:val="0"/>
                <w:kern w:val="28"/>
                <w:sz w:val="20"/>
                <w:lang w:val="en-US" w:eastAsia="en-US" w:bidi="ar-SA"/>
              </w:rPr>
              <w:t>$9.04</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E332BCC" w14:textId="3F54D915">
            <w:pPr>
              <w:widowControl/>
              <w:suppressAutoHyphens/>
              <w:jc w:val="center"/>
              <w:rPr>
                <w:rStyle w:val="DefaultParagraphFont"/>
                <w:snapToGrid/>
                <w:kern w:val="0"/>
                <w:sz w:val="20"/>
                <w:lang w:val="en-US" w:eastAsia="en-US" w:bidi="ar-SA"/>
              </w:rPr>
            </w:pPr>
            <w:r>
              <w:rPr>
                <w:snapToGrid w:val="0"/>
                <w:kern w:val="28"/>
                <w:sz w:val="20"/>
                <w:lang w:val="en-US" w:eastAsia="en-US" w:bidi="ar-SA"/>
              </w:rPr>
              <w:t>0.107</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1C242181" w14:textId="77777777">
            <w:pPr>
              <w:widowControl/>
              <w:suppressAutoHyphens/>
              <w:rPr>
                <w:rStyle w:val="DefaultParagraphFont"/>
                <w:snapToGrid/>
                <w:kern w:val="0"/>
                <w:sz w:val="20"/>
                <w:lang w:val="en-US" w:eastAsia="en-US" w:bidi="ar-SA"/>
              </w:rPr>
            </w:pPr>
          </w:p>
        </w:tc>
      </w:tr>
      <w:tr w14:paraId="6A78185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1D4E0DC2" w14:textId="77777777">
            <w:pPr>
              <w:widowControl/>
              <w:suppressAutoHyphens/>
              <w:rPr>
                <w:rStyle w:val="DefaultParagraphFont"/>
                <w:b/>
                <w:bCs/>
                <w:snapToGrid/>
                <w:kern w:val="0"/>
                <w:sz w:val="20"/>
                <w:lang w:val="en-US" w:eastAsia="en-US" w:bidi="ar-SA"/>
              </w:rPr>
            </w:pP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P="004E16D7" w14:paraId="414A4394"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Cable</w:t>
            </w:r>
          </w:p>
          <w:p w:rsidR="00ED7F5C" w:rsidRPr="00910791" w:rsidP="004E16D7" w14:paraId="56729761" w14:textId="3CA1DE02">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overbuild incumbents</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05263E28"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72B36CF"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3FE27878" w14:textId="3518CA94">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41</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E346231" w14:textId="1320625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$7.75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AA7E065" w14:textId="5C695D8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0.349</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4558606D"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-5.4%</w:t>
            </w:r>
          </w:p>
        </w:tc>
      </w:tr>
      <w:tr w14:paraId="4CE46AF0"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1C4B1DF9"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08C994CE"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385E50EB"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553160C"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F81998F" w14:textId="5135C72E">
            <w:pPr>
              <w:widowControl/>
              <w:suppressAutoHyphens/>
              <w:jc w:val="center"/>
              <w:rPr>
                <w:rStyle w:val="DefaultParagraphFont"/>
                <w:snapToGrid/>
                <w:kern w:val="0"/>
                <w:sz w:val="20"/>
                <w:lang w:val="en-US" w:eastAsia="en-US" w:bidi="ar-SA"/>
              </w:rPr>
            </w:pPr>
            <w:r>
              <w:rPr>
                <w:snapToGrid w:val="0"/>
                <w:kern w:val="28"/>
                <w:sz w:val="20"/>
                <w:lang w:val="en-US" w:eastAsia="en-US" w:bidi="ar-SA"/>
              </w:rPr>
              <w:t>30</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9ECDC91" w14:textId="1726FFF6">
            <w:pPr>
              <w:widowControl/>
              <w:suppressAutoHyphens/>
              <w:jc w:val="center"/>
              <w:rPr>
                <w:rStyle w:val="DefaultParagraphFont"/>
                <w:snapToGrid/>
                <w:kern w:val="0"/>
                <w:sz w:val="20"/>
                <w:lang w:val="en-US" w:eastAsia="en-US" w:bidi="ar-SA"/>
              </w:rPr>
            </w:pPr>
            <w:r>
              <w:rPr>
                <w:snapToGrid w:val="0"/>
                <w:kern w:val="28"/>
                <w:sz w:val="20"/>
                <w:lang w:val="en-US" w:eastAsia="en-US" w:bidi="ar-SA"/>
              </w:rPr>
              <w:t>$8.20</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ED66372" w14:textId="4E364873">
            <w:pPr>
              <w:widowControl/>
              <w:suppressAutoHyphens/>
              <w:jc w:val="center"/>
              <w:rPr>
                <w:rStyle w:val="DefaultParagraphFont"/>
                <w:snapToGrid/>
                <w:kern w:val="0"/>
                <w:sz w:val="20"/>
                <w:lang w:val="en-US" w:eastAsia="en-US" w:bidi="ar-SA"/>
              </w:rPr>
            </w:pPr>
            <w:r>
              <w:rPr>
                <w:snapToGrid w:val="0"/>
                <w:kern w:val="28"/>
                <w:sz w:val="20"/>
                <w:lang w:val="en-US" w:eastAsia="en-US" w:bidi="ar-SA"/>
              </w:rPr>
              <w:t>0.329</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71B1CBCD" w14:textId="77777777">
            <w:pPr>
              <w:widowControl/>
              <w:suppressAutoHyphens/>
              <w:rPr>
                <w:rStyle w:val="DefaultParagraphFont"/>
                <w:b/>
                <w:bCs/>
                <w:snapToGrid/>
                <w:kern w:val="0"/>
                <w:sz w:val="20"/>
                <w:lang w:val="en-US" w:eastAsia="en-US" w:bidi="ar-SA"/>
              </w:rPr>
            </w:pPr>
          </w:p>
        </w:tc>
      </w:tr>
      <w:tr w14:paraId="179DE95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71E74F94"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51E4CB2A"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152E166"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39DE968"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0C103571" w14:textId="13863394">
            <w:pPr>
              <w:widowControl/>
              <w:suppressAutoHyphens/>
              <w:jc w:val="center"/>
              <w:rPr>
                <w:rStyle w:val="DefaultParagraphFont"/>
                <w:snapToGrid/>
                <w:kern w:val="0"/>
                <w:sz w:val="20"/>
                <w:lang w:val="en-US" w:eastAsia="en-US" w:bidi="ar-SA"/>
              </w:rPr>
            </w:pPr>
            <w:r>
              <w:rPr>
                <w:snapToGrid w:val="0"/>
                <w:kern w:val="28"/>
                <w:sz w:val="20"/>
                <w:lang w:val="en-US" w:eastAsia="en-US" w:bidi="ar-SA"/>
              </w:rPr>
              <w:t>42</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4DEF0DD" w14:textId="1E757967">
            <w:pPr>
              <w:widowControl/>
              <w:suppressAutoHyphens/>
              <w:jc w:val="center"/>
              <w:rPr>
                <w:rStyle w:val="DefaultParagraphFont"/>
                <w:snapToGrid/>
                <w:kern w:val="0"/>
                <w:sz w:val="20"/>
                <w:lang w:val="en-US" w:eastAsia="en-US" w:bidi="ar-SA"/>
              </w:rPr>
            </w:pPr>
            <w:r>
              <w:rPr>
                <w:snapToGrid w:val="0"/>
                <w:kern w:val="28"/>
                <w:sz w:val="20"/>
                <w:lang w:val="en-US" w:eastAsia="en-US" w:bidi="ar-SA"/>
              </w:rPr>
              <w:t>$8.13</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7CB2CB2" w14:textId="1BBF2695">
            <w:pPr>
              <w:widowControl/>
              <w:suppressAutoHyphens/>
              <w:jc w:val="center"/>
              <w:rPr>
                <w:rStyle w:val="DefaultParagraphFont"/>
                <w:snapToGrid/>
                <w:kern w:val="0"/>
                <w:sz w:val="20"/>
                <w:lang w:val="en-US" w:eastAsia="en-US" w:bidi="ar-SA"/>
              </w:rPr>
            </w:pPr>
            <w:r>
              <w:rPr>
                <w:snapToGrid w:val="0"/>
                <w:kern w:val="28"/>
                <w:sz w:val="20"/>
                <w:lang w:val="en-US" w:eastAsia="en-US" w:bidi="ar-SA"/>
              </w:rPr>
              <w:t>0.284</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287E7D69"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-1.4%</w:t>
            </w:r>
          </w:p>
        </w:tc>
      </w:tr>
      <w:tr w14:paraId="68E99F4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200D2099"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32A84255"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7C058BEB"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BD5BCCA"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1B88C7D" w14:textId="0F37E485">
            <w:pPr>
              <w:widowControl/>
              <w:suppressAutoHyphens/>
              <w:jc w:val="center"/>
              <w:rPr>
                <w:rStyle w:val="DefaultParagraphFont"/>
                <w:snapToGrid/>
                <w:kern w:val="0"/>
                <w:sz w:val="20"/>
                <w:lang w:val="en-US" w:eastAsia="en-US" w:bidi="ar-SA"/>
              </w:rPr>
            </w:pPr>
            <w:r>
              <w:rPr>
                <w:snapToGrid w:val="0"/>
                <w:kern w:val="28"/>
                <w:sz w:val="20"/>
                <w:lang w:val="en-US" w:eastAsia="en-US" w:bidi="ar-SA"/>
              </w:rPr>
              <w:t>43</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FF28209" w14:textId="6E46733E">
            <w:pPr>
              <w:widowControl/>
              <w:suppressAutoHyphens/>
              <w:jc w:val="center"/>
              <w:rPr>
                <w:rStyle w:val="DefaultParagraphFont"/>
                <w:snapToGrid/>
                <w:kern w:val="0"/>
                <w:sz w:val="20"/>
                <w:lang w:val="en-US" w:eastAsia="en-US" w:bidi="ar-SA"/>
              </w:rPr>
            </w:pPr>
            <w:r>
              <w:rPr>
                <w:snapToGrid w:val="0"/>
                <w:kern w:val="28"/>
                <w:sz w:val="20"/>
                <w:lang w:val="en-US" w:eastAsia="en-US" w:bidi="ar-SA"/>
              </w:rPr>
              <w:t>$8.24</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57358F5" w14:textId="1FC002D1">
            <w:pPr>
              <w:widowControl/>
              <w:suppressAutoHyphens/>
              <w:jc w:val="center"/>
              <w:rPr>
                <w:rStyle w:val="DefaultParagraphFont"/>
                <w:snapToGrid/>
                <w:kern w:val="0"/>
                <w:sz w:val="20"/>
                <w:lang w:val="en-US" w:eastAsia="en-US" w:bidi="ar-SA"/>
              </w:rPr>
            </w:pPr>
            <w:r>
              <w:rPr>
                <w:snapToGrid w:val="0"/>
                <w:kern w:val="28"/>
                <w:sz w:val="20"/>
                <w:lang w:val="en-US" w:eastAsia="en-US" w:bidi="ar-SA"/>
              </w:rPr>
              <w:t>0.239</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35285FA2" w14:textId="77777777">
            <w:pPr>
              <w:widowControl/>
              <w:suppressAutoHyphens/>
              <w:rPr>
                <w:rStyle w:val="DefaultParagraphFont"/>
                <w:snapToGrid/>
                <w:kern w:val="0"/>
                <w:sz w:val="20"/>
                <w:lang w:val="en-US" w:eastAsia="en-US" w:bidi="ar-SA"/>
              </w:rPr>
            </w:pPr>
          </w:p>
        </w:tc>
      </w:tr>
      <w:tr w14:paraId="141A1A00"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658FF69A"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5EF4584C"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EEC3A18"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77D866F"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159B1064" w14:textId="2438D7FB">
            <w:pPr>
              <w:widowControl/>
              <w:suppressAutoHyphens/>
              <w:jc w:val="center"/>
              <w:rPr>
                <w:rStyle w:val="DefaultParagraphFont"/>
                <w:snapToGrid/>
                <w:kern w:val="0"/>
                <w:sz w:val="20"/>
                <w:lang w:val="en-US" w:eastAsia="en-US" w:bidi="ar-SA"/>
              </w:rPr>
            </w:pPr>
            <w:r>
              <w:rPr>
                <w:snapToGrid w:val="0"/>
                <w:kern w:val="28"/>
                <w:sz w:val="20"/>
                <w:lang w:val="en-US" w:eastAsia="en-US" w:bidi="ar-SA"/>
              </w:rPr>
              <w:t>42</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8D08B6A" w14:textId="33C279AC">
            <w:pPr>
              <w:widowControl/>
              <w:suppressAutoHyphens/>
              <w:jc w:val="center"/>
              <w:rPr>
                <w:rStyle w:val="DefaultParagraphFont"/>
                <w:snapToGrid/>
                <w:kern w:val="0"/>
                <w:sz w:val="20"/>
                <w:lang w:val="en-US" w:eastAsia="en-US" w:bidi="ar-SA"/>
              </w:rPr>
            </w:pPr>
            <w:r>
              <w:rPr>
                <w:snapToGrid w:val="0"/>
                <w:kern w:val="28"/>
                <w:sz w:val="20"/>
                <w:lang w:val="en-US" w:eastAsia="en-US" w:bidi="ar-SA"/>
              </w:rPr>
              <w:t>$9.31</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3815F76" w14:textId="46C28BE2">
            <w:pPr>
              <w:widowControl/>
              <w:suppressAutoHyphens/>
              <w:jc w:val="center"/>
              <w:rPr>
                <w:rStyle w:val="DefaultParagraphFont"/>
                <w:snapToGrid/>
                <w:kern w:val="0"/>
                <w:sz w:val="20"/>
                <w:lang w:val="en-US" w:eastAsia="en-US" w:bidi="ar-SA"/>
              </w:rPr>
            </w:pPr>
            <w:r>
              <w:rPr>
                <w:snapToGrid w:val="0"/>
                <w:kern w:val="28"/>
                <w:sz w:val="20"/>
                <w:lang w:val="en-US" w:eastAsia="en-US" w:bidi="ar-SA"/>
              </w:rPr>
              <w:t>0.142</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453818BE"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7.0%*</w:t>
            </w:r>
          </w:p>
        </w:tc>
      </w:tr>
      <w:tr w14:paraId="199809F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486437D5"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47BECB4F"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7D8A62DF"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10008A9"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9591AC7" w14:textId="307D331F">
            <w:pPr>
              <w:widowControl/>
              <w:suppressAutoHyphens/>
              <w:jc w:val="center"/>
              <w:rPr>
                <w:rStyle w:val="DefaultParagraphFont"/>
                <w:snapToGrid/>
                <w:kern w:val="0"/>
                <w:sz w:val="20"/>
                <w:lang w:val="en-US" w:eastAsia="en-US" w:bidi="ar-SA"/>
              </w:rPr>
            </w:pPr>
            <w:r>
              <w:rPr>
                <w:snapToGrid w:val="0"/>
                <w:kern w:val="28"/>
                <w:sz w:val="20"/>
                <w:lang w:val="en-US" w:eastAsia="en-US" w:bidi="ar-SA"/>
              </w:rPr>
              <w:t>43</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A6526E6" w14:textId="4E1EF3D1">
            <w:pPr>
              <w:widowControl/>
              <w:suppressAutoHyphens/>
              <w:jc w:val="center"/>
              <w:rPr>
                <w:rStyle w:val="DefaultParagraphFont"/>
                <w:snapToGrid/>
                <w:kern w:val="0"/>
                <w:sz w:val="20"/>
                <w:lang w:val="en-US" w:eastAsia="en-US" w:bidi="ar-SA"/>
              </w:rPr>
            </w:pPr>
            <w:r>
              <w:rPr>
                <w:snapToGrid w:val="0"/>
                <w:kern w:val="28"/>
                <w:sz w:val="20"/>
                <w:lang w:val="en-US" w:eastAsia="en-US" w:bidi="ar-SA"/>
              </w:rPr>
              <w:t>$8.70</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59220E5" w14:textId="147C84AD">
            <w:pPr>
              <w:widowControl/>
              <w:suppressAutoHyphens/>
              <w:jc w:val="center"/>
              <w:rPr>
                <w:rStyle w:val="DefaultParagraphFont"/>
                <w:snapToGrid/>
                <w:kern w:val="0"/>
                <w:sz w:val="20"/>
                <w:lang w:val="en-US" w:eastAsia="en-US" w:bidi="ar-SA"/>
              </w:rPr>
            </w:pPr>
            <w:r>
              <w:rPr>
                <w:snapToGrid w:val="0"/>
                <w:kern w:val="28"/>
                <w:sz w:val="20"/>
                <w:lang w:val="en-US" w:eastAsia="en-US" w:bidi="ar-SA"/>
              </w:rPr>
              <w:t>0.138</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5204B4C7" w14:textId="77777777">
            <w:pPr>
              <w:widowControl/>
              <w:suppressAutoHyphens/>
              <w:rPr>
                <w:rStyle w:val="DefaultParagraphFont"/>
                <w:snapToGrid/>
                <w:kern w:val="0"/>
                <w:sz w:val="20"/>
                <w:lang w:val="en-US" w:eastAsia="en-US" w:bidi="ar-SA"/>
              </w:rPr>
            </w:pPr>
          </w:p>
        </w:tc>
      </w:tr>
      <w:tr w14:paraId="5FD7552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78C404A0" w14:textId="77777777">
            <w:pPr>
              <w:widowControl/>
              <w:suppressAutoHyphens/>
              <w:rPr>
                <w:rStyle w:val="DefaultParagraphFont"/>
                <w:b/>
                <w:bCs/>
                <w:snapToGrid/>
                <w:kern w:val="0"/>
                <w:sz w:val="20"/>
                <w:lang w:val="en-US" w:eastAsia="en-US" w:bidi="ar-SA"/>
              </w:rPr>
            </w:pP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P="004E16D7" w14:paraId="28CECBBE"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Cable</w:t>
            </w:r>
          </w:p>
          <w:p w:rsidR="00ED7F5C" w:rsidRPr="00910791" w:rsidP="004E16D7" w14:paraId="12F2668A" w14:textId="206B09C6">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 xml:space="preserve"> overbuild rivals</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8546BB6"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9B50C11"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119CD832" w14:textId="07FA9BF8">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48</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491EBED8" w14:textId="343E38A2">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$7.25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3B8C45A7" w14:textId="520F79E3">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0.614</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0F58E1B3"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-2.5%</w:t>
            </w:r>
          </w:p>
        </w:tc>
      </w:tr>
      <w:tr w14:paraId="193A62D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62EBDF03"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0DD7685C"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1BCB44FA"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021DD18" w14:textId="77777777">
            <w:pPr>
              <w:widowControl/>
              <w:suppressAutoHyphens/>
              <w:jc w:val="center"/>
              <w:rPr>
                <w:rStyle w:val="DefaultParagraphFont"/>
                <w:bCs/>
                <w:snapToGrid/>
                <w:kern w:val="0"/>
                <w:sz w:val="20"/>
                <w:lang w:val="en-US" w:eastAsia="en-US" w:bidi="ar-SA"/>
              </w:rPr>
            </w:pPr>
            <w:r w:rsidRPr="00E6310C">
              <w:rPr>
                <w:bCs/>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E2BDD5B" w14:textId="36C3EDE7">
            <w:pPr>
              <w:widowControl/>
              <w:suppressAutoHyphens/>
              <w:jc w:val="center"/>
              <w:rPr>
                <w:rStyle w:val="DefaultParagraphFont"/>
                <w:bCs/>
                <w:snapToGrid/>
                <w:kern w:val="0"/>
                <w:sz w:val="20"/>
                <w:lang w:val="en-US" w:eastAsia="en-US" w:bidi="ar-SA"/>
              </w:rPr>
            </w:pPr>
            <w:r>
              <w:rPr>
                <w:snapToGrid w:val="0"/>
                <w:kern w:val="28"/>
                <w:sz w:val="20"/>
                <w:lang w:val="en-US" w:eastAsia="en-US" w:bidi="ar-SA"/>
              </w:rPr>
              <w:t>46</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3D7944C" w14:textId="158A9B1A">
            <w:pPr>
              <w:widowControl/>
              <w:suppressAutoHyphens/>
              <w:jc w:val="center"/>
              <w:rPr>
                <w:rStyle w:val="DefaultParagraphFont"/>
                <w:bCs/>
                <w:snapToGrid/>
                <w:kern w:val="0"/>
                <w:sz w:val="20"/>
                <w:lang w:val="en-US" w:eastAsia="en-US" w:bidi="ar-SA"/>
              </w:rPr>
            </w:pPr>
            <w:r>
              <w:rPr>
                <w:snapToGrid w:val="0"/>
                <w:kern w:val="28"/>
                <w:sz w:val="20"/>
                <w:lang w:val="en-US" w:eastAsia="en-US" w:bidi="ar-SA"/>
              </w:rPr>
              <w:t>$7.43</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060EFD7" w14:textId="016CE24E">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0.626</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61DDE8D7" w14:textId="77777777">
            <w:pPr>
              <w:widowControl/>
              <w:suppressAutoHyphens/>
              <w:rPr>
                <w:rStyle w:val="DefaultParagraphFont"/>
                <w:b/>
                <w:bCs/>
                <w:snapToGrid/>
                <w:kern w:val="0"/>
                <w:sz w:val="20"/>
                <w:lang w:val="en-US" w:eastAsia="en-US" w:bidi="ar-SA"/>
              </w:rPr>
            </w:pPr>
          </w:p>
        </w:tc>
      </w:tr>
      <w:tr w14:paraId="1257AB2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6FEF7B32"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51560EDF"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6D855574"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F2C382E"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4E740C0F" w14:textId="4932841B">
            <w:pPr>
              <w:widowControl/>
              <w:suppressAutoHyphens/>
              <w:jc w:val="center"/>
              <w:rPr>
                <w:rStyle w:val="DefaultParagraphFont"/>
                <w:snapToGrid/>
                <w:kern w:val="0"/>
                <w:sz w:val="20"/>
                <w:lang w:val="en-US" w:eastAsia="en-US" w:bidi="ar-SA"/>
              </w:rPr>
            </w:pPr>
            <w:r>
              <w:rPr>
                <w:snapToGrid w:val="0"/>
                <w:kern w:val="28"/>
                <w:sz w:val="20"/>
                <w:lang w:val="en-US" w:eastAsia="en-US" w:bidi="ar-SA"/>
              </w:rPr>
              <w:t>48</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4FF8300" w14:textId="3202DB60">
            <w:pPr>
              <w:widowControl/>
              <w:suppressAutoHyphens/>
              <w:jc w:val="center"/>
              <w:rPr>
                <w:rStyle w:val="DefaultParagraphFont"/>
                <w:snapToGrid/>
                <w:kern w:val="0"/>
                <w:sz w:val="20"/>
                <w:lang w:val="en-US" w:eastAsia="en-US" w:bidi="ar-SA"/>
              </w:rPr>
            </w:pPr>
            <w:r>
              <w:rPr>
                <w:snapToGrid w:val="0"/>
                <w:kern w:val="28"/>
                <w:sz w:val="20"/>
                <w:lang w:val="en-US" w:eastAsia="en-US" w:bidi="ar-SA"/>
              </w:rPr>
              <w:t>$9.12</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95171E3" w14:textId="32A6AF78">
            <w:pPr>
              <w:widowControl/>
              <w:suppressAutoHyphens/>
              <w:jc w:val="center"/>
              <w:rPr>
                <w:rStyle w:val="DefaultParagraphFont"/>
                <w:snapToGrid/>
                <w:kern w:val="0"/>
                <w:sz w:val="20"/>
                <w:lang w:val="en-US" w:eastAsia="en-US" w:bidi="ar-SA"/>
              </w:rPr>
            </w:pPr>
            <w:r>
              <w:rPr>
                <w:snapToGrid w:val="0"/>
                <w:kern w:val="28"/>
                <w:sz w:val="20"/>
                <w:lang w:val="en-US" w:eastAsia="en-US" w:bidi="ar-SA"/>
              </w:rPr>
              <w:t>0.368</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748AF7F7"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-2.9%</w:t>
            </w:r>
          </w:p>
        </w:tc>
      </w:tr>
      <w:tr w14:paraId="40F1C29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484DCAB6"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6B669642"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599F62A1"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2978FAE"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1B6FF435" w14:textId="3FA64DE9">
            <w:pPr>
              <w:widowControl/>
              <w:suppressAutoHyphens/>
              <w:jc w:val="center"/>
              <w:rPr>
                <w:rStyle w:val="DefaultParagraphFont"/>
                <w:snapToGrid/>
                <w:kern w:val="0"/>
                <w:sz w:val="20"/>
                <w:lang w:val="en-US" w:eastAsia="en-US" w:bidi="ar-SA"/>
              </w:rPr>
            </w:pPr>
            <w:r>
              <w:rPr>
                <w:snapToGrid w:val="0"/>
                <w:kern w:val="28"/>
                <w:sz w:val="20"/>
                <w:lang w:val="en-US" w:eastAsia="en-US" w:bidi="ar-SA"/>
              </w:rPr>
              <w:t>46</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0F8619B" w14:textId="6A07A9C6">
            <w:pPr>
              <w:widowControl/>
              <w:suppressAutoHyphens/>
              <w:jc w:val="center"/>
              <w:rPr>
                <w:rStyle w:val="DefaultParagraphFont"/>
                <w:snapToGrid/>
                <w:kern w:val="0"/>
                <w:sz w:val="20"/>
                <w:lang w:val="en-US" w:eastAsia="en-US" w:bidi="ar-SA"/>
              </w:rPr>
            </w:pPr>
            <w:r>
              <w:rPr>
                <w:snapToGrid w:val="0"/>
                <w:kern w:val="28"/>
                <w:sz w:val="20"/>
                <w:lang w:val="en-US" w:eastAsia="en-US" w:bidi="ar-SA"/>
              </w:rPr>
              <w:t>$9.39</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3C554AB" w14:textId="430911BB">
            <w:pPr>
              <w:widowControl/>
              <w:suppressAutoHyphens/>
              <w:jc w:val="center"/>
              <w:rPr>
                <w:rStyle w:val="DefaultParagraphFont"/>
                <w:snapToGrid/>
                <w:kern w:val="0"/>
                <w:sz w:val="20"/>
                <w:lang w:val="en-US" w:eastAsia="en-US" w:bidi="ar-SA"/>
              </w:rPr>
            </w:pPr>
            <w:r>
              <w:rPr>
                <w:snapToGrid w:val="0"/>
                <w:kern w:val="28"/>
                <w:sz w:val="20"/>
                <w:lang w:val="en-US" w:eastAsia="en-US" w:bidi="ar-SA"/>
              </w:rPr>
              <w:t>0.335</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044E0A67" w14:textId="77777777">
            <w:pPr>
              <w:widowControl/>
              <w:suppressAutoHyphens/>
              <w:rPr>
                <w:rStyle w:val="DefaultParagraphFont"/>
                <w:snapToGrid/>
                <w:kern w:val="0"/>
                <w:sz w:val="20"/>
                <w:lang w:val="en-US" w:eastAsia="en-US" w:bidi="ar-SA"/>
              </w:rPr>
            </w:pPr>
          </w:p>
        </w:tc>
      </w:tr>
      <w:tr w14:paraId="380CADC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15C23AE0"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57596310"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1B3A45CA"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25941C38"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3E0B4EE9" w14:textId="4DFA15FD">
            <w:pPr>
              <w:widowControl/>
              <w:suppressAutoHyphens/>
              <w:jc w:val="center"/>
              <w:rPr>
                <w:rStyle w:val="DefaultParagraphFont"/>
                <w:snapToGrid/>
                <w:kern w:val="0"/>
                <w:sz w:val="20"/>
                <w:lang w:val="en-US" w:eastAsia="en-US" w:bidi="ar-SA"/>
              </w:rPr>
            </w:pPr>
            <w:r>
              <w:rPr>
                <w:snapToGrid w:val="0"/>
                <w:kern w:val="28"/>
                <w:sz w:val="20"/>
                <w:lang w:val="en-US" w:eastAsia="en-US" w:bidi="ar-SA"/>
              </w:rPr>
              <w:t>51</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2DF0DD2" w14:textId="0E2A69B3">
            <w:pPr>
              <w:widowControl/>
              <w:suppressAutoHyphens/>
              <w:jc w:val="center"/>
              <w:rPr>
                <w:rStyle w:val="DefaultParagraphFont"/>
                <w:snapToGrid/>
                <w:kern w:val="0"/>
                <w:sz w:val="20"/>
                <w:lang w:val="en-US" w:eastAsia="en-US" w:bidi="ar-SA"/>
              </w:rPr>
            </w:pPr>
            <w:r>
              <w:rPr>
                <w:snapToGrid w:val="0"/>
                <w:kern w:val="28"/>
                <w:sz w:val="20"/>
                <w:lang w:val="en-US" w:eastAsia="en-US" w:bidi="ar-SA"/>
              </w:rPr>
              <w:t>$9.48</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2220E93" w14:textId="0C25A2E4">
            <w:pPr>
              <w:widowControl/>
              <w:suppressAutoHyphens/>
              <w:jc w:val="center"/>
              <w:rPr>
                <w:rStyle w:val="DefaultParagraphFont"/>
                <w:snapToGrid/>
                <w:kern w:val="0"/>
                <w:sz w:val="20"/>
                <w:lang w:val="en-US" w:eastAsia="en-US" w:bidi="ar-SA"/>
              </w:rPr>
            </w:pPr>
            <w:r>
              <w:rPr>
                <w:snapToGrid w:val="0"/>
                <w:kern w:val="28"/>
                <w:sz w:val="20"/>
                <w:lang w:val="en-US" w:eastAsia="en-US" w:bidi="ar-SA"/>
              </w:rPr>
              <w:t>0.357</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7F95FCB5"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-0.4%</w:t>
            </w:r>
          </w:p>
        </w:tc>
      </w:tr>
      <w:tr w14:paraId="4C33A84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5972A4A5"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1E233E7C"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4920EE24"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F5CC5C8"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51C2FF1" w14:textId="1AE6B469">
            <w:pPr>
              <w:widowControl/>
              <w:suppressAutoHyphens/>
              <w:jc w:val="center"/>
              <w:rPr>
                <w:rStyle w:val="DefaultParagraphFont"/>
                <w:snapToGrid/>
                <w:kern w:val="0"/>
                <w:sz w:val="20"/>
                <w:lang w:val="en-US" w:eastAsia="en-US" w:bidi="ar-SA"/>
              </w:rPr>
            </w:pPr>
            <w:r>
              <w:rPr>
                <w:snapToGrid w:val="0"/>
                <w:kern w:val="28"/>
                <w:sz w:val="20"/>
                <w:lang w:val="en-US" w:eastAsia="en-US" w:bidi="ar-SA"/>
              </w:rPr>
              <w:t>49</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56829C9" w14:textId="1FA3E0BC">
            <w:pPr>
              <w:widowControl/>
              <w:suppressAutoHyphens/>
              <w:jc w:val="center"/>
              <w:rPr>
                <w:rStyle w:val="DefaultParagraphFont"/>
                <w:snapToGrid/>
                <w:kern w:val="0"/>
                <w:sz w:val="20"/>
                <w:lang w:val="en-US" w:eastAsia="en-US" w:bidi="ar-SA"/>
              </w:rPr>
            </w:pPr>
            <w:r>
              <w:rPr>
                <w:snapToGrid w:val="0"/>
                <w:kern w:val="28"/>
                <w:sz w:val="20"/>
                <w:lang w:val="en-US" w:eastAsia="en-US" w:bidi="ar-SA"/>
              </w:rPr>
              <w:t>$9.52</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817D9F7" w14:textId="6CF155CD">
            <w:pPr>
              <w:widowControl/>
              <w:suppressAutoHyphens/>
              <w:jc w:val="center"/>
              <w:rPr>
                <w:rStyle w:val="DefaultParagraphFont"/>
                <w:snapToGrid/>
                <w:kern w:val="0"/>
                <w:sz w:val="20"/>
                <w:lang w:val="en-US" w:eastAsia="en-US" w:bidi="ar-SA"/>
              </w:rPr>
            </w:pPr>
            <w:r>
              <w:rPr>
                <w:snapToGrid w:val="0"/>
                <w:kern w:val="28"/>
                <w:sz w:val="20"/>
                <w:lang w:val="en-US" w:eastAsia="en-US" w:bidi="ar-SA"/>
              </w:rPr>
              <w:t>0.362</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66119951" w14:textId="77777777">
            <w:pPr>
              <w:widowControl/>
              <w:suppressAutoHyphens/>
              <w:rPr>
                <w:rStyle w:val="DefaultParagraphFont"/>
                <w:snapToGrid/>
                <w:kern w:val="0"/>
                <w:sz w:val="20"/>
                <w:lang w:val="en-US" w:eastAsia="en-US" w:bidi="ar-SA"/>
              </w:rPr>
            </w:pPr>
          </w:p>
        </w:tc>
      </w:tr>
      <w:tr w14:paraId="4EDF0402" w14:textId="77777777" w:rsidTr="00DC1FCC">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74CC265A" w14:textId="77777777">
            <w:pPr>
              <w:widowControl/>
              <w:suppressAutoHyphens/>
              <w:rPr>
                <w:rStyle w:val="DefaultParagraphFont"/>
                <w:b/>
                <w:bCs/>
                <w:snapToGrid/>
                <w:kern w:val="0"/>
                <w:sz w:val="20"/>
                <w:lang w:val="en-US" w:eastAsia="en-US" w:bidi="ar-SA"/>
              </w:rPr>
            </w:pPr>
          </w:p>
        </w:tc>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910791" w:rsidP="004E16D7" w14:paraId="56E8341E"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DBS</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524529E"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D824A91"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F5C" w:rsidRPr="00DC1FCC" w:rsidP="004E16D7" w14:paraId="0A738E58" w14:textId="01757A9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97</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0E288E94" w14:textId="12EC6931">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$8.38</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44F2779E" w14:textId="128C461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0.363</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24E3B68D"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1.0%</w:t>
            </w:r>
          </w:p>
        </w:tc>
      </w:tr>
      <w:tr w14:paraId="0A62BA2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5CA990D3"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7025CF28"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75892FEF"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B00CE26" w14:textId="77777777">
            <w:pPr>
              <w:widowControl/>
              <w:suppressAutoHyphens/>
              <w:jc w:val="center"/>
              <w:rPr>
                <w:rStyle w:val="DefaultParagraphFont"/>
                <w:bCs/>
                <w:snapToGrid/>
                <w:kern w:val="0"/>
                <w:sz w:val="20"/>
                <w:lang w:val="en-US" w:eastAsia="en-US" w:bidi="ar-SA"/>
              </w:rPr>
            </w:pPr>
            <w:r w:rsidRPr="00E6310C">
              <w:rPr>
                <w:bCs/>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58F1580D" w14:textId="2A696B56">
            <w:pPr>
              <w:widowControl/>
              <w:suppressAutoHyphens/>
              <w:jc w:val="center"/>
              <w:rPr>
                <w:rStyle w:val="DefaultParagraphFont"/>
                <w:bCs/>
                <w:snapToGrid/>
                <w:kern w:val="0"/>
                <w:sz w:val="20"/>
                <w:lang w:val="en-US" w:eastAsia="en-US" w:bidi="ar-SA"/>
              </w:rPr>
            </w:pPr>
            <w:r>
              <w:rPr>
                <w:snapToGrid w:val="0"/>
                <w:kern w:val="28"/>
                <w:sz w:val="20"/>
                <w:lang w:val="en-US" w:eastAsia="en-US" w:bidi="ar-SA"/>
              </w:rPr>
              <w:t>80</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DCBD92B" w14:textId="294779F4">
            <w:pPr>
              <w:widowControl/>
              <w:suppressAutoHyphens/>
              <w:jc w:val="center"/>
              <w:rPr>
                <w:rStyle w:val="DefaultParagraphFont"/>
                <w:bCs/>
                <w:snapToGrid/>
                <w:kern w:val="0"/>
                <w:sz w:val="20"/>
                <w:lang w:val="en-US" w:eastAsia="en-US" w:bidi="ar-SA"/>
              </w:rPr>
            </w:pPr>
            <w:r>
              <w:rPr>
                <w:snapToGrid w:val="0"/>
                <w:kern w:val="28"/>
                <w:sz w:val="20"/>
                <w:lang w:val="en-US" w:eastAsia="en-US" w:bidi="ar-SA"/>
              </w:rPr>
              <w:t>$8.30</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057166B" w14:textId="361E4E36">
            <w:pPr>
              <w:widowControl/>
              <w:suppressAutoHyphens/>
              <w:jc w:val="center"/>
              <w:rPr>
                <w:rStyle w:val="DefaultParagraphFont"/>
                <w:bCs/>
                <w:snapToGrid/>
                <w:kern w:val="0"/>
                <w:sz w:val="20"/>
                <w:lang w:val="en-US" w:eastAsia="en-US" w:bidi="ar-SA"/>
              </w:rPr>
            </w:pPr>
            <w:r>
              <w:rPr>
                <w:snapToGrid w:val="0"/>
                <w:kern w:val="28"/>
                <w:sz w:val="20"/>
                <w:lang w:val="en-US" w:eastAsia="en-US" w:bidi="ar-SA"/>
              </w:rPr>
              <w:t>0.346</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3803F1DF" w14:textId="77777777">
            <w:pPr>
              <w:widowControl/>
              <w:suppressAutoHyphens/>
              <w:rPr>
                <w:rStyle w:val="DefaultParagraphFont"/>
                <w:b/>
                <w:bCs/>
                <w:snapToGrid/>
                <w:kern w:val="0"/>
                <w:sz w:val="20"/>
                <w:lang w:val="en-US" w:eastAsia="en-US" w:bidi="ar-SA"/>
              </w:rPr>
            </w:pPr>
          </w:p>
        </w:tc>
      </w:tr>
      <w:tr w14:paraId="1B85D5E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088D12BD"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27148D97"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A88A4C8"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7267F12"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AE5BD64" w14:textId="43AB312A">
            <w:pPr>
              <w:widowControl/>
              <w:suppressAutoHyphens/>
              <w:jc w:val="center"/>
              <w:rPr>
                <w:rStyle w:val="DefaultParagraphFont"/>
                <w:snapToGrid/>
                <w:kern w:val="0"/>
                <w:sz w:val="20"/>
                <w:lang w:val="en-US" w:eastAsia="en-US" w:bidi="ar-SA"/>
              </w:rPr>
            </w:pPr>
            <w:r>
              <w:rPr>
                <w:snapToGrid w:val="0"/>
                <w:kern w:val="28"/>
                <w:sz w:val="20"/>
                <w:lang w:val="en-US" w:eastAsia="en-US" w:bidi="ar-SA"/>
              </w:rPr>
              <w:t>102</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A9F75BA" w14:textId="1989FB9E">
            <w:pPr>
              <w:widowControl/>
              <w:suppressAutoHyphens/>
              <w:jc w:val="center"/>
              <w:rPr>
                <w:rStyle w:val="DefaultParagraphFont"/>
                <w:snapToGrid/>
                <w:kern w:val="0"/>
                <w:sz w:val="20"/>
                <w:lang w:val="en-US" w:eastAsia="en-US" w:bidi="ar-SA"/>
              </w:rPr>
            </w:pPr>
            <w:r>
              <w:rPr>
                <w:snapToGrid w:val="0"/>
                <w:kern w:val="28"/>
                <w:sz w:val="20"/>
                <w:lang w:val="en-US" w:eastAsia="en-US" w:bidi="ar-SA"/>
              </w:rPr>
              <w:t>$8.39</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2743696" w14:textId="5D868A54">
            <w:pPr>
              <w:widowControl/>
              <w:suppressAutoHyphens/>
              <w:jc w:val="center"/>
              <w:rPr>
                <w:rStyle w:val="DefaultParagraphFont"/>
                <w:snapToGrid/>
                <w:kern w:val="0"/>
                <w:sz w:val="20"/>
                <w:lang w:val="en-US" w:eastAsia="en-US" w:bidi="ar-SA"/>
              </w:rPr>
            </w:pPr>
            <w:r>
              <w:rPr>
                <w:snapToGrid w:val="0"/>
                <w:kern w:val="28"/>
                <w:sz w:val="20"/>
                <w:lang w:val="en-US" w:eastAsia="en-US" w:bidi="ar-SA"/>
              </w:rPr>
              <w:t>0.342</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1F5F066A"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0.5%</w:t>
            </w:r>
          </w:p>
        </w:tc>
      </w:tr>
      <w:tr w14:paraId="09D48C5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786B6D4F"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4C4D559A"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4DD9CFFC"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80CC49F"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5CDFEBF0" w14:textId="0D759F9F">
            <w:pPr>
              <w:widowControl/>
              <w:suppressAutoHyphens/>
              <w:jc w:val="center"/>
              <w:rPr>
                <w:rStyle w:val="DefaultParagraphFont"/>
                <w:snapToGrid/>
                <w:kern w:val="0"/>
                <w:sz w:val="20"/>
                <w:lang w:val="en-US" w:eastAsia="en-US" w:bidi="ar-SA"/>
              </w:rPr>
            </w:pPr>
            <w:r>
              <w:rPr>
                <w:snapToGrid w:val="0"/>
                <w:kern w:val="28"/>
                <w:sz w:val="20"/>
                <w:lang w:val="en-US" w:eastAsia="en-US" w:bidi="ar-SA"/>
              </w:rPr>
              <w:t>100</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56B50C6" w14:textId="747947D6">
            <w:pPr>
              <w:widowControl/>
              <w:suppressAutoHyphens/>
              <w:jc w:val="center"/>
              <w:rPr>
                <w:rStyle w:val="DefaultParagraphFont"/>
                <w:snapToGrid/>
                <w:kern w:val="0"/>
                <w:sz w:val="20"/>
                <w:lang w:val="en-US" w:eastAsia="en-US" w:bidi="ar-SA"/>
              </w:rPr>
            </w:pPr>
            <w:r>
              <w:rPr>
                <w:snapToGrid w:val="0"/>
                <w:kern w:val="28"/>
                <w:sz w:val="20"/>
                <w:lang w:val="en-US" w:eastAsia="en-US" w:bidi="ar-SA"/>
              </w:rPr>
              <w:t>$8.35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10675B3" w14:textId="6BC5DBF8">
            <w:pPr>
              <w:widowControl/>
              <w:suppressAutoHyphens/>
              <w:jc w:val="center"/>
              <w:rPr>
                <w:rStyle w:val="DefaultParagraphFont"/>
                <w:snapToGrid/>
                <w:kern w:val="0"/>
                <w:sz w:val="20"/>
                <w:lang w:val="en-US" w:eastAsia="en-US" w:bidi="ar-SA"/>
              </w:rPr>
            </w:pPr>
            <w:r>
              <w:rPr>
                <w:snapToGrid w:val="0"/>
                <w:kern w:val="28"/>
                <w:sz w:val="20"/>
                <w:lang w:val="en-US" w:eastAsia="en-US" w:bidi="ar-SA"/>
              </w:rPr>
              <w:t>0.267</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7FDE2F96" w14:textId="77777777">
            <w:pPr>
              <w:widowControl/>
              <w:suppressAutoHyphens/>
              <w:rPr>
                <w:rStyle w:val="DefaultParagraphFont"/>
                <w:snapToGrid/>
                <w:kern w:val="0"/>
                <w:sz w:val="20"/>
                <w:lang w:val="en-US" w:eastAsia="en-US" w:bidi="ar-SA"/>
              </w:rPr>
            </w:pPr>
          </w:p>
        </w:tc>
      </w:tr>
      <w:tr w14:paraId="7D5D070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3A18F9BD"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6B31A578"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6AA5D651"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71BC6A7"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FA0DDB7" w14:textId="2094A36B">
            <w:pPr>
              <w:widowControl/>
              <w:suppressAutoHyphens/>
              <w:jc w:val="center"/>
              <w:rPr>
                <w:rStyle w:val="DefaultParagraphFont"/>
                <w:snapToGrid/>
                <w:kern w:val="0"/>
                <w:sz w:val="20"/>
                <w:lang w:val="en-US" w:eastAsia="en-US" w:bidi="ar-SA"/>
              </w:rPr>
            </w:pPr>
            <w:r>
              <w:rPr>
                <w:snapToGrid w:val="0"/>
                <w:kern w:val="28"/>
                <w:sz w:val="20"/>
                <w:lang w:val="en-US" w:eastAsia="en-US" w:bidi="ar-SA"/>
              </w:rPr>
              <w:t>99</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966A8CB" w14:textId="014E1020">
            <w:pPr>
              <w:widowControl/>
              <w:suppressAutoHyphens/>
              <w:jc w:val="center"/>
              <w:rPr>
                <w:rStyle w:val="DefaultParagraphFont"/>
                <w:snapToGrid/>
                <w:kern w:val="0"/>
                <w:sz w:val="20"/>
                <w:lang w:val="en-US" w:eastAsia="en-US" w:bidi="ar-SA"/>
              </w:rPr>
            </w:pPr>
            <w:r>
              <w:rPr>
                <w:snapToGrid w:val="0"/>
                <w:kern w:val="28"/>
                <w:sz w:val="20"/>
                <w:lang w:val="en-US" w:eastAsia="en-US" w:bidi="ar-SA"/>
              </w:rPr>
              <w:t>$9.65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2666290" w14:textId="2ACD3D58">
            <w:pPr>
              <w:widowControl/>
              <w:suppressAutoHyphens/>
              <w:jc w:val="center"/>
              <w:rPr>
                <w:rStyle w:val="DefaultParagraphFont"/>
                <w:snapToGrid/>
                <w:kern w:val="0"/>
                <w:sz w:val="20"/>
                <w:lang w:val="en-US" w:eastAsia="en-US" w:bidi="ar-SA"/>
              </w:rPr>
            </w:pPr>
            <w:r>
              <w:rPr>
                <w:snapToGrid w:val="0"/>
                <w:kern w:val="28"/>
                <w:sz w:val="20"/>
                <w:lang w:val="en-US" w:eastAsia="en-US" w:bidi="ar-SA"/>
              </w:rPr>
              <w:t>0.198</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3CE020F4"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6.3%*</w:t>
            </w:r>
          </w:p>
        </w:tc>
      </w:tr>
      <w:tr w14:paraId="5EE47D0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74E3A84D"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4" w:space="0" w:color="auto"/>
              <w:right w:val="single" w:sz="4" w:space="0" w:color="auto"/>
            </w:tcBorders>
            <w:vAlign w:val="center"/>
            <w:hideMark/>
          </w:tcPr>
          <w:p w:rsidR="00ED7F5C" w:rsidRPr="00910791" w:rsidP="004E16D7" w14:paraId="5CBC8F7A"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48D91EC0"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C7D8703"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06B16113" w14:textId="1EB728C5">
            <w:pPr>
              <w:widowControl/>
              <w:suppressAutoHyphens/>
              <w:jc w:val="center"/>
              <w:rPr>
                <w:rStyle w:val="DefaultParagraphFont"/>
                <w:snapToGrid/>
                <w:kern w:val="0"/>
                <w:sz w:val="20"/>
                <w:lang w:val="en-US" w:eastAsia="en-US" w:bidi="ar-SA"/>
              </w:rPr>
            </w:pPr>
            <w:r>
              <w:rPr>
                <w:snapToGrid w:val="0"/>
                <w:kern w:val="28"/>
                <w:sz w:val="20"/>
                <w:lang w:val="en-US" w:eastAsia="en-US" w:bidi="ar-SA"/>
              </w:rPr>
              <w:t>97</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DE5C75B" w14:textId="73A3DDB3">
            <w:pPr>
              <w:widowControl/>
              <w:suppressAutoHyphens/>
              <w:jc w:val="center"/>
              <w:rPr>
                <w:rStyle w:val="DefaultParagraphFont"/>
                <w:snapToGrid/>
                <w:kern w:val="0"/>
                <w:sz w:val="20"/>
                <w:lang w:val="en-US" w:eastAsia="en-US" w:bidi="ar-SA"/>
              </w:rPr>
            </w:pPr>
            <w:r>
              <w:rPr>
                <w:snapToGrid w:val="0"/>
                <w:kern w:val="28"/>
                <w:sz w:val="20"/>
                <w:lang w:val="en-US" w:eastAsia="en-US" w:bidi="ar-SA"/>
              </w:rPr>
              <w:t>$9.07</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31DC367" w14:textId="707D1333">
            <w:pPr>
              <w:widowControl/>
              <w:suppressAutoHyphens/>
              <w:jc w:val="center"/>
              <w:rPr>
                <w:rStyle w:val="DefaultParagraphFont"/>
                <w:snapToGrid/>
                <w:kern w:val="0"/>
                <w:sz w:val="20"/>
                <w:lang w:val="en-US" w:eastAsia="en-US" w:bidi="ar-SA"/>
              </w:rPr>
            </w:pPr>
            <w:r>
              <w:rPr>
                <w:snapToGrid w:val="0"/>
                <w:kern w:val="28"/>
                <w:sz w:val="20"/>
                <w:lang w:val="en-US" w:eastAsia="en-US" w:bidi="ar-SA"/>
              </w:rPr>
              <w:t>0.149</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37DE1BFD" w14:textId="77777777">
            <w:pPr>
              <w:widowControl/>
              <w:suppressAutoHyphens/>
              <w:rPr>
                <w:rStyle w:val="DefaultParagraphFont"/>
                <w:snapToGrid/>
                <w:kern w:val="0"/>
                <w:sz w:val="20"/>
                <w:lang w:val="en-US" w:eastAsia="en-US" w:bidi="ar-SA"/>
              </w:rPr>
            </w:pPr>
          </w:p>
        </w:tc>
      </w:tr>
      <w:tr w14:paraId="1F047D1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7E9D06EC" w14:textId="77777777">
            <w:pPr>
              <w:widowControl/>
              <w:suppressAutoHyphens/>
              <w:rPr>
                <w:rStyle w:val="DefaultParagraphFont"/>
                <w:b/>
                <w:bCs/>
                <w:snapToGrid/>
                <w:kern w:val="0"/>
                <w:sz w:val="20"/>
                <w:lang w:val="en-US" w:eastAsia="en-US" w:bidi="ar-SA"/>
              </w:rPr>
            </w:pPr>
          </w:p>
        </w:tc>
        <w:tc>
          <w:tcPr>
            <w:tcW w:w="678" w:type="pct"/>
            <w:vMerge w:val="restart"/>
            <w:tcBorders>
              <w:top w:val="nil"/>
              <w:left w:val="single" w:sz="4" w:space="0" w:color="auto"/>
              <w:bottom w:val="single" w:sz="8" w:space="0" w:color="000000"/>
              <w:right w:val="single" w:sz="4" w:space="0" w:color="auto"/>
            </w:tcBorders>
            <w:shd w:val="clear" w:color="auto" w:fill="auto"/>
            <w:vAlign w:val="center"/>
            <w:hideMark/>
          </w:tcPr>
          <w:p w:rsidR="00ED7F5C" w:rsidRPr="00910791" w:rsidP="004E16D7" w14:paraId="691F9154" w14:textId="095674CE">
            <w:pPr>
              <w:widowControl/>
              <w:suppressAutoHyphens/>
              <w:jc w:val="center"/>
              <w:rPr>
                <w:rStyle w:val="DefaultParagraphFont"/>
                <w:b/>
                <w:bCs/>
                <w:snapToGrid/>
                <w:kern w:val="0"/>
                <w:sz w:val="20"/>
                <w:lang w:val="en-US" w:eastAsia="en-US" w:bidi="ar-SA"/>
              </w:rPr>
            </w:pPr>
            <w:r>
              <w:rPr>
                <w:b/>
                <w:snapToGrid/>
                <w:kern w:val="0"/>
                <w:sz w:val="20"/>
                <w:lang w:val="en-US" w:eastAsia="en-US" w:bidi="ar-SA"/>
              </w:rPr>
              <w:t>Wireless and Low Penetration Test</w:t>
            </w: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7B173E9F" w14:textId="77777777">
            <w:pPr>
              <w:widowControl/>
              <w:suppressAutoHyphens/>
              <w:rPr>
                <w:rStyle w:val="DefaultParagraphFont"/>
                <w:b/>
                <w:bCs/>
                <w:snapToGrid/>
                <w:kern w:val="0"/>
                <w:sz w:val="20"/>
                <w:lang w:val="en-US" w:eastAsia="en-US" w:bidi="ar-SA"/>
              </w:rPr>
            </w:pPr>
            <w:r w:rsidRPr="00910791">
              <w:rPr>
                <w:b/>
                <w:bCs/>
                <w:snapToGrid/>
                <w:kern w:val="0"/>
                <w:sz w:val="20"/>
                <w:lang w:val="en-US" w:eastAsia="en-US" w:bidi="ar-SA"/>
              </w:rPr>
              <w:t>Basic service</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5CA444F"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7BAB6FED" w14:textId="54CBBE41">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23</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AF1C025" w14:textId="274E9F0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$8.46</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27653EC2" w14:textId="0E379A1A">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0.672</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722560EE" w14:textId="77777777">
            <w:pPr>
              <w:widowControl/>
              <w:suppressAutoHyphens/>
              <w:jc w:val="center"/>
              <w:rPr>
                <w:rStyle w:val="DefaultParagraphFont"/>
                <w:b/>
                <w:bCs/>
                <w:snapToGrid/>
                <w:kern w:val="0"/>
                <w:sz w:val="20"/>
                <w:lang w:val="en-US" w:eastAsia="en-US" w:bidi="ar-SA"/>
              </w:rPr>
            </w:pPr>
            <w:r w:rsidRPr="00910791">
              <w:rPr>
                <w:b/>
                <w:bCs/>
                <w:snapToGrid/>
                <w:kern w:val="0"/>
                <w:sz w:val="20"/>
                <w:lang w:val="en-US" w:eastAsia="en-US" w:bidi="ar-SA"/>
              </w:rPr>
              <w:t>7.8%</w:t>
            </w:r>
          </w:p>
        </w:tc>
      </w:tr>
      <w:tr w14:paraId="2ACE131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0A4024FE"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8" w:space="0" w:color="000000"/>
              <w:right w:val="single" w:sz="4" w:space="0" w:color="auto"/>
            </w:tcBorders>
            <w:vAlign w:val="center"/>
            <w:hideMark/>
          </w:tcPr>
          <w:p w:rsidR="00ED7F5C" w:rsidRPr="00910791" w:rsidP="004E16D7" w14:paraId="59D7CFE1"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474EE000" w14:textId="77777777">
            <w:pPr>
              <w:widowControl/>
              <w:suppressAutoHyphens/>
              <w:rPr>
                <w:rStyle w:val="DefaultParagraphFont"/>
                <w:b/>
                <w:bCs/>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7F4441B" w14:textId="77777777">
            <w:pPr>
              <w:widowControl/>
              <w:suppressAutoHyphens/>
              <w:jc w:val="center"/>
              <w:rPr>
                <w:rStyle w:val="DefaultParagraphFont"/>
                <w:bCs/>
                <w:snapToGrid/>
                <w:kern w:val="0"/>
                <w:sz w:val="20"/>
                <w:lang w:val="en-US" w:eastAsia="en-US" w:bidi="ar-SA"/>
              </w:rPr>
            </w:pPr>
            <w:r w:rsidRPr="00E6310C">
              <w:rPr>
                <w:bCs/>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30E58D10" w14:textId="061F80A9">
            <w:pPr>
              <w:widowControl/>
              <w:suppressAutoHyphens/>
              <w:jc w:val="center"/>
              <w:rPr>
                <w:rStyle w:val="DefaultParagraphFont"/>
                <w:bCs/>
                <w:snapToGrid/>
                <w:kern w:val="0"/>
                <w:sz w:val="20"/>
                <w:lang w:val="en-US" w:eastAsia="en-US" w:bidi="ar-SA"/>
              </w:rPr>
            </w:pPr>
            <w:r w:rsidRPr="00DC1FCC">
              <w:rPr>
                <w:snapToGrid w:val="0"/>
                <w:kern w:val="28"/>
                <w:sz w:val="20"/>
                <w:lang w:val="en-US" w:eastAsia="en-US" w:bidi="ar-SA"/>
              </w:rPr>
              <w:t>22</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1615CB3" w14:textId="01978321">
            <w:pPr>
              <w:widowControl/>
              <w:suppressAutoHyphens/>
              <w:jc w:val="center"/>
              <w:rPr>
                <w:rStyle w:val="DefaultParagraphFont"/>
                <w:bCs/>
                <w:snapToGrid/>
                <w:kern w:val="0"/>
                <w:sz w:val="20"/>
                <w:lang w:val="en-US" w:eastAsia="en-US" w:bidi="ar-SA"/>
              </w:rPr>
            </w:pPr>
            <w:r w:rsidRPr="00DC1FCC">
              <w:rPr>
                <w:snapToGrid w:val="0"/>
                <w:kern w:val="28"/>
                <w:sz w:val="20"/>
                <w:lang w:val="en-US" w:eastAsia="en-US" w:bidi="ar-SA"/>
              </w:rPr>
              <w:t>$7.85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3F2E4094" w14:textId="2C8E3127">
            <w:pPr>
              <w:widowControl/>
              <w:suppressAutoHyphens/>
              <w:jc w:val="center"/>
              <w:rPr>
                <w:rStyle w:val="DefaultParagraphFont"/>
                <w:bCs/>
                <w:snapToGrid/>
                <w:kern w:val="0"/>
                <w:sz w:val="20"/>
                <w:lang w:val="en-US" w:eastAsia="en-US" w:bidi="ar-SA"/>
              </w:rPr>
            </w:pPr>
            <w:r w:rsidRPr="00DC1FCC">
              <w:rPr>
                <w:snapToGrid w:val="0"/>
                <w:kern w:val="28"/>
                <w:sz w:val="20"/>
                <w:lang w:val="en-US" w:eastAsia="en-US" w:bidi="ar-SA"/>
              </w:rPr>
              <w:t>0.668</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6C7049DA" w14:textId="77777777">
            <w:pPr>
              <w:widowControl/>
              <w:suppressAutoHyphens/>
              <w:rPr>
                <w:rStyle w:val="DefaultParagraphFont"/>
                <w:b/>
                <w:bCs/>
                <w:snapToGrid/>
                <w:kern w:val="0"/>
                <w:sz w:val="20"/>
                <w:lang w:val="en-US" w:eastAsia="en-US" w:bidi="ar-SA"/>
              </w:rPr>
            </w:pPr>
          </w:p>
        </w:tc>
      </w:tr>
      <w:tr w14:paraId="53B5389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3EBF9D4B"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8" w:space="0" w:color="000000"/>
              <w:right w:val="single" w:sz="4" w:space="0" w:color="auto"/>
            </w:tcBorders>
            <w:vAlign w:val="center"/>
            <w:hideMark/>
          </w:tcPr>
          <w:p w:rsidR="00ED7F5C" w:rsidRPr="00910791" w:rsidP="004E16D7" w14:paraId="58021FB6"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64875E4F"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Expanded basic</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3839EAB2"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20ED7B05" w14:textId="6600666E">
            <w:pPr>
              <w:widowControl/>
              <w:suppressAutoHyphens/>
              <w:jc w:val="center"/>
              <w:rPr>
                <w:rStyle w:val="DefaultParagraphFont"/>
                <w:snapToGrid/>
                <w:kern w:val="0"/>
                <w:sz w:val="20"/>
                <w:lang w:val="en-US" w:eastAsia="en-US" w:bidi="ar-SA"/>
              </w:rPr>
            </w:pPr>
            <w:r>
              <w:rPr>
                <w:snapToGrid w:val="0"/>
                <w:kern w:val="28"/>
                <w:sz w:val="20"/>
                <w:lang w:val="en-US" w:eastAsia="en-US" w:bidi="ar-SA"/>
              </w:rPr>
              <w:t>27</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519525D0" w14:textId="38667752">
            <w:pPr>
              <w:widowControl/>
              <w:suppressAutoHyphens/>
              <w:jc w:val="center"/>
              <w:rPr>
                <w:rStyle w:val="DefaultParagraphFont"/>
                <w:snapToGrid/>
                <w:kern w:val="0"/>
                <w:sz w:val="20"/>
                <w:lang w:val="en-US" w:eastAsia="en-US" w:bidi="ar-SA"/>
              </w:rPr>
            </w:pPr>
            <w:r>
              <w:rPr>
                <w:snapToGrid w:val="0"/>
                <w:kern w:val="28"/>
                <w:sz w:val="20"/>
                <w:lang w:val="en-US" w:eastAsia="en-US" w:bidi="ar-SA"/>
              </w:rPr>
              <w:t>$8.19</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61D882D6" w14:textId="4DFC4F6B">
            <w:pPr>
              <w:widowControl/>
              <w:suppressAutoHyphens/>
              <w:jc w:val="center"/>
              <w:rPr>
                <w:rStyle w:val="DefaultParagraphFont"/>
                <w:snapToGrid/>
                <w:kern w:val="0"/>
                <w:sz w:val="20"/>
                <w:lang w:val="en-US" w:eastAsia="en-US" w:bidi="ar-SA"/>
              </w:rPr>
            </w:pPr>
            <w:r>
              <w:rPr>
                <w:snapToGrid w:val="0"/>
                <w:kern w:val="28"/>
                <w:sz w:val="20"/>
                <w:lang w:val="en-US" w:eastAsia="en-US" w:bidi="ar-SA"/>
              </w:rPr>
              <w:t>0.595</w:t>
            </w:r>
          </w:p>
        </w:tc>
        <w:tc>
          <w:tcPr>
            <w:tcW w:w="50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910791" w:rsidP="004E16D7" w14:paraId="4A20499F"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6.9%</w:t>
            </w:r>
          </w:p>
        </w:tc>
      </w:tr>
      <w:tr w14:paraId="684AB58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6A490545"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8" w:space="0" w:color="000000"/>
              <w:right w:val="single" w:sz="4" w:space="0" w:color="auto"/>
            </w:tcBorders>
            <w:vAlign w:val="center"/>
            <w:hideMark/>
          </w:tcPr>
          <w:p w:rsidR="00ED7F5C" w:rsidRPr="00910791" w:rsidP="004E16D7" w14:paraId="0E5C110B"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4" w:space="0" w:color="auto"/>
              <w:right w:val="single" w:sz="4" w:space="0" w:color="auto"/>
            </w:tcBorders>
            <w:vAlign w:val="center"/>
            <w:hideMark/>
          </w:tcPr>
          <w:p w:rsidR="00ED7F5C" w:rsidRPr="00910791" w:rsidP="004E16D7" w14:paraId="7D0698D3" w14:textId="77777777">
            <w:pPr>
              <w:widowControl/>
              <w:suppressAutoHyphens/>
              <w:rPr>
                <w:rStyle w:val="DefaultParagraphFont"/>
                <w:snapToGrid/>
                <w:kern w:val="0"/>
                <w:sz w:val="20"/>
                <w:lang w:val="en-US" w:eastAsia="en-US" w:bidi="ar-SA"/>
              </w:rPr>
            </w:pP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121E1F3"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0BE5CE2B" w14:textId="637F9269">
            <w:pPr>
              <w:widowControl/>
              <w:suppressAutoHyphens/>
              <w:jc w:val="center"/>
              <w:rPr>
                <w:rStyle w:val="DefaultParagraphFont"/>
                <w:snapToGrid/>
                <w:kern w:val="0"/>
                <w:sz w:val="20"/>
                <w:lang w:val="en-US" w:eastAsia="en-US" w:bidi="ar-SA"/>
              </w:rPr>
            </w:pPr>
            <w:r>
              <w:rPr>
                <w:snapToGrid w:val="0"/>
                <w:kern w:val="28"/>
                <w:sz w:val="20"/>
                <w:lang w:val="en-US" w:eastAsia="en-US" w:bidi="ar-SA"/>
              </w:rPr>
              <w:t>26</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0A230584" w14:textId="3020BE7B">
            <w:pPr>
              <w:widowControl/>
              <w:suppressAutoHyphens/>
              <w:jc w:val="center"/>
              <w:rPr>
                <w:rStyle w:val="DefaultParagraphFont"/>
                <w:snapToGrid/>
                <w:kern w:val="0"/>
                <w:sz w:val="20"/>
                <w:lang w:val="en-US" w:eastAsia="en-US" w:bidi="ar-SA"/>
              </w:rPr>
            </w:pPr>
            <w:r>
              <w:rPr>
                <w:snapToGrid w:val="0"/>
                <w:kern w:val="28"/>
                <w:sz w:val="20"/>
                <w:lang w:val="en-US" w:eastAsia="en-US" w:bidi="ar-SA"/>
              </w:rPr>
              <w:t>$7.66</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7C975947" w14:textId="73384395">
            <w:pPr>
              <w:widowControl/>
              <w:suppressAutoHyphens/>
              <w:jc w:val="center"/>
              <w:rPr>
                <w:rStyle w:val="DefaultParagraphFont"/>
                <w:snapToGrid/>
                <w:kern w:val="0"/>
                <w:sz w:val="20"/>
                <w:lang w:val="en-US" w:eastAsia="en-US" w:bidi="ar-SA"/>
              </w:rPr>
            </w:pPr>
            <w:r>
              <w:rPr>
                <w:snapToGrid w:val="0"/>
                <w:kern w:val="28"/>
                <w:sz w:val="20"/>
                <w:lang w:val="en-US" w:eastAsia="en-US" w:bidi="ar-SA"/>
              </w:rPr>
              <w:t>0.579</w:t>
            </w:r>
          </w:p>
        </w:tc>
        <w:tc>
          <w:tcPr>
            <w:tcW w:w="509" w:type="pct"/>
            <w:vMerge/>
            <w:tcBorders>
              <w:top w:val="nil"/>
              <w:left w:val="single" w:sz="4" w:space="0" w:color="auto"/>
              <w:bottom w:val="single" w:sz="4" w:space="0" w:color="auto"/>
              <w:right w:val="single" w:sz="8" w:space="0" w:color="auto"/>
            </w:tcBorders>
            <w:vAlign w:val="center"/>
            <w:hideMark/>
          </w:tcPr>
          <w:p w:rsidR="00ED7F5C" w:rsidRPr="00910791" w:rsidP="004E16D7" w14:paraId="5548E374" w14:textId="77777777">
            <w:pPr>
              <w:widowControl/>
              <w:suppressAutoHyphens/>
              <w:rPr>
                <w:rStyle w:val="DefaultParagraphFont"/>
                <w:snapToGrid/>
                <w:kern w:val="0"/>
                <w:sz w:val="20"/>
                <w:lang w:val="en-US" w:eastAsia="en-US" w:bidi="ar-SA"/>
              </w:rPr>
            </w:pPr>
          </w:p>
        </w:tc>
      </w:tr>
      <w:tr w14:paraId="1F84469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1522D476"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8" w:space="0" w:color="000000"/>
              <w:right w:val="single" w:sz="4" w:space="0" w:color="auto"/>
            </w:tcBorders>
            <w:vAlign w:val="center"/>
            <w:hideMark/>
          </w:tcPr>
          <w:p w:rsidR="00ED7F5C" w:rsidRPr="00910791" w:rsidP="004E16D7" w14:paraId="743D733A" w14:textId="77777777">
            <w:pPr>
              <w:widowControl/>
              <w:suppressAutoHyphens/>
              <w:rPr>
                <w:rStyle w:val="DefaultParagraphFont"/>
                <w:b/>
                <w:bCs/>
                <w:snapToGrid/>
                <w:kern w:val="0"/>
                <w:sz w:val="20"/>
                <w:lang w:val="en-US" w:eastAsia="en-US" w:bidi="ar-SA"/>
              </w:rPr>
            </w:pPr>
          </w:p>
        </w:tc>
        <w:tc>
          <w:tcPr>
            <w:tcW w:w="91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D7F5C" w:rsidRPr="00910791" w:rsidP="004E16D7" w14:paraId="747A7965" w14:textId="77777777">
            <w:pPr>
              <w:widowControl/>
              <w:suppressAutoHyphens/>
              <w:rPr>
                <w:rStyle w:val="DefaultParagraphFont"/>
                <w:snapToGrid/>
                <w:kern w:val="0"/>
                <w:sz w:val="20"/>
                <w:lang w:val="en-US" w:eastAsia="en-US" w:bidi="ar-SA"/>
              </w:rPr>
            </w:pPr>
            <w:r w:rsidRPr="00910791">
              <w:rPr>
                <w:snapToGrid/>
                <w:kern w:val="0"/>
                <w:sz w:val="20"/>
                <w:lang w:val="en-US" w:eastAsia="en-US" w:bidi="ar-SA"/>
              </w:rPr>
              <w:t>Next most popular</w:t>
            </w:r>
          </w:p>
        </w:tc>
        <w:tc>
          <w:tcPr>
            <w:tcW w:w="385"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9900550"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2016</w:t>
            </w:r>
          </w:p>
        </w:tc>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7F5C" w:rsidRPr="00910791" w:rsidP="004E16D7" w14:paraId="45289E03" w14:textId="50858F3B">
            <w:pPr>
              <w:widowControl/>
              <w:suppressAutoHyphens/>
              <w:jc w:val="center"/>
              <w:rPr>
                <w:rStyle w:val="DefaultParagraphFont"/>
                <w:snapToGrid/>
                <w:kern w:val="0"/>
                <w:sz w:val="20"/>
                <w:lang w:val="en-US" w:eastAsia="en-US" w:bidi="ar-SA"/>
              </w:rPr>
            </w:pPr>
            <w:r>
              <w:rPr>
                <w:snapToGrid w:val="0"/>
                <w:kern w:val="28"/>
                <w:sz w:val="20"/>
                <w:lang w:val="en-US" w:eastAsia="en-US" w:bidi="ar-SA"/>
              </w:rPr>
              <w:t>23</w:t>
            </w:r>
          </w:p>
        </w:tc>
        <w:tc>
          <w:tcPr>
            <w:tcW w:w="704"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4242ABA9" w14:textId="2ED4BE0D">
            <w:pPr>
              <w:widowControl/>
              <w:suppressAutoHyphens/>
              <w:jc w:val="center"/>
              <w:rPr>
                <w:rStyle w:val="DefaultParagraphFont"/>
                <w:snapToGrid/>
                <w:kern w:val="0"/>
                <w:sz w:val="20"/>
                <w:lang w:val="en-US" w:eastAsia="en-US" w:bidi="ar-SA"/>
              </w:rPr>
            </w:pPr>
            <w:r>
              <w:rPr>
                <w:snapToGrid w:val="0"/>
                <w:kern w:val="28"/>
                <w:sz w:val="20"/>
                <w:lang w:val="en-US" w:eastAsia="en-US" w:bidi="ar-SA"/>
              </w:rPr>
              <w:t>$10.05</w:t>
            </w:r>
          </w:p>
        </w:tc>
        <w:tc>
          <w:tcPr>
            <w:tcW w:w="597" w:type="pct"/>
            <w:tcBorders>
              <w:top w:val="nil"/>
              <w:left w:val="nil"/>
              <w:bottom w:val="single" w:sz="4" w:space="0" w:color="auto"/>
              <w:right w:val="single" w:sz="4" w:space="0" w:color="auto"/>
            </w:tcBorders>
            <w:shd w:val="clear" w:color="auto" w:fill="auto"/>
            <w:noWrap/>
            <w:vAlign w:val="center"/>
            <w:hideMark/>
          </w:tcPr>
          <w:p w:rsidR="00ED7F5C" w:rsidRPr="00910791" w:rsidP="004E16D7" w14:paraId="12C052AE" w14:textId="328BB69D">
            <w:pPr>
              <w:widowControl/>
              <w:suppressAutoHyphens/>
              <w:jc w:val="center"/>
              <w:rPr>
                <w:rStyle w:val="DefaultParagraphFont"/>
                <w:snapToGrid/>
                <w:kern w:val="0"/>
                <w:sz w:val="20"/>
                <w:lang w:val="en-US" w:eastAsia="en-US" w:bidi="ar-SA"/>
              </w:rPr>
            </w:pPr>
            <w:r>
              <w:rPr>
                <w:snapToGrid w:val="0"/>
                <w:kern w:val="28"/>
                <w:sz w:val="20"/>
                <w:lang w:val="en-US" w:eastAsia="en-US" w:bidi="ar-SA"/>
              </w:rPr>
              <w:t>0.388</w:t>
            </w:r>
          </w:p>
        </w:tc>
        <w:tc>
          <w:tcPr>
            <w:tcW w:w="509"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D7F5C" w:rsidRPr="00910791" w:rsidP="004E16D7" w14:paraId="7730A058"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4.8%</w:t>
            </w:r>
          </w:p>
        </w:tc>
      </w:tr>
      <w:tr w14:paraId="2AAE431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858" w:type="pct"/>
            <w:vMerge/>
            <w:tcBorders>
              <w:top w:val="nil"/>
              <w:left w:val="single" w:sz="8" w:space="0" w:color="auto"/>
              <w:bottom w:val="single" w:sz="8" w:space="0" w:color="000000"/>
              <w:right w:val="single" w:sz="4" w:space="0" w:color="auto"/>
            </w:tcBorders>
            <w:vAlign w:val="center"/>
            <w:hideMark/>
          </w:tcPr>
          <w:p w:rsidR="00ED7F5C" w:rsidRPr="00910791" w:rsidP="004E16D7" w14:paraId="30948A49" w14:textId="77777777">
            <w:pPr>
              <w:widowControl/>
              <w:suppressAutoHyphens/>
              <w:rPr>
                <w:rStyle w:val="DefaultParagraphFont"/>
                <w:b/>
                <w:bCs/>
                <w:snapToGrid/>
                <w:kern w:val="0"/>
                <w:sz w:val="20"/>
                <w:lang w:val="en-US" w:eastAsia="en-US" w:bidi="ar-SA"/>
              </w:rPr>
            </w:pPr>
          </w:p>
        </w:tc>
        <w:tc>
          <w:tcPr>
            <w:tcW w:w="678" w:type="pct"/>
            <w:vMerge/>
            <w:tcBorders>
              <w:top w:val="nil"/>
              <w:left w:val="single" w:sz="4" w:space="0" w:color="auto"/>
              <w:bottom w:val="single" w:sz="8" w:space="0" w:color="000000"/>
              <w:right w:val="single" w:sz="4" w:space="0" w:color="auto"/>
            </w:tcBorders>
            <w:vAlign w:val="center"/>
            <w:hideMark/>
          </w:tcPr>
          <w:p w:rsidR="00ED7F5C" w:rsidRPr="00910791" w:rsidP="004E16D7" w14:paraId="4D89E949" w14:textId="77777777">
            <w:pPr>
              <w:widowControl/>
              <w:suppressAutoHyphens/>
              <w:rPr>
                <w:rStyle w:val="DefaultParagraphFont"/>
                <w:b/>
                <w:bCs/>
                <w:snapToGrid/>
                <w:kern w:val="0"/>
                <w:sz w:val="20"/>
                <w:lang w:val="en-US" w:eastAsia="en-US" w:bidi="ar-SA"/>
              </w:rPr>
            </w:pPr>
          </w:p>
        </w:tc>
        <w:tc>
          <w:tcPr>
            <w:tcW w:w="916" w:type="pct"/>
            <w:vMerge/>
            <w:tcBorders>
              <w:top w:val="nil"/>
              <w:left w:val="single" w:sz="4" w:space="0" w:color="auto"/>
              <w:bottom w:val="single" w:sz="8" w:space="0" w:color="000000"/>
              <w:right w:val="single" w:sz="4" w:space="0" w:color="auto"/>
            </w:tcBorders>
            <w:vAlign w:val="center"/>
            <w:hideMark/>
          </w:tcPr>
          <w:p w:rsidR="00ED7F5C" w:rsidRPr="00910791" w:rsidP="004E16D7" w14:paraId="3EC77C65" w14:textId="77777777">
            <w:pPr>
              <w:widowControl/>
              <w:suppressAutoHyphens/>
              <w:rPr>
                <w:rStyle w:val="DefaultParagraphFont"/>
                <w:snapToGrid/>
                <w:kern w:val="0"/>
                <w:sz w:val="20"/>
                <w:lang w:val="en-US" w:eastAsia="en-US" w:bidi="ar-SA"/>
              </w:rPr>
            </w:pPr>
          </w:p>
        </w:tc>
        <w:tc>
          <w:tcPr>
            <w:tcW w:w="385" w:type="pct"/>
            <w:tcBorders>
              <w:top w:val="nil"/>
              <w:left w:val="nil"/>
              <w:bottom w:val="single" w:sz="8" w:space="0" w:color="auto"/>
              <w:right w:val="single" w:sz="4" w:space="0" w:color="auto"/>
            </w:tcBorders>
            <w:shd w:val="clear" w:color="auto" w:fill="auto"/>
            <w:noWrap/>
            <w:vAlign w:val="center"/>
            <w:hideMark/>
          </w:tcPr>
          <w:p w:rsidR="00ED7F5C" w:rsidRPr="00910791" w:rsidP="004E16D7" w14:paraId="05FC1798" w14:textId="77777777">
            <w:pPr>
              <w:widowControl/>
              <w:suppressAutoHyphens/>
              <w:jc w:val="center"/>
              <w:rPr>
                <w:rStyle w:val="DefaultParagraphFont"/>
                <w:snapToGrid/>
                <w:kern w:val="0"/>
                <w:sz w:val="20"/>
                <w:lang w:val="en-US" w:eastAsia="en-US" w:bidi="ar-SA"/>
              </w:rPr>
            </w:pPr>
            <w:r w:rsidRPr="00910791">
              <w:rPr>
                <w:snapToGrid/>
                <w:kern w:val="0"/>
                <w:sz w:val="20"/>
                <w:lang w:val="en-US" w:eastAsia="en-US" w:bidi="ar-SA"/>
              </w:rPr>
              <w:t>2015</w:t>
            </w:r>
          </w:p>
        </w:tc>
        <w:tc>
          <w:tcPr>
            <w:tcW w:w="353" w:type="pct"/>
            <w:tcBorders>
              <w:top w:val="nil"/>
              <w:left w:val="single" w:sz="4" w:space="0" w:color="auto"/>
              <w:bottom w:val="single" w:sz="8" w:space="0" w:color="auto"/>
              <w:right w:val="single" w:sz="4" w:space="0" w:color="auto"/>
            </w:tcBorders>
            <w:shd w:val="clear" w:color="auto" w:fill="auto"/>
            <w:noWrap/>
            <w:vAlign w:val="center"/>
            <w:hideMark/>
          </w:tcPr>
          <w:p w:rsidR="00ED7F5C" w:rsidRPr="00910791" w:rsidP="004E16D7" w14:paraId="3321E116" w14:textId="34E98039">
            <w:pPr>
              <w:widowControl/>
              <w:suppressAutoHyphens/>
              <w:jc w:val="center"/>
              <w:rPr>
                <w:rStyle w:val="DefaultParagraphFont"/>
                <w:snapToGrid/>
                <w:kern w:val="0"/>
                <w:sz w:val="20"/>
                <w:lang w:val="en-US" w:eastAsia="en-US" w:bidi="ar-SA"/>
              </w:rPr>
            </w:pPr>
            <w:r>
              <w:rPr>
                <w:snapToGrid w:val="0"/>
                <w:kern w:val="28"/>
                <w:sz w:val="20"/>
                <w:lang w:val="en-US" w:eastAsia="en-US" w:bidi="ar-SA"/>
              </w:rPr>
              <w:t>22</w:t>
            </w:r>
          </w:p>
        </w:tc>
        <w:tc>
          <w:tcPr>
            <w:tcW w:w="704" w:type="pct"/>
            <w:tcBorders>
              <w:top w:val="nil"/>
              <w:left w:val="nil"/>
              <w:bottom w:val="single" w:sz="8" w:space="0" w:color="auto"/>
              <w:right w:val="single" w:sz="4" w:space="0" w:color="auto"/>
            </w:tcBorders>
            <w:shd w:val="clear" w:color="auto" w:fill="auto"/>
            <w:noWrap/>
            <w:vAlign w:val="center"/>
            <w:hideMark/>
          </w:tcPr>
          <w:p w:rsidR="00ED7F5C" w:rsidRPr="00910791" w:rsidP="004E16D7" w14:paraId="35C4CBAE" w14:textId="7CE8E6B7">
            <w:pPr>
              <w:widowControl/>
              <w:suppressAutoHyphens/>
              <w:jc w:val="center"/>
              <w:rPr>
                <w:rStyle w:val="DefaultParagraphFont"/>
                <w:snapToGrid/>
                <w:kern w:val="0"/>
                <w:sz w:val="20"/>
                <w:lang w:val="en-US" w:eastAsia="en-US" w:bidi="ar-SA"/>
              </w:rPr>
            </w:pPr>
            <w:r>
              <w:rPr>
                <w:snapToGrid w:val="0"/>
                <w:kern w:val="28"/>
                <w:sz w:val="20"/>
                <w:lang w:val="en-US" w:eastAsia="en-US" w:bidi="ar-SA"/>
              </w:rPr>
              <w:t>$9.60</w:t>
            </w:r>
          </w:p>
        </w:tc>
        <w:tc>
          <w:tcPr>
            <w:tcW w:w="597" w:type="pct"/>
            <w:tcBorders>
              <w:top w:val="nil"/>
              <w:left w:val="nil"/>
              <w:bottom w:val="single" w:sz="8" w:space="0" w:color="auto"/>
              <w:right w:val="single" w:sz="4" w:space="0" w:color="auto"/>
            </w:tcBorders>
            <w:shd w:val="clear" w:color="auto" w:fill="auto"/>
            <w:noWrap/>
            <w:vAlign w:val="center"/>
            <w:hideMark/>
          </w:tcPr>
          <w:p w:rsidR="00ED7F5C" w:rsidRPr="00910791" w:rsidP="004E16D7" w14:paraId="59C69F03" w14:textId="0DE7FCC9">
            <w:pPr>
              <w:widowControl/>
              <w:suppressAutoHyphens/>
              <w:jc w:val="center"/>
              <w:rPr>
                <w:rStyle w:val="DefaultParagraphFont"/>
                <w:snapToGrid/>
                <w:kern w:val="0"/>
                <w:sz w:val="20"/>
                <w:lang w:val="en-US" w:eastAsia="en-US" w:bidi="ar-SA"/>
              </w:rPr>
            </w:pPr>
            <w:r>
              <w:rPr>
                <w:snapToGrid w:val="0"/>
                <w:kern w:val="28"/>
                <w:sz w:val="20"/>
                <w:lang w:val="en-US" w:eastAsia="en-US" w:bidi="ar-SA"/>
              </w:rPr>
              <w:t>0.371</w:t>
            </w:r>
          </w:p>
        </w:tc>
        <w:tc>
          <w:tcPr>
            <w:tcW w:w="509" w:type="pct"/>
            <w:vMerge/>
            <w:tcBorders>
              <w:top w:val="nil"/>
              <w:left w:val="single" w:sz="4" w:space="0" w:color="auto"/>
              <w:bottom w:val="single" w:sz="8" w:space="0" w:color="000000"/>
              <w:right w:val="single" w:sz="8" w:space="0" w:color="auto"/>
            </w:tcBorders>
            <w:vAlign w:val="center"/>
            <w:hideMark/>
          </w:tcPr>
          <w:p w:rsidR="00ED7F5C" w:rsidRPr="00910791" w:rsidP="004E16D7" w14:paraId="33CF16E6" w14:textId="77777777">
            <w:pPr>
              <w:widowControl/>
              <w:suppressAutoHyphens/>
              <w:rPr>
                <w:rStyle w:val="DefaultParagraphFont"/>
                <w:snapToGrid/>
                <w:kern w:val="0"/>
                <w:sz w:val="20"/>
                <w:lang w:val="en-US" w:eastAsia="en-US" w:bidi="ar-SA"/>
              </w:rPr>
            </w:pPr>
          </w:p>
        </w:tc>
      </w:tr>
      <w:tr w14:paraId="198D9E1C" w14:textId="77777777" w:rsidTr="00A46F4A">
        <w:tblPrEx>
          <w:tblW w:w="5000" w:type="pct"/>
          <w:tblInd w:w="0" w:type="dxa"/>
          <w:tblLayout w:type="fixed"/>
          <w:tblCellMar>
            <w:top w:w="0" w:type="dxa"/>
            <w:left w:w="108" w:type="dxa"/>
            <w:bottom w:w="0" w:type="dxa"/>
            <w:right w:w="108" w:type="dxa"/>
          </w:tblCellMar>
          <w:tblLook w:val="04A0"/>
        </w:tblPrEx>
        <w:trPr>
          <w:trHeight w:hRule="exact" w:val="288"/>
        </w:trPr>
        <w:tc>
          <w:tcPr>
            <w:tcW w:w="5000" w:type="pct"/>
            <w:gridSpan w:val="8"/>
            <w:vMerge w:val="restart"/>
            <w:tcBorders>
              <w:top w:val="nil"/>
              <w:left w:val="nil"/>
              <w:bottom w:val="nil"/>
              <w:right w:val="nil"/>
            </w:tcBorders>
            <w:shd w:val="clear" w:color="auto" w:fill="auto"/>
            <w:vAlign w:val="bottom"/>
            <w:hideMark/>
          </w:tcPr>
          <w:p w:rsidR="00910791" w:rsidRPr="00910791" w:rsidP="004E16D7" w14:paraId="7A513C92" w14:textId="263DD55D">
            <w:pPr>
              <w:widowControl/>
              <w:suppressAutoHyphens/>
              <w:rPr>
                <w:rStyle w:val="DefaultParagraphFont"/>
                <w:snapToGrid/>
                <w:kern w:val="0"/>
                <w:sz w:val="20"/>
                <w:lang w:val="en-US" w:eastAsia="en-US" w:bidi="ar-SA"/>
              </w:rPr>
            </w:pPr>
            <w:r w:rsidRPr="00910791">
              <w:rPr>
                <w:snapToGrid/>
                <w:kern w:val="0"/>
                <w:sz w:val="20"/>
                <w:lang w:val="en-US" w:eastAsia="en-US" w:bidi="ar-SA"/>
              </w:rPr>
              <w:t xml:space="preserve">Source: </w:t>
            </w:r>
            <w:r w:rsidR="00921DD1">
              <w:rPr>
                <w:snapToGrid/>
                <w:kern w:val="0"/>
                <w:sz w:val="20"/>
                <w:lang w:val="en-US" w:eastAsia="en-US" w:bidi="ar-SA"/>
              </w:rPr>
              <w:t xml:space="preserve"> </w:t>
            </w:r>
            <w:r w:rsidRPr="00910791">
              <w:rPr>
                <w:snapToGrid/>
                <w:kern w:val="0"/>
                <w:sz w:val="20"/>
                <w:lang w:val="en-US" w:eastAsia="en-US" w:bidi="ar-SA"/>
              </w:rPr>
              <w:t>2016 survey.</w:t>
            </w:r>
            <w:r w:rsidR="00921DD1">
              <w:rPr>
                <w:snapToGrid/>
                <w:kern w:val="0"/>
                <w:sz w:val="20"/>
                <w:lang w:val="en-US" w:eastAsia="en-US" w:bidi="ar-SA"/>
              </w:rPr>
              <w:t xml:space="preserve"> </w:t>
            </w:r>
            <w:r w:rsidRPr="00910791">
              <w:rPr>
                <w:snapToGrid/>
                <w:kern w:val="0"/>
                <w:sz w:val="20"/>
                <w:lang w:val="en-US" w:eastAsia="en-US" w:bidi="ar-SA"/>
              </w:rPr>
              <w:t xml:space="preserve"> *Indicates the annual change is statistically significant at the 95% confidence level.</w:t>
            </w:r>
            <w:r w:rsidR="00857830">
              <w:rPr>
                <w:snapToGrid/>
                <w:kern w:val="0"/>
                <w:sz w:val="20"/>
                <w:lang w:val="en-US" w:eastAsia="en-US" w:bidi="ar-SA"/>
              </w:rPr>
              <w:t xml:space="preserve"> </w:t>
            </w:r>
            <w:r w:rsidRPr="00910791">
              <w:rPr>
                <w:snapToGrid/>
                <w:kern w:val="0"/>
                <w:sz w:val="20"/>
                <w:lang w:val="en-US" w:eastAsia="en-US" w:bidi="ar-SA"/>
              </w:rPr>
              <w:t xml:space="preserve"> Equipment refers to a set-top converter box or other digital gateway.</w:t>
            </w:r>
            <w:r w:rsidR="00857830">
              <w:rPr>
                <w:snapToGrid/>
                <w:kern w:val="0"/>
                <w:sz w:val="20"/>
                <w:lang w:val="en-US" w:eastAsia="en-US" w:bidi="ar-SA"/>
              </w:rPr>
              <w:t xml:space="preserve"> </w:t>
            </w:r>
            <w:r w:rsidRPr="00910791">
              <w:rPr>
                <w:snapToGrid/>
                <w:kern w:val="0"/>
                <w:sz w:val="20"/>
                <w:lang w:val="en-US" w:eastAsia="en-US" w:bidi="ar-SA"/>
              </w:rPr>
              <w:t xml:space="preserve"> The survey asks operators who do not bundle equipment with programming to report the unbundled price for the most commonly leased equipment.</w:t>
            </w:r>
            <w:r w:rsidR="00857830">
              <w:rPr>
                <w:snapToGrid/>
                <w:kern w:val="0"/>
                <w:sz w:val="20"/>
                <w:lang w:val="en-US" w:eastAsia="en-US" w:bidi="ar-SA"/>
              </w:rPr>
              <w:t xml:space="preserve"> </w:t>
            </w:r>
            <w:r w:rsidRPr="00910791">
              <w:rPr>
                <w:snapToGrid/>
                <w:kern w:val="0"/>
                <w:sz w:val="20"/>
                <w:lang w:val="en-US" w:eastAsia="en-US" w:bidi="ar-SA"/>
              </w:rPr>
              <w:t xml:space="preserve"> Because features vary, differences in price may reflect quality differences.</w:t>
            </w:r>
          </w:p>
        </w:tc>
      </w:tr>
      <w:tr w14:paraId="72ADAA82" w14:textId="77777777" w:rsidTr="00A46F4A">
        <w:tblPrEx>
          <w:tblW w:w="5000" w:type="pct"/>
          <w:tblInd w:w="0" w:type="dxa"/>
          <w:tblLayout w:type="fixed"/>
          <w:tblCellMar>
            <w:top w:w="0" w:type="dxa"/>
            <w:left w:w="108" w:type="dxa"/>
            <w:bottom w:w="0" w:type="dxa"/>
            <w:right w:w="108" w:type="dxa"/>
          </w:tblCellMar>
          <w:tblLook w:val="04A0"/>
        </w:tblPrEx>
        <w:trPr>
          <w:trHeight w:val="280"/>
        </w:trPr>
        <w:tc>
          <w:tcPr>
            <w:tcW w:w="5000" w:type="pct"/>
            <w:gridSpan w:val="8"/>
            <w:vMerge/>
            <w:tcBorders>
              <w:top w:val="nil"/>
              <w:left w:val="nil"/>
              <w:bottom w:val="nil"/>
              <w:right w:val="nil"/>
            </w:tcBorders>
            <w:vAlign w:val="center"/>
            <w:hideMark/>
          </w:tcPr>
          <w:p w:rsidR="00910791" w:rsidRPr="00910791" w:rsidP="004E16D7" w14:paraId="68F74F64" w14:textId="77777777">
            <w:pPr>
              <w:widowControl/>
              <w:suppressAutoHyphens/>
              <w:rPr>
                <w:rStyle w:val="DefaultParagraphFont"/>
                <w:snapToGrid/>
                <w:kern w:val="0"/>
                <w:sz w:val="20"/>
                <w:lang w:val="en-US" w:eastAsia="en-US" w:bidi="ar-SA"/>
              </w:rPr>
            </w:pPr>
          </w:p>
        </w:tc>
      </w:tr>
      <w:tr w14:paraId="5CD5100E" w14:textId="77777777" w:rsidTr="00A46F4A">
        <w:tblPrEx>
          <w:tblW w:w="5000" w:type="pct"/>
          <w:tblInd w:w="0" w:type="dxa"/>
          <w:tblLayout w:type="fixed"/>
          <w:tblCellMar>
            <w:top w:w="0" w:type="dxa"/>
            <w:left w:w="108" w:type="dxa"/>
            <w:bottom w:w="0" w:type="dxa"/>
            <w:right w:w="108" w:type="dxa"/>
          </w:tblCellMar>
          <w:tblLook w:val="04A0"/>
        </w:tblPrEx>
        <w:trPr>
          <w:trHeight w:val="280"/>
        </w:trPr>
        <w:tc>
          <w:tcPr>
            <w:tcW w:w="5000" w:type="pct"/>
            <w:gridSpan w:val="8"/>
            <w:vMerge/>
            <w:tcBorders>
              <w:top w:val="nil"/>
              <w:left w:val="nil"/>
              <w:bottom w:val="nil"/>
              <w:right w:val="nil"/>
            </w:tcBorders>
            <w:vAlign w:val="center"/>
            <w:hideMark/>
          </w:tcPr>
          <w:p w:rsidR="00910791" w:rsidRPr="00910791" w:rsidP="004E16D7" w14:paraId="0B732EBF" w14:textId="77777777">
            <w:pPr>
              <w:widowControl/>
              <w:suppressAutoHyphens/>
              <w:rPr>
                <w:rStyle w:val="DefaultParagraphFont"/>
                <w:snapToGrid/>
                <w:kern w:val="0"/>
                <w:sz w:val="20"/>
                <w:lang w:val="en-US" w:eastAsia="en-US" w:bidi="ar-SA"/>
              </w:rPr>
            </w:pPr>
          </w:p>
        </w:tc>
      </w:tr>
      <w:tr w14:paraId="48EE60E6" w14:textId="77777777" w:rsidTr="00A46F4A">
        <w:tblPrEx>
          <w:tblW w:w="5000" w:type="pct"/>
          <w:tblInd w:w="0" w:type="dxa"/>
          <w:tblLayout w:type="fixed"/>
          <w:tblCellMar>
            <w:top w:w="0" w:type="dxa"/>
            <w:left w:w="108" w:type="dxa"/>
            <w:bottom w:w="0" w:type="dxa"/>
            <w:right w:w="108" w:type="dxa"/>
          </w:tblCellMar>
          <w:tblLook w:val="04A0"/>
        </w:tblPrEx>
        <w:trPr>
          <w:trHeight w:val="280"/>
        </w:trPr>
        <w:tc>
          <w:tcPr>
            <w:tcW w:w="5000" w:type="pct"/>
            <w:gridSpan w:val="8"/>
            <w:vMerge/>
            <w:tcBorders>
              <w:top w:val="nil"/>
              <w:left w:val="nil"/>
              <w:bottom w:val="nil"/>
              <w:right w:val="nil"/>
            </w:tcBorders>
            <w:vAlign w:val="center"/>
            <w:hideMark/>
          </w:tcPr>
          <w:p w:rsidR="00910791" w:rsidRPr="00910791" w:rsidP="004E16D7" w14:paraId="74D5CB8A" w14:textId="77777777">
            <w:pPr>
              <w:widowControl/>
              <w:suppressAutoHyphens/>
              <w:rPr>
                <w:rStyle w:val="DefaultParagraphFont"/>
                <w:snapToGrid/>
                <w:kern w:val="0"/>
                <w:sz w:val="20"/>
                <w:lang w:val="en-US" w:eastAsia="en-US" w:bidi="ar-SA"/>
              </w:rPr>
            </w:pPr>
          </w:p>
        </w:tc>
      </w:tr>
    </w:tbl>
    <w:p w:rsidR="00E6310C" w:rsidP="004E16D7" w14:paraId="22A133B4" w14:textId="68B8C9AB">
      <w:pPr>
        <w:widowControl/>
        <w:suppressAutoHyphens/>
      </w:pPr>
    </w:p>
    <w:tbl>
      <w:tblPr>
        <w:tblW w:w="5000" w:type="pct"/>
        <w:tblInd w:w="0" w:type="dxa"/>
        <w:tblLayout w:type="fixed"/>
        <w:tblCellMar>
          <w:top w:w="0" w:type="dxa"/>
          <w:left w:w="108" w:type="dxa"/>
          <w:bottom w:w="0" w:type="dxa"/>
          <w:right w:w="108" w:type="dxa"/>
        </w:tblCellMar>
        <w:tblLook w:val="04A0"/>
      </w:tblPr>
      <w:tblGrid>
        <w:gridCol w:w="1430"/>
        <w:gridCol w:w="1261"/>
        <w:gridCol w:w="1709"/>
        <w:gridCol w:w="719"/>
        <w:gridCol w:w="630"/>
        <w:gridCol w:w="1106"/>
        <w:gridCol w:w="1209"/>
        <w:gridCol w:w="1276"/>
      </w:tblGrid>
      <w:tr w14:paraId="33AE1BC9" w14:textId="77777777" w:rsidTr="00A46F4A">
        <w:tblPrEx>
          <w:tblW w:w="5000" w:type="pct"/>
          <w:tblInd w:w="0" w:type="dxa"/>
          <w:tblLayout w:type="fixed"/>
          <w:tblCellMar>
            <w:top w:w="0" w:type="dxa"/>
            <w:left w:w="108" w:type="dxa"/>
            <w:bottom w:w="0" w:type="dxa"/>
            <w:right w:w="108" w:type="dxa"/>
          </w:tblCellMar>
          <w:tblLook w:val="04A0"/>
        </w:tblPrEx>
        <w:trPr>
          <w:trHeight w:hRule="exact" w:val="1152"/>
        </w:trPr>
        <w:tc>
          <w:tcPr>
            <w:tcW w:w="5000" w:type="pct"/>
            <w:gridSpan w:val="8"/>
            <w:tcBorders>
              <w:top w:val="single" w:sz="8" w:space="0" w:color="auto"/>
              <w:left w:val="single" w:sz="8" w:space="0" w:color="auto"/>
              <w:right w:val="single" w:sz="8" w:space="0" w:color="000000"/>
            </w:tcBorders>
            <w:shd w:val="clear" w:color="auto" w:fill="auto"/>
            <w:noWrap/>
            <w:vAlign w:val="center"/>
            <w:hideMark/>
          </w:tcPr>
          <w:p w:rsidR="00E6310C" w:rsidRPr="00E6310C" w:rsidP="004E16D7" w14:paraId="1C3F2827" w14:textId="77777777">
            <w:pPr>
              <w:widowControl/>
              <w:suppressAutoHyphens/>
              <w:jc w:val="center"/>
              <w:rPr>
                <w:rStyle w:val="DefaultParagraphFont"/>
                <w:b/>
                <w:bCs/>
                <w:snapToGrid/>
                <w:kern w:val="0"/>
                <w:sz w:val="24"/>
                <w:szCs w:val="24"/>
                <w:lang w:val="en-US" w:eastAsia="en-US" w:bidi="ar-SA"/>
              </w:rPr>
            </w:pPr>
            <w:r w:rsidRPr="00E6310C">
              <w:rPr>
                <w:b/>
                <w:bCs/>
                <w:snapToGrid/>
                <w:kern w:val="0"/>
                <w:sz w:val="24"/>
                <w:szCs w:val="24"/>
                <w:lang w:val="en-US" w:eastAsia="en-US" w:bidi="ar-SA"/>
              </w:rPr>
              <w:t>Attachment 6</w:t>
            </w:r>
          </w:p>
          <w:p w:rsidR="00E6310C" w:rsidRPr="00E6310C" w:rsidP="004E16D7" w14:paraId="3DF4343D" w14:textId="77777777">
            <w:pPr>
              <w:widowControl/>
              <w:suppressAutoHyphens/>
              <w:jc w:val="center"/>
              <w:rPr>
                <w:rStyle w:val="DefaultParagraphFont"/>
                <w:b/>
                <w:bCs/>
                <w:snapToGrid/>
                <w:kern w:val="0"/>
                <w:sz w:val="24"/>
                <w:szCs w:val="24"/>
                <w:lang w:val="en-US" w:eastAsia="en-US" w:bidi="ar-SA"/>
              </w:rPr>
            </w:pPr>
            <w:r w:rsidRPr="00E6310C">
              <w:rPr>
                <w:b/>
                <w:bCs/>
                <w:snapToGrid/>
                <w:kern w:val="0"/>
                <w:sz w:val="24"/>
                <w:szCs w:val="24"/>
                <w:lang w:val="en-US" w:eastAsia="en-US" w:bidi="ar-SA"/>
              </w:rPr>
              <w:t>Average Number of Channels</w:t>
            </w:r>
          </w:p>
          <w:p w:rsidR="00E6310C" w:rsidRPr="00E6310C" w:rsidP="004E16D7" w14:paraId="1D71D968" w14:textId="5C84DA5B">
            <w:pPr>
              <w:widowControl w:val="0"/>
              <w:suppressAutoHyphens/>
              <w:jc w:val="center"/>
              <w:rPr>
                <w:rStyle w:val="DefaultParagraphFont"/>
                <w:b/>
                <w:bCs/>
                <w:snapToGrid/>
                <w:kern w:val="0"/>
                <w:sz w:val="24"/>
                <w:szCs w:val="24"/>
                <w:lang w:val="en-US" w:eastAsia="en-US" w:bidi="ar-SA"/>
              </w:rPr>
            </w:pPr>
            <w:r w:rsidRPr="00E6310C">
              <w:rPr>
                <w:b/>
                <w:bCs/>
                <w:snapToGrid/>
                <w:kern w:val="0"/>
                <w:sz w:val="24"/>
                <w:szCs w:val="24"/>
                <w:lang w:val="en-US" w:eastAsia="en-US" w:bidi="ar-SA"/>
              </w:rPr>
              <w:t>By Sample and Programming Service</w:t>
            </w:r>
          </w:p>
        </w:tc>
      </w:tr>
      <w:tr w14:paraId="7EED41CB" w14:textId="77777777" w:rsidTr="00A46F4A">
        <w:tblPrEx>
          <w:tblW w:w="5000" w:type="pct"/>
          <w:tblInd w:w="0" w:type="dxa"/>
          <w:tblLayout w:type="fixed"/>
          <w:tblCellMar>
            <w:top w:w="0" w:type="dxa"/>
            <w:left w:w="108" w:type="dxa"/>
            <w:bottom w:w="0" w:type="dxa"/>
            <w:right w:w="108" w:type="dxa"/>
          </w:tblCellMar>
          <w:tblLook w:val="04A0"/>
        </w:tblPrEx>
        <w:trPr>
          <w:trHeight w:hRule="exact" w:val="576"/>
        </w:trPr>
        <w:tc>
          <w:tcPr>
            <w:tcW w:w="76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6310C" w:rsidRPr="00E6310C" w:rsidP="004E16D7" w14:paraId="1173D059"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Sample Group</w:t>
            </w:r>
          </w:p>
        </w:tc>
        <w:tc>
          <w:tcPr>
            <w:tcW w:w="675" w:type="pct"/>
            <w:tcBorders>
              <w:top w:val="single" w:sz="8" w:space="0" w:color="auto"/>
              <w:left w:val="nil"/>
              <w:bottom w:val="single" w:sz="8" w:space="0" w:color="auto"/>
              <w:right w:val="single" w:sz="4" w:space="0" w:color="auto"/>
            </w:tcBorders>
            <w:shd w:val="clear" w:color="auto" w:fill="auto"/>
            <w:vAlign w:val="center"/>
            <w:hideMark/>
          </w:tcPr>
          <w:p w:rsidR="00E6310C" w:rsidRPr="00E6310C" w:rsidP="004E16D7" w14:paraId="230C9756"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Subgroup</w:t>
            </w:r>
          </w:p>
        </w:tc>
        <w:tc>
          <w:tcPr>
            <w:tcW w:w="915" w:type="pct"/>
            <w:tcBorders>
              <w:top w:val="single" w:sz="8" w:space="0" w:color="auto"/>
              <w:left w:val="nil"/>
              <w:bottom w:val="single" w:sz="8" w:space="0" w:color="auto"/>
              <w:right w:val="single" w:sz="4" w:space="0" w:color="auto"/>
            </w:tcBorders>
            <w:shd w:val="clear" w:color="auto" w:fill="auto"/>
            <w:vAlign w:val="center"/>
            <w:hideMark/>
          </w:tcPr>
          <w:p w:rsidR="00E6310C" w:rsidRPr="00E6310C" w:rsidP="004E16D7" w14:paraId="35169024"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Service</w:t>
            </w:r>
          </w:p>
        </w:tc>
        <w:tc>
          <w:tcPr>
            <w:tcW w:w="385" w:type="pct"/>
            <w:tcBorders>
              <w:top w:val="single" w:sz="8" w:space="0" w:color="auto"/>
              <w:left w:val="nil"/>
              <w:bottom w:val="single" w:sz="8" w:space="0" w:color="auto"/>
              <w:right w:val="single" w:sz="4" w:space="0" w:color="auto"/>
            </w:tcBorders>
            <w:shd w:val="clear" w:color="auto" w:fill="auto"/>
            <w:vAlign w:val="center"/>
            <w:hideMark/>
          </w:tcPr>
          <w:p w:rsidR="00E6310C" w:rsidRPr="00E6310C" w:rsidP="004E16D7" w14:paraId="3DA47D02"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Year</w:t>
            </w:r>
          </w:p>
        </w:tc>
        <w:tc>
          <w:tcPr>
            <w:tcW w:w="337" w:type="pct"/>
            <w:tcBorders>
              <w:top w:val="single" w:sz="8" w:space="0" w:color="auto"/>
              <w:left w:val="nil"/>
              <w:bottom w:val="single" w:sz="8" w:space="0" w:color="auto"/>
              <w:right w:val="single" w:sz="4" w:space="0" w:color="auto"/>
            </w:tcBorders>
            <w:shd w:val="clear" w:color="auto" w:fill="auto"/>
            <w:vAlign w:val="center"/>
            <w:hideMark/>
          </w:tcPr>
          <w:p w:rsidR="00E6310C" w:rsidRPr="00E6310C" w:rsidP="004E16D7" w14:paraId="6A5C9DF3"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n</w:t>
            </w:r>
          </w:p>
        </w:tc>
        <w:tc>
          <w:tcPr>
            <w:tcW w:w="592" w:type="pct"/>
            <w:tcBorders>
              <w:top w:val="single" w:sz="8" w:space="0" w:color="auto"/>
              <w:left w:val="nil"/>
              <w:bottom w:val="single" w:sz="8" w:space="0" w:color="auto"/>
              <w:right w:val="single" w:sz="4" w:space="0" w:color="auto"/>
            </w:tcBorders>
            <w:shd w:val="clear" w:color="auto" w:fill="auto"/>
            <w:vAlign w:val="center"/>
            <w:hideMark/>
          </w:tcPr>
          <w:p w:rsidR="00E6310C" w:rsidRPr="00E6310C" w:rsidP="004E16D7" w14:paraId="7E246683"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Sample Mean</w:t>
            </w:r>
          </w:p>
        </w:tc>
        <w:tc>
          <w:tcPr>
            <w:tcW w:w="647" w:type="pct"/>
            <w:tcBorders>
              <w:top w:val="single" w:sz="8" w:space="0" w:color="auto"/>
              <w:left w:val="nil"/>
              <w:bottom w:val="single" w:sz="8" w:space="0" w:color="auto"/>
              <w:right w:val="single" w:sz="4" w:space="0" w:color="auto"/>
            </w:tcBorders>
            <w:shd w:val="clear" w:color="auto" w:fill="auto"/>
            <w:vAlign w:val="center"/>
            <w:hideMark/>
          </w:tcPr>
          <w:p w:rsidR="00E6310C" w:rsidRPr="00E6310C" w:rsidP="004E16D7" w14:paraId="557DBDBA"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Standard Error</w:t>
            </w:r>
          </w:p>
        </w:tc>
        <w:tc>
          <w:tcPr>
            <w:tcW w:w="683" w:type="pct"/>
            <w:tcBorders>
              <w:top w:val="single" w:sz="8" w:space="0" w:color="auto"/>
              <w:left w:val="nil"/>
              <w:bottom w:val="single" w:sz="8" w:space="0" w:color="auto"/>
              <w:right w:val="single" w:sz="8" w:space="0" w:color="auto"/>
            </w:tcBorders>
            <w:shd w:val="clear" w:color="auto" w:fill="auto"/>
            <w:vAlign w:val="center"/>
            <w:hideMark/>
          </w:tcPr>
          <w:p w:rsidR="00E6310C" w:rsidRPr="00E6310C" w:rsidP="004E16D7" w14:paraId="53E47870" w14:textId="77777777">
            <w:pPr>
              <w:widowControl/>
              <w:suppressAutoHyphens/>
              <w:jc w:val="center"/>
              <w:rPr>
                <w:rStyle w:val="DefaultParagraphFont"/>
                <w:b/>
                <w:bCs/>
                <w:snapToGrid/>
                <w:kern w:val="0"/>
                <w:sz w:val="22"/>
                <w:szCs w:val="22"/>
                <w:lang w:val="en-US" w:eastAsia="en-US" w:bidi="ar-SA"/>
              </w:rPr>
            </w:pPr>
            <w:r w:rsidRPr="00E6310C">
              <w:rPr>
                <w:b/>
                <w:bCs/>
                <w:snapToGrid/>
                <w:kern w:val="0"/>
                <w:sz w:val="22"/>
                <w:szCs w:val="22"/>
                <w:lang w:val="en-US" w:eastAsia="en-US" w:bidi="ar-SA"/>
              </w:rPr>
              <w:t>Annual Change</w:t>
            </w:r>
          </w:p>
        </w:tc>
      </w:tr>
      <w:tr w14:paraId="6472867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val="restart"/>
            <w:tcBorders>
              <w:top w:val="nil"/>
              <w:left w:val="single" w:sz="8" w:space="0" w:color="auto"/>
              <w:bottom w:val="single" w:sz="4" w:space="0" w:color="auto"/>
              <w:right w:val="single" w:sz="4" w:space="0" w:color="auto"/>
            </w:tcBorders>
            <w:shd w:val="clear" w:color="auto" w:fill="auto"/>
            <w:vAlign w:val="center"/>
            <w:hideMark/>
          </w:tcPr>
          <w:p w:rsidR="00ED7F5C" w:rsidRPr="00E6310C" w:rsidP="004E16D7" w14:paraId="6F01F22B" w14:textId="77777777">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Full sample</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E6310C" w:rsidP="004E16D7" w14:paraId="38B44B57" w14:textId="77777777">
            <w:pPr>
              <w:widowControl/>
              <w:suppressAutoHyphens/>
              <w:jc w:val="center"/>
              <w:rPr>
                <w:rStyle w:val="DefaultParagraphFont"/>
                <w:snapToGrid/>
                <w:kern w:val="0"/>
                <w:sz w:val="20"/>
                <w:lang w:val="en-US" w:eastAsia="en-US" w:bidi="ar-SA"/>
              </w:rPr>
            </w:pPr>
            <w:r w:rsidRPr="00E6310C">
              <w:rPr>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7BB1BD9"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60284C77" w14:textId="17D959B4">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050A5C28" w14:textId="0853081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767</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97E25B9" w14:textId="746A089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59.6</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77A1713" w14:textId="22D83F1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0.843</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DC1FCC" w:rsidP="004E16D7" w14:paraId="21D43142" w14:textId="5CF9B5C4">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4.5%*</w:t>
            </w:r>
          </w:p>
        </w:tc>
      </w:tr>
      <w:tr w14:paraId="3879D0D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189D8D1A"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6F3ADA4F"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3FD60DEC"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1E0EF14" w14:textId="72BEFA90">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D408BA8" w14:textId="239F68C4">
            <w:pPr>
              <w:widowControl/>
              <w:suppressAutoHyphens/>
              <w:jc w:val="center"/>
              <w:rPr>
                <w:rStyle w:val="DefaultParagraphFont"/>
                <w:snapToGrid/>
                <w:kern w:val="0"/>
                <w:sz w:val="20"/>
                <w:lang w:val="en-US" w:eastAsia="en-US" w:bidi="ar-SA"/>
              </w:rPr>
            </w:pPr>
            <w:r>
              <w:rPr>
                <w:snapToGrid w:val="0"/>
                <w:kern w:val="28"/>
                <w:sz w:val="20"/>
                <w:lang w:val="en-US" w:eastAsia="en-US" w:bidi="ar-SA"/>
              </w:rPr>
              <w:t>752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03AB17B" w14:textId="3582E3D2">
            <w:pPr>
              <w:widowControl/>
              <w:suppressAutoHyphens/>
              <w:jc w:val="center"/>
              <w:rPr>
                <w:rStyle w:val="DefaultParagraphFont"/>
                <w:snapToGrid/>
                <w:kern w:val="0"/>
                <w:sz w:val="20"/>
                <w:lang w:val="en-US" w:eastAsia="en-US" w:bidi="ar-SA"/>
              </w:rPr>
            </w:pPr>
            <w:r>
              <w:rPr>
                <w:snapToGrid w:val="0"/>
                <w:kern w:val="28"/>
                <w:sz w:val="20"/>
                <w:lang w:val="en-US" w:eastAsia="en-US" w:bidi="ar-SA"/>
              </w:rPr>
              <w:t>57.0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6B7827D" w14:textId="796AC71A">
            <w:pPr>
              <w:widowControl/>
              <w:suppressAutoHyphens/>
              <w:jc w:val="center"/>
              <w:rPr>
                <w:rStyle w:val="DefaultParagraphFont"/>
                <w:snapToGrid/>
                <w:kern w:val="0"/>
                <w:sz w:val="20"/>
                <w:lang w:val="en-US" w:eastAsia="en-US" w:bidi="ar-SA"/>
              </w:rPr>
            </w:pPr>
            <w:r>
              <w:rPr>
                <w:snapToGrid w:val="0"/>
                <w:kern w:val="28"/>
                <w:sz w:val="20"/>
                <w:lang w:val="en-US" w:eastAsia="en-US" w:bidi="ar-SA"/>
              </w:rPr>
              <w:t>0.809</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5915E833" w14:textId="77777777">
            <w:pPr>
              <w:widowControl/>
              <w:suppressAutoHyphens/>
              <w:rPr>
                <w:rStyle w:val="DefaultParagraphFont"/>
                <w:b/>
                <w:bCs/>
                <w:snapToGrid/>
                <w:kern w:val="0"/>
                <w:sz w:val="20"/>
                <w:lang w:val="en-US" w:eastAsia="en-US" w:bidi="ar-SA"/>
              </w:rPr>
            </w:pPr>
          </w:p>
        </w:tc>
      </w:tr>
      <w:tr w14:paraId="6619D32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344E43B7"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39889B5F"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8BD67D3"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544DB1A" w14:textId="10652C28">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D9638EE" w14:textId="145BA9D0">
            <w:pPr>
              <w:widowControl/>
              <w:suppressAutoHyphens/>
              <w:jc w:val="center"/>
              <w:rPr>
                <w:rStyle w:val="DefaultParagraphFont"/>
                <w:snapToGrid/>
                <w:kern w:val="0"/>
                <w:sz w:val="20"/>
                <w:lang w:val="en-US" w:eastAsia="en-US" w:bidi="ar-SA"/>
              </w:rPr>
            </w:pPr>
            <w:r>
              <w:rPr>
                <w:snapToGrid w:val="0"/>
                <w:kern w:val="28"/>
                <w:sz w:val="20"/>
                <w:lang w:val="en-US" w:eastAsia="en-US" w:bidi="ar-SA"/>
              </w:rPr>
              <w:t>765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712DD0C" w14:textId="1B8E5BA5">
            <w:pPr>
              <w:widowControl/>
              <w:suppressAutoHyphens/>
              <w:jc w:val="center"/>
              <w:rPr>
                <w:rStyle w:val="DefaultParagraphFont"/>
                <w:snapToGrid/>
                <w:kern w:val="0"/>
                <w:sz w:val="20"/>
                <w:lang w:val="en-US" w:eastAsia="en-US" w:bidi="ar-SA"/>
              </w:rPr>
            </w:pPr>
            <w:r>
              <w:rPr>
                <w:snapToGrid w:val="0"/>
                <w:kern w:val="28"/>
                <w:sz w:val="20"/>
                <w:lang w:val="en-US" w:eastAsia="en-US" w:bidi="ar-SA"/>
              </w:rPr>
              <w:t>181.0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9B7065A" w14:textId="3F5E7C91">
            <w:pPr>
              <w:widowControl/>
              <w:suppressAutoHyphens/>
              <w:jc w:val="center"/>
              <w:rPr>
                <w:rStyle w:val="DefaultParagraphFont"/>
                <w:snapToGrid/>
                <w:kern w:val="0"/>
                <w:sz w:val="20"/>
                <w:lang w:val="en-US" w:eastAsia="en-US" w:bidi="ar-SA"/>
              </w:rPr>
            </w:pPr>
            <w:r>
              <w:rPr>
                <w:snapToGrid w:val="0"/>
                <w:kern w:val="28"/>
                <w:sz w:val="20"/>
                <w:lang w:val="en-US" w:eastAsia="en-US" w:bidi="ar-SA"/>
              </w:rPr>
              <w:t>1.610</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5D7B813C" w14:textId="26DDA649">
            <w:pPr>
              <w:widowControl/>
              <w:suppressAutoHyphens/>
              <w:jc w:val="center"/>
              <w:rPr>
                <w:rStyle w:val="DefaultParagraphFont"/>
                <w:snapToGrid/>
                <w:kern w:val="0"/>
                <w:sz w:val="20"/>
                <w:lang w:val="en-US" w:eastAsia="en-US" w:bidi="ar-SA"/>
              </w:rPr>
            </w:pPr>
            <w:r>
              <w:rPr>
                <w:snapToGrid w:val="0"/>
                <w:kern w:val="28"/>
                <w:sz w:val="20"/>
                <w:lang w:val="en-US" w:eastAsia="en-US" w:bidi="ar-SA"/>
              </w:rPr>
              <w:t>1.7%</w:t>
            </w:r>
          </w:p>
        </w:tc>
      </w:tr>
      <w:tr w14:paraId="56A245B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07C58E41"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40EF115B"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2E799D50"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A94C3F5" w14:textId="20410FAB">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82E42D5" w14:textId="7B02E218">
            <w:pPr>
              <w:widowControl/>
              <w:suppressAutoHyphens/>
              <w:jc w:val="center"/>
              <w:rPr>
                <w:rStyle w:val="DefaultParagraphFont"/>
                <w:snapToGrid/>
                <w:kern w:val="0"/>
                <w:sz w:val="20"/>
                <w:lang w:val="en-US" w:eastAsia="en-US" w:bidi="ar-SA"/>
              </w:rPr>
            </w:pPr>
            <w:r>
              <w:rPr>
                <w:snapToGrid w:val="0"/>
                <w:kern w:val="28"/>
                <w:sz w:val="20"/>
                <w:lang w:val="en-US" w:eastAsia="en-US" w:bidi="ar-SA"/>
              </w:rPr>
              <w:t>749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1C69B06" w14:textId="38A89DCB">
            <w:pPr>
              <w:widowControl/>
              <w:suppressAutoHyphens/>
              <w:jc w:val="center"/>
              <w:rPr>
                <w:rStyle w:val="DefaultParagraphFont"/>
                <w:snapToGrid/>
                <w:kern w:val="0"/>
                <w:sz w:val="20"/>
                <w:lang w:val="en-US" w:eastAsia="en-US" w:bidi="ar-SA"/>
              </w:rPr>
            </w:pPr>
            <w:r>
              <w:rPr>
                <w:snapToGrid w:val="0"/>
                <w:kern w:val="28"/>
                <w:sz w:val="20"/>
                <w:lang w:val="en-US" w:eastAsia="en-US" w:bidi="ar-SA"/>
              </w:rPr>
              <w:t>177.9</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B36377A" w14:textId="37BA3DF4">
            <w:pPr>
              <w:widowControl/>
              <w:suppressAutoHyphens/>
              <w:jc w:val="center"/>
              <w:rPr>
                <w:rStyle w:val="DefaultParagraphFont"/>
                <w:snapToGrid/>
                <w:kern w:val="0"/>
                <w:sz w:val="20"/>
                <w:lang w:val="en-US" w:eastAsia="en-US" w:bidi="ar-SA"/>
              </w:rPr>
            </w:pPr>
            <w:r>
              <w:rPr>
                <w:snapToGrid w:val="0"/>
                <w:kern w:val="28"/>
                <w:sz w:val="20"/>
                <w:lang w:val="en-US" w:eastAsia="en-US" w:bidi="ar-SA"/>
              </w:rPr>
              <w:t>1.595</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19FB3EBB" w14:textId="77777777">
            <w:pPr>
              <w:widowControl/>
              <w:suppressAutoHyphens/>
              <w:rPr>
                <w:rStyle w:val="DefaultParagraphFont"/>
                <w:snapToGrid/>
                <w:kern w:val="0"/>
                <w:sz w:val="20"/>
                <w:lang w:val="en-US" w:eastAsia="en-US" w:bidi="ar-SA"/>
              </w:rPr>
            </w:pPr>
          </w:p>
        </w:tc>
      </w:tr>
      <w:tr w14:paraId="3E5FBAE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2A58E5F4"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2F7A9A22"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D77D1B0"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8B3FD6A" w14:textId="7EE77EDF">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C0DB95A" w14:textId="11FB2AEC">
            <w:pPr>
              <w:widowControl/>
              <w:suppressAutoHyphens/>
              <w:jc w:val="center"/>
              <w:rPr>
                <w:rStyle w:val="DefaultParagraphFont"/>
                <w:snapToGrid/>
                <w:kern w:val="0"/>
                <w:sz w:val="20"/>
                <w:lang w:val="en-US" w:eastAsia="en-US" w:bidi="ar-SA"/>
              </w:rPr>
            </w:pPr>
            <w:r>
              <w:rPr>
                <w:snapToGrid w:val="0"/>
                <w:kern w:val="28"/>
                <w:sz w:val="20"/>
                <w:lang w:val="en-US" w:eastAsia="en-US" w:bidi="ar-SA"/>
              </w:rPr>
              <w:t>725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58C9679" w14:textId="6BAA6797">
            <w:pPr>
              <w:widowControl/>
              <w:suppressAutoHyphens/>
              <w:jc w:val="center"/>
              <w:rPr>
                <w:rStyle w:val="DefaultParagraphFont"/>
                <w:snapToGrid/>
                <w:kern w:val="0"/>
                <w:sz w:val="20"/>
                <w:lang w:val="en-US" w:eastAsia="en-US" w:bidi="ar-SA"/>
              </w:rPr>
            </w:pPr>
            <w:r>
              <w:rPr>
                <w:snapToGrid w:val="0"/>
                <w:kern w:val="28"/>
                <w:sz w:val="20"/>
                <w:lang w:val="en-US" w:eastAsia="en-US" w:bidi="ar-SA"/>
              </w:rPr>
              <w:t>262.7</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D758590" w14:textId="0354ED1E">
            <w:pPr>
              <w:widowControl/>
              <w:suppressAutoHyphens/>
              <w:jc w:val="center"/>
              <w:rPr>
                <w:rStyle w:val="DefaultParagraphFont"/>
                <w:snapToGrid/>
                <w:kern w:val="0"/>
                <w:sz w:val="20"/>
                <w:lang w:val="en-US" w:eastAsia="en-US" w:bidi="ar-SA"/>
              </w:rPr>
            </w:pPr>
            <w:r>
              <w:rPr>
                <w:snapToGrid w:val="0"/>
                <w:kern w:val="28"/>
                <w:sz w:val="20"/>
                <w:lang w:val="en-US" w:eastAsia="en-US" w:bidi="ar-SA"/>
              </w:rPr>
              <w:t>2.426</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1091A47B" w14:textId="6C1942AE">
            <w:pPr>
              <w:widowControl/>
              <w:suppressAutoHyphens/>
              <w:jc w:val="center"/>
              <w:rPr>
                <w:rStyle w:val="DefaultParagraphFont"/>
                <w:snapToGrid/>
                <w:kern w:val="0"/>
                <w:sz w:val="20"/>
                <w:lang w:val="en-US" w:eastAsia="en-US" w:bidi="ar-SA"/>
              </w:rPr>
            </w:pPr>
            <w:r>
              <w:rPr>
                <w:snapToGrid w:val="0"/>
                <w:kern w:val="28"/>
                <w:sz w:val="20"/>
                <w:lang w:val="en-US" w:eastAsia="en-US" w:bidi="ar-SA"/>
              </w:rPr>
              <w:t>1.6%</w:t>
            </w:r>
          </w:p>
        </w:tc>
      </w:tr>
      <w:tr w14:paraId="5D9CF0A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79912C6A"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5161E72D"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33EE8F2D"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61F7856A" w14:textId="2020028E">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FC62C11" w14:textId="070EB703">
            <w:pPr>
              <w:widowControl/>
              <w:suppressAutoHyphens/>
              <w:jc w:val="center"/>
              <w:rPr>
                <w:rStyle w:val="DefaultParagraphFont"/>
                <w:snapToGrid/>
                <w:kern w:val="0"/>
                <w:sz w:val="20"/>
                <w:lang w:val="en-US" w:eastAsia="en-US" w:bidi="ar-SA"/>
              </w:rPr>
            </w:pPr>
            <w:r>
              <w:rPr>
                <w:snapToGrid w:val="0"/>
                <w:kern w:val="28"/>
                <w:sz w:val="20"/>
                <w:lang w:val="en-US" w:eastAsia="en-US" w:bidi="ar-SA"/>
              </w:rPr>
              <w:t>711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0956BFC" w14:textId="5A8FB51F">
            <w:pPr>
              <w:widowControl/>
              <w:suppressAutoHyphens/>
              <w:jc w:val="center"/>
              <w:rPr>
                <w:rStyle w:val="DefaultParagraphFont"/>
                <w:snapToGrid/>
                <w:kern w:val="0"/>
                <w:sz w:val="20"/>
                <w:lang w:val="en-US" w:eastAsia="en-US" w:bidi="ar-SA"/>
              </w:rPr>
            </w:pPr>
            <w:r>
              <w:rPr>
                <w:snapToGrid w:val="0"/>
                <w:kern w:val="28"/>
                <w:sz w:val="20"/>
                <w:lang w:val="en-US" w:eastAsia="en-US" w:bidi="ar-SA"/>
              </w:rPr>
              <w:t>258.5</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F5C53ED" w14:textId="56244798">
            <w:pPr>
              <w:widowControl/>
              <w:suppressAutoHyphens/>
              <w:jc w:val="center"/>
              <w:rPr>
                <w:rStyle w:val="DefaultParagraphFont"/>
                <w:snapToGrid/>
                <w:kern w:val="0"/>
                <w:sz w:val="20"/>
                <w:lang w:val="en-US" w:eastAsia="en-US" w:bidi="ar-SA"/>
              </w:rPr>
            </w:pPr>
            <w:r>
              <w:rPr>
                <w:snapToGrid w:val="0"/>
                <w:kern w:val="28"/>
                <w:sz w:val="20"/>
                <w:lang w:val="en-US" w:eastAsia="en-US" w:bidi="ar-SA"/>
              </w:rPr>
              <w:t>2.402</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340C7979" w14:textId="77777777">
            <w:pPr>
              <w:widowControl/>
              <w:suppressAutoHyphens/>
              <w:rPr>
                <w:rStyle w:val="DefaultParagraphFont"/>
                <w:snapToGrid/>
                <w:kern w:val="0"/>
                <w:sz w:val="20"/>
                <w:lang w:val="en-US" w:eastAsia="en-US" w:bidi="ar-SA"/>
              </w:rPr>
            </w:pPr>
          </w:p>
        </w:tc>
      </w:tr>
      <w:tr w14:paraId="3991F539"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ED7F5C" w:rsidP="004E16D7" w14:paraId="33AEE01D" w14:textId="56D8759A">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Non</w:t>
            </w:r>
            <w:r>
              <w:rPr>
                <w:b/>
                <w:bCs/>
                <w:snapToGrid/>
                <w:kern w:val="0"/>
                <w:sz w:val="20"/>
                <w:lang w:val="en-US" w:eastAsia="en-US" w:bidi="ar-SA"/>
              </w:rPr>
              <w:t>-</w:t>
            </w:r>
          </w:p>
          <w:p w:rsidR="00ED7F5C" w:rsidP="004E16D7" w14:paraId="49247035" w14:textId="6D6AC99C">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Competitive</w:t>
            </w:r>
          </w:p>
          <w:p w:rsidR="00ED7F5C" w:rsidRPr="00E6310C" w:rsidP="004E16D7" w14:paraId="68C8D40A" w14:textId="34C56161">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Group</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E6310C" w:rsidP="004E16D7" w14:paraId="7B7B6543" w14:textId="77777777">
            <w:pPr>
              <w:widowControl/>
              <w:suppressAutoHyphens/>
              <w:jc w:val="center"/>
              <w:rPr>
                <w:rStyle w:val="DefaultParagraphFont"/>
                <w:snapToGrid/>
                <w:kern w:val="0"/>
                <w:sz w:val="20"/>
                <w:lang w:val="en-US" w:eastAsia="en-US" w:bidi="ar-SA"/>
              </w:rPr>
            </w:pPr>
            <w:r w:rsidRPr="00E6310C">
              <w:rPr>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7E8AF2E"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44954AA8" w14:textId="48DB6A2F">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2E5DEBCB" w14:textId="2485705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452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42B9FA3" w14:textId="2E342063">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53.6</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89828B2" w14:textId="20CB3AD4">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1.133</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DC1FCC" w:rsidP="004E16D7" w14:paraId="005E37DE" w14:textId="2F9C87B8">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5.3%</w:t>
            </w:r>
          </w:p>
        </w:tc>
      </w:tr>
      <w:tr w14:paraId="14E919D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2F7960AE"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5E7EB452"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3DD8A813"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3BB4A52A" w14:textId="230F7A3C">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C3101F2" w14:textId="23D101DA">
            <w:pPr>
              <w:widowControl/>
              <w:suppressAutoHyphens/>
              <w:jc w:val="center"/>
              <w:rPr>
                <w:rStyle w:val="DefaultParagraphFont"/>
                <w:snapToGrid/>
                <w:kern w:val="0"/>
                <w:sz w:val="20"/>
                <w:lang w:val="en-US" w:eastAsia="en-US" w:bidi="ar-SA"/>
              </w:rPr>
            </w:pPr>
            <w:r>
              <w:rPr>
                <w:snapToGrid w:val="0"/>
                <w:kern w:val="28"/>
                <w:sz w:val="20"/>
                <w:lang w:val="en-US" w:eastAsia="en-US" w:bidi="ar-SA"/>
              </w:rPr>
              <w:t>440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F24518B" w14:textId="2440C890">
            <w:pPr>
              <w:widowControl/>
              <w:suppressAutoHyphens/>
              <w:jc w:val="center"/>
              <w:rPr>
                <w:rStyle w:val="DefaultParagraphFont"/>
                <w:snapToGrid/>
                <w:kern w:val="0"/>
                <w:sz w:val="20"/>
                <w:lang w:val="en-US" w:eastAsia="en-US" w:bidi="ar-SA"/>
              </w:rPr>
            </w:pPr>
            <w:r>
              <w:rPr>
                <w:snapToGrid w:val="0"/>
                <w:kern w:val="28"/>
                <w:sz w:val="20"/>
                <w:lang w:val="en-US" w:eastAsia="en-US" w:bidi="ar-SA"/>
              </w:rPr>
              <w:t>50.9</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F5916EA" w14:textId="645AF0E9">
            <w:pPr>
              <w:widowControl/>
              <w:suppressAutoHyphens/>
              <w:jc w:val="center"/>
              <w:rPr>
                <w:rStyle w:val="DefaultParagraphFont"/>
                <w:snapToGrid/>
                <w:kern w:val="0"/>
                <w:sz w:val="20"/>
                <w:lang w:val="en-US" w:eastAsia="en-US" w:bidi="ar-SA"/>
              </w:rPr>
            </w:pPr>
            <w:r>
              <w:rPr>
                <w:snapToGrid w:val="0"/>
                <w:kern w:val="28"/>
                <w:sz w:val="20"/>
                <w:lang w:val="en-US" w:eastAsia="en-US" w:bidi="ar-SA"/>
              </w:rPr>
              <w:t>1.098</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27D0EB8C" w14:textId="77777777">
            <w:pPr>
              <w:widowControl/>
              <w:suppressAutoHyphens/>
              <w:rPr>
                <w:rStyle w:val="DefaultParagraphFont"/>
                <w:b/>
                <w:bCs/>
                <w:snapToGrid/>
                <w:kern w:val="0"/>
                <w:sz w:val="20"/>
                <w:lang w:val="en-US" w:eastAsia="en-US" w:bidi="ar-SA"/>
              </w:rPr>
            </w:pPr>
          </w:p>
        </w:tc>
      </w:tr>
      <w:tr w14:paraId="70B6224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4D917851"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60C19723"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DD00023"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FA24A88" w14:textId="0FD9081E">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0121B27" w14:textId="141928D7">
            <w:pPr>
              <w:widowControl/>
              <w:suppressAutoHyphens/>
              <w:jc w:val="center"/>
              <w:rPr>
                <w:rStyle w:val="DefaultParagraphFont"/>
                <w:snapToGrid/>
                <w:kern w:val="0"/>
                <w:sz w:val="20"/>
                <w:lang w:val="en-US" w:eastAsia="en-US" w:bidi="ar-SA"/>
              </w:rPr>
            </w:pPr>
            <w:r>
              <w:rPr>
                <w:snapToGrid w:val="0"/>
                <w:kern w:val="28"/>
                <w:sz w:val="20"/>
                <w:lang w:val="en-US" w:eastAsia="en-US" w:bidi="ar-SA"/>
              </w:rPr>
              <w:t>450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1A84F2E" w14:textId="24406D97">
            <w:pPr>
              <w:widowControl/>
              <w:suppressAutoHyphens/>
              <w:jc w:val="center"/>
              <w:rPr>
                <w:rStyle w:val="DefaultParagraphFont"/>
                <w:snapToGrid/>
                <w:kern w:val="0"/>
                <w:sz w:val="20"/>
                <w:lang w:val="en-US" w:eastAsia="en-US" w:bidi="ar-SA"/>
              </w:rPr>
            </w:pPr>
            <w:r>
              <w:rPr>
                <w:snapToGrid w:val="0"/>
                <w:kern w:val="28"/>
                <w:sz w:val="20"/>
                <w:lang w:val="en-US" w:eastAsia="en-US" w:bidi="ar-SA"/>
              </w:rPr>
              <w:t>167.9</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0F27167" w14:textId="56B8F725">
            <w:pPr>
              <w:widowControl/>
              <w:suppressAutoHyphens/>
              <w:jc w:val="center"/>
              <w:rPr>
                <w:rStyle w:val="DefaultParagraphFont"/>
                <w:snapToGrid/>
                <w:kern w:val="0"/>
                <w:sz w:val="20"/>
                <w:lang w:val="en-US" w:eastAsia="en-US" w:bidi="ar-SA"/>
              </w:rPr>
            </w:pPr>
            <w:r>
              <w:rPr>
                <w:snapToGrid w:val="0"/>
                <w:kern w:val="28"/>
                <w:sz w:val="20"/>
                <w:lang w:val="en-US" w:eastAsia="en-US" w:bidi="ar-SA"/>
              </w:rPr>
              <w:t>2.485</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2FF54DCB" w14:textId="10EE369D">
            <w:pPr>
              <w:widowControl/>
              <w:suppressAutoHyphens/>
              <w:jc w:val="center"/>
              <w:rPr>
                <w:rStyle w:val="DefaultParagraphFont"/>
                <w:snapToGrid/>
                <w:kern w:val="0"/>
                <w:sz w:val="20"/>
                <w:lang w:val="en-US" w:eastAsia="en-US" w:bidi="ar-SA"/>
              </w:rPr>
            </w:pPr>
            <w:r>
              <w:rPr>
                <w:snapToGrid w:val="0"/>
                <w:kern w:val="28"/>
                <w:sz w:val="20"/>
                <w:lang w:val="en-US" w:eastAsia="en-US" w:bidi="ar-SA"/>
              </w:rPr>
              <w:t>1.7%</w:t>
            </w:r>
          </w:p>
        </w:tc>
      </w:tr>
      <w:tr w14:paraId="00AA083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164D430D"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2D1213FA"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299537E3"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5C8DBFAD" w14:textId="1DB1D54B">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4FF433D" w14:textId="4A5050D3">
            <w:pPr>
              <w:widowControl/>
              <w:suppressAutoHyphens/>
              <w:jc w:val="center"/>
              <w:rPr>
                <w:rStyle w:val="DefaultParagraphFont"/>
                <w:snapToGrid/>
                <w:kern w:val="0"/>
                <w:sz w:val="20"/>
                <w:lang w:val="en-US" w:eastAsia="en-US" w:bidi="ar-SA"/>
              </w:rPr>
            </w:pPr>
            <w:r>
              <w:rPr>
                <w:snapToGrid w:val="0"/>
                <w:kern w:val="28"/>
                <w:sz w:val="20"/>
                <w:lang w:val="en-US" w:eastAsia="en-US" w:bidi="ar-SA"/>
              </w:rPr>
              <w:t>438</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FC34A83" w14:textId="0639796F">
            <w:pPr>
              <w:widowControl/>
              <w:suppressAutoHyphens/>
              <w:jc w:val="center"/>
              <w:rPr>
                <w:rStyle w:val="DefaultParagraphFont"/>
                <w:snapToGrid/>
                <w:kern w:val="0"/>
                <w:sz w:val="20"/>
                <w:lang w:val="en-US" w:eastAsia="en-US" w:bidi="ar-SA"/>
              </w:rPr>
            </w:pPr>
            <w:r>
              <w:rPr>
                <w:snapToGrid w:val="0"/>
                <w:kern w:val="28"/>
                <w:sz w:val="20"/>
                <w:lang w:val="en-US" w:eastAsia="en-US" w:bidi="ar-SA"/>
              </w:rPr>
              <w:t>165.0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20E44C7" w14:textId="65F45570">
            <w:pPr>
              <w:widowControl/>
              <w:suppressAutoHyphens/>
              <w:jc w:val="center"/>
              <w:rPr>
                <w:rStyle w:val="DefaultParagraphFont"/>
                <w:snapToGrid/>
                <w:kern w:val="0"/>
                <w:sz w:val="20"/>
                <w:lang w:val="en-US" w:eastAsia="en-US" w:bidi="ar-SA"/>
              </w:rPr>
            </w:pPr>
            <w:r>
              <w:rPr>
                <w:snapToGrid w:val="0"/>
                <w:kern w:val="28"/>
                <w:sz w:val="20"/>
                <w:lang w:val="en-US" w:eastAsia="en-US" w:bidi="ar-SA"/>
              </w:rPr>
              <w:t>2.481</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0871612F" w14:textId="77777777">
            <w:pPr>
              <w:widowControl/>
              <w:suppressAutoHyphens/>
              <w:rPr>
                <w:rStyle w:val="DefaultParagraphFont"/>
                <w:snapToGrid/>
                <w:kern w:val="0"/>
                <w:sz w:val="20"/>
                <w:lang w:val="en-US" w:eastAsia="en-US" w:bidi="ar-SA"/>
              </w:rPr>
            </w:pPr>
          </w:p>
        </w:tc>
      </w:tr>
      <w:tr w14:paraId="43BB751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1609EC0B"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15B10F1B"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49D4B20"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6157D151" w14:textId="697E99C7">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1060BE9" w14:textId="38DE5D4E">
            <w:pPr>
              <w:widowControl/>
              <w:suppressAutoHyphens/>
              <w:jc w:val="center"/>
              <w:rPr>
                <w:rStyle w:val="DefaultParagraphFont"/>
                <w:snapToGrid/>
                <w:kern w:val="0"/>
                <w:sz w:val="20"/>
                <w:lang w:val="en-US" w:eastAsia="en-US" w:bidi="ar-SA"/>
              </w:rPr>
            </w:pPr>
            <w:r>
              <w:rPr>
                <w:snapToGrid w:val="0"/>
                <w:kern w:val="28"/>
                <w:sz w:val="20"/>
                <w:lang w:val="en-US" w:eastAsia="en-US" w:bidi="ar-SA"/>
              </w:rPr>
              <w:t>410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003AA4E" w14:textId="45AE5666">
            <w:pPr>
              <w:widowControl/>
              <w:suppressAutoHyphens/>
              <w:jc w:val="center"/>
              <w:rPr>
                <w:rStyle w:val="DefaultParagraphFont"/>
                <w:snapToGrid/>
                <w:kern w:val="0"/>
                <w:sz w:val="20"/>
                <w:lang w:val="en-US" w:eastAsia="en-US" w:bidi="ar-SA"/>
              </w:rPr>
            </w:pPr>
            <w:r>
              <w:rPr>
                <w:snapToGrid w:val="0"/>
                <w:kern w:val="28"/>
                <w:sz w:val="20"/>
                <w:lang w:val="en-US" w:eastAsia="en-US" w:bidi="ar-SA"/>
              </w:rPr>
              <w:t>247.5</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7A9692D" w14:textId="4C355175">
            <w:pPr>
              <w:widowControl/>
              <w:suppressAutoHyphens/>
              <w:jc w:val="center"/>
              <w:rPr>
                <w:rStyle w:val="DefaultParagraphFont"/>
                <w:snapToGrid/>
                <w:kern w:val="0"/>
                <w:sz w:val="20"/>
                <w:lang w:val="en-US" w:eastAsia="en-US" w:bidi="ar-SA"/>
              </w:rPr>
            </w:pPr>
            <w:r>
              <w:rPr>
                <w:snapToGrid w:val="0"/>
                <w:kern w:val="28"/>
                <w:sz w:val="20"/>
                <w:lang w:val="en-US" w:eastAsia="en-US" w:bidi="ar-SA"/>
              </w:rPr>
              <w:t>3.403</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0934A570" w14:textId="3482DD81">
            <w:pPr>
              <w:widowControl/>
              <w:suppressAutoHyphens/>
              <w:jc w:val="center"/>
              <w:rPr>
                <w:rStyle w:val="DefaultParagraphFont"/>
                <w:snapToGrid/>
                <w:kern w:val="0"/>
                <w:sz w:val="20"/>
                <w:lang w:val="en-US" w:eastAsia="en-US" w:bidi="ar-SA"/>
              </w:rPr>
            </w:pPr>
            <w:r>
              <w:rPr>
                <w:snapToGrid w:val="0"/>
                <w:kern w:val="28"/>
                <w:sz w:val="20"/>
                <w:lang w:val="en-US" w:eastAsia="en-US" w:bidi="ar-SA"/>
              </w:rPr>
              <w:t>1.9%</w:t>
            </w:r>
          </w:p>
        </w:tc>
      </w:tr>
      <w:tr w14:paraId="4CC43C9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4" w:space="0" w:color="auto"/>
              <w:right w:val="single" w:sz="4" w:space="0" w:color="auto"/>
            </w:tcBorders>
            <w:vAlign w:val="center"/>
            <w:hideMark/>
          </w:tcPr>
          <w:p w:rsidR="00ED7F5C" w:rsidRPr="00E6310C" w:rsidP="004E16D7" w14:paraId="0988683A"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51131D43"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655662E9"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3E1D811A" w14:textId="1B787C33">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CEE90F9" w14:textId="78417E4D">
            <w:pPr>
              <w:widowControl/>
              <w:suppressAutoHyphens/>
              <w:jc w:val="center"/>
              <w:rPr>
                <w:rStyle w:val="DefaultParagraphFont"/>
                <w:snapToGrid/>
                <w:kern w:val="0"/>
                <w:sz w:val="20"/>
                <w:lang w:val="en-US" w:eastAsia="en-US" w:bidi="ar-SA"/>
              </w:rPr>
            </w:pPr>
            <w:r>
              <w:rPr>
                <w:snapToGrid w:val="0"/>
                <w:kern w:val="28"/>
                <w:sz w:val="20"/>
                <w:lang w:val="en-US" w:eastAsia="en-US" w:bidi="ar-SA"/>
              </w:rPr>
              <w:t>401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73C61B8" w14:textId="03973EA5">
            <w:pPr>
              <w:widowControl/>
              <w:suppressAutoHyphens/>
              <w:jc w:val="center"/>
              <w:rPr>
                <w:rStyle w:val="DefaultParagraphFont"/>
                <w:snapToGrid/>
                <w:kern w:val="0"/>
                <w:sz w:val="20"/>
                <w:lang w:val="en-US" w:eastAsia="en-US" w:bidi="ar-SA"/>
              </w:rPr>
            </w:pPr>
            <w:r>
              <w:rPr>
                <w:snapToGrid w:val="0"/>
                <w:kern w:val="28"/>
                <w:sz w:val="20"/>
                <w:lang w:val="en-US" w:eastAsia="en-US" w:bidi="ar-SA"/>
              </w:rPr>
              <w:t>243.0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27DB1B4" w14:textId="5C4AFE5B">
            <w:pPr>
              <w:widowControl/>
              <w:suppressAutoHyphens/>
              <w:jc w:val="center"/>
              <w:rPr>
                <w:rStyle w:val="DefaultParagraphFont"/>
                <w:snapToGrid/>
                <w:kern w:val="0"/>
                <w:sz w:val="20"/>
                <w:lang w:val="en-US" w:eastAsia="en-US" w:bidi="ar-SA"/>
              </w:rPr>
            </w:pPr>
            <w:r>
              <w:rPr>
                <w:snapToGrid w:val="0"/>
                <w:kern w:val="28"/>
                <w:sz w:val="20"/>
                <w:lang w:val="en-US" w:eastAsia="en-US" w:bidi="ar-SA"/>
              </w:rPr>
              <w:t>3.305</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4B170268" w14:textId="77777777">
            <w:pPr>
              <w:widowControl/>
              <w:suppressAutoHyphens/>
              <w:rPr>
                <w:rStyle w:val="DefaultParagraphFont"/>
                <w:snapToGrid/>
                <w:kern w:val="0"/>
                <w:sz w:val="20"/>
                <w:lang w:val="en-US" w:eastAsia="en-US" w:bidi="ar-SA"/>
              </w:rPr>
            </w:pPr>
          </w:p>
        </w:tc>
      </w:tr>
      <w:tr w14:paraId="7AEB239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val="restart"/>
            <w:tcBorders>
              <w:top w:val="nil"/>
              <w:left w:val="single" w:sz="8" w:space="0" w:color="auto"/>
              <w:bottom w:val="single" w:sz="8" w:space="0" w:color="000000"/>
              <w:right w:val="single" w:sz="4" w:space="0" w:color="auto"/>
            </w:tcBorders>
            <w:shd w:val="clear" w:color="auto" w:fill="auto"/>
            <w:vAlign w:val="center"/>
            <w:hideMark/>
          </w:tcPr>
          <w:p w:rsidR="00ED7F5C" w:rsidP="004E16D7" w14:paraId="35F4519D" w14:textId="77777777">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Effective</w:t>
            </w:r>
          </w:p>
          <w:p w:rsidR="00ED7F5C" w:rsidP="004E16D7" w14:paraId="13359BE2" w14:textId="77777777">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Competition</w:t>
            </w:r>
          </w:p>
          <w:p w:rsidR="00ED7F5C" w:rsidRPr="00E6310C" w:rsidP="004E16D7" w14:paraId="1F54C9B7" w14:textId="0AA9F82F">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Group</w:t>
            </w: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E6310C" w:rsidP="004E16D7" w14:paraId="12CB440E" w14:textId="77777777">
            <w:pPr>
              <w:widowControl/>
              <w:suppressAutoHyphens/>
              <w:jc w:val="center"/>
              <w:rPr>
                <w:rStyle w:val="DefaultParagraphFont"/>
                <w:snapToGrid/>
                <w:kern w:val="0"/>
                <w:sz w:val="20"/>
                <w:lang w:val="en-US" w:eastAsia="en-US" w:bidi="ar-SA"/>
              </w:rPr>
            </w:pPr>
            <w:r w:rsidRPr="00E6310C">
              <w:rPr>
                <w:snapToGrid/>
                <w:kern w:val="0"/>
                <w:sz w:val="20"/>
                <w:lang w:val="en-US" w:eastAsia="en-US" w:bidi="ar-SA"/>
              </w:rPr>
              <w: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AFE8702"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318E1ADD" w14:textId="440CCEA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33A96089" w14:textId="3A610EEC">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315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03E92FDB" w14:textId="3886524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66.1</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23DD8DFF" w14:textId="140FE9EE">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1.226</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DC1FCC" w:rsidP="004E16D7" w14:paraId="059D3446" w14:textId="418E0B6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3.9%</w:t>
            </w:r>
          </w:p>
        </w:tc>
      </w:tr>
      <w:tr w14:paraId="1E7DB6C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29C1409B"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75D851BF"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06C50B9E"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505B705C" w14:textId="01585440">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EF24998" w14:textId="34A4C8F5">
            <w:pPr>
              <w:widowControl/>
              <w:suppressAutoHyphens/>
              <w:jc w:val="center"/>
              <w:rPr>
                <w:rStyle w:val="DefaultParagraphFont"/>
                <w:snapToGrid/>
                <w:kern w:val="0"/>
                <w:sz w:val="20"/>
                <w:lang w:val="en-US" w:eastAsia="en-US" w:bidi="ar-SA"/>
              </w:rPr>
            </w:pPr>
            <w:r>
              <w:rPr>
                <w:snapToGrid w:val="0"/>
                <w:kern w:val="28"/>
                <w:sz w:val="20"/>
                <w:lang w:val="en-US" w:eastAsia="en-US" w:bidi="ar-SA"/>
              </w:rPr>
              <w:t>312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FFE33B3" w14:textId="30BE3134">
            <w:pPr>
              <w:widowControl/>
              <w:suppressAutoHyphens/>
              <w:jc w:val="center"/>
              <w:rPr>
                <w:rStyle w:val="DefaultParagraphFont"/>
                <w:snapToGrid/>
                <w:kern w:val="0"/>
                <w:sz w:val="20"/>
                <w:lang w:val="en-US" w:eastAsia="en-US" w:bidi="ar-SA"/>
              </w:rPr>
            </w:pPr>
            <w:r>
              <w:rPr>
                <w:snapToGrid w:val="0"/>
                <w:kern w:val="28"/>
                <w:sz w:val="20"/>
                <w:lang w:val="en-US" w:eastAsia="en-US" w:bidi="ar-SA"/>
              </w:rPr>
              <w:t>63.6</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6120796" w14:textId="0B7260D6">
            <w:pPr>
              <w:widowControl/>
              <w:suppressAutoHyphens/>
              <w:jc w:val="center"/>
              <w:rPr>
                <w:rStyle w:val="DefaultParagraphFont"/>
                <w:snapToGrid/>
                <w:kern w:val="0"/>
                <w:sz w:val="20"/>
                <w:lang w:val="en-US" w:eastAsia="en-US" w:bidi="ar-SA"/>
              </w:rPr>
            </w:pPr>
            <w:r>
              <w:rPr>
                <w:snapToGrid w:val="0"/>
                <w:kern w:val="28"/>
                <w:sz w:val="20"/>
                <w:lang w:val="en-US" w:eastAsia="en-US" w:bidi="ar-SA"/>
              </w:rPr>
              <w:t>1.159</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1CB9C9C1" w14:textId="77777777">
            <w:pPr>
              <w:widowControl/>
              <w:suppressAutoHyphens/>
              <w:rPr>
                <w:rStyle w:val="DefaultParagraphFont"/>
                <w:b/>
                <w:bCs/>
                <w:snapToGrid/>
                <w:kern w:val="0"/>
                <w:sz w:val="20"/>
                <w:lang w:val="en-US" w:eastAsia="en-US" w:bidi="ar-SA"/>
              </w:rPr>
            </w:pPr>
          </w:p>
        </w:tc>
      </w:tr>
      <w:tr w14:paraId="26988C3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57DA871A"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757DC5DC"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51C8BD2"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632CDDB7" w14:textId="3DF9B1C5">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B429B02" w14:textId="2F25A15B">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5417A49" w14:textId="51ABE67E">
            <w:pPr>
              <w:widowControl/>
              <w:suppressAutoHyphens/>
              <w:jc w:val="center"/>
              <w:rPr>
                <w:rStyle w:val="DefaultParagraphFont"/>
                <w:snapToGrid/>
                <w:kern w:val="0"/>
                <w:sz w:val="20"/>
                <w:lang w:val="en-US" w:eastAsia="en-US" w:bidi="ar-SA"/>
              </w:rPr>
            </w:pPr>
            <w:r>
              <w:rPr>
                <w:snapToGrid w:val="0"/>
                <w:kern w:val="28"/>
                <w:sz w:val="20"/>
                <w:lang w:val="en-US" w:eastAsia="en-US" w:bidi="ar-SA"/>
              </w:rPr>
              <w:t>195.2</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BFD2533" w14:textId="4AB63FB9">
            <w:pPr>
              <w:widowControl/>
              <w:suppressAutoHyphens/>
              <w:jc w:val="center"/>
              <w:rPr>
                <w:rStyle w:val="DefaultParagraphFont"/>
                <w:snapToGrid/>
                <w:kern w:val="0"/>
                <w:sz w:val="20"/>
                <w:lang w:val="en-US" w:eastAsia="en-US" w:bidi="ar-SA"/>
              </w:rPr>
            </w:pPr>
            <w:r>
              <w:rPr>
                <w:snapToGrid w:val="0"/>
                <w:kern w:val="28"/>
                <w:sz w:val="20"/>
                <w:lang w:val="en-US" w:eastAsia="en-US" w:bidi="ar-SA"/>
              </w:rPr>
              <w:t>1.939</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4988F7D5" w14:textId="4CB76EC7">
            <w:pPr>
              <w:widowControl/>
              <w:suppressAutoHyphens/>
              <w:jc w:val="center"/>
              <w:rPr>
                <w:rStyle w:val="DefaultParagraphFont"/>
                <w:snapToGrid/>
                <w:kern w:val="0"/>
                <w:sz w:val="20"/>
                <w:lang w:val="en-US" w:eastAsia="en-US" w:bidi="ar-SA"/>
              </w:rPr>
            </w:pPr>
            <w:r>
              <w:rPr>
                <w:snapToGrid w:val="0"/>
                <w:kern w:val="28"/>
                <w:sz w:val="20"/>
                <w:lang w:val="en-US" w:eastAsia="en-US" w:bidi="ar-SA"/>
              </w:rPr>
              <w:t>1.8%</w:t>
            </w:r>
          </w:p>
        </w:tc>
      </w:tr>
      <w:tr w14:paraId="207E131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4547A153"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6804BF59"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192D9D24"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5F21F76" w14:textId="3421A894">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4AD99E1" w14:textId="0A4CF8E8">
            <w:pPr>
              <w:widowControl/>
              <w:suppressAutoHyphens/>
              <w:jc w:val="center"/>
              <w:rPr>
                <w:rStyle w:val="DefaultParagraphFont"/>
                <w:snapToGrid/>
                <w:kern w:val="0"/>
                <w:sz w:val="20"/>
                <w:lang w:val="en-US" w:eastAsia="en-US" w:bidi="ar-SA"/>
              </w:rPr>
            </w:pPr>
            <w:r>
              <w:rPr>
                <w:snapToGrid w:val="0"/>
                <w:kern w:val="28"/>
                <w:sz w:val="20"/>
                <w:lang w:val="en-US" w:eastAsia="en-US" w:bidi="ar-SA"/>
              </w:rPr>
              <w:t>311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2F5266E" w14:textId="45F5862B">
            <w:pPr>
              <w:widowControl/>
              <w:suppressAutoHyphens/>
              <w:jc w:val="center"/>
              <w:rPr>
                <w:rStyle w:val="DefaultParagraphFont"/>
                <w:snapToGrid/>
                <w:kern w:val="0"/>
                <w:sz w:val="20"/>
                <w:lang w:val="en-US" w:eastAsia="en-US" w:bidi="ar-SA"/>
              </w:rPr>
            </w:pPr>
            <w:r>
              <w:rPr>
                <w:snapToGrid w:val="0"/>
                <w:kern w:val="28"/>
                <w:sz w:val="20"/>
                <w:lang w:val="en-US" w:eastAsia="en-US" w:bidi="ar-SA"/>
              </w:rPr>
              <w:t>191.7</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1D00DB3" w14:textId="7728E7B3">
            <w:pPr>
              <w:widowControl/>
              <w:suppressAutoHyphens/>
              <w:jc w:val="center"/>
              <w:rPr>
                <w:rStyle w:val="DefaultParagraphFont"/>
                <w:snapToGrid/>
                <w:kern w:val="0"/>
                <w:sz w:val="20"/>
                <w:lang w:val="en-US" w:eastAsia="en-US" w:bidi="ar-SA"/>
              </w:rPr>
            </w:pPr>
            <w:r>
              <w:rPr>
                <w:snapToGrid w:val="0"/>
                <w:kern w:val="28"/>
                <w:sz w:val="20"/>
                <w:lang w:val="en-US" w:eastAsia="en-US" w:bidi="ar-SA"/>
              </w:rPr>
              <w:t>1.890</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75AA474C" w14:textId="77777777">
            <w:pPr>
              <w:widowControl/>
              <w:suppressAutoHyphens/>
              <w:rPr>
                <w:rStyle w:val="DefaultParagraphFont"/>
                <w:snapToGrid/>
                <w:kern w:val="0"/>
                <w:sz w:val="20"/>
                <w:lang w:val="en-US" w:eastAsia="en-US" w:bidi="ar-SA"/>
              </w:rPr>
            </w:pPr>
          </w:p>
        </w:tc>
      </w:tr>
      <w:tr w14:paraId="2B260E23"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1FAF232A"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1CE4B284" w14:textId="77777777">
            <w:pPr>
              <w:widowControl/>
              <w:suppressAutoHyphens/>
              <w:rPr>
                <w:rStyle w:val="DefaultParagraphFont"/>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CA12488"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D034030" w14:textId="774DB430">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0C22F8E" w14:textId="7B068082">
            <w:pPr>
              <w:widowControl/>
              <w:suppressAutoHyphens/>
              <w:jc w:val="center"/>
              <w:rPr>
                <w:rStyle w:val="DefaultParagraphFont"/>
                <w:snapToGrid/>
                <w:kern w:val="0"/>
                <w:sz w:val="20"/>
                <w:lang w:val="en-US" w:eastAsia="en-US" w:bidi="ar-SA"/>
              </w:rPr>
            </w:pPr>
            <w:r>
              <w:rPr>
                <w:snapToGrid w:val="0"/>
                <w:kern w:val="28"/>
                <w:sz w:val="20"/>
                <w:lang w:val="en-US" w:eastAsia="en-US" w:bidi="ar-SA"/>
              </w:rPr>
              <w:t>315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4A72450" w14:textId="437CEACB">
            <w:pPr>
              <w:widowControl/>
              <w:suppressAutoHyphens/>
              <w:jc w:val="center"/>
              <w:rPr>
                <w:rStyle w:val="DefaultParagraphFont"/>
                <w:snapToGrid/>
                <w:kern w:val="0"/>
                <w:sz w:val="20"/>
                <w:lang w:val="en-US" w:eastAsia="en-US" w:bidi="ar-SA"/>
              </w:rPr>
            </w:pPr>
            <w:r>
              <w:rPr>
                <w:snapToGrid w:val="0"/>
                <w:kern w:val="28"/>
                <w:sz w:val="20"/>
                <w:lang w:val="en-US" w:eastAsia="en-US" w:bidi="ar-SA"/>
              </w:rPr>
              <w:t>278.4</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B290713" w14:textId="2A48596B">
            <w:pPr>
              <w:widowControl/>
              <w:suppressAutoHyphens/>
              <w:jc w:val="center"/>
              <w:rPr>
                <w:rStyle w:val="DefaultParagraphFont"/>
                <w:snapToGrid/>
                <w:kern w:val="0"/>
                <w:sz w:val="20"/>
                <w:lang w:val="en-US" w:eastAsia="en-US" w:bidi="ar-SA"/>
              </w:rPr>
            </w:pPr>
            <w:r>
              <w:rPr>
                <w:snapToGrid w:val="0"/>
                <w:kern w:val="28"/>
                <w:sz w:val="20"/>
                <w:lang w:val="en-US" w:eastAsia="en-US" w:bidi="ar-SA"/>
              </w:rPr>
              <w:t>3.431</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600140F6" w14:textId="349B3863">
            <w:pPr>
              <w:widowControl/>
              <w:suppressAutoHyphens/>
              <w:jc w:val="center"/>
              <w:rPr>
                <w:rStyle w:val="DefaultParagraphFont"/>
                <w:snapToGrid/>
                <w:kern w:val="0"/>
                <w:sz w:val="20"/>
                <w:lang w:val="en-US" w:eastAsia="en-US" w:bidi="ar-SA"/>
              </w:rPr>
            </w:pPr>
            <w:r>
              <w:rPr>
                <w:snapToGrid w:val="0"/>
                <w:kern w:val="28"/>
                <w:sz w:val="20"/>
                <w:lang w:val="en-US" w:eastAsia="en-US" w:bidi="ar-SA"/>
              </w:rPr>
              <w:t>1.4%</w:t>
            </w:r>
          </w:p>
        </w:tc>
      </w:tr>
      <w:tr w14:paraId="7645AB5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DF91659"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07DB5909" w14:textId="77777777">
            <w:pPr>
              <w:widowControl/>
              <w:suppressAutoHyphens/>
              <w:rPr>
                <w:rStyle w:val="DefaultParagraphFont"/>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04F355C3"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62DC2C1" w14:textId="41CEF1A0">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4952056" w14:textId="3B1861CA">
            <w:pPr>
              <w:widowControl/>
              <w:suppressAutoHyphens/>
              <w:jc w:val="center"/>
              <w:rPr>
                <w:rStyle w:val="DefaultParagraphFont"/>
                <w:snapToGrid/>
                <w:kern w:val="0"/>
                <w:sz w:val="20"/>
                <w:lang w:val="en-US" w:eastAsia="en-US" w:bidi="ar-SA"/>
              </w:rPr>
            </w:pPr>
            <w:r>
              <w:rPr>
                <w:snapToGrid w:val="0"/>
                <w:kern w:val="28"/>
                <w:sz w:val="20"/>
                <w:lang w:val="en-US" w:eastAsia="en-US" w:bidi="ar-SA"/>
              </w:rPr>
              <w:t>310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8063BE4" w14:textId="316C53FB">
            <w:pPr>
              <w:widowControl/>
              <w:suppressAutoHyphens/>
              <w:jc w:val="center"/>
              <w:rPr>
                <w:rStyle w:val="DefaultParagraphFont"/>
                <w:snapToGrid/>
                <w:kern w:val="0"/>
                <w:sz w:val="20"/>
                <w:lang w:val="en-US" w:eastAsia="en-US" w:bidi="ar-SA"/>
              </w:rPr>
            </w:pPr>
            <w:r>
              <w:rPr>
                <w:snapToGrid w:val="0"/>
                <w:kern w:val="28"/>
                <w:sz w:val="20"/>
                <w:lang w:val="en-US" w:eastAsia="en-US" w:bidi="ar-SA"/>
              </w:rPr>
              <w:t>274.5</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2345997" w14:textId="23DE969B">
            <w:pPr>
              <w:widowControl/>
              <w:suppressAutoHyphens/>
              <w:jc w:val="center"/>
              <w:rPr>
                <w:rStyle w:val="DefaultParagraphFont"/>
                <w:snapToGrid/>
                <w:kern w:val="0"/>
                <w:sz w:val="20"/>
                <w:lang w:val="en-US" w:eastAsia="en-US" w:bidi="ar-SA"/>
              </w:rPr>
            </w:pPr>
            <w:r>
              <w:rPr>
                <w:snapToGrid w:val="0"/>
                <w:kern w:val="28"/>
                <w:sz w:val="20"/>
                <w:lang w:val="en-US" w:eastAsia="en-US" w:bidi="ar-SA"/>
              </w:rPr>
              <w:t>3.449</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5D5DE5CC" w14:textId="77777777">
            <w:pPr>
              <w:widowControl/>
              <w:suppressAutoHyphens/>
              <w:rPr>
                <w:rStyle w:val="DefaultParagraphFont"/>
                <w:snapToGrid/>
                <w:kern w:val="0"/>
                <w:sz w:val="20"/>
                <w:lang w:val="en-US" w:eastAsia="en-US" w:bidi="ar-SA"/>
              </w:rPr>
            </w:pPr>
          </w:p>
        </w:tc>
      </w:tr>
      <w:tr w14:paraId="4DF5F47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9CACF1E" w14:textId="77777777">
            <w:pPr>
              <w:widowControl/>
              <w:suppressAutoHyphens/>
              <w:rPr>
                <w:rStyle w:val="DefaultParagraphFont"/>
                <w:b/>
                <w:bCs/>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P="004E16D7" w14:paraId="645AB5F4" w14:textId="77777777">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Cable</w:t>
            </w:r>
          </w:p>
          <w:p w:rsidR="00ED7F5C" w:rsidRPr="00E6310C" w:rsidP="004E16D7" w14:paraId="247899D3" w14:textId="0E940312">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overbuild incumbents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1B20B05"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665D90B6" w14:textId="2D448AA8">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2E85846A" w14:textId="39881A6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5335985E" w14:textId="3569FDA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75.0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4A234163" w14:textId="3E347211">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2.356</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DC1FCC" w:rsidP="004E16D7" w14:paraId="45905ABE" w14:textId="7D08C8D1">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5.4%</w:t>
            </w:r>
          </w:p>
        </w:tc>
      </w:tr>
      <w:tr w14:paraId="2B8280C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FAFE047"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493BF157"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1BA65FAA"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58B0B40E" w14:textId="550D078A">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DF858E0" w14:textId="6FE71EA8">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B765069" w14:textId="109017F5">
            <w:pPr>
              <w:widowControl/>
              <w:suppressAutoHyphens/>
              <w:jc w:val="center"/>
              <w:rPr>
                <w:rStyle w:val="DefaultParagraphFont"/>
                <w:snapToGrid/>
                <w:kern w:val="0"/>
                <w:sz w:val="20"/>
                <w:lang w:val="en-US" w:eastAsia="en-US" w:bidi="ar-SA"/>
              </w:rPr>
            </w:pPr>
            <w:r>
              <w:rPr>
                <w:snapToGrid w:val="0"/>
                <w:kern w:val="28"/>
                <w:sz w:val="20"/>
                <w:lang w:val="en-US" w:eastAsia="en-US" w:bidi="ar-SA"/>
              </w:rPr>
              <w:t>71.1</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4F7871D" w14:textId="02F3CE7A">
            <w:pPr>
              <w:widowControl/>
              <w:suppressAutoHyphens/>
              <w:jc w:val="center"/>
              <w:rPr>
                <w:rStyle w:val="DefaultParagraphFont"/>
                <w:snapToGrid/>
                <w:kern w:val="0"/>
                <w:sz w:val="20"/>
                <w:lang w:val="en-US" w:eastAsia="en-US" w:bidi="ar-SA"/>
              </w:rPr>
            </w:pPr>
            <w:r>
              <w:rPr>
                <w:snapToGrid w:val="0"/>
                <w:kern w:val="28"/>
                <w:sz w:val="20"/>
                <w:lang w:val="en-US" w:eastAsia="en-US" w:bidi="ar-SA"/>
              </w:rPr>
              <w:t>2.306</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37073B80" w14:textId="77777777">
            <w:pPr>
              <w:widowControl/>
              <w:suppressAutoHyphens/>
              <w:rPr>
                <w:rStyle w:val="DefaultParagraphFont"/>
                <w:b/>
                <w:bCs/>
                <w:snapToGrid/>
                <w:kern w:val="0"/>
                <w:sz w:val="20"/>
                <w:lang w:val="en-US" w:eastAsia="en-US" w:bidi="ar-SA"/>
              </w:rPr>
            </w:pPr>
          </w:p>
        </w:tc>
      </w:tr>
      <w:tr w14:paraId="0AD9E610"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489345FB"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54F09968"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D3A01D9"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565BE38" w14:textId="5E44C1D6">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B3F42C2" w14:textId="0ECD0C55">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4F0F334" w14:textId="6B5EDE56">
            <w:pPr>
              <w:widowControl/>
              <w:suppressAutoHyphens/>
              <w:jc w:val="center"/>
              <w:rPr>
                <w:rStyle w:val="DefaultParagraphFont"/>
                <w:snapToGrid/>
                <w:kern w:val="0"/>
                <w:sz w:val="20"/>
                <w:lang w:val="en-US" w:eastAsia="en-US" w:bidi="ar-SA"/>
              </w:rPr>
            </w:pPr>
            <w:r>
              <w:rPr>
                <w:snapToGrid w:val="0"/>
                <w:kern w:val="28"/>
                <w:sz w:val="20"/>
                <w:lang w:val="en-US" w:eastAsia="en-US" w:bidi="ar-SA"/>
              </w:rPr>
              <w:t>202.7</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AAEECDB" w14:textId="318471B2">
            <w:pPr>
              <w:widowControl/>
              <w:suppressAutoHyphens/>
              <w:jc w:val="center"/>
              <w:rPr>
                <w:rStyle w:val="DefaultParagraphFont"/>
                <w:snapToGrid/>
                <w:kern w:val="0"/>
                <w:sz w:val="20"/>
                <w:lang w:val="en-US" w:eastAsia="en-US" w:bidi="ar-SA"/>
              </w:rPr>
            </w:pPr>
            <w:r>
              <w:rPr>
                <w:snapToGrid w:val="0"/>
                <w:kern w:val="28"/>
                <w:sz w:val="20"/>
                <w:lang w:val="en-US" w:eastAsia="en-US" w:bidi="ar-SA"/>
              </w:rPr>
              <w:t>3.894</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63C154AA" w14:textId="410A753B">
            <w:pPr>
              <w:widowControl/>
              <w:suppressAutoHyphens/>
              <w:jc w:val="center"/>
              <w:rPr>
                <w:rStyle w:val="DefaultParagraphFont"/>
                <w:snapToGrid/>
                <w:kern w:val="0"/>
                <w:sz w:val="20"/>
                <w:lang w:val="en-US" w:eastAsia="en-US" w:bidi="ar-SA"/>
              </w:rPr>
            </w:pPr>
            <w:r>
              <w:rPr>
                <w:snapToGrid w:val="0"/>
                <w:kern w:val="28"/>
                <w:sz w:val="20"/>
                <w:lang w:val="en-US" w:eastAsia="en-US" w:bidi="ar-SA"/>
              </w:rPr>
              <w:t>3.5%</w:t>
            </w:r>
          </w:p>
        </w:tc>
      </w:tr>
      <w:tr w14:paraId="628A7A0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45BA14B"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2A479DE7"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188170BA"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38CE3FD3" w14:textId="494041C8">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B735A97" w14:textId="41287E55">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36743FF" w14:textId="49835334">
            <w:pPr>
              <w:widowControl/>
              <w:suppressAutoHyphens/>
              <w:jc w:val="center"/>
              <w:rPr>
                <w:rStyle w:val="DefaultParagraphFont"/>
                <w:snapToGrid/>
                <w:kern w:val="0"/>
                <w:sz w:val="20"/>
                <w:lang w:val="en-US" w:eastAsia="en-US" w:bidi="ar-SA"/>
              </w:rPr>
            </w:pPr>
            <w:r>
              <w:rPr>
                <w:snapToGrid w:val="0"/>
                <w:kern w:val="28"/>
                <w:sz w:val="20"/>
                <w:lang w:val="en-US" w:eastAsia="en-US" w:bidi="ar-SA"/>
              </w:rPr>
              <w:t>195.8</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BA8721D" w14:textId="4E1BC0F0">
            <w:pPr>
              <w:widowControl/>
              <w:suppressAutoHyphens/>
              <w:jc w:val="center"/>
              <w:rPr>
                <w:rStyle w:val="DefaultParagraphFont"/>
                <w:snapToGrid/>
                <w:kern w:val="0"/>
                <w:sz w:val="20"/>
                <w:lang w:val="en-US" w:eastAsia="en-US" w:bidi="ar-SA"/>
              </w:rPr>
            </w:pPr>
            <w:r>
              <w:rPr>
                <w:snapToGrid w:val="0"/>
                <w:kern w:val="28"/>
                <w:sz w:val="20"/>
                <w:lang w:val="en-US" w:eastAsia="en-US" w:bidi="ar-SA"/>
              </w:rPr>
              <w:t>4.080</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682EB2B3" w14:textId="77777777">
            <w:pPr>
              <w:widowControl/>
              <w:suppressAutoHyphens/>
              <w:rPr>
                <w:rStyle w:val="DefaultParagraphFont"/>
                <w:snapToGrid/>
                <w:kern w:val="0"/>
                <w:sz w:val="20"/>
                <w:lang w:val="en-US" w:eastAsia="en-US" w:bidi="ar-SA"/>
              </w:rPr>
            </w:pPr>
          </w:p>
        </w:tc>
      </w:tr>
      <w:tr w14:paraId="5A01F0B5"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757777AA"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0336A5E7"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62874D2E"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BA8DBBD" w14:textId="19C5A93B">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802E670" w14:textId="4EFA0171">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24F0511" w14:textId="6816310D">
            <w:pPr>
              <w:widowControl/>
              <w:suppressAutoHyphens/>
              <w:jc w:val="center"/>
              <w:rPr>
                <w:rStyle w:val="DefaultParagraphFont"/>
                <w:snapToGrid/>
                <w:kern w:val="0"/>
                <w:sz w:val="20"/>
                <w:lang w:val="en-US" w:eastAsia="en-US" w:bidi="ar-SA"/>
              </w:rPr>
            </w:pPr>
            <w:r>
              <w:rPr>
                <w:snapToGrid w:val="0"/>
                <w:kern w:val="28"/>
                <w:sz w:val="20"/>
                <w:lang w:val="en-US" w:eastAsia="en-US" w:bidi="ar-SA"/>
              </w:rPr>
              <w:t>283.4</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C8247B9" w14:textId="3664BA3B">
            <w:pPr>
              <w:widowControl/>
              <w:suppressAutoHyphens/>
              <w:jc w:val="center"/>
              <w:rPr>
                <w:rStyle w:val="DefaultParagraphFont"/>
                <w:snapToGrid/>
                <w:kern w:val="0"/>
                <w:sz w:val="20"/>
                <w:lang w:val="en-US" w:eastAsia="en-US" w:bidi="ar-SA"/>
              </w:rPr>
            </w:pPr>
            <w:r>
              <w:rPr>
                <w:snapToGrid w:val="0"/>
                <w:kern w:val="28"/>
                <w:sz w:val="20"/>
                <w:lang w:val="en-US" w:eastAsia="en-US" w:bidi="ar-SA"/>
              </w:rPr>
              <w:t>7.010</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5D066949" w14:textId="51494299">
            <w:pPr>
              <w:widowControl/>
              <w:suppressAutoHyphens/>
              <w:jc w:val="center"/>
              <w:rPr>
                <w:rStyle w:val="DefaultParagraphFont"/>
                <w:snapToGrid/>
                <w:kern w:val="0"/>
                <w:sz w:val="20"/>
                <w:lang w:val="en-US" w:eastAsia="en-US" w:bidi="ar-SA"/>
              </w:rPr>
            </w:pPr>
            <w:r>
              <w:rPr>
                <w:snapToGrid w:val="0"/>
                <w:kern w:val="28"/>
                <w:sz w:val="20"/>
                <w:lang w:val="en-US" w:eastAsia="en-US" w:bidi="ar-SA"/>
              </w:rPr>
              <w:t>2.8%</w:t>
            </w:r>
          </w:p>
        </w:tc>
      </w:tr>
      <w:tr w14:paraId="1D380CA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177C2BC5"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11A7DA25"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6F686C0B"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405E174" w14:textId="028CC745">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0A6D191" w14:textId="6DC553D1">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AC28AE1" w14:textId="462D6A25">
            <w:pPr>
              <w:widowControl/>
              <w:suppressAutoHyphens/>
              <w:jc w:val="center"/>
              <w:rPr>
                <w:rStyle w:val="DefaultParagraphFont"/>
                <w:snapToGrid/>
                <w:kern w:val="0"/>
                <w:sz w:val="20"/>
                <w:lang w:val="en-US" w:eastAsia="en-US" w:bidi="ar-SA"/>
              </w:rPr>
            </w:pPr>
            <w:r>
              <w:rPr>
                <w:snapToGrid w:val="0"/>
                <w:kern w:val="28"/>
                <w:sz w:val="20"/>
                <w:lang w:val="en-US" w:eastAsia="en-US" w:bidi="ar-SA"/>
              </w:rPr>
              <w:t>275.8</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456C675" w14:textId="574DE987">
            <w:pPr>
              <w:widowControl/>
              <w:suppressAutoHyphens/>
              <w:jc w:val="center"/>
              <w:rPr>
                <w:rStyle w:val="DefaultParagraphFont"/>
                <w:snapToGrid/>
                <w:kern w:val="0"/>
                <w:sz w:val="20"/>
                <w:lang w:val="en-US" w:eastAsia="en-US" w:bidi="ar-SA"/>
              </w:rPr>
            </w:pPr>
            <w:r>
              <w:rPr>
                <w:snapToGrid w:val="0"/>
                <w:kern w:val="28"/>
                <w:sz w:val="20"/>
                <w:lang w:val="en-US" w:eastAsia="en-US" w:bidi="ar-SA"/>
              </w:rPr>
              <w:t>7.334</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400865D9" w14:textId="77777777">
            <w:pPr>
              <w:widowControl/>
              <w:suppressAutoHyphens/>
              <w:rPr>
                <w:rStyle w:val="DefaultParagraphFont"/>
                <w:snapToGrid/>
                <w:kern w:val="0"/>
                <w:sz w:val="20"/>
                <w:lang w:val="en-US" w:eastAsia="en-US" w:bidi="ar-SA"/>
              </w:rPr>
            </w:pPr>
          </w:p>
        </w:tc>
      </w:tr>
      <w:tr w14:paraId="6170C90C"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0A4B1055" w14:textId="77777777">
            <w:pPr>
              <w:widowControl/>
              <w:suppressAutoHyphens/>
              <w:rPr>
                <w:rStyle w:val="DefaultParagraphFont"/>
                <w:b/>
                <w:bCs/>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P="004E16D7" w14:paraId="22C9DB47" w14:textId="77777777">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Cable</w:t>
            </w:r>
          </w:p>
          <w:p w:rsidR="00ED7F5C" w:rsidRPr="00E6310C" w:rsidP="004E16D7" w14:paraId="7CBE4B4A" w14:textId="25C19594">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overbuild rivals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B5B61DA"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6BC5A75C" w14:textId="6304C2F2">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18B252FC" w14:textId="48B7B520">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0C264A04" w14:textId="4AAC6617">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46.9</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33F24555" w14:textId="52D5558C">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2.301</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DC1FCC" w:rsidP="004E16D7" w14:paraId="705AAB76" w14:textId="5D3FC9DA">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1.9%</w:t>
            </w:r>
          </w:p>
        </w:tc>
      </w:tr>
      <w:tr w14:paraId="444D1F9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3EDDC2E0"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5C89EC55"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323C545E"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F7D6BAB" w14:textId="732FA2E8">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99870F1" w14:textId="0589A202">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55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8317DA9" w14:textId="0C18E6CB">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46.0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DAE6108" w14:textId="325AB8D6">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2.219</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55CD694A" w14:textId="77777777">
            <w:pPr>
              <w:widowControl/>
              <w:suppressAutoHyphens/>
              <w:rPr>
                <w:rStyle w:val="DefaultParagraphFont"/>
                <w:b/>
                <w:bCs/>
                <w:snapToGrid/>
                <w:kern w:val="0"/>
                <w:sz w:val="20"/>
                <w:lang w:val="en-US" w:eastAsia="en-US" w:bidi="ar-SA"/>
              </w:rPr>
            </w:pPr>
          </w:p>
        </w:tc>
      </w:tr>
      <w:tr w14:paraId="34B036D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5DC29ACE"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0DB9C9B3"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B7B8AFB"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3D8F8671" w14:textId="5D71C155">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6256CED" w14:textId="7012C0AE">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4D08BB4" w14:textId="1A76B525">
            <w:pPr>
              <w:widowControl/>
              <w:suppressAutoHyphens/>
              <w:jc w:val="center"/>
              <w:rPr>
                <w:rStyle w:val="DefaultParagraphFont"/>
                <w:snapToGrid/>
                <w:kern w:val="0"/>
                <w:sz w:val="20"/>
                <w:lang w:val="en-US" w:eastAsia="en-US" w:bidi="ar-SA"/>
              </w:rPr>
            </w:pPr>
            <w:r>
              <w:rPr>
                <w:snapToGrid w:val="0"/>
                <w:kern w:val="28"/>
                <w:sz w:val="20"/>
                <w:lang w:val="en-US" w:eastAsia="en-US" w:bidi="ar-SA"/>
              </w:rPr>
              <w:t>186.5</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F8C366E" w14:textId="57100F80">
            <w:pPr>
              <w:widowControl/>
              <w:suppressAutoHyphens/>
              <w:jc w:val="center"/>
              <w:rPr>
                <w:rStyle w:val="DefaultParagraphFont"/>
                <w:snapToGrid/>
                <w:kern w:val="0"/>
                <w:sz w:val="20"/>
                <w:lang w:val="en-US" w:eastAsia="en-US" w:bidi="ar-SA"/>
              </w:rPr>
            </w:pPr>
            <w:r>
              <w:rPr>
                <w:snapToGrid w:val="0"/>
                <w:kern w:val="28"/>
                <w:sz w:val="20"/>
                <w:lang w:val="en-US" w:eastAsia="en-US" w:bidi="ar-SA"/>
              </w:rPr>
              <w:t>7.471</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71110315" w14:textId="1E2F9125">
            <w:pPr>
              <w:widowControl/>
              <w:suppressAutoHyphens/>
              <w:jc w:val="center"/>
              <w:rPr>
                <w:rStyle w:val="DefaultParagraphFont"/>
                <w:snapToGrid/>
                <w:kern w:val="0"/>
                <w:sz w:val="20"/>
                <w:lang w:val="en-US" w:eastAsia="en-US" w:bidi="ar-SA"/>
              </w:rPr>
            </w:pPr>
            <w:r>
              <w:rPr>
                <w:snapToGrid w:val="0"/>
                <w:kern w:val="28"/>
                <w:sz w:val="20"/>
                <w:lang w:val="en-US" w:eastAsia="en-US" w:bidi="ar-SA"/>
              </w:rPr>
              <w:t>2.5%</w:t>
            </w:r>
          </w:p>
        </w:tc>
      </w:tr>
      <w:tr w14:paraId="1D2AD0A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7349378"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670A59BA"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13212D6F"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AD8AE46" w14:textId="21E004A5">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5A2A10C" w14:textId="2A1EFD5E">
            <w:pPr>
              <w:widowControl/>
              <w:suppressAutoHyphens/>
              <w:jc w:val="center"/>
              <w:rPr>
                <w:rStyle w:val="DefaultParagraphFont"/>
                <w:snapToGrid/>
                <w:kern w:val="0"/>
                <w:sz w:val="20"/>
                <w:lang w:val="en-US" w:eastAsia="en-US" w:bidi="ar-SA"/>
              </w:rPr>
            </w:pPr>
            <w:r>
              <w:rPr>
                <w:snapToGrid w:val="0"/>
                <w:kern w:val="28"/>
                <w:sz w:val="20"/>
                <w:lang w:val="en-US" w:eastAsia="en-US" w:bidi="ar-SA"/>
              </w:rPr>
              <w:t>55</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B093FAC" w14:textId="01EAC74F">
            <w:pPr>
              <w:widowControl/>
              <w:suppressAutoHyphens/>
              <w:jc w:val="center"/>
              <w:rPr>
                <w:rStyle w:val="DefaultParagraphFont"/>
                <w:snapToGrid/>
                <w:kern w:val="0"/>
                <w:sz w:val="20"/>
                <w:lang w:val="en-US" w:eastAsia="en-US" w:bidi="ar-SA"/>
              </w:rPr>
            </w:pPr>
            <w:r>
              <w:rPr>
                <w:snapToGrid w:val="0"/>
                <w:kern w:val="28"/>
                <w:sz w:val="20"/>
                <w:lang w:val="en-US" w:eastAsia="en-US" w:bidi="ar-SA"/>
              </w:rPr>
              <w:t>181.8</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CDC7C0F" w14:textId="26ECD21B">
            <w:pPr>
              <w:widowControl/>
              <w:suppressAutoHyphens/>
              <w:jc w:val="center"/>
              <w:rPr>
                <w:rStyle w:val="DefaultParagraphFont"/>
                <w:snapToGrid/>
                <w:kern w:val="0"/>
                <w:sz w:val="20"/>
                <w:lang w:val="en-US" w:eastAsia="en-US" w:bidi="ar-SA"/>
              </w:rPr>
            </w:pPr>
            <w:r>
              <w:rPr>
                <w:snapToGrid w:val="0"/>
                <w:kern w:val="28"/>
                <w:sz w:val="20"/>
                <w:lang w:val="en-US" w:eastAsia="en-US" w:bidi="ar-SA"/>
              </w:rPr>
              <w:t>6.496</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5190055E" w14:textId="77777777">
            <w:pPr>
              <w:widowControl/>
              <w:suppressAutoHyphens/>
              <w:rPr>
                <w:rStyle w:val="DefaultParagraphFont"/>
                <w:snapToGrid/>
                <w:kern w:val="0"/>
                <w:sz w:val="20"/>
                <w:lang w:val="en-US" w:eastAsia="en-US" w:bidi="ar-SA"/>
              </w:rPr>
            </w:pPr>
          </w:p>
        </w:tc>
      </w:tr>
      <w:tr w14:paraId="72A5B792"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0E93408E"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42204FAB"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6C9D22EB"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63517C5E" w14:textId="66451652">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81D0AAC" w14:textId="037647B2">
            <w:pPr>
              <w:widowControl/>
              <w:suppressAutoHyphens/>
              <w:jc w:val="center"/>
              <w:rPr>
                <w:rStyle w:val="DefaultParagraphFont"/>
                <w:snapToGrid/>
                <w:kern w:val="0"/>
                <w:sz w:val="20"/>
                <w:lang w:val="en-US" w:eastAsia="en-US" w:bidi="ar-SA"/>
              </w:rPr>
            </w:pPr>
            <w:r>
              <w:rPr>
                <w:snapToGrid w:val="0"/>
                <w:kern w:val="28"/>
                <w:sz w:val="20"/>
                <w:lang w:val="en-US" w:eastAsia="en-US" w:bidi="ar-SA"/>
              </w:rPr>
              <w:t>56</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D2F513D" w14:textId="6BA92D76">
            <w:pPr>
              <w:widowControl/>
              <w:suppressAutoHyphens/>
              <w:jc w:val="center"/>
              <w:rPr>
                <w:rStyle w:val="DefaultParagraphFont"/>
                <w:snapToGrid/>
                <w:kern w:val="0"/>
                <w:sz w:val="20"/>
                <w:lang w:val="en-US" w:eastAsia="en-US" w:bidi="ar-SA"/>
              </w:rPr>
            </w:pPr>
            <w:r>
              <w:rPr>
                <w:snapToGrid w:val="0"/>
                <w:kern w:val="28"/>
                <w:sz w:val="20"/>
                <w:lang w:val="en-US" w:eastAsia="en-US" w:bidi="ar-SA"/>
              </w:rPr>
              <w:t>298.6</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B4C4217" w14:textId="5441F1BD">
            <w:pPr>
              <w:widowControl/>
              <w:suppressAutoHyphens/>
              <w:jc w:val="center"/>
              <w:rPr>
                <w:rStyle w:val="DefaultParagraphFont"/>
                <w:snapToGrid/>
                <w:kern w:val="0"/>
                <w:sz w:val="20"/>
                <w:lang w:val="en-US" w:eastAsia="en-US" w:bidi="ar-SA"/>
              </w:rPr>
            </w:pPr>
            <w:r>
              <w:rPr>
                <w:snapToGrid w:val="0"/>
                <w:kern w:val="28"/>
                <w:sz w:val="20"/>
                <w:lang w:val="en-US" w:eastAsia="en-US" w:bidi="ar-SA"/>
              </w:rPr>
              <w:t>8.800</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77903748" w14:textId="00E3D2D4">
            <w:pPr>
              <w:widowControl/>
              <w:suppressAutoHyphens/>
              <w:jc w:val="center"/>
              <w:rPr>
                <w:rStyle w:val="DefaultParagraphFont"/>
                <w:snapToGrid/>
                <w:kern w:val="0"/>
                <w:sz w:val="20"/>
                <w:lang w:val="en-US" w:eastAsia="en-US" w:bidi="ar-SA"/>
              </w:rPr>
            </w:pPr>
            <w:r>
              <w:rPr>
                <w:snapToGrid w:val="0"/>
                <w:kern w:val="28"/>
                <w:sz w:val="20"/>
                <w:lang w:val="en-US" w:eastAsia="en-US" w:bidi="ar-SA"/>
              </w:rPr>
              <w:t>2.5%</w:t>
            </w:r>
          </w:p>
        </w:tc>
      </w:tr>
      <w:tr w14:paraId="2FA3EDD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5A8043F7"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05BC322D"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1FDD9ADA"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38A6102" w14:textId="3F1BC976">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EB84BF7" w14:textId="280C816C">
            <w:pPr>
              <w:widowControl/>
              <w:suppressAutoHyphens/>
              <w:jc w:val="center"/>
              <w:rPr>
                <w:rStyle w:val="DefaultParagraphFont"/>
                <w:snapToGrid/>
                <w:kern w:val="0"/>
                <w:sz w:val="20"/>
                <w:lang w:val="en-US" w:eastAsia="en-US" w:bidi="ar-SA"/>
              </w:rPr>
            </w:pPr>
            <w:r>
              <w:rPr>
                <w:snapToGrid w:val="0"/>
                <w:kern w:val="28"/>
                <w:sz w:val="20"/>
                <w:lang w:val="en-US" w:eastAsia="en-US" w:bidi="ar-SA"/>
              </w:rPr>
              <w:t>54</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F470C16" w14:textId="02CDCB1A">
            <w:pPr>
              <w:widowControl/>
              <w:suppressAutoHyphens/>
              <w:jc w:val="center"/>
              <w:rPr>
                <w:rStyle w:val="DefaultParagraphFont"/>
                <w:snapToGrid/>
                <w:kern w:val="0"/>
                <w:sz w:val="20"/>
                <w:lang w:val="en-US" w:eastAsia="en-US" w:bidi="ar-SA"/>
              </w:rPr>
            </w:pPr>
            <w:r>
              <w:rPr>
                <w:snapToGrid w:val="0"/>
                <w:kern w:val="28"/>
                <w:sz w:val="20"/>
                <w:lang w:val="en-US" w:eastAsia="en-US" w:bidi="ar-SA"/>
              </w:rPr>
              <w:t>291.3</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3A77B2A" w14:textId="2BF56722">
            <w:pPr>
              <w:widowControl/>
              <w:suppressAutoHyphens/>
              <w:jc w:val="center"/>
              <w:rPr>
                <w:rStyle w:val="DefaultParagraphFont"/>
                <w:snapToGrid/>
                <w:kern w:val="0"/>
                <w:sz w:val="20"/>
                <w:lang w:val="en-US" w:eastAsia="en-US" w:bidi="ar-SA"/>
              </w:rPr>
            </w:pPr>
            <w:r>
              <w:rPr>
                <w:snapToGrid w:val="0"/>
                <w:kern w:val="28"/>
                <w:sz w:val="20"/>
                <w:lang w:val="en-US" w:eastAsia="en-US" w:bidi="ar-SA"/>
              </w:rPr>
              <w:t>7.444</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6B2CC58F" w14:textId="77777777">
            <w:pPr>
              <w:widowControl/>
              <w:suppressAutoHyphens/>
              <w:rPr>
                <w:rStyle w:val="DefaultParagraphFont"/>
                <w:snapToGrid/>
                <w:kern w:val="0"/>
                <w:sz w:val="20"/>
                <w:lang w:val="en-US" w:eastAsia="en-US" w:bidi="ar-SA"/>
              </w:rPr>
            </w:pPr>
          </w:p>
        </w:tc>
      </w:tr>
      <w:tr w14:paraId="40AED3E1"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3EE84AB7" w14:textId="77777777">
            <w:pPr>
              <w:widowControl/>
              <w:suppressAutoHyphens/>
              <w:rPr>
                <w:rStyle w:val="DefaultParagraphFont"/>
                <w:b/>
                <w:bCs/>
                <w:snapToGrid/>
                <w:kern w:val="0"/>
                <w:sz w:val="20"/>
                <w:lang w:val="en-US" w:eastAsia="en-US" w:bidi="ar-SA"/>
              </w:rPr>
            </w:pPr>
          </w:p>
        </w:tc>
        <w:tc>
          <w:tcPr>
            <w:tcW w:w="675" w:type="pct"/>
            <w:vMerge w:val="restart"/>
            <w:tcBorders>
              <w:top w:val="nil"/>
              <w:left w:val="single" w:sz="4" w:space="0" w:color="auto"/>
              <w:bottom w:val="single" w:sz="4" w:space="0" w:color="auto"/>
              <w:right w:val="single" w:sz="4" w:space="0" w:color="auto"/>
            </w:tcBorders>
            <w:shd w:val="clear" w:color="auto" w:fill="auto"/>
            <w:vAlign w:val="center"/>
            <w:hideMark/>
          </w:tcPr>
          <w:p w:rsidR="00ED7F5C" w:rsidRPr="00E6310C" w:rsidP="004E16D7" w14:paraId="708720C0" w14:textId="77777777">
            <w:pPr>
              <w:widowControl/>
              <w:suppressAutoHyphens/>
              <w:jc w:val="center"/>
              <w:rPr>
                <w:rStyle w:val="DefaultParagraphFont"/>
                <w:b/>
                <w:bCs/>
                <w:snapToGrid/>
                <w:kern w:val="0"/>
                <w:sz w:val="20"/>
                <w:lang w:val="en-US" w:eastAsia="en-US" w:bidi="ar-SA"/>
              </w:rPr>
            </w:pPr>
            <w:r w:rsidRPr="00E6310C">
              <w:rPr>
                <w:b/>
                <w:bCs/>
                <w:snapToGrid/>
                <w:kern w:val="0"/>
                <w:sz w:val="20"/>
                <w:lang w:val="en-US" w:eastAsia="en-US" w:bidi="ar-SA"/>
              </w:rPr>
              <w:t>DBS</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B005087"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261DF860" w14:textId="0082502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66CE5097" w14:textId="2249DFFB">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163</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13F6A945" w14:textId="072264AC">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65.3</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ED7F5C" w:rsidRPr="00DC1FCC" w:rsidP="004E16D7" w14:paraId="78C86B91" w14:textId="4D7CDA36">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1.592</w:t>
            </w:r>
          </w:p>
        </w:tc>
        <w:tc>
          <w:tcPr>
            <w:tcW w:w="683"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D7F5C" w:rsidRPr="00DC1FCC" w:rsidP="004E16D7" w14:paraId="3BD3A006" w14:textId="49CC22E5">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3.6%</w:t>
            </w:r>
          </w:p>
        </w:tc>
      </w:tr>
      <w:tr w14:paraId="1CE8785A"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0E034671"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2EB21F83"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026FC2DB"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492EC01" w14:textId="3763821C">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374AECA" w14:textId="7F833A9E">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162</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E6276B8" w14:textId="686CC66B">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63.0</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2712391" w14:textId="3004DD00">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1.496</w:t>
            </w:r>
          </w:p>
        </w:tc>
        <w:tc>
          <w:tcPr>
            <w:tcW w:w="683" w:type="pct"/>
            <w:vMerge/>
            <w:tcBorders>
              <w:top w:val="single" w:sz="4" w:space="0" w:color="auto"/>
              <w:left w:val="single" w:sz="4" w:space="0" w:color="auto"/>
              <w:bottom w:val="single" w:sz="4" w:space="0" w:color="auto"/>
              <w:right w:val="single" w:sz="8" w:space="0" w:color="auto"/>
            </w:tcBorders>
            <w:vAlign w:val="center"/>
            <w:hideMark/>
          </w:tcPr>
          <w:p w:rsidR="00ED7F5C" w:rsidRPr="00E6310C" w:rsidP="004E16D7" w14:paraId="796E70C0" w14:textId="77777777">
            <w:pPr>
              <w:widowControl/>
              <w:suppressAutoHyphens/>
              <w:rPr>
                <w:rStyle w:val="DefaultParagraphFont"/>
                <w:b/>
                <w:bCs/>
                <w:snapToGrid/>
                <w:kern w:val="0"/>
                <w:sz w:val="20"/>
                <w:lang w:val="en-US" w:eastAsia="en-US" w:bidi="ar-SA"/>
              </w:rPr>
            </w:pPr>
          </w:p>
        </w:tc>
      </w:tr>
      <w:tr w14:paraId="367F7014"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1D5DDF40"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354A69D3"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2CA99C0"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317902EA" w14:textId="459F1294">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0A718C47" w14:textId="02989FD8">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11F2BED" w14:textId="3438E069">
            <w:pPr>
              <w:widowControl/>
              <w:suppressAutoHyphens/>
              <w:jc w:val="center"/>
              <w:rPr>
                <w:rStyle w:val="DefaultParagraphFont"/>
                <w:snapToGrid/>
                <w:kern w:val="0"/>
                <w:sz w:val="20"/>
                <w:lang w:val="en-US" w:eastAsia="en-US" w:bidi="ar-SA"/>
              </w:rPr>
            </w:pPr>
            <w:r>
              <w:rPr>
                <w:snapToGrid w:val="0"/>
                <w:kern w:val="28"/>
                <w:sz w:val="20"/>
                <w:lang w:val="en-US" w:eastAsia="en-US" w:bidi="ar-SA"/>
              </w:rPr>
              <w:t>194.1</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3E4FC69" w14:textId="0505E5CE">
            <w:pPr>
              <w:widowControl/>
              <w:suppressAutoHyphens/>
              <w:jc w:val="center"/>
              <w:rPr>
                <w:rStyle w:val="DefaultParagraphFont"/>
                <w:snapToGrid/>
                <w:kern w:val="0"/>
                <w:sz w:val="20"/>
                <w:lang w:val="en-US" w:eastAsia="en-US" w:bidi="ar-SA"/>
              </w:rPr>
            </w:pPr>
            <w:r>
              <w:rPr>
                <w:snapToGrid w:val="0"/>
                <w:kern w:val="28"/>
                <w:sz w:val="20"/>
                <w:lang w:val="en-US" w:eastAsia="en-US" w:bidi="ar-SA"/>
              </w:rPr>
              <w:t>2.476</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62B435C3" w14:textId="4E4DC928">
            <w:pPr>
              <w:widowControl/>
              <w:suppressAutoHyphens/>
              <w:jc w:val="center"/>
              <w:rPr>
                <w:rStyle w:val="DefaultParagraphFont"/>
                <w:snapToGrid/>
                <w:kern w:val="0"/>
                <w:sz w:val="20"/>
                <w:lang w:val="en-US" w:eastAsia="en-US" w:bidi="ar-SA"/>
              </w:rPr>
            </w:pPr>
            <w:r>
              <w:rPr>
                <w:snapToGrid w:val="0"/>
                <w:kern w:val="28"/>
                <w:sz w:val="20"/>
                <w:lang w:val="en-US" w:eastAsia="en-US" w:bidi="ar-SA"/>
              </w:rPr>
              <w:t>1.3%</w:t>
            </w:r>
          </w:p>
        </w:tc>
      </w:tr>
      <w:tr w14:paraId="135B38F8"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51FB7ADE"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37A57B0E"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626E8AD8"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5D17A9A" w14:textId="192ADBA6">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05942A3" w14:textId="1C393A29">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B5E0EC7" w14:textId="5A78FBFA">
            <w:pPr>
              <w:widowControl/>
              <w:suppressAutoHyphens/>
              <w:jc w:val="center"/>
              <w:rPr>
                <w:rStyle w:val="DefaultParagraphFont"/>
                <w:snapToGrid/>
                <w:kern w:val="0"/>
                <w:sz w:val="20"/>
                <w:lang w:val="en-US" w:eastAsia="en-US" w:bidi="ar-SA"/>
              </w:rPr>
            </w:pPr>
            <w:r>
              <w:rPr>
                <w:snapToGrid w:val="0"/>
                <w:kern w:val="28"/>
                <w:sz w:val="20"/>
                <w:lang w:val="en-US" w:eastAsia="en-US" w:bidi="ar-SA"/>
              </w:rPr>
              <w:t>191.7</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269BE88" w14:textId="6E6791CA">
            <w:pPr>
              <w:widowControl/>
              <w:suppressAutoHyphens/>
              <w:jc w:val="center"/>
              <w:rPr>
                <w:rStyle w:val="DefaultParagraphFont"/>
                <w:snapToGrid/>
                <w:kern w:val="0"/>
                <w:sz w:val="20"/>
                <w:lang w:val="en-US" w:eastAsia="en-US" w:bidi="ar-SA"/>
              </w:rPr>
            </w:pPr>
            <w:r>
              <w:rPr>
                <w:snapToGrid w:val="0"/>
                <w:kern w:val="28"/>
                <w:sz w:val="20"/>
                <w:lang w:val="en-US" w:eastAsia="en-US" w:bidi="ar-SA"/>
              </w:rPr>
              <w:t>2.387</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5DBF6A3B" w14:textId="77777777">
            <w:pPr>
              <w:widowControl/>
              <w:suppressAutoHyphens/>
              <w:rPr>
                <w:rStyle w:val="DefaultParagraphFont"/>
                <w:snapToGrid/>
                <w:kern w:val="0"/>
                <w:sz w:val="20"/>
                <w:lang w:val="en-US" w:eastAsia="en-US" w:bidi="ar-SA"/>
              </w:rPr>
            </w:pPr>
          </w:p>
        </w:tc>
      </w:tr>
      <w:tr w14:paraId="327B795B"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2DA54C46"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396BEC87"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C5DBB60"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32EA44E4" w14:textId="1650E8C6">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061B1C6" w14:textId="38FEA71B">
            <w:pPr>
              <w:widowControl/>
              <w:suppressAutoHyphens/>
              <w:jc w:val="center"/>
              <w:rPr>
                <w:rStyle w:val="DefaultParagraphFont"/>
                <w:snapToGrid/>
                <w:kern w:val="0"/>
                <w:sz w:val="20"/>
                <w:lang w:val="en-US" w:eastAsia="en-US" w:bidi="ar-SA"/>
              </w:rPr>
            </w:pPr>
            <w:r>
              <w:rPr>
                <w:snapToGrid w:val="0"/>
                <w:kern w:val="28"/>
                <w:sz w:val="20"/>
                <w:lang w:val="en-US" w:eastAsia="en-US" w:bidi="ar-SA"/>
              </w:rPr>
              <w:t>163</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EEDD5B1" w14:textId="1C5D92F9">
            <w:pPr>
              <w:widowControl/>
              <w:suppressAutoHyphens/>
              <w:jc w:val="center"/>
              <w:rPr>
                <w:rStyle w:val="DefaultParagraphFont"/>
                <w:snapToGrid/>
                <w:kern w:val="0"/>
                <w:sz w:val="20"/>
                <w:lang w:val="en-US" w:eastAsia="en-US" w:bidi="ar-SA"/>
              </w:rPr>
            </w:pPr>
            <w:r>
              <w:rPr>
                <w:snapToGrid w:val="0"/>
                <w:kern w:val="28"/>
                <w:sz w:val="20"/>
                <w:lang w:val="en-US" w:eastAsia="en-US" w:bidi="ar-SA"/>
              </w:rPr>
              <w:t>276.1</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252BBC32" w14:textId="4CDC1DF8">
            <w:pPr>
              <w:widowControl/>
              <w:suppressAutoHyphens/>
              <w:jc w:val="center"/>
              <w:rPr>
                <w:rStyle w:val="DefaultParagraphFont"/>
                <w:snapToGrid/>
                <w:kern w:val="0"/>
                <w:sz w:val="20"/>
                <w:lang w:val="en-US" w:eastAsia="en-US" w:bidi="ar-SA"/>
              </w:rPr>
            </w:pPr>
            <w:r>
              <w:rPr>
                <w:snapToGrid w:val="0"/>
                <w:kern w:val="28"/>
                <w:sz w:val="20"/>
                <w:lang w:val="en-US" w:eastAsia="en-US" w:bidi="ar-SA"/>
              </w:rPr>
              <w:t>4.390</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19DF9C4A" w14:textId="33767FD2">
            <w:pPr>
              <w:widowControl/>
              <w:suppressAutoHyphens/>
              <w:jc w:val="center"/>
              <w:rPr>
                <w:rStyle w:val="DefaultParagraphFont"/>
                <w:snapToGrid/>
                <w:kern w:val="0"/>
                <w:sz w:val="20"/>
                <w:lang w:val="en-US" w:eastAsia="en-US" w:bidi="ar-SA"/>
              </w:rPr>
            </w:pPr>
            <w:r>
              <w:rPr>
                <w:snapToGrid w:val="0"/>
                <w:kern w:val="28"/>
                <w:sz w:val="20"/>
                <w:lang w:val="en-US" w:eastAsia="en-US" w:bidi="ar-SA"/>
              </w:rPr>
              <w:t>1.0%</w:t>
            </w:r>
          </w:p>
        </w:tc>
      </w:tr>
      <w:tr w14:paraId="13F9B29E"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45EB73EC"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4" w:space="0" w:color="auto"/>
              <w:right w:val="single" w:sz="4" w:space="0" w:color="auto"/>
            </w:tcBorders>
            <w:vAlign w:val="center"/>
            <w:hideMark/>
          </w:tcPr>
          <w:p w:rsidR="00ED7F5C" w:rsidRPr="00E6310C" w:rsidP="004E16D7" w14:paraId="74CAF2BB"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28CEF382"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26609A92" w14:textId="64127520">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3168C6F" w14:textId="332444A9">
            <w:pPr>
              <w:widowControl/>
              <w:suppressAutoHyphens/>
              <w:jc w:val="center"/>
              <w:rPr>
                <w:rStyle w:val="DefaultParagraphFont"/>
                <w:snapToGrid/>
                <w:kern w:val="0"/>
                <w:sz w:val="20"/>
                <w:lang w:val="en-US" w:eastAsia="en-US" w:bidi="ar-SA"/>
              </w:rPr>
            </w:pPr>
            <w:r>
              <w:rPr>
                <w:snapToGrid w:val="0"/>
                <w:kern w:val="28"/>
                <w:sz w:val="20"/>
                <w:lang w:val="en-US" w:eastAsia="en-US" w:bidi="ar-SA"/>
              </w:rPr>
              <w:t>161</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3165D68" w14:textId="116AE0CA">
            <w:pPr>
              <w:widowControl/>
              <w:suppressAutoHyphens/>
              <w:jc w:val="center"/>
              <w:rPr>
                <w:rStyle w:val="DefaultParagraphFont"/>
                <w:snapToGrid/>
                <w:kern w:val="0"/>
                <w:sz w:val="20"/>
                <w:lang w:val="en-US" w:eastAsia="en-US" w:bidi="ar-SA"/>
              </w:rPr>
            </w:pPr>
            <w:r>
              <w:rPr>
                <w:snapToGrid w:val="0"/>
                <w:kern w:val="28"/>
                <w:sz w:val="20"/>
                <w:lang w:val="en-US" w:eastAsia="en-US" w:bidi="ar-SA"/>
              </w:rPr>
              <w:t>273.4</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C0A4BE1" w14:textId="4C3E4D3F">
            <w:pPr>
              <w:widowControl/>
              <w:suppressAutoHyphens/>
              <w:jc w:val="center"/>
              <w:rPr>
                <w:rStyle w:val="DefaultParagraphFont"/>
                <w:snapToGrid/>
                <w:kern w:val="0"/>
                <w:sz w:val="20"/>
                <w:lang w:val="en-US" w:eastAsia="en-US" w:bidi="ar-SA"/>
              </w:rPr>
            </w:pPr>
            <w:r>
              <w:rPr>
                <w:snapToGrid w:val="0"/>
                <w:kern w:val="28"/>
                <w:sz w:val="20"/>
                <w:lang w:val="en-US" w:eastAsia="en-US" w:bidi="ar-SA"/>
              </w:rPr>
              <w:t>4.387</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720DBC32" w14:textId="77777777">
            <w:pPr>
              <w:widowControl/>
              <w:suppressAutoHyphens/>
              <w:rPr>
                <w:rStyle w:val="DefaultParagraphFont"/>
                <w:snapToGrid/>
                <w:kern w:val="0"/>
                <w:sz w:val="20"/>
                <w:lang w:val="en-US" w:eastAsia="en-US" w:bidi="ar-SA"/>
              </w:rPr>
            </w:pPr>
          </w:p>
        </w:tc>
      </w:tr>
      <w:tr w14:paraId="657F0DC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D4612F7" w14:textId="77777777">
            <w:pPr>
              <w:widowControl/>
              <w:suppressAutoHyphens/>
              <w:rPr>
                <w:rStyle w:val="DefaultParagraphFont"/>
                <w:b/>
                <w:bCs/>
                <w:snapToGrid/>
                <w:kern w:val="0"/>
                <w:sz w:val="20"/>
                <w:lang w:val="en-US" w:eastAsia="en-US" w:bidi="ar-SA"/>
              </w:rPr>
            </w:pPr>
          </w:p>
        </w:tc>
        <w:tc>
          <w:tcPr>
            <w:tcW w:w="675" w:type="pct"/>
            <w:vMerge w:val="restart"/>
            <w:tcBorders>
              <w:top w:val="nil"/>
              <w:left w:val="single" w:sz="4" w:space="0" w:color="auto"/>
              <w:bottom w:val="single" w:sz="8" w:space="0" w:color="000000"/>
              <w:right w:val="single" w:sz="4" w:space="0" w:color="auto"/>
            </w:tcBorders>
            <w:shd w:val="clear" w:color="auto" w:fill="auto"/>
            <w:vAlign w:val="center"/>
            <w:hideMark/>
          </w:tcPr>
          <w:p w:rsidR="00ED7F5C" w:rsidRPr="00E6310C" w:rsidP="004E16D7" w14:paraId="34527715" w14:textId="0D2635A5">
            <w:pPr>
              <w:widowControl/>
              <w:suppressAutoHyphens/>
              <w:jc w:val="center"/>
              <w:rPr>
                <w:rStyle w:val="DefaultParagraphFont"/>
                <w:b/>
                <w:bCs/>
                <w:snapToGrid/>
                <w:kern w:val="0"/>
                <w:sz w:val="20"/>
                <w:lang w:val="en-US" w:eastAsia="en-US" w:bidi="ar-SA"/>
              </w:rPr>
            </w:pPr>
            <w:r>
              <w:rPr>
                <w:b/>
                <w:snapToGrid/>
                <w:kern w:val="0"/>
                <w:sz w:val="20"/>
                <w:lang w:val="en-US" w:eastAsia="en-US" w:bidi="ar-SA"/>
              </w:rPr>
              <w:t>Wireless and Low Penetration Test</w:t>
            </w: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5AAF2317" w14:textId="77777777">
            <w:pPr>
              <w:widowControl/>
              <w:suppressAutoHyphens/>
              <w:rPr>
                <w:rStyle w:val="DefaultParagraphFont"/>
                <w:b/>
                <w:bCs/>
                <w:snapToGrid/>
                <w:kern w:val="0"/>
                <w:sz w:val="20"/>
                <w:lang w:val="en-US" w:eastAsia="en-US" w:bidi="ar-SA"/>
              </w:rPr>
            </w:pPr>
            <w:r w:rsidRPr="00E6310C">
              <w:rPr>
                <w:b/>
                <w:bCs/>
                <w:snapToGrid/>
                <w:kern w:val="0"/>
                <w:sz w:val="20"/>
                <w:lang w:val="en-US" w:eastAsia="en-US" w:bidi="ar-SA"/>
              </w:rPr>
              <w:t>Basic service</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DC1FCC" w:rsidP="004E16D7" w14:paraId="0BE2079E" w14:textId="0DE4A08F">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794AFF34" w14:textId="16F04879">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4D2D60AE" w14:textId="1B18F81E">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58.8</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DC1FCC" w:rsidP="004E16D7" w14:paraId="60E2D78A" w14:textId="27F3462E">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2.293</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DC1FCC" w:rsidP="004E16D7" w14:paraId="7973AB49" w14:textId="3AD81DCA">
            <w:pPr>
              <w:widowControl/>
              <w:suppressAutoHyphens/>
              <w:jc w:val="center"/>
              <w:rPr>
                <w:rStyle w:val="DefaultParagraphFont"/>
                <w:b/>
                <w:bCs/>
                <w:snapToGrid/>
                <w:kern w:val="0"/>
                <w:sz w:val="20"/>
                <w:lang w:val="en-US" w:eastAsia="en-US" w:bidi="ar-SA"/>
              </w:rPr>
            </w:pPr>
            <w:r w:rsidRPr="00A46F4A">
              <w:rPr>
                <w:b/>
                <w:snapToGrid w:val="0"/>
                <w:kern w:val="28"/>
                <w:sz w:val="20"/>
                <w:lang w:val="en-US" w:eastAsia="en-US" w:bidi="ar-SA"/>
              </w:rPr>
              <w:t>4.0%</w:t>
            </w:r>
          </w:p>
        </w:tc>
      </w:tr>
      <w:tr w14:paraId="01E8A83F"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56404151"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ED7F5C" w:rsidRPr="00E6310C" w:rsidP="004E16D7" w14:paraId="7A1698D7"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4FF256D5" w14:textId="77777777">
            <w:pPr>
              <w:widowControl/>
              <w:suppressAutoHyphens/>
              <w:rPr>
                <w:rStyle w:val="DefaultParagraphFont"/>
                <w:b/>
                <w:bCs/>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EFA046B" w14:textId="0FFBA860">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8884AF1" w14:textId="4477241F">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39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1FB00A18" w14:textId="29B18A69">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56.6</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3F800F03" w14:textId="1B17AD1F">
            <w:pPr>
              <w:widowControl/>
              <w:suppressAutoHyphens/>
              <w:jc w:val="center"/>
              <w:rPr>
                <w:rStyle w:val="DefaultParagraphFont"/>
                <w:b/>
                <w:bCs/>
                <w:snapToGrid/>
                <w:kern w:val="0"/>
                <w:sz w:val="20"/>
                <w:lang w:val="en-US" w:eastAsia="en-US" w:bidi="ar-SA"/>
              </w:rPr>
            </w:pPr>
            <w:r>
              <w:rPr>
                <w:snapToGrid w:val="0"/>
                <w:kern w:val="28"/>
                <w:sz w:val="20"/>
                <w:lang w:val="en-US" w:eastAsia="en-US" w:bidi="ar-SA"/>
              </w:rPr>
              <w:t>2.179</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2ECCCD31" w14:textId="77777777">
            <w:pPr>
              <w:widowControl/>
              <w:suppressAutoHyphens/>
              <w:rPr>
                <w:rStyle w:val="DefaultParagraphFont"/>
                <w:b/>
                <w:bCs/>
                <w:snapToGrid/>
                <w:kern w:val="0"/>
                <w:sz w:val="20"/>
                <w:lang w:val="en-US" w:eastAsia="en-US" w:bidi="ar-SA"/>
              </w:rPr>
            </w:pPr>
          </w:p>
        </w:tc>
      </w:tr>
      <w:tr w14:paraId="72F0E377"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558B2B63"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ED7F5C" w:rsidRPr="00E6310C" w:rsidP="004E16D7" w14:paraId="570C5F24"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10AAC152"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Expanded basic</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01C72715" w14:textId="765942F8">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032FE42" w14:textId="596B1396">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F511B92" w14:textId="7BDB461E">
            <w:pPr>
              <w:widowControl/>
              <w:suppressAutoHyphens/>
              <w:jc w:val="center"/>
              <w:rPr>
                <w:rStyle w:val="DefaultParagraphFont"/>
                <w:snapToGrid/>
                <w:kern w:val="0"/>
                <w:sz w:val="20"/>
                <w:lang w:val="en-US" w:eastAsia="en-US" w:bidi="ar-SA"/>
              </w:rPr>
            </w:pPr>
            <w:r>
              <w:rPr>
                <w:snapToGrid w:val="0"/>
                <w:kern w:val="28"/>
                <w:sz w:val="20"/>
                <w:lang w:val="en-US" w:eastAsia="en-US" w:bidi="ar-SA"/>
              </w:rPr>
              <w:t>189.7</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59B889A" w14:textId="261DEAEE">
            <w:pPr>
              <w:widowControl/>
              <w:suppressAutoHyphens/>
              <w:jc w:val="center"/>
              <w:rPr>
                <w:rStyle w:val="DefaultParagraphFont"/>
                <w:snapToGrid/>
                <w:kern w:val="0"/>
                <w:sz w:val="20"/>
                <w:lang w:val="en-US" w:eastAsia="en-US" w:bidi="ar-SA"/>
              </w:rPr>
            </w:pPr>
            <w:r>
              <w:rPr>
                <w:snapToGrid w:val="0"/>
                <w:kern w:val="28"/>
                <w:sz w:val="20"/>
                <w:lang w:val="en-US" w:eastAsia="en-US" w:bidi="ar-SA"/>
              </w:rPr>
              <w:t>4.509</w:t>
            </w:r>
          </w:p>
        </w:tc>
        <w:tc>
          <w:tcPr>
            <w:tcW w:w="683"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ED7F5C" w:rsidRPr="00E6310C" w:rsidP="004E16D7" w14:paraId="6AD4709B" w14:textId="64CA7404">
            <w:pPr>
              <w:widowControl/>
              <w:suppressAutoHyphens/>
              <w:jc w:val="center"/>
              <w:rPr>
                <w:rStyle w:val="DefaultParagraphFont"/>
                <w:snapToGrid/>
                <w:kern w:val="0"/>
                <w:sz w:val="20"/>
                <w:lang w:val="en-US" w:eastAsia="en-US" w:bidi="ar-SA"/>
              </w:rPr>
            </w:pPr>
            <w:r>
              <w:rPr>
                <w:snapToGrid w:val="0"/>
                <w:kern w:val="28"/>
                <w:sz w:val="20"/>
                <w:lang w:val="en-US" w:eastAsia="en-US" w:bidi="ar-SA"/>
              </w:rPr>
              <w:t>2.3%</w:t>
            </w:r>
          </w:p>
        </w:tc>
      </w:tr>
      <w:tr w14:paraId="393AD3FD"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1E53417F"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ED7F5C" w:rsidRPr="00E6310C" w:rsidP="004E16D7" w14:paraId="7B0462F3"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4" w:space="0" w:color="auto"/>
              <w:right w:val="single" w:sz="4" w:space="0" w:color="auto"/>
            </w:tcBorders>
            <w:vAlign w:val="center"/>
            <w:hideMark/>
          </w:tcPr>
          <w:p w:rsidR="00ED7F5C" w:rsidRPr="00E6310C" w:rsidP="004E16D7" w14:paraId="7254FEDB"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41C21E0E" w14:textId="45D1A933">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4F07DAB9" w14:textId="1754EB03">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B5ECAAA" w14:textId="2FC891A1">
            <w:pPr>
              <w:widowControl/>
              <w:suppressAutoHyphens/>
              <w:jc w:val="center"/>
              <w:rPr>
                <w:rStyle w:val="DefaultParagraphFont"/>
                <w:snapToGrid/>
                <w:kern w:val="0"/>
                <w:sz w:val="20"/>
                <w:lang w:val="en-US" w:eastAsia="en-US" w:bidi="ar-SA"/>
              </w:rPr>
            </w:pPr>
            <w:r>
              <w:rPr>
                <w:snapToGrid w:val="0"/>
                <w:kern w:val="28"/>
                <w:sz w:val="20"/>
                <w:lang w:val="en-US" w:eastAsia="en-US" w:bidi="ar-SA"/>
              </w:rPr>
              <w:t>185.5</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7E91C554" w14:textId="3C87A887">
            <w:pPr>
              <w:widowControl/>
              <w:suppressAutoHyphens/>
              <w:jc w:val="center"/>
              <w:rPr>
                <w:rStyle w:val="DefaultParagraphFont"/>
                <w:snapToGrid/>
                <w:kern w:val="0"/>
                <w:sz w:val="20"/>
                <w:lang w:val="en-US" w:eastAsia="en-US" w:bidi="ar-SA"/>
              </w:rPr>
            </w:pPr>
            <w:r>
              <w:rPr>
                <w:snapToGrid w:val="0"/>
                <w:kern w:val="28"/>
                <w:sz w:val="20"/>
                <w:lang w:val="en-US" w:eastAsia="en-US" w:bidi="ar-SA"/>
              </w:rPr>
              <w:t>4.295</w:t>
            </w:r>
          </w:p>
        </w:tc>
        <w:tc>
          <w:tcPr>
            <w:tcW w:w="683" w:type="pct"/>
            <w:vMerge/>
            <w:tcBorders>
              <w:top w:val="nil"/>
              <w:left w:val="single" w:sz="4" w:space="0" w:color="auto"/>
              <w:bottom w:val="single" w:sz="4" w:space="0" w:color="auto"/>
              <w:right w:val="single" w:sz="8" w:space="0" w:color="auto"/>
            </w:tcBorders>
            <w:vAlign w:val="center"/>
            <w:hideMark/>
          </w:tcPr>
          <w:p w:rsidR="00ED7F5C" w:rsidRPr="00E6310C" w:rsidP="004E16D7" w14:paraId="394C252C" w14:textId="77777777">
            <w:pPr>
              <w:widowControl/>
              <w:suppressAutoHyphens/>
              <w:rPr>
                <w:rStyle w:val="DefaultParagraphFont"/>
                <w:snapToGrid/>
                <w:kern w:val="0"/>
                <w:sz w:val="20"/>
                <w:lang w:val="en-US" w:eastAsia="en-US" w:bidi="ar-SA"/>
              </w:rPr>
            </w:pPr>
          </w:p>
        </w:tc>
      </w:tr>
      <w:tr w14:paraId="32DD3793"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20E363EF"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ED7F5C" w:rsidRPr="00E6310C" w:rsidP="004E16D7" w14:paraId="4E7D8531" w14:textId="77777777">
            <w:pPr>
              <w:widowControl/>
              <w:suppressAutoHyphens/>
              <w:rPr>
                <w:rStyle w:val="DefaultParagraphFont"/>
                <w:b/>
                <w:bCs/>
                <w:snapToGrid/>
                <w:kern w:val="0"/>
                <w:sz w:val="20"/>
                <w:lang w:val="en-US" w:eastAsia="en-US" w:bidi="ar-SA"/>
              </w:rPr>
            </w:pPr>
          </w:p>
        </w:tc>
        <w:tc>
          <w:tcPr>
            <w:tcW w:w="91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D7F5C" w:rsidRPr="00E6310C" w:rsidP="004E16D7" w14:paraId="406B7993" w14:textId="77777777">
            <w:pPr>
              <w:widowControl/>
              <w:suppressAutoHyphens/>
              <w:rPr>
                <w:rStyle w:val="DefaultParagraphFont"/>
                <w:snapToGrid/>
                <w:kern w:val="0"/>
                <w:sz w:val="20"/>
                <w:lang w:val="en-US" w:eastAsia="en-US" w:bidi="ar-SA"/>
              </w:rPr>
            </w:pPr>
            <w:r w:rsidRPr="00E6310C">
              <w:rPr>
                <w:snapToGrid/>
                <w:kern w:val="0"/>
                <w:sz w:val="20"/>
                <w:lang w:val="en-US" w:eastAsia="en-US" w:bidi="ar-SA"/>
              </w:rPr>
              <w:t>Next most popular</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D7F5C" w:rsidRPr="00E6310C" w:rsidP="004E16D7" w14:paraId="7623CEE5" w14:textId="3B59111E">
            <w:pPr>
              <w:widowControl/>
              <w:suppressAutoHyphens/>
              <w:jc w:val="center"/>
              <w:rPr>
                <w:rStyle w:val="DefaultParagraphFont"/>
                <w:snapToGrid/>
                <w:kern w:val="0"/>
                <w:sz w:val="20"/>
                <w:lang w:val="en-US" w:eastAsia="en-US" w:bidi="ar-SA"/>
              </w:rPr>
            </w:pPr>
            <w:r>
              <w:rPr>
                <w:snapToGrid w:val="0"/>
                <w:kern w:val="28"/>
                <w:sz w:val="20"/>
                <w:lang w:val="en-US" w:eastAsia="en-US" w:bidi="ar-SA"/>
              </w:rPr>
              <w:t>2016</w:t>
            </w:r>
          </w:p>
        </w:tc>
        <w:tc>
          <w:tcPr>
            <w:tcW w:w="33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6C526DE" w14:textId="62F29013">
            <w:pPr>
              <w:widowControl/>
              <w:suppressAutoHyphens/>
              <w:jc w:val="center"/>
              <w:rPr>
                <w:rStyle w:val="DefaultParagraphFont"/>
                <w:snapToGrid/>
                <w:kern w:val="0"/>
                <w:sz w:val="20"/>
                <w:lang w:val="en-US" w:eastAsia="en-US" w:bidi="ar-SA"/>
              </w:rPr>
            </w:pPr>
            <w:r>
              <w:rPr>
                <w:snapToGrid w:val="0"/>
                <w:kern w:val="28"/>
                <w:sz w:val="20"/>
                <w:lang w:val="en-US" w:eastAsia="en-US" w:bidi="ar-SA"/>
              </w:rPr>
              <w:t>40</w:t>
            </w:r>
          </w:p>
        </w:tc>
        <w:tc>
          <w:tcPr>
            <w:tcW w:w="592"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64710044" w14:textId="0E8E237D">
            <w:pPr>
              <w:widowControl/>
              <w:suppressAutoHyphens/>
              <w:jc w:val="center"/>
              <w:rPr>
                <w:rStyle w:val="DefaultParagraphFont"/>
                <w:snapToGrid/>
                <w:kern w:val="0"/>
                <w:sz w:val="20"/>
                <w:lang w:val="en-US" w:eastAsia="en-US" w:bidi="ar-SA"/>
              </w:rPr>
            </w:pPr>
            <w:r>
              <w:rPr>
                <w:snapToGrid w:val="0"/>
                <w:kern w:val="28"/>
                <w:sz w:val="20"/>
                <w:lang w:val="en-US" w:eastAsia="en-US" w:bidi="ar-SA"/>
              </w:rPr>
              <w:t>277.3</w:t>
            </w:r>
          </w:p>
        </w:tc>
        <w:tc>
          <w:tcPr>
            <w:tcW w:w="647" w:type="pct"/>
            <w:tcBorders>
              <w:top w:val="nil"/>
              <w:left w:val="nil"/>
              <w:bottom w:val="single" w:sz="4" w:space="0" w:color="auto"/>
              <w:right w:val="single" w:sz="4" w:space="0" w:color="auto"/>
            </w:tcBorders>
            <w:shd w:val="clear" w:color="auto" w:fill="auto"/>
            <w:noWrap/>
            <w:vAlign w:val="center"/>
            <w:hideMark/>
          </w:tcPr>
          <w:p w:rsidR="00ED7F5C" w:rsidRPr="00E6310C" w:rsidP="004E16D7" w14:paraId="5E2426F0" w14:textId="7DF42C2D">
            <w:pPr>
              <w:widowControl/>
              <w:suppressAutoHyphens/>
              <w:jc w:val="center"/>
              <w:rPr>
                <w:rStyle w:val="DefaultParagraphFont"/>
                <w:snapToGrid/>
                <w:kern w:val="0"/>
                <w:sz w:val="20"/>
                <w:lang w:val="en-US" w:eastAsia="en-US" w:bidi="ar-SA"/>
              </w:rPr>
            </w:pPr>
            <w:r>
              <w:rPr>
                <w:snapToGrid w:val="0"/>
                <w:kern w:val="28"/>
                <w:sz w:val="20"/>
                <w:lang w:val="en-US" w:eastAsia="en-US" w:bidi="ar-SA"/>
              </w:rPr>
              <w:t>8.761</w:t>
            </w:r>
          </w:p>
        </w:tc>
        <w:tc>
          <w:tcPr>
            <w:tcW w:w="68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D7F5C" w:rsidRPr="00E6310C" w:rsidP="004E16D7" w14:paraId="2BF6B728" w14:textId="1B4FBC47">
            <w:pPr>
              <w:widowControl/>
              <w:suppressAutoHyphens/>
              <w:jc w:val="center"/>
              <w:rPr>
                <w:rStyle w:val="DefaultParagraphFont"/>
                <w:snapToGrid/>
                <w:kern w:val="0"/>
                <w:sz w:val="20"/>
                <w:lang w:val="en-US" w:eastAsia="en-US" w:bidi="ar-SA"/>
              </w:rPr>
            </w:pPr>
            <w:r>
              <w:rPr>
                <w:snapToGrid w:val="0"/>
                <w:kern w:val="28"/>
                <w:sz w:val="20"/>
                <w:lang w:val="en-US" w:eastAsia="en-US" w:bidi="ar-SA"/>
              </w:rPr>
              <w:t>1.7%</w:t>
            </w:r>
          </w:p>
        </w:tc>
      </w:tr>
      <w:tr w14:paraId="780BE0E6" w14:textId="77777777" w:rsidTr="00A46F4A">
        <w:tblPrEx>
          <w:tblW w:w="5000" w:type="pct"/>
          <w:tblInd w:w="0" w:type="dxa"/>
          <w:tblLayout w:type="fixed"/>
          <w:tblCellMar>
            <w:top w:w="0" w:type="dxa"/>
            <w:left w:w="108" w:type="dxa"/>
            <w:bottom w:w="0" w:type="dxa"/>
            <w:right w:w="108" w:type="dxa"/>
          </w:tblCellMar>
          <w:tblLook w:val="04A0"/>
        </w:tblPrEx>
        <w:trPr>
          <w:trHeight w:hRule="exact" w:val="230"/>
        </w:trPr>
        <w:tc>
          <w:tcPr>
            <w:tcW w:w="766" w:type="pct"/>
            <w:vMerge/>
            <w:tcBorders>
              <w:top w:val="nil"/>
              <w:left w:val="single" w:sz="8" w:space="0" w:color="auto"/>
              <w:bottom w:val="single" w:sz="8" w:space="0" w:color="000000"/>
              <w:right w:val="single" w:sz="4" w:space="0" w:color="auto"/>
            </w:tcBorders>
            <w:vAlign w:val="center"/>
            <w:hideMark/>
          </w:tcPr>
          <w:p w:rsidR="00ED7F5C" w:rsidRPr="00E6310C" w:rsidP="004E16D7" w14:paraId="6BA9C529" w14:textId="77777777">
            <w:pPr>
              <w:widowControl/>
              <w:suppressAutoHyphens/>
              <w:rPr>
                <w:rStyle w:val="DefaultParagraphFont"/>
                <w:b/>
                <w:bCs/>
                <w:snapToGrid/>
                <w:kern w:val="0"/>
                <w:sz w:val="20"/>
                <w:lang w:val="en-US" w:eastAsia="en-US" w:bidi="ar-SA"/>
              </w:rPr>
            </w:pPr>
          </w:p>
        </w:tc>
        <w:tc>
          <w:tcPr>
            <w:tcW w:w="675" w:type="pct"/>
            <w:vMerge/>
            <w:tcBorders>
              <w:top w:val="nil"/>
              <w:left w:val="single" w:sz="4" w:space="0" w:color="auto"/>
              <w:bottom w:val="single" w:sz="8" w:space="0" w:color="000000"/>
              <w:right w:val="single" w:sz="4" w:space="0" w:color="auto"/>
            </w:tcBorders>
            <w:vAlign w:val="center"/>
            <w:hideMark/>
          </w:tcPr>
          <w:p w:rsidR="00ED7F5C" w:rsidRPr="00E6310C" w:rsidP="004E16D7" w14:paraId="6AFDB006" w14:textId="77777777">
            <w:pPr>
              <w:widowControl/>
              <w:suppressAutoHyphens/>
              <w:rPr>
                <w:rStyle w:val="DefaultParagraphFont"/>
                <w:b/>
                <w:bCs/>
                <w:snapToGrid/>
                <w:kern w:val="0"/>
                <w:sz w:val="20"/>
                <w:lang w:val="en-US" w:eastAsia="en-US" w:bidi="ar-SA"/>
              </w:rPr>
            </w:pPr>
          </w:p>
        </w:tc>
        <w:tc>
          <w:tcPr>
            <w:tcW w:w="915" w:type="pct"/>
            <w:vMerge/>
            <w:tcBorders>
              <w:top w:val="nil"/>
              <w:left w:val="single" w:sz="4" w:space="0" w:color="auto"/>
              <w:bottom w:val="single" w:sz="8" w:space="0" w:color="000000"/>
              <w:right w:val="single" w:sz="4" w:space="0" w:color="auto"/>
            </w:tcBorders>
            <w:vAlign w:val="center"/>
            <w:hideMark/>
          </w:tcPr>
          <w:p w:rsidR="00ED7F5C" w:rsidRPr="00E6310C" w:rsidP="004E16D7" w14:paraId="2156D962" w14:textId="77777777">
            <w:pPr>
              <w:widowControl/>
              <w:suppressAutoHyphens/>
              <w:rPr>
                <w:rStyle w:val="DefaultParagraphFont"/>
                <w:snapToGrid/>
                <w:kern w:val="0"/>
                <w:sz w:val="20"/>
                <w:lang w:val="en-US" w:eastAsia="en-US" w:bidi="ar-SA"/>
              </w:rPr>
            </w:pPr>
          </w:p>
        </w:tc>
        <w:tc>
          <w:tcPr>
            <w:tcW w:w="385" w:type="pct"/>
            <w:tcBorders>
              <w:top w:val="nil"/>
              <w:left w:val="single" w:sz="4" w:space="0" w:color="auto"/>
              <w:bottom w:val="single" w:sz="8" w:space="0" w:color="auto"/>
              <w:right w:val="single" w:sz="4" w:space="0" w:color="auto"/>
            </w:tcBorders>
            <w:shd w:val="clear" w:color="auto" w:fill="auto"/>
            <w:noWrap/>
            <w:vAlign w:val="center"/>
            <w:hideMark/>
          </w:tcPr>
          <w:p w:rsidR="00ED7F5C" w:rsidRPr="00E6310C" w:rsidP="004E16D7" w14:paraId="1BDE3A2E" w14:textId="5CF6A212">
            <w:pPr>
              <w:widowControl/>
              <w:suppressAutoHyphens/>
              <w:jc w:val="center"/>
              <w:rPr>
                <w:rStyle w:val="DefaultParagraphFont"/>
                <w:snapToGrid/>
                <w:kern w:val="0"/>
                <w:sz w:val="20"/>
                <w:lang w:val="en-US" w:eastAsia="en-US" w:bidi="ar-SA"/>
              </w:rPr>
            </w:pPr>
            <w:r>
              <w:rPr>
                <w:snapToGrid w:val="0"/>
                <w:kern w:val="28"/>
                <w:sz w:val="20"/>
                <w:lang w:val="en-US" w:eastAsia="en-US" w:bidi="ar-SA"/>
              </w:rPr>
              <w:t>2015</w:t>
            </w:r>
          </w:p>
        </w:tc>
        <w:tc>
          <w:tcPr>
            <w:tcW w:w="337" w:type="pct"/>
            <w:tcBorders>
              <w:top w:val="nil"/>
              <w:left w:val="nil"/>
              <w:bottom w:val="single" w:sz="8" w:space="0" w:color="auto"/>
              <w:right w:val="single" w:sz="4" w:space="0" w:color="auto"/>
            </w:tcBorders>
            <w:shd w:val="clear" w:color="auto" w:fill="auto"/>
            <w:noWrap/>
            <w:vAlign w:val="center"/>
            <w:hideMark/>
          </w:tcPr>
          <w:p w:rsidR="00ED7F5C" w:rsidRPr="00E6310C" w:rsidP="004E16D7" w14:paraId="376AA551" w14:textId="7CB461CE">
            <w:pPr>
              <w:widowControl/>
              <w:suppressAutoHyphens/>
              <w:jc w:val="center"/>
              <w:rPr>
                <w:rStyle w:val="DefaultParagraphFont"/>
                <w:snapToGrid/>
                <w:kern w:val="0"/>
                <w:sz w:val="20"/>
                <w:lang w:val="en-US" w:eastAsia="en-US" w:bidi="ar-SA"/>
              </w:rPr>
            </w:pPr>
            <w:r>
              <w:rPr>
                <w:snapToGrid w:val="0"/>
                <w:kern w:val="28"/>
                <w:sz w:val="20"/>
                <w:lang w:val="en-US" w:eastAsia="en-US" w:bidi="ar-SA"/>
              </w:rPr>
              <w:t>39</w:t>
            </w:r>
          </w:p>
        </w:tc>
        <w:tc>
          <w:tcPr>
            <w:tcW w:w="592" w:type="pct"/>
            <w:tcBorders>
              <w:top w:val="nil"/>
              <w:left w:val="nil"/>
              <w:bottom w:val="single" w:sz="8" w:space="0" w:color="auto"/>
              <w:right w:val="single" w:sz="4" w:space="0" w:color="auto"/>
            </w:tcBorders>
            <w:shd w:val="clear" w:color="auto" w:fill="auto"/>
            <w:noWrap/>
            <w:vAlign w:val="center"/>
            <w:hideMark/>
          </w:tcPr>
          <w:p w:rsidR="00ED7F5C" w:rsidRPr="00E6310C" w:rsidP="004E16D7" w14:paraId="1154ED85" w14:textId="2F1910CD">
            <w:pPr>
              <w:widowControl/>
              <w:suppressAutoHyphens/>
              <w:jc w:val="center"/>
              <w:rPr>
                <w:rStyle w:val="DefaultParagraphFont"/>
                <w:snapToGrid/>
                <w:kern w:val="0"/>
                <w:sz w:val="20"/>
                <w:lang w:val="en-US" w:eastAsia="en-US" w:bidi="ar-SA"/>
              </w:rPr>
            </w:pPr>
            <w:r>
              <w:rPr>
                <w:snapToGrid w:val="0"/>
                <w:kern w:val="28"/>
                <w:sz w:val="20"/>
                <w:lang w:val="en-US" w:eastAsia="en-US" w:bidi="ar-SA"/>
              </w:rPr>
              <w:t>272.7</w:t>
            </w:r>
          </w:p>
        </w:tc>
        <w:tc>
          <w:tcPr>
            <w:tcW w:w="647" w:type="pct"/>
            <w:tcBorders>
              <w:top w:val="nil"/>
              <w:left w:val="nil"/>
              <w:bottom w:val="single" w:sz="8" w:space="0" w:color="auto"/>
              <w:right w:val="single" w:sz="4" w:space="0" w:color="auto"/>
            </w:tcBorders>
            <w:shd w:val="clear" w:color="auto" w:fill="auto"/>
            <w:noWrap/>
            <w:vAlign w:val="center"/>
            <w:hideMark/>
          </w:tcPr>
          <w:p w:rsidR="00ED7F5C" w:rsidRPr="00E6310C" w:rsidP="004E16D7" w14:paraId="0228B9AC" w14:textId="6FA650C7">
            <w:pPr>
              <w:widowControl/>
              <w:suppressAutoHyphens/>
              <w:jc w:val="center"/>
              <w:rPr>
                <w:rStyle w:val="DefaultParagraphFont"/>
                <w:snapToGrid/>
                <w:kern w:val="0"/>
                <w:sz w:val="20"/>
                <w:lang w:val="en-US" w:eastAsia="en-US" w:bidi="ar-SA"/>
              </w:rPr>
            </w:pPr>
            <w:r>
              <w:rPr>
                <w:snapToGrid w:val="0"/>
                <w:kern w:val="28"/>
                <w:sz w:val="20"/>
                <w:lang w:val="en-US" w:eastAsia="en-US" w:bidi="ar-SA"/>
              </w:rPr>
              <w:t>8.415</w:t>
            </w:r>
          </w:p>
        </w:tc>
        <w:tc>
          <w:tcPr>
            <w:tcW w:w="683" w:type="pct"/>
            <w:vMerge/>
            <w:tcBorders>
              <w:top w:val="nil"/>
              <w:left w:val="single" w:sz="4" w:space="0" w:color="auto"/>
              <w:bottom w:val="single" w:sz="8" w:space="0" w:color="000000"/>
              <w:right w:val="single" w:sz="8" w:space="0" w:color="auto"/>
            </w:tcBorders>
            <w:vAlign w:val="center"/>
            <w:hideMark/>
          </w:tcPr>
          <w:p w:rsidR="00ED7F5C" w:rsidRPr="00E6310C" w:rsidP="004E16D7" w14:paraId="6F67B15B" w14:textId="77777777">
            <w:pPr>
              <w:widowControl/>
              <w:suppressAutoHyphens/>
              <w:rPr>
                <w:rStyle w:val="DefaultParagraphFont"/>
                <w:snapToGrid/>
                <w:kern w:val="0"/>
                <w:sz w:val="20"/>
                <w:lang w:val="en-US" w:eastAsia="en-US" w:bidi="ar-SA"/>
              </w:rPr>
            </w:pPr>
          </w:p>
        </w:tc>
      </w:tr>
      <w:tr w14:paraId="2DA53523" w14:textId="77777777" w:rsidTr="00A46F4A">
        <w:tblPrEx>
          <w:tblW w:w="5000" w:type="pct"/>
          <w:tblInd w:w="0" w:type="dxa"/>
          <w:tblLayout w:type="fixed"/>
          <w:tblCellMar>
            <w:top w:w="0" w:type="dxa"/>
            <w:left w:w="108" w:type="dxa"/>
            <w:bottom w:w="0" w:type="dxa"/>
            <w:right w:w="108" w:type="dxa"/>
          </w:tblCellMar>
          <w:tblLook w:val="04A0"/>
        </w:tblPrEx>
        <w:trPr>
          <w:trHeight w:hRule="exact" w:val="864"/>
        </w:trPr>
        <w:tc>
          <w:tcPr>
            <w:tcW w:w="5000" w:type="pct"/>
            <w:gridSpan w:val="8"/>
            <w:tcBorders>
              <w:top w:val="nil"/>
              <w:left w:val="nil"/>
              <w:bottom w:val="nil"/>
              <w:right w:val="nil"/>
            </w:tcBorders>
            <w:shd w:val="clear" w:color="auto" w:fill="auto"/>
            <w:vAlign w:val="bottom"/>
            <w:hideMark/>
          </w:tcPr>
          <w:p w:rsidR="00ED7F5C" w:rsidRPr="00E6310C" w:rsidP="004E16D7" w14:paraId="7ABFDD99" w14:textId="2D2F1007">
            <w:pPr>
              <w:widowControl/>
              <w:suppressAutoHyphens/>
              <w:rPr>
                <w:rStyle w:val="DefaultParagraphFont"/>
                <w:snapToGrid/>
                <w:kern w:val="0"/>
                <w:sz w:val="20"/>
                <w:lang w:val="en-US" w:eastAsia="en-US" w:bidi="ar-SA"/>
              </w:rPr>
            </w:pPr>
            <w:r w:rsidRPr="00E6310C">
              <w:rPr>
                <w:snapToGrid/>
                <w:kern w:val="0"/>
                <w:sz w:val="20"/>
                <w:lang w:val="en-US" w:eastAsia="en-US" w:bidi="ar-SA"/>
              </w:rPr>
              <w:t xml:space="preserve">Source: </w:t>
            </w:r>
            <w:r w:rsidR="00921DD1">
              <w:rPr>
                <w:snapToGrid/>
                <w:kern w:val="0"/>
                <w:sz w:val="20"/>
                <w:lang w:val="en-US" w:eastAsia="en-US" w:bidi="ar-SA"/>
              </w:rPr>
              <w:t xml:space="preserve"> </w:t>
            </w:r>
            <w:r w:rsidRPr="00E6310C">
              <w:rPr>
                <w:snapToGrid/>
                <w:kern w:val="0"/>
                <w:sz w:val="20"/>
                <w:lang w:val="en-US" w:eastAsia="en-US" w:bidi="ar-SA"/>
              </w:rPr>
              <w:t xml:space="preserve">2016 survey. </w:t>
            </w:r>
            <w:r w:rsidR="00921DD1">
              <w:rPr>
                <w:snapToGrid/>
                <w:kern w:val="0"/>
                <w:sz w:val="20"/>
                <w:lang w:val="en-US" w:eastAsia="en-US" w:bidi="ar-SA"/>
              </w:rPr>
              <w:t xml:space="preserve"> </w:t>
            </w:r>
            <w:r w:rsidRPr="00E6310C">
              <w:rPr>
                <w:snapToGrid/>
                <w:kern w:val="0"/>
                <w:sz w:val="20"/>
                <w:lang w:val="en-US" w:eastAsia="en-US" w:bidi="ar-SA"/>
              </w:rPr>
              <w:t xml:space="preserve">*Indicates the annual change is statistically significant at the 95% confidence level. </w:t>
            </w:r>
            <w:r w:rsidR="00857830">
              <w:rPr>
                <w:snapToGrid/>
                <w:kern w:val="0"/>
                <w:sz w:val="20"/>
                <w:lang w:val="en-US" w:eastAsia="en-US" w:bidi="ar-SA"/>
              </w:rPr>
              <w:t xml:space="preserve"> </w:t>
            </w:r>
            <w:r w:rsidRPr="00E6310C">
              <w:rPr>
                <w:snapToGrid/>
                <w:kern w:val="0"/>
                <w:sz w:val="20"/>
                <w:lang w:val="en-US" w:eastAsia="en-US" w:bidi="ar-SA"/>
              </w:rPr>
              <w:t xml:space="preserve">The number of channels is the maximum viewable with the service including channels that require equipment. </w:t>
            </w:r>
            <w:r w:rsidR="00857830">
              <w:rPr>
                <w:snapToGrid/>
                <w:kern w:val="0"/>
                <w:sz w:val="20"/>
                <w:lang w:val="en-US" w:eastAsia="en-US" w:bidi="ar-SA"/>
              </w:rPr>
              <w:t xml:space="preserve"> </w:t>
            </w:r>
            <w:r w:rsidRPr="00E6310C">
              <w:rPr>
                <w:snapToGrid/>
                <w:kern w:val="0"/>
                <w:sz w:val="20"/>
                <w:lang w:val="en-US" w:eastAsia="en-US" w:bidi="ar-SA"/>
              </w:rPr>
              <w:t>Number of channels does not include audio-only channels.</w:t>
            </w:r>
          </w:p>
        </w:tc>
      </w:tr>
    </w:tbl>
    <w:p w:rsidR="00E6310C" w:rsidP="004E16D7" w14:paraId="141DA254" w14:textId="77777777">
      <w:pPr>
        <w:widowControl/>
        <w:suppressAutoHyphens/>
      </w:pPr>
      <w:r>
        <w:br w:type="page"/>
      </w:r>
    </w:p>
    <w:p w:rsidR="00E6310C" w:rsidP="004E16D7" w14:paraId="171A5843" w14:textId="77777777">
      <w:pPr>
        <w:widowControl/>
        <w:suppressAutoHyphens/>
      </w:pPr>
    </w:p>
    <w:tbl>
      <w:tblPr>
        <w:tblW w:w="5000" w:type="pct"/>
        <w:tblInd w:w="0" w:type="dxa"/>
        <w:tblLayout w:type="fixed"/>
        <w:tblCellMar>
          <w:top w:w="0" w:type="dxa"/>
          <w:left w:w="108" w:type="dxa"/>
          <w:bottom w:w="0" w:type="dxa"/>
          <w:right w:w="108" w:type="dxa"/>
        </w:tblCellMar>
        <w:tblLook w:val="04A0"/>
      </w:tblPr>
      <w:tblGrid>
        <w:gridCol w:w="1516"/>
        <w:gridCol w:w="899"/>
        <w:gridCol w:w="810"/>
        <w:gridCol w:w="720"/>
        <w:gridCol w:w="810"/>
        <w:gridCol w:w="976"/>
        <w:gridCol w:w="884"/>
        <w:gridCol w:w="1011"/>
        <w:gridCol w:w="870"/>
        <w:gridCol w:w="834"/>
      </w:tblGrid>
      <w:tr w14:paraId="74ABE98F" w14:textId="77777777" w:rsidTr="00A46F4A">
        <w:tblPrEx>
          <w:tblW w:w="5000" w:type="pct"/>
          <w:tblInd w:w="0" w:type="dxa"/>
          <w:tblLayout w:type="fixed"/>
          <w:tblCellMar>
            <w:top w:w="0" w:type="dxa"/>
            <w:left w:w="108" w:type="dxa"/>
            <w:bottom w:w="0" w:type="dxa"/>
            <w:right w:w="108" w:type="dxa"/>
          </w:tblCellMar>
          <w:tblLook w:val="04A0"/>
        </w:tblPrEx>
        <w:trPr>
          <w:trHeight w:hRule="exact" w:val="1152"/>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A42BE" w:rsidRPr="007A42BE" w:rsidP="004E16D7" w14:paraId="3721D0D7" w14:textId="77777777">
            <w:pPr>
              <w:widowControl/>
              <w:suppressAutoHyphens/>
              <w:jc w:val="center"/>
              <w:rPr>
                <w:rStyle w:val="DefaultParagraphFont"/>
                <w:b/>
                <w:bCs/>
                <w:snapToGrid/>
                <w:kern w:val="0"/>
                <w:sz w:val="22"/>
                <w:szCs w:val="22"/>
                <w:lang w:val="en-US" w:eastAsia="en-US" w:bidi="ar-SA"/>
              </w:rPr>
            </w:pPr>
            <w:r w:rsidRPr="007A42BE">
              <w:rPr>
                <w:b/>
                <w:bCs/>
                <w:snapToGrid/>
                <w:kern w:val="0"/>
                <w:sz w:val="22"/>
                <w:szCs w:val="22"/>
                <w:lang w:val="en-US" w:eastAsia="en-US" w:bidi="ar-SA"/>
              </w:rPr>
              <w:t>Attachment 7</w:t>
            </w:r>
          </w:p>
          <w:p w:rsidR="007A42BE" w:rsidRPr="007A42BE" w:rsidP="004E16D7" w14:paraId="27559476" w14:textId="77777777">
            <w:pPr>
              <w:widowControl/>
              <w:suppressAutoHyphens/>
              <w:jc w:val="center"/>
              <w:rPr>
                <w:rStyle w:val="DefaultParagraphFont"/>
                <w:b/>
                <w:bCs/>
                <w:snapToGrid/>
                <w:kern w:val="0"/>
                <w:sz w:val="22"/>
                <w:szCs w:val="22"/>
                <w:lang w:val="en-US" w:eastAsia="en-US" w:bidi="ar-SA"/>
              </w:rPr>
            </w:pPr>
            <w:r w:rsidRPr="007A42BE">
              <w:rPr>
                <w:b/>
                <w:bCs/>
                <w:snapToGrid/>
                <w:kern w:val="0"/>
                <w:sz w:val="22"/>
                <w:szCs w:val="22"/>
                <w:lang w:val="en-US" w:eastAsia="en-US" w:bidi="ar-SA"/>
              </w:rPr>
              <w:t>Historical Averages</w:t>
            </w:r>
          </w:p>
          <w:p w:rsidR="007A42BE" w:rsidRPr="00EE5D48" w:rsidP="004E16D7" w14:paraId="192D29DE" w14:textId="77777777">
            <w:pPr>
              <w:widowControl w:val="0"/>
              <w:suppressAutoHyphens/>
              <w:jc w:val="center"/>
              <w:rPr>
                <w:rStyle w:val="DefaultParagraphFont"/>
                <w:bCs/>
                <w:snapToGrid/>
                <w:kern w:val="0"/>
                <w:sz w:val="22"/>
                <w:szCs w:val="22"/>
                <w:lang w:val="en-US" w:eastAsia="en-US" w:bidi="ar-SA"/>
              </w:rPr>
            </w:pPr>
            <w:r w:rsidRPr="00EE5D48">
              <w:rPr>
                <w:bCs/>
                <w:snapToGrid/>
                <w:kern w:val="0"/>
                <w:sz w:val="22"/>
                <w:szCs w:val="22"/>
                <w:lang w:val="en-US" w:eastAsia="en-US" w:bidi="ar-SA"/>
              </w:rPr>
              <w:t>1995-2016</w:t>
            </w:r>
          </w:p>
        </w:tc>
      </w:tr>
      <w:tr w14:paraId="1211A056" w14:textId="77777777" w:rsidTr="00A46F4A">
        <w:tblPrEx>
          <w:tblW w:w="5000" w:type="pct"/>
          <w:tblInd w:w="0" w:type="dxa"/>
          <w:tblLayout w:type="fixed"/>
          <w:tblCellMar>
            <w:top w:w="0" w:type="dxa"/>
            <w:left w:w="108" w:type="dxa"/>
            <w:bottom w:w="0" w:type="dxa"/>
            <w:right w:w="108" w:type="dxa"/>
          </w:tblCellMar>
          <w:tblLook w:val="04A0"/>
        </w:tblPrEx>
        <w:trPr>
          <w:trHeight w:hRule="exact" w:val="317"/>
        </w:trPr>
        <w:tc>
          <w:tcPr>
            <w:tcW w:w="812"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7A42BE" w:rsidP="004E16D7" w14:paraId="59CDA779" w14:textId="77777777">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Survey</w:t>
            </w:r>
          </w:p>
          <w:p w:rsidR="006532A4" w:rsidRPr="007A42BE" w:rsidP="004E16D7" w14:paraId="022C10D5" w14:textId="4310F4E3">
            <w:pPr>
              <w:widowControl/>
              <w:suppressAutoHyphens/>
              <w:jc w:val="center"/>
              <w:rPr>
                <w:rStyle w:val="DefaultParagraphFont"/>
                <w:b/>
                <w:bCs/>
                <w:snapToGrid/>
                <w:kern w:val="0"/>
                <w:sz w:val="20"/>
                <w:lang w:val="en-US" w:eastAsia="en-US" w:bidi="ar-SA"/>
              </w:rPr>
            </w:pPr>
            <w:r>
              <w:rPr>
                <w:b/>
                <w:bCs/>
                <w:snapToGrid/>
                <w:kern w:val="0"/>
                <w:sz w:val="20"/>
                <w:lang w:val="en-US" w:eastAsia="en-US" w:bidi="ar-SA"/>
              </w:rPr>
              <w:t>Year</w:t>
            </w:r>
          </w:p>
        </w:tc>
        <w:tc>
          <w:tcPr>
            <w:tcW w:w="482"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7A42BE" w:rsidRPr="007A42BE" w:rsidP="004E16D7" w14:paraId="6F8E74D9"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Basic Service Price</w:t>
            </w:r>
          </w:p>
        </w:tc>
        <w:tc>
          <w:tcPr>
            <w:tcW w:w="2251" w:type="pct"/>
            <w:gridSpan w:val="5"/>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47258EE3" w14:textId="3199C316">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 xml:space="preserve">Expanded Basic </w:t>
            </w:r>
            <w:r w:rsidR="0046159B">
              <w:rPr>
                <w:b/>
                <w:bCs/>
                <w:snapToGrid/>
                <w:kern w:val="0"/>
                <w:sz w:val="20"/>
                <w:lang w:val="en-US" w:eastAsia="en-US" w:bidi="ar-SA"/>
              </w:rPr>
              <w:t>Programming Service</w:t>
            </w:r>
          </w:p>
        </w:tc>
        <w:tc>
          <w:tcPr>
            <w:tcW w:w="542"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7F73A6" w:rsidP="004E16D7" w14:paraId="4A429A13"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 xml:space="preserve">Next Most Popular </w:t>
            </w:r>
          </w:p>
          <w:p w:rsidR="007A42BE" w:rsidRPr="007A42BE" w:rsidP="004E16D7" w14:paraId="06E77428" w14:textId="6AEDB0FE">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 xml:space="preserve">Service </w:t>
            </w:r>
            <w:r w:rsidR="00E6310C">
              <w:rPr>
                <w:b/>
                <w:bCs/>
                <w:snapToGrid/>
                <w:kern w:val="0"/>
                <w:sz w:val="20"/>
                <w:lang w:val="en-US" w:eastAsia="en-US" w:bidi="ar-SA"/>
              </w:rPr>
              <w:t>and</w:t>
            </w:r>
            <w:r w:rsidRPr="007A42BE">
              <w:rPr>
                <w:b/>
                <w:bCs/>
                <w:snapToGrid/>
                <w:kern w:val="0"/>
                <w:sz w:val="20"/>
                <w:lang w:val="en-US" w:eastAsia="en-US" w:bidi="ar-SA"/>
              </w:rPr>
              <w:t xml:space="preserve"> Equipment</w:t>
            </w:r>
          </w:p>
        </w:tc>
        <w:tc>
          <w:tcPr>
            <w:tcW w:w="913" w:type="pct"/>
            <w:gridSpan w:val="2"/>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7A42BE" w:rsidRPr="007A42BE" w:rsidP="004E16D7" w14:paraId="785FE643"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CPI</w:t>
            </w:r>
          </w:p>
        </w:tc>
      </w:tr>
      <w:tr w14:paraId="62B62391" w14:textId="77777777" w:rsidTr="00DC1FCC">
        <w:tblPrEx>
          <w:tblW w:w="5000" w:type="pct"/>
          <w:tblInd w:w="0" w:type="dxa"/>
          <w:tblLayout w:type="fixed"/>
          <w:tblCellMar>
            <w:top w:w="0" w:type="dxa"/>
            <w:left w:w="108" w:type="dxa"/>
            <w:bottom w:w="0" w:type="dxa"/>
            <w:right w:w="108" w:type="dxa"/>
          </w:tblCellMar>
          <w:tblLook w:val="04A0"/>
        </w:tblPrEx>
        <w:trPr>
          <w:trHeight w:hRule="exact" w:val="317"/>
        </w:trPr>
        <w:tc>
          <w:tcPr>
            <w:tcW w:w="812" w:type="pct"/>
            <w:vMerge/>
            <w:tcBorders>
              <w:top w:val="single" w:sz="8" w:space="0" w:color="auto"/>
              <w:left w:val="single" w:sz="12" w:space="0" w:color="auto"/>
              <w:bottom w:val="single" w:sz="8" w:space="0" w:color="auto"/>
              <w:right w:val="single" w:sz="8" w:space="0" w:color="auto"/>
            </w:tcBorders>
            <w:vAlign w:val="center"/>
            <w:hideMark/>
          </w:tcPr>
          <w:p w:rsidR="007A42BE" w:rsidRPr="007A42BE" w:rsidP="004E16D7" w14:paraId="4940D0CB" w14:textId="77777777">
            <w:pPr>
              <w:widowControl/>
              <w:suppressAutoHyphens/>
              <w:rPr>
                <w:rStyle w:val="DefaultParagraphFont"/>
                <w:b/>
                <w:bCs/>
                <w:snapToGrid/>
                <w:kern w:val="0"/>
                <w:sz w:val="20"/>
                <w:lang w:val="en-US" w:eastAsia="en-US" w:bidi="ar-SA"/>
              </w:rPr>
            </w:pPr>
          </w:p>
        </w:tc>
        <w:tc>
          <w:tcPr>
            <w:tcW w:w="482" w:type="pct"/>
            <w:vMerge/>
            <w:tcBorders>
              <w:top w:val="single" w:sz="8" w:space="0" w:color="auto"/>
              <w:left w:val="single" w:sz="8" w:space="0" w:color="auto"/>
              <w:bottom w:val="single" w:sz="8" w:space="0" w:color="auto"/>
              <w:right w:val="single" w:sz="8" w:space="0" w:color="auto"/>
            </w:tcBorders>
            <w:vAlign w:val="center"/>
            <w:hideMark/>
          </w:tcPr>
          <w:p w:rsidR="007A42BE" w:rsidRPr="007A42BE" w:rsidP="004E16D7" w14:paraId="5696D582" w14:textId="77777777">
            <w:pPr>
              <w:widowControl/>
              <w:suppressAutoHyphens/>
              <w:rPr>
                <w:rStyle w:val="DefaultParagraphFont"/>
                <w:b/>
                <w:bCs/>
                <w:snapToGrid/>
                <w:kern w:val="0"/>
                <w:sz w:val="20"/>
                <w:lang w:val="en-US" w:eastAsia="en-US" w:bidi="ar-SA"/>
              </w:rPr>
            </w:pPr>
          </w:p>
        </w:tc>
        <w:tc>
          <w:tcPr>
            <w:tcW w:w="4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7389CD4A"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Price</w:t>
            </w:r>
          </w:p>
        </w:tc>
        <w:tc>
          <w:tcPr>
            <w:tcW w:w="82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089593C3"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Channels</w:t>
            </w:r>
          </w:p>
        </w:tc>
        <w:tc>
          <w:tcPr>
            <w:tcW w:w="997"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6D524753"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Price per Channel</w:t>
            </w:r>
          </w:p>
        </w:tc>
        <w:tc>
          <w:tcPr>
            <w:tcW w:w="542" w:type="pct"/>
            <w:vMerge/>
            <w:tcBorders>
              <w:top w:val="single" w:sz="8" w:space="0" w:color="auto"/>
              <w:left w:val="single" w:sz="8" w:space="0" w:color="auto"/>
              <w:bottom w:val="single" w:sz="8" w:space="0" w:color="auto"/>
              <w:right w:val="single" w:sz="8" w:space="0" w:color="auto"/>
            </w:tcBorders>
            <w:vAlign w:val="center"/>
            <w:hideMark/>
          </w:tcPr>
          <w:p w:rsidR="007A42BE" w:rsidRPr="007A42BE" w:rsidP="004E16D7" w14:paraId="088730CB" w14:textId="77777777">
            <w:pPr>
              <w:widowControl/>
              <w:suppressAutoHyphens/>
              <w:rPr>
                <w:rStyle w:val="DefaultParagraphFont"/>
                <w:b/>
                <w:bCs/>
                <w:snapToGrid/>
                <w:kern w:val="0"/>
                <w:sz w:val="20"/>
                <w:lang w:val="en-US" w:eastAsia="en-US" w:bidi="ar-SA"/>
              </w:rPr>
            </w:pPr>
          </w:p>
        </w:tc>
        <w:tc>
          <w:tcPr>
            <w:tcW w:w="46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A42BE" w:rsidRPr="007A42BE" w:rsidP="004E16D7" w14:paraId="4567961D"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All Items</w:t>
            </w:r>
          </w:p>
        </w:tc>
        <w:tc>
          <w:tcPr>
            <w:tcW w:w="447" w:type="pct"/>
            <w:vMerge w:val="restart"/>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7A42BE" w:rsidRPr="007A42BE" w:rsidP="004E16D7" w14:paraId="31F6C37B"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Cable</w:t>
            </w:r>
          </w:p>
        </w:tc>
      </w:tr>
      <w:tr w14:paraId="4B930508" w14:textId="77777777" w:rsidTr="00A46F4A">
        <w:tblPrEx>
          <w:tblW w:w="5000" w:type="pct"/>
          <w:tblInd w:w="0" w:type="dxa"/>
          <w:tblLayout w:type="fixed"/>
          <w:tblCellMar>
            <w:top w:w="0" w:type="dxa"/>
            <w:left w:w="108" w:type="dxa"/>
            <w:bottom w:w="0" w:type="dxa"/>
            <w:right w:w="108" w:type="dxa"/>
          </w:tblCellMar>
          <w:tblLook w:val="04A0"/>
        </w:tblPrEx>
        <w:trPr>
          <w:trHeight w:hRule="exact" w:val="317"/>
        </w:trPr>
        <w:tc>
          <w:tcPr>
            <w:tcW w:w="812" w:type="pct"/>
            <w:vMerge/>
            <w:tcBorders>
              <w:top w:val="single" w:sz="8" w:space="0" w:color="auto"/>
              <w:left w:val="single" w:sz="12" w:space="0" w:color="auto"/>
              <w:bottom w:val="single" w:sz="8" w:space="0" w:color="auto"/>
              <w:right w:val="single" w:sz="8" w:space="0" w:color="auto"/>
            </w:tcBorders>
            <w:vAlign w:val="center"/>
            <w:hideMark/>
          </w:tcPr>
          <w:p w:rsidR="007A42BE" w:rsidRPr="007A42BE" w:rsidP="004E16D7" w14:paraId="007F625F" w14:textId="77777777">
            <w:pPr>
              <w:widowControl/>
              <w:suppressAutoHyphens/>
              <w:rPr>
                <w:rStyle w:val="DefaultParagraphFont"/>
                <w:b/>
                <w:bCs/>
                <w:snapToGrid/>
                <w:kern w:val="0"/>
                <w:sz w:val="20"/>
                <w:lang w:val="en-US" w:eastAsia="en-US" w:bidi="ar-SA"/>
              </w:rPr>
            </w:pPr>
          </w:p>
        </w:tc>
        <w:tc>
          <w:tcPr>
            <w:tcW w:w="482" w:type="pct"/>
            <w:vMerge/>
            <w:tcBorders>
              <w:top w:val="single" w:sz="8" w:space="0" w:color="auto"/>
              <w:left w:val="single" w:sz="8" w:space="0" w:color="auto"/>
              <w:bottom w:val="single" w:sz="8" w:space="0" w:color="auto"/>
              <w:right w:val="single" w:sz="8" w:space="0" w:color="auto"/>
            </w:tcBorders>
            <w:vAlign w:val="center"/>
            <w:hideMark/>
          </w:tcPr>
          <w:p w:rsidR="007A42BE" w:rsidRPr="007A42BE" w:rsidP="004E16D7" w14:paraId="31ED912F" w14:textId="77777777">
            <w:pPr>
              <w:widowControl/>
              <w:suppressAutoHyphens/>
              <w:rPr>
                <w:rStyle w:val="DefaultParagraphFont"/>
                <w:b/>
                <w:bCs/>
                <w:snapToGrid/>
                <w:kern w:val="0"/>
                <w:sz w:val="20"/>
                <w:lang w:val="en-US" w:eastAsia="en-US" w:bidi="ar-SA"/>
              </w:rPr>
            </w:pPr>
          </w:p>
        </w:tc>
        <w:tc>
          <w:tcPr>
            <w:tcW w:w="434" w:type="pct"/>
            <w:vMerge/>
            <w:tcBorders>
              <w:top w:val="single" w:sz="8" w:space="0" w:color="auto"/>
              <w:left w:val="single" w:sz="8" w:space="0" w:color="auto"/>
              <w:bottom w:val="single" w:sz="8" w:space="0" w:color="auto"/>
              <w:right w:val="single" w:sz="8" w:space="0" w:color="auto"/>
            </w:tcBorders>
            <w:vAlign w:val="center"/>
            <w:hideMark/>
          </w:tcPr>
          <w:p w:rsidR="007A42BE" w:rsidRPr="007A42BE" w:rsidP="004E16D7" w14:paraId="01E7742C" w14:textId="77777777">
            <w:pPr>
              <w:widowControl/>
              <w:suppressAutoHyphens/>
              <w:rPr>
                <w:rStyle w:val="DefaultParagraphFont"/>
                <w:b/>
                <w:bCs/>
                <w:snapToGrid/>
                <w:kern w:val="0"/>
                <w:sz w:val="20"/>
                <w:lang w:val="en-US" w:eastAsia="en-US" w:bidi="ar-SA"/>
              </w:rPr>
            </w:pP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27606E86"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No.</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397CE529"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Index</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077019E5"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Dollars</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42BE" w:rsidRPr="007A42BE" w:rsidP="004E16D7" w14:paraId="729E26A1" w14:textId="77777777">
            <w:pPr>
              <w:widowControl/>
              <w:suppressAutoHyphens/>
              <w:jc w:val="center"/>
              <w:rPr>
                <w:rStyle w:val="DefaultParagraphFont"/>
                <w:b/>
                <w:bCs/>
                <w:snapToGrid/>
                <w:kern w:val="0"/>
                <w:sz w:val="20"/>
                <w:lang w:val="en-US" w:eastAsia="en-US" w:bidi="ar-SA"/>
              </w:rPr>
            </w:pPr>
            <w:r w:rsidRPr="007A42BE">
              <w:rPr>
                <w:b/>
                <w:bCs/>
                <w:snapToGrid/>
                <w:kern w:val="0"/>
                <w:sz w:val="20"/>
                <w:lang w:val="en-US" w:eastAsia="en-US" w:bidi="ar-SA"/>
              </w:rPr>
              <w:t>Index</w:t>
            </w:r>
          </w:p>
        </w:tc>
        <w:tc>
          <w:tcPr>
            <w:tcW w:w="542" w:type="pct"/>
            <w:vMerge/>
            <w:tcBorders>
              <w:top w:val="single" w:sz="8" w:space="0" w:color="auto"/>
              <w:left w:val="single" w:sz="8" w:space="0" w:color="auto"/>
              <w:bottom w:val="single" w:sz="8" w:space="0" w:color="auto"/>
              <w:right w:val="single" w:sz="8" w:space="0" w:color="auto"/>
            </w:tcBorders>
            <w:vAlign w:val="center"/>
            <w:hideMark/>
          </w:tcPr>
          <w:p w:rsidR="007A42BE" w:rsidRPr="007A42BE" w:rsidP="004E16D7" w14:paraId="383CD06C" w14:textId="77777777">
            <w:pPr>
              <w:widowControl/>
              <w:suppressAutoHyphens/>
              <w:rPr>
                <w:rStyle w:val="DefaultParagraphFont"/>
                <w:b/>
                <w:bCs/>
                <w:snapToGrid/>
                <w:kern w:val="0"/>
                <w:sz w:val="20"/>
                <w:lang w:val="en-US" w:eastAsia="en-US" w:bidi="ar-SA"/>
              </w:rPr>
            </w:pPr>
          </w:p>
        </w:tc>
        <w:tc>
          <w:tcPr>
            <w:tcW w:w="466" w:type="pct"/>
            <w:vMerge/>
            <w:tcBorders>
              <w:top w:val="single" w:sz="8" w:space="0" w:color="auto"/>
              <w:left w:val="single" w:sz="8" w:space="0" w:color="auto"/>
              <w:bottom w:val="single" w:sz="8" w:space="0" w:color="auto"/>
              <w:right w:val="single" w:sz="8" w:space="0" w:color="auto"/>
            </w:tcBorders>
            <w:vAlign w:val="center"/>
            <w:hideMark/>
          </w:tcPr>
          <w:p w:rsidR="007A42BE" w:rsidRPr="007A42BE" w:rsidP="004E16D7" w14:paraId="1014824C" w14:textId="77777777">
            <w:pPr>
              <w:widowControl/>
              <w:suppressAutoHyphens/>
              <w:rPr>
                <w:rStyle w:val="DefaultParagraphFont"/>
                <w:b/>
                <w:bCs/>
                <w:snapToGrid/>
                <w:kern w:val="0"/>
                <w:sz w:val="20"/>
                <w:lang w:val="en-US" w:eastAsia="en-US" w:bidi="ar-SA"/>
              </w:rPr>
            </w:pPr>
          </w:p>
        </w:tc>
        <w:tc>
          <w:tcPr>
            <w:tcW w:w="447" w:type="pct"/>
            <w:vMerge/>
            <w:tcBorders>
              <w:top w:val="single" w:sz="8" w:space="0" w:color="auto"/>
              <w:left w:val="single" w:sz="8" w:space="0" w:color="auto"/>
              <w:bottom w:val="single" w:sz="8" w:space="0" w:color="auto"/>
              <w:right w:val="single" w:sz="12" w:space="0" w:color="auto"/>
            </w:tcBorders>
            <w:vAlign w:val="center"/>
            <w:hideMark/>
          </w:tcPr>
          <w:p w:rsidR="007A42BE" w:rsidRPr="007A42BE" w:rsidP="004E16D7" w14:paraId="7DD766E3" w14:textId="77777777">
            <w:pPr>
              <w:widowControl/>
              <w:suppressAutoHyphens/>
              <w:rPr>
                <w:rStyle w:val="DefaultParagraphFont"/>
                <w:b/>
                <w:bCs/>
                <w:snapToGrid/>
                <w:kern w:val="0"/>
                <w:sz w:val="20"/>
                <w:lang w:val="en-US" w:eastAsia="en-US" w:bidi="ar-SA"/>
              </w:rPr>
            </w:pPr>
          </w:p>
        </w:tc>
      </w:tr>
      <w:tr w14:paraId="328FAA9B"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6234D367" w14:textId="302C1B1B">
            <w:pPr>
              <w:widowControl/>
              <w:suppressAutoHyphens/>
              <w:rPr>
                <w:rStyle w:val="DefaultParagraphFont"/>
                <w:snapToGrid/>
                <w:kern w:val="0"/>
                <w:sz w:val="20"/>
                <w:lang w:val="en-US" w:eastAsia="en-US" w:bidi="ar-SA"/>
              </w:rPr>
            </w:pPr>
            <w:r w:rsidRPr="002C599D">
              <w:rPr>
                <w:snapToGrid/>
                <w:kern w:val="0"/>
                <w:sz w:val="20"/>
                <w:lang w:val="en-US" w:eastAsia="en-US" w:bidi="ar-SA"/>
              </w:rPr>
              <w:t>1995</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1F9F0BE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39895E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$22.35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FBC8C58" w14:textId="268BFEDE">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44</w:t>
            </w:r>
            <w:r w:rsidRPr="002C599D" w:rsidR="00C15AB1">
              <w:rPr>
                <w:snapToGrid/>
                <w:kern w:val="0"/>
                <w:sz w:val="20"/>
                <w:lang w:val="en-US" w:eastAsia="en-US" w:bidi="ar-SA"/>
              </w:rPr>
              <w:t>.0</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F6117B5" w14:textId="69E05E1D">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100</w:t>
            </w:r>
            <w:r w:rsidRPr="002C599D" w:rsidR="00C15AB1">
              <w:rPr>
                <w:snapToGrid/>
                <w:kern w:val="0"/>
                <w:sz w:val="20"/>
                <w:lang w:val="en-US" w:eastAsia="en-US" w:bidi="ar-SA"/>
              </w:rPr>
              <w:t>.0</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AD771D1" w14:textId="639EA4B1">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$0.60</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6362A87" w14:textId="2BD14210">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100</w:t>
            </w:r>
            <w:r w:rsidRPr="002C599D" w:rsidR="00C15AB1">
              <w:rPr>
                <w:snapToGrid/>
                <w:kern w:val="0"/>
                <w:sz w:val="20"/>
                <w:lang w:val="en-US" w:eastAsia="en-US" w:bidi="ar-SA"/>
              </w:rPr>
              <w:t>.0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70A6173" w14:textId="77777777">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4493B8A" w14:textId="081F6540">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100</w:t>
            </w:r>
            <w:r w:rsidRPr="002C599D" w:rsidR="002C599D">
              <w:rPr>
                <w:snapToGrid/>
                <w:kern w:val="0"/>
                <w:sz w:val="20"/>
                <w:lang w:val="en-US" w:eastAsia="en-US" w:bidi="ar-SA"/>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187DF0E8" w14:textId="2EE9A0FC">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100</w:t>
            </w:r>
            <w:r w:rsidRPr="002C599D" w:rsidR="002C599D">
              <w:rPr>
                <w:snapToGrid/>
                <w:kern w:val="0"/>
                <w:sz w:val="20"/>
                <w:lang w:val="en-US" w:eastAsia="en-US" w:bidi="ar-SA"/>
              </w:rPr>
              <w:t>.0</w:t>
            </w:r>
          </w:p>
        </w:tc>
      </w:tr>
      <w:tr w14:paraId="25435457"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4C90CA3C" w14:textId="2718B5EC">
            <w:pPr>
              <w:widowControl/>
              <w:suppressAutoHyphens/>
              <w:rPr>
                <w:rStyle w:val="DefaultParagraphFont"/>
                <w:snapToGrid/>
                <w:kern w:val="0"/>
                <w:sz w:val="20"/>
                <w:lang w:val="en-US" w:eastAsia="en-US" w:bidi="ar-SA"/>
              </w:rPr>
            </w:pPr>
            <w:r w:rsidRPr="002C599D">
              <w:rPr>
                <w:snapToGrid/>
                <w:kern w:val="0"/>
                <w:sz w:val="20"/>
                <w:lang w:val="en-US" w:eastAsia="en-US" w:bidi="ar-SA"/>
              </w:rPr>
              <w:t>1996</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9AB360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844FA1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$24.28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93B4A1A" w14:textId="723E6998">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47</w:t>
            </w:r>
            <w:r w:rsidRPr="002C599D" w:rsidR="00C15AB1">
              <w:rPr>
                <w:snapToGrid/>
                <w:kern w:val="0"/>
                <w:sz w:val="20"/>
                <w:lang w:val="en-US" w:eastAsia="en-US" w:bidi="ar-SA"/>
              </w:rPr>
              <w:t>.0</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296AA0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106.8</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906900F" w14:textId="482E1F05">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$0.61</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BD1796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101.7</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E2B11C0" w14:textId="77777777">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554C88B" w14:textId="238FF0E3">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103</w:t>
            </w:r>
            <w:r w:rsidRPr="002C599D" w:rsidR="002C599D">
              <w:rPr>
                <w:snapToGrid/>
                <w:kern w:val="0"/>
                <w:sz w:val="20"/>
                <w:lang w:val="en-US" w:eastAsia="en-US" w:bidi="ar-SA"/>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109E5584"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106.9</w:t>
            </w:r>
          </w:p>
        </w:tc>
      </w:tr>
      <w:tr w14:paraId="281BB0CC"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2307479A" w14:textId="7A07F3C6">
            <w:pPr>
              <w:widowControl/>
              <w:suppressAutoHyphens/>
              <w:rPr>
                <w:rStyle w:val="DefaultParagraphFont"/>
                <w:snapToGrid/>
                <w:kern w:val="0"/>
                <w:sz w:val="20"/>
                <w:lang w:val="en-US" w:eastAsia="en-US" w:bidi="ar-SA"/>
              </w:rPr>
            </w:pPr>
            <w:r w:rsidRPr="002C599D">
              <w:rPr>
                <w:snapToGrid/>
                <w:kern w:val="0"/>
                <w:sz w:val="20"/>
                <w:lang w:val="en-US" w:eastAsia="en-US" w:bidi="ar-SA"/>
              </w:rPr>
              <w:t>1997</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952A90C"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32C23D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$26.31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F682AA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49.4</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A3914F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112.3</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AE55E75" w14:textId="7846B7E1">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$0.63</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C658079" w14:textId="1E14BC55">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105</w:t>
            </w:r>
            <w:r w:rsidRPr="002C599D" w:rsidR="00C15AB1">
              <w:rPr>
                <w:snapToGrid/>
                <w:kern w:val="0"/>
                <w:sz w:val="20"/>
                <w:lang w:val="en-US" w:eastAsia="en-US" w:bidi="ar-SA"/>
              </w:rPr>
              <w:t>.0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CFE9738" w14:textId="77777777">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DFC2374"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105.2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1CE8C00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114.9</w:t>
            </w:r>
          </w:p>
        </w:tc>
      </w:tr>
      <w:tr w14:paraId="4A30FC8F"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495A5D4C" w14:textId="1E1FF95A">
            <w:pPr>
              <w:widowControl/>
              <w:suppressAutoHyphens/>
              <w:rPr>
                <w:rStyle w:val="DefaultParagraphFont"/>
                <w:snapToGrid/>
                <w:kern w:val="0"/>
                <w:sz w:val="20"/>
                <w:lang w:val="en-US" w:eastAsia="en-US" w:bidi="ar-SA"/>
              </w:rPr>
            </w:pPr>
            <w:r w:rsidRPr="002C599D">
              <w:rPr>
                <w:snapToGrid/>
                <w:kern w:val="0"/>
                <w:sz w:val="20"/>
                <w:lang w:val="en-US" w:eastAsia="en-US" w:bidi="ar-SA"/>
              </w:rPr>
              <w:t>1998</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ABA089F"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$12.06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DE997B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$27.88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56D82FF"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50.1</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154749B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113.9</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AE43D48" w14:textId="71A3585E">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$0.65</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10FF5C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108.3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C53DE07" w14:textId="6A2FCE18">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$38.58</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879A87A" w14:textId="25FC7AD2">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107</w:t>
            </w:r>
            <w:r w:rsidRPr="002C599D" w:rsidR="002C599D">
              <w:rPr>
                <w:snapToGrid/>
                <w:kern w:val="0"/>
                <w:sz w:val="20"/>
                <w:lang w:val="en-US" w:eastAsia="en-US" w:bidi="ar-SA"/>
              </w:rPr>
              <w:t>.0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1E414CE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122.6</w:t>
            </w:r>
          </w:p>
        </w:tc>
      </w:tr>
      <w:tr w14:paraId="31B74E11"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5455D955" w14:textId="4BADC670">
            <w:pPr>
              <w:widowControl/>
              <w:suppressAutoHyphens/>
              <w:rPr>
                <w:rStyle w:val="DefaultParagraphFont"/>
                <w:snapToGrid/>
                <w:kern w:val="0"/>
                <w:sz w:val="20"/>
                <w:lang w:val="en-US" w:eastAsia="en-US" w:bidi="ar-SA"/>
              </w:rPr>
            </w:pPr>
            <w:r w:rsidRPr="002C599D">
              <w:rPr>
                <w:snapToGrid/>
                <w:kern w:val="0"/>
                <w:sz w:val="20"/>
                <w:lang w:val="en-US" w:eastAsia="en-US" w:bidi="ar-SA"/>
              </w:rPr>
              <w:t>1999</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C7F747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$12.58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0A49462"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$28.94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4DD5DA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51.1</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B5D9DC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116.1</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117B1FFC" w14:textId="2DF58C13">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$0.65</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B86B29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108.3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97EB6A8" w14:textId="470270CB">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$38.43</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D321669"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109.3</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159289A5" w14:textId="7984699A">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127</w:t>
            </w:r>
            <w:r w:rsidRPr="002C599D" w:rsidR="002C599D">
              <w:rPr>
                <w:snapToGrid/>
                <w:kern w:val="0"/>
                <w:sz w:val="20"/>
                <w:lang w:val="en-US" w:eastAsia="en-US" w:bidi="ar-SA"/>
              </w:rPr>
              <w:t>.0</w:t>
            </w:r>
          </w:p>
        </w:tc>
      </w:tr>
      <w:tr w14:paraId="6208A019"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603AB4D2" w14:textId="64A2A13C">
            <w:pPr>
              <w:widowControl/>
              <w:suppressAutoHyphens/>
              <w:rPr>
                <w:rStyle w:val="DefaultParagraphFont"/>
                <w:snapToGrid/>
                <w:kern w:val="0"/>
                <w:sz w:val="20"/>
                <w:lang w:val="en-US" w:eastAsia="en-US" w:bidi="ar-SA"/>
              </w:rPr>
            </w:pPr>
            <w:r w:rsidRPr="002C599D">
              <w:rPr>
                <w:snapToGrid/>
                <w:kern w:val="0"/>
                <w:sz w:val="20"/>
                <w:lang w:val="en-US" w:eastAsia="en-US" w:bidi="ar-SA"/>
              </w:rPr>
              <w:t>2000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737C38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$12.84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1556A8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$31.22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4E3F437"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54.8</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81CA68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124.5</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E2DDDB1" w14:textId="154E99A9">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$0.66</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09E95D0" w14:textId="3D2C49D8">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110</w:t>
            </w:r>
            <w:r w:rsidRPr="002C599D" w:rsidR="00C15AB1">
              <w:rPr>
                <w:snapToGrid/>
                <w:kern w:val="0"/>
                <w:sz w:val="20"/>
                <w:lang w:val="en-US" w:eastAsia="en-US" w:bidi="ar-SA"/>
              </w:rPr>
              <w:t>.0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EE5FD1D" w14:textId="43AE022C">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$39.64</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82C365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113.3</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132DE07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132.9</w:t>
            </w:r>
          </w:p>
        </w:tc>
      </w:tr>
      <w:tr w14:paraId="2EAD8814"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7FF2D6BD" w14:textId="4E105FE0">
            <w:pPr>
              <w:widowControl/>
              <w:suppressAutoHyphens/>
              <w:rPr>
                <w:rStyle w:val="DefaultParagraphFont"/>
                <w:snapToGrid/>
                <w:kern w:val="0"/>
                <w:sz w:val="20"/>
                <w:lang w:val="en-US" w:eastAsia="en-US" w:bidi="ar-SA"/>
              </w:rPr>
            </w:pPr>
            <w:r w:rsidRPr="002C599D">
              <w:rPr>
                <w:snapToGrid/>
                <w:kern w:val="0"/>
                <w:sz w:val="20"/>
                <w:lang w:val="en-US" w:eastAsia="en-US" w:bidi="ar-SA"/>
              </w:rPr>
              <w:t>2001</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22513F0"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$12.84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37A9AA9"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$33.75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118BE8E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59.4</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F73103B" w14:textId="29101D36">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135</w:t>
            </w:r>
            <w:r w:rsidRPr="002C599D" w:rsidR="00C15AB1">
              <w:rPr>
                <w:snapToGrid/>
                <w:kern w:val="0"/>
                <w:sz w:val="20"/>
                <w:lang w:val="en-US" w:eastAsia="en-US" w:bidi="ar-SA"/>
              </w:rPr>
              <w:t>.0</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C427C41" w14:textId="72CDE3D3">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$0.60</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DA594C4" w14:textId="50C05CA1">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100</w:t>
            </w:r>
            <w:r w:rsidRPr="002C599D" w:rsidR="00C15AB1">
              <w:rPr>
                <w:snapToGrid/>
                <w:kern w:val="0"/>
                <w:sz w:val="20"/>
                <w:lang w:val="en-US" w:eastAsia="en-US" w:bidi="ar-SA"/>
              </w:rPr>
              <w:t>.0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4490429" w14:textId="05963771">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$45.33</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031746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116.4</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344AA520"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139.1</w:t>
            </w:r>
          </w:p>
        </w:tc>
      </w:tr>
      <w:tr w14:paraId="28470B11"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524A3DBB" w14:textId="653AEF7C">
            <w:pPr>
              <w:widowControl/>
              <w:suppressAutoHyphens/>
              <w:rPr>
                <w:rStyle w:val="DefaultParagraphFont"/>
                <w:snapToGrid/>
                <w:kern w:val="0"/>
                <w:sz w:val="20"/>
                <w:lang w:val="en-US" w:eastAsia="en-US" w:bidi="ar-SA"/>
              </w:rPr>
            </w:pPr>
            <w:r w:rsidRPr="002C599D">
              <w:rPr>
                <w:snapToGrid/>
                <w:kern w:val="0"/>
                <w:sz w:val="20"/>
                <w:lang w:val="en-US" w:eastAsia="en-US" w:bidi="ar-SA"/>
              </w:rPr>
              <w:t>2002</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52F204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$14.45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BF6FCF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$36.47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D54800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62.7</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DBF773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142.5</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54D2C14" w14:textId="00F38B0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$0.66</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CA0F6D3" w14:textId="4B00ED9D">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110</w:t>
            </w:r>
            <w:r w:rsidRPr="002C599D" w:rsidR="00C15AB1">
              <w:rPr>
                <w:snapToGrid/>
                <w:kern w:val="0"/>
                <w:sz w:val="20"/>
                <w:lang w:val="en-US" w:eastAsia="en-US" w:bidi="ar-SA"/>
              </w:rPr>
              <w:t>.0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629C45C" w14:textId="6ED99B47">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$46.59</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B5ED0B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118.1</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7F7AE242"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147.8</w:t>
            </w:r>
          </w:p>
        </w:tc>
      </w:tr>
      <w:tr w14:paraId="58C48DB0"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48806637" w14:textId="7C8F8227">
            <w:pPr>
              <w:widowControl/>
              <w:suppressAutoHyphens/>
              <w:rPr>
                <w:rStyle w:val="DefaultParagraphFont"/>
                <w:snapToGrid/>
                <w:kern w:val="0"/>
                <w:sz w:val="20"/>
                <w:lang w:val="en-US" w:eastAsia="en-US" w:bidi="ar-SA"/>
              </w:rPr>
            </w:pPr>
            <w:r w:rsidRPr="002C599D">
              <w:rPr>
                <w:snapToGrid/>
                <w:kern w:val="0"/>
                <w:sz w:val="20"/>
                <w:lang w:val="en-US" w:eastAsia="en-US" w:bidi="ar-SA"/>
              </w:rPr>
              <w:t>2003</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0DE1A0F"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$13.45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39A6F4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$38.95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6AB57E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67.5</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658E454"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153.4</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B3C646C" w14:textId="5C58F56C">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$0.65</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6E5716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108.3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3B3B70AD" w14:textId="2D26D999">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$49.03</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725E7FE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121.2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2E5D9FB4"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157.1</w:t>
            </w:r>
          </w:p>
        </w:tc>
      </w:tr>
      <w:tr w14:paraId="2C48EE9A"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A42BE" w:rsidRPr="002C599D" w:rsidP="004E16D7" w14:paraId="077C75DA" w14:textId="2880FC45">
            <w:pPr>
              <w:widowControl/>
              <w:suppressAutoHyphens/>
              <w:rPr>
                <w:rStyle w:val="DefaultParagraphFont"/>
                <w:snapToGrid/>
                <w:kern w:val="0"/>
                <w:sz w:val="20"/>
                <w:lang w:val="en-US" w:eastAsia="en-US" w:bidi="ar-SA"/>
              </w:rPr>
            </w:pPr>
            <w:r w:rsidRPr="002C599D">
              <w:rPr>
                <w:snapToGrid/>
                <w:kern w:val="0"/>
                <w:sz w:val="20"/>
                <w:lang w:val="en-US" w:eastAsia="en-US" w:bidi="ar-SA"/>
              </w:rPr>
              <w:t>2004</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CC1E8A9"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$13.80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6078BA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$41.04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A84C9C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70.3</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433E924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159.8</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527F1266" w14:textId="0A895A4D">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$0.66</w:t>
            </w:r>
            <w:r w:rsidRPr="002C599D" w:rsidR="002C599D">
              <w:rPr>
                <w:snapToGrid/>
                <w:kern w:val="0"/>
                <w:sz w:val="20"/>
                <w:lang w:val="en-US" w:eastAsia="en-US" w:bidi="ar-SA"/>
              </w:rPr>
              <w:t>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6FF1B402" w14:textId="2CAFF09A">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110</w:t>
            </w:r>
            <w:r w:rsidRPr="002C599D" w:rsidR="00C15AB1">
              <w:rPr>
                <w:snapToGrid/>
                <w:kern w:val="0"/>
                <w:sz w:val="20"/>
                <w:lang w:val="en-US" w:eastAsia="en-US" w:bidi="ar-SA"/>
              </w:rPr>
              <w:t>.0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2693B294" w14:textId="46767E26">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$51.76</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42BE" w:rsidRPr="002C599D" w:rsidP="004E16D7" w14:paraId="0B36A95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123.5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A42BE" w:rsidRPr="002C599D" w:rsidP="004E16D7" w14:paraId="4B0C273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163.1</w:t>
            </w:r>
          </w:p>
        </w:tc>
      </w:tr>
      <w:tr w14:paraId="270BE918"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C599D" w:rsidRPr="002C599D" w:rsidP="004E16D7" w14:paraId="04F65554" w14:textId="775A9E55">
            <w:pPr>
              <w:widowControl/>
              <w:suppressAutoHyphens/>
              <w:rPr>
                <w:rStyle w:val="DefaultParagraphFont"/>
                <w:snapToGrid/>
                <w:kern w:val="0"/>
                <w:sz w:val="20"/>
                <w:lang w:val="en-US" w:eastAsia="en-US" w:bidi="ar-SA"/>
              </w:rPr>
            </w:pPr>
            <w:r w:rsidRPr="002C599D">
              <w:rPr>
                <w:snapToGrid/>
                <w:kern w:val="0"/>
                <w:sz w:val="20"/>
                <w:lang w:val="en-US" w:eastAsia="en-US" w:bidi="ar-SA"/>
              </w:rPr>
              <w:t>2005</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93420A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$14.30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5FD575C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$43.04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1B14BF6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70.5</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05FF469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160.2</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2C599D" w:rsidRPr="002C599D" w:rsidP="004E16D7" w14:paraId="2D438125" w14:textId="0B28F146">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$0.620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11BE391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103.3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49A005BC" w14:textId="4AD26127">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$56.03</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1B08DED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127.2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2C599D" w:rsidRPr="002C599D" w:rsidP="004E16D7" w14:paraId="3E5A3E1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169.6</w:t>
            </w:r>
          </w:p>
        </w:tc>
      </w:tr>
      <w:tr w14:paraId="54FED88E"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C599D" w:rsidRPr="002C599D" w:rsidP="004E16D7" w14:paraId="0EFA0C2C" w14:textId="6A7916B7">
            <w:pPr>
              <w:widowControl/>
              <w:suppressAutoHyphens/>
              <w:rPr>
                <w:rStyle w:val="DefaultParagraphFont"/>
                <w:snapToGrid/>
                <w:kern w:val="0"/>
                <w:sz w:val="20"/>
                <w:lang w:val="en-US" w:eastAsia="en-US" w:bidi="ar-SA"/>
              </w:rPr>
            </w:pPr>
            <w:r w:rsidRPr="002C599D">
              <w:rPr>
                <w:snapToGrid/>
                <w:kern w:val="0"/>
                <w:sz w:val="20"/>
                <w:lang w:val="en-US" w:eastAsia="en-US" w:bidi="ar-SA"/>
              </w:rPr>
              <w:t>2006</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29B1AE4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$14.59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2077BFC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$45.26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2D04CA93" w14:textId="2FAE913F">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71.0</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2BDC335C"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161.4</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2C599D" w:rsidRPr="002C599D" w:rsidP="004E16D7" w14:paraId="39AB0E9D" w14:textId="2E868DB3">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$0.650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25C6DB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108.3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5EEA90D3" w14:textId="03E5FDD9">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$59.09</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67C2CC1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132.2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2C599D" w:rsidRPr="002C599D" w:rsidP="004E16D7" w14:paraId="371C553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174.4</w:t>
            </w:r>
          </w:p>
        </w:tc>
      </w:tr>
      <w:tr w14:paraId="27201470"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C599D" w:rsidRPr="002C599D" w:rsidP="004E16D7" w14:paraId="4FC69FCB" w14:textId="426963CA">
            <w:pPr>
              <w:widowControl/>
              <w:suppressAutoHyphens/>
              <w:rPr>
                <w:rStyle w:val="DefaultParagraphFont"/>
                <w:snapToGrid/>
                <w:kern w:val="0"/>
                <w:sz w:val="20"/>
                <w:lang w:val="en-US" w:eastAsia="en-US" w:bidi="ar-SA"/>
              </w:rPr>
            </w:pPr>
            <w:r w:rsidRPr="002C599D">
              <w:rPr>
                <w:snapToGrid/>
                <w:kern w:val="0"/>
                <w:sz w:val="20"/>
                <w:lang w:val="en-US" w:eastAsia="en-US" w:bidi="ar-SA"/>
              </w:rPr>
              <w:t>2007</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11ED114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$15.33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4EBCA529"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$47.27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361903F7"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72.6</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8B9EE0C" w14:textId="501061E3">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165.0</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2C599D" w:rsidRPr="002C599D" w:rsidP="004E16D7" w14:paraId="0FEE41F7" w14:textId="68767A04">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$0.670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4265611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111.7</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464AB0AE" w14:textId="294817CB">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$60.27</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3A68F0AF" w14:textId="376EBDB3">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135.0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2C599D" w:rsidRPr="002C599D" w:rsidP="004E16D7" w14:paraId="66E62B82" w14:textId="5889710F">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179.0</w:t>
            </w:r>
          </w:p>
        </w:tc>
      </w:tr>
      <w:tr w14:paraId="235CA557"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C599D" w:rsidRPr="002C599D" w:rsidP="004E16D7" w14:paraId="14BCC9FB" w14:textId="60261924">
            <w:pPr>
              <w:widowControl/>
              <w:suppressAutoHyphens/>
              <w:rPr>
                <w:rStyle w:val="DefaultParagraphFont"/>
                <w:snapToGrid/>
                <w:kern w:val="0"/>
                <w:sz w:val="20"/>
                <w:lang w:val="en-US" w:eastAsia="en-US" w:bidi="ar-SA"/>
              </w:rPr>
            </w:pPr>
            <w:r w:rsidRPr="002C599D">
              <w:rPr>
                <w:snapToGrid/>
                <w:kern w:val="0"/>
                <w:sz w:val="20"/>
                <w:lang w:val="en-US" w:eastAsia="en-US" w:bidi="ar-SA"/>
              </w:rPr>
              <w:t>2008</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299D6BF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$16.11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17449F8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$49.65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3EA8D6FC"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72.8</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6E4C4C5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165.5</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2C599D" w:rsidRPr="002C599D" w:rsidP="004E16D7" w14:paraId="0018F0A3" w14:textId="71BA1931">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$0.680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57D440A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113.3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04C143A7" w14:textId="4DC595CC">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$63.66</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054D1DE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140.8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2C599D" w:rsidRPr="002C599D" w:rsidP="004E16D7" w14:paraId="7A803420"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183.9</w:t>
            </w:r>
          </w:p>
        </w:tc>
      </w:tr>
      <w:tr w14:paraId="1866B3DC"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C599D" w:rsidRPr="002C599D" w:rsidP="004E16D7" w14:paraId="343FBBDE" w14:textId="309F7556">
            <w:pPr>
              <w:widowControl/>
              <w:suppressAutoHyphens/>
              <w:rPr>
                <w:rStyle w:val="DefaultParagraphFont"/>
                <w:snapToGrid/>
                <w:kern w:val="0"/>
                <w:sz w:val="20"/>
                <w:lang w:val="en-US" w:eastAsia="en-US" w:bidi="ar-SA"/>
              </w:rPr>
            </w:pPr>
            <w:r w:rsidRPr="002C599D">
              <w:rPr>
                <w:snapToGrid/>
                <w:kern w:val="0"/>
                <w:sz w:val="20"/>
                <w:lang w:val="en-US" w:eastAsia="en-US" w:bidi="ar-SA"/>
              </w:rPr>
              <w:t>2009</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0C171582"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$17.65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6CA0D83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$52.37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194AF5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78.2</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016ACBC"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177.7</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2C599D" w:rsidRPr="002C599D" w:rsidP="004E16D7" w14:paraId="30EDA14F" w14:textId="49A3F8AF">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$0.710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275214A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118.3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12EF83BE" w14:textId="30107ECA">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$67.92</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099DDC87"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140.8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2C599D" w:rsidRPr="002C599D" w:rsidP="004E16D7" w14:paraId="0821EBF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186.5</w:t>
            </w:r>
          </w:p>
        </w:tc>
      </w:tr>
      <w:tr w14:paraId="4071EDA1"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2C599D" w:rsidRPr="002C599D" w:rsidP="004E16D7" w14:paraId="370EB0D3" w14:textId="7065365C">
            <w:pPr>
              <w:widowControl/>
              <w:suppressAutoHyphens/>
              <w:rPr>
                <w:rStyle w:val="DefaultParagraphFont"/>
                <w:snapToGrid/>
                <w:kern w:val="0"/>
                <w:sz w:val="20"/>
                <w:lang w:val="en-US" w:eastAsia="en-US" w:bidi="ar-SA"/>
              </w:rPr>
            </w:pPr>
            <w:r w:rsidRPr="002C599D">
              <w:rPr>
                <w:snapToGrid/>
                <w:kern w:val="0"/>
                <w:sz w:val="20"/>
                <w:lang w:val="en-US" w:eastAsia="en-US" w:bidi="ar-SA"/>
              </w:rPr>
              <w:t>2010</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49A2677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$17.93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6673D4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$54.44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71A5D355" w14:textId="24363EF6">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117.0</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01A9534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204.7</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2C599D" w:rsidRPr="002C599D" w:rsidP="004E16D7" w14:paraId="57ED6858" w14:textId="2D32B077">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$0.560</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49C8DAB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110.3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397BDFF2" w14:textId="03DCD065">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$71.39</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99D" w:rsidRPr="002C599D" w:rsidP="004E16D7" w14:paraId="604B209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144.5</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2C599D" w:rsidRPr="002C599D" w:rsidP="004E16D7" w14:paraId="3D2E9E0B"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191.9</w:t>
            </w:r>
          </w:p>
        </w:tc>
      </w:tr>
      <w:tr w14:paraId="5950A14C"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C3C12" w:rsidRPr="002C599D" w:rsidP="004E16D7" w14:paraId="6DB606F6" w14:textId="75E36A9E">
            <w:pPr>
              <w:widowControl/>
              <w:suppressAutoHyphens/>
              <w:rPr>
                <w:rStyle w:val="DefaultParagraphFont"/>
                <w:snapToGrid/>
                <w:kern w:val="0"/>
                <w:sz w:val="20"/>
                <w:lang w:val="en-US" w:eastAsia="en-US" w:bidi="ar-SA"/>
              </w:rPr>
            </w:pPr>
            <w:r w:rsidRPr="002C599D">
              <w:rPr>
                <w:snapToGrid/>
                <w:kern w:val="0"/>
                <w:sz w:val="20"/>
                <w:lang w:val="en-US" w:eastAsia="en-US" w:bidi="ar-SA"/>
              </w:rPr>
              <w:t>2011</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7B36048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$19.33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62587DF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$57.46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77E46AB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124.2</w:t>
            </w:r>
          </w:p>
        </w:tc>
        <w:tc>
          <w:tcPr>
            <w:tcW w:w="43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10DF5C28" w14:textId="4F989A1C">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217.3</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2C599D" w:rsidP="004E16D7" w14:paraId="63DF244D" w14:textId="3A6178EE">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$0.569</w:t>
            </w:r>
          </w:p>
        </w:tc>
        <w:tc>
          <w:tcPr>
            <w:tcW w:w="47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0280798A" w14:textId="0C7D1410">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112.0</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15C35543" w14:textId="49337155">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$75.37</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01AAB2A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146.9</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C3C12" w:rsidRPr="002C599D" w:rsidP="004E16D7" w14:paraId="0C955E55" w14:textId="1AC98AD9">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192.0</w:t>
            </w:r>
          </w:p>
        </w:tc>
      </w:tr>
      <w:tr w14:paraId="2B0313A5"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C3C12" w:rsidRPr="002C599D" w:rsidP="004E16D7" w14:paraId="0548B6D9" w14:textId="307E31B3">
            <w:pPr>
              <w:widowControl/>
              <w:suppressAutoHyphens/>
              <w:rPr>
                <w:rStyle w:val="DefaultParagraphFont"/>
                <w:snapToGrid/>
                <w:kern w:val="0"/>
                <w:sz w:val="20"/>
                <w:lang w:val="en-US" w:eastAsia="en-US" w:bidi="ar-SA"/>
              </w:rPr>
            </w:pPr>
            <w:r w:rsidRPr="002C599D">
              <w:rPr>
                <w:snapToGrid/>
                <w:kern w:val="0"/>
                <w:sz w:val="20"/>
                <w:lang w:val="en-US" w:eastAsia="en-US" w:bidi="ar-SA"/>
              </w:rPr>
              <w:t>2012</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519B49A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$20.55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4D651C3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$61.63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3AF8BC6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149.9</w:t>
            </w:r>
          </w:p>
        </w:tc>
        <w:tc>
          <w:tcPr>
            <w:tcW w:w="43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735FB0DF" w14:textId="089A72F8">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262.2</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2C599D" w:rsidP="004E16D7" w14:paraId="391160D6" w14:textId="01BD7B2D">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$0.505</w:t>
            </w:r>
          </w:p>
        </w:tc>
        <w:tc>
          <w:tcPr>
            <w:tcW w:w="47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6ABCB51A" w14:textId="3D3EA1C7">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99.4</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647C8B99" w14:textId="558F9E06">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$78.91</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19044EA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151.2</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C3C12" w:rsidRPr="002C599D" w:rsidP="004E16D7" w14:paraId="554AA0A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199.8</w:t>
            </w:r>
          </w:p>
        </w:tc>
      </w:tr>
      <w:tr w14:paraId="73E7A8AA"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C3C12" w:rsidRPr="002C599D" w:rsidP="004E16D7" w14:paraId="30157204" w14:textId="74457511">
            <w:pPr>
              <w:widowControl/>
              <w:suppressAutoHyphens/>
              <w:rPr>
                <w:rStyle w:val="DefaultParagraphFont"/>
                <w:snapToGrid/>
                <w:kern w:val="0"/>
                <w:sz w:val="20"/>
                <w:lang w:val="en-US" w:eastAsia="en-US" w:bidi="ar-SA"/>
              </w:rPr>
            </w:pPr>
            <w:r w:rsidRPr="002C599D">
              <w:rPr>
                <w:snapToGrid/>
                <w:kern w:val="0"/>
                <w:sz w:val="20"/>
                <w:lang w:val="en-US" w:eastAsia="en-US" w:bidi="ar-SA"/>
              </w:rPr>
              <w:t>2013</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41C3CB76"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$22.63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0F6136B3"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$64.41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1F7C39C9"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159.6</w:t>
            </w:r>
          </w:p>
        </w:tc>
        <w:tc>
          <w:tcPr>
            <w:tcW w:w="43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7BC195CE" w14:textId="39C32EF8">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279.2</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2C599D" w:rsidP="004E16D7" w14:paraId="4C9CEC1B" w14:textId="5BCAA27D">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$0.484</w:t>
            </w:r>
          </w:p>
        </w:tc>
        <w:tc>
          <w:tcPr>
            <w:tcW w:w="47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3B1AB3C8" w14:textId="3DB71678">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95.3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0A6FCFAF" w14:textId="01AE2559">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$81.64</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7E7F1FBF"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153.6</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C3C12" w:rsidRPr="002C599D" w:rsidP="004E16D7" w14:paraId="6DF1E4E9"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206.5</w:t>
            </w:r>
          </w:p>
        </w:tc>
      </w:tr>
      <w:tr w14:paraId="1197EAA8"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C3C12" w:rsidRPr="002C599D" w:rsidP="004E16D7" w14:paraId="193E82DD" w14:textId="27A91399">
            <w:pPr>
              <w:widowControl/>
              <w:suppressAutoHyphens/>
              <w:rPr>
                <w:rStyle w:val="DefaultParagraphFont"/>
                <w:snapToGrid/>
                <w:kern w:val="0"/>
                <w:sz w:val="20"/>
                <w:lang w:val="en-US" w:eastAsia="en-US" w:bidi="ar-SA"/>
              </w:rPr>
            </w:pPr>
            <w:r w:rsidRPr="002C599D">
              <w:rPr>
                <w:snapToGrid/>
                <w:kern w:val="0"/>
                <w:sz w:val="20"/>
                <w:lang w:val="en-US" w:eastAsia="en-US" w:bidi="ar-SA"/>
              </w:rPr>
              <w:t>2014</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0E2F0A91"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$22.78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3DB50B95"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$66.61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658A21BA"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167.3</w:t>
            </w:r>
          </w:p>
        </w:tc>
        <w:tc>
          <w:tcPr>
            <w:tcW w:w="43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7F3CCB29" w14:textId="2C876892">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292.6</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2C599D" w:rsidP="004E16D7" w14:paraId="5A4AE7FE" w14:textId="2FEAB5B7">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$0.496</w:t>
            </w:r>
          </w:p>
        </w:tc>
        <w:tc>
          <w:tcPr>
            <w:tcW w:w="47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06B2DE1C" w14:textId="11800B6C">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97.6</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16FF7BB1" w14:textId="10DB80A8">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$84.65</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6238EC85" w14:textId="684E0E90">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156.0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C3C12" w:rsidRPr="002C599D" w:rsidP="004E16D7" w14:paraId="3CD6A580" w14:textId="31D912CD">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212.0</w:t>
            </w:r>
          </w:p>
        </w:tc>
      </w:tr>
      <w:tr w14:paraId="2462A92B"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7C3C12" w:rsidRPr="002C599D" w:rsidP="004E16D7" w14:paraId="0C11E9A1" w14:textId="1C61A954">
            <w:pPr>
              <w:widowControl/>
              <w:suppressAutoHyphens/>
              <w:rPr>
                <w:rStyle w:val="DefaultParagraphFont"/>
                <w:snapToGrid/>
                <w:kern w:val="0"/>
                <w:sz w:val="20"/>
                <w:lang w:val="en-US" w:eastAsia="en-US" w:bidi="ar-SA"/>
              </w:rPr>
            </w:pPr>
            <w:r w:rsidRPr="002C599D">
              <w:rPr>
                <w:snapToGrid/>
                <w:kern w:val="0"/>
                <w:sz w:val="20"/>
                <w:lang w:val="en-US" w:eastAsia="en-US" w:bidi="ar-SA"/>
              </w:rPr>
              <w:t>2015</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263C7A9D"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$23.79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7938AA8E"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 xml:space="preserve">$69.03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0DF3FB68"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181.3</w:t>
            </w:r>
          </w:p>
        </w:tc>
        <w:tc>
          <w:tcPr>
            <w:tcW w:w="43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640074F5" w14:textId="1FB83A81">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317.1</w:t>
            </w:r>
          </w:p>
        </w:tc>
        <w:tc>
          <w:tcPr>
            <w:tcW w:w="523"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2C599D" w:rsidP="004E16D7" w14:paraId="0093D358" w14:textId="64107195">
            <w:pPr>
              <w:widowControl/>
              <w:suppressAutoHyphens/>
              <w:jc w:val="right"/>
              <w:rPr>
                <w:rStyle w:val="DefaultParagraphFont"/>
                <w:snapToGrid/>
                <w:kern w:val="0"/>
                <w:sz w:val="20"/>
                <w:lang w:val="en-US" w:eastAsia="en-US" w:bidi="ar-SA"/>
              </w:rPr>
            </w:pPr>
            <w:r w:rsidRPr="002C599D">
              <w:rPr>
                <w:snapToGrid w:val="0"/>
                <w:kern w:val="28"/>
                <w:sz w:val="20"/>
                <w:lang w:val="en-US" w:eastAsia="en-US" w:bidi="ar-SA"/>
              </w:rPr>
              <w:t>$0.456</w:t>
            </w:r>
          </w:p>
        </w:tc>
        <w:tc>
          <w:tcPr>
            <w:tcW w:w="474" w:type="pct"/>
            <w:tcBorders>
              <w:top w:val="single" w:sz="8" w:space="0" w:color="auto"/>
              <w:left w:val="single" w:sz="8" w:space="0" w:color="auto"/>
              <w:bottom w:val="single" w:sz="8" w:space="0" w:color="auto"/>
              <w:right w:val="single" w:sz="8" w:space="0" w:color="auto"/>
            </w:tcBorders>
            <w:shd w:val="clear" w:color="auto" w:fill="auto"/>
            <w:noWrap/>
            <w:hideMark/>
          </w:tcPr>
          <w:p w:rsidR="007C3C12" w:rsidRPr="007C3C12" w:rsidP="004E16D7" w14:paraId="421F7F81" w14:textId="3C7A4B04">
            <w:pPr>
              <w:widowControl/>
              <w:suppressAutoHyphens/>
              <w:jc w:val="right"/>
              <w:rPr>
                <w:rStyle w:val="DefaultParagraphFont"/>
                <w:snapToGrid/>
                <w:kern w:val="0"/>
                <w:sz w:val="20"/>
                <w:lang w:val="en-US" w:eastAsia="en-US" w:bidi="ar-SA"/>
              </w:rPr>
            </w:pPr>
            <w:r w:rsidRPr="007C3C12">
              <w:rPr>
                <w:snapToGrid w:val="0"/>
                <w:kern w:val="28"/>
                <w:sz w:val="20"/>
                <w:lang w:val="en-US" w:eastAsia="en-US" w:bidi="ar-SA"/>
              </w:rPr>
              <w:t>89.3</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4D6B5BF8" w14:textId="4FE35EC9">
            <w:pPr>
              <w:widowControl/>
              <w:suppressAutoHyphens/>
              <w:jc w:val="center"/>
              <w:rPr>
                <w:rStyle w:val="DefaultParagraphFont"/>
                <w:snapToGrid/>
                <w:kern w:val="0"/>
                <w:sz w:val="20"/>
                <w:lang w:val="en-US" w:eastAsia="en-US" w:bidi="ar-SA"/>
              </w:rPr>
            </w:pPr>
            <w:r w:rsidRPr="002C599D">
              <w:rPr>
                <w:snapToGrid/>
                <w:kern w:val="0"/>
                <w:sz w:val="20"/>
                <w:lang w:val="en-US" w:eastAsia="en-US" w:bidi="ar-SA"/>
              </w:rPr>
              <w:t>$86.83</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3C12" w:rsidRPr="002C599D" w:rsidP="004E16D7" w14:paraId="2AB411CF"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155.8</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7C3C12" w:rsidRPr="002C599D" w:rsidP="004E16D7" w14:paraId="591C0E6F" w14:textId="77777777">
            <w:pPr>
              <w:widowControl/>
              <w:suppressAutoHyphens/>
              <w:jc w:val="right"/>
              <w:rPr>
                <w:rStyle w:val="DefaultParagraphFont"/>
                <w:snapToGrid/>
                <w:kern w:val="0"/>
                <w:sz w:val="20"/>
                <w:lang w:val="en-US" w:eastAsia="en-US" w:bidi="ar-SA"/>
              </w:rPr>
            </w:pPr>
            <w:r w:rsidRPr="002C599D">
              <w:rPr>
                <w:snapToGrid/>
                <w:kern w:val="0"/>
                <w:sz w:val="20"/>
                <w:lang w:val="en-US" w:eastAsia="en-US" w:bidi="ar-SA"/>
              </w:rPr>
              <w:t>216.4</w:t>
            </w:r>
          </w:p>
        </w:tc>
      </w:tr>
      <w:tr w14:paraId="1A833622" w14:textId="77777777" w:rsidTr="00A46F4A">
        <w:tblPrEx>
          <w:tblW w:w="5000" w:type="pct"/>
          <w:tblInd w:w="0" w:type="dxa"/>
          <w:tblLayout w:type="fixed"/>
          <w:tblCellMar>
            <w:top w:w="0" w:type="dxa"/>
            <w:left w:w="108" w:type="dxa"/>
            <w:bottom w:w="0" w:type="dxa"/>
            <w:right w:w="108" w:type="dxa"/>
          </w:tblCellMar>
          <w:tblLook w:val="04A0"/>
        </w:tblPrEx>
        <w:trPr>
          <w:trHeight w:hRule="exact" w:val="259"/>
        </w:trPr>
        <w:tc>
          <w:tcPr>
            <w:tcW w:w="812"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D96634" w:rsidRPr="00DC1FCC" w:rsidP="004E16D7" w14:paraId="78009F39" w14:textId="69A9BFB3">
            <w:pPr>
              <w:widowControl/>
              <w:suppressAutoHyphens/>
              <w:rPr>
                <w:rStyle w:val="DefaultParagraphFont"/>
                <w:snapToGrid/>
                <w:kern w:val="0"/>
                <w:sz w:val="20"/>
                <w:lang w:val="en-US" w:eastAsia="en-US" w:bidi="ar-SA"/>
              </w:rPr>
            </w:pPr>
            <w:r w:rsidRPr="00DC1FCC">
              <w:rPr>
                <w:snapToGrid/>
                <w:kern w:val="0"/>
                <w:sz w:val="20"/>
                <w:lang w:val="en-US" w:eastAsia="en-US" w:bidi="ar-SA"/>
              </w:rPr>
              <w:t>2016</w:t>
            </w: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4AE94E49" w14:textId="5A75C6FF">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 xml:space="preserve">$25.40 </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736D14AB" w14:textId="73600345">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 xml:space="preserve">$71.37 </w:t>
            </w:r>
          </w:p>
        </w:tc>
        <w:tc>
          <w:tcPr>
            <w:tcW w:w="38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3ABECF45" w14:textId="456A57B7">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181.0</w:t>
            </w:r>
          </w:p>
        </w:tc>
        <w:tc>
          <w:tcPr>
            <w:tcW w:w="4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45225A51" w14:textId="1BB3E5D1">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316.5</w:t>
            </w:r>
          </w:p>
        </w:tc>
        <w:tc>
          <w:tcPr>
            <w:tcW w:w="52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51EF9D82" w14:textId="5F8450B3">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$0.469</w:t>
            </w:r>
          </w:p>
        </w:tc>
        <w:tc>
          <w:tcPr>
            <w:tcW w:w="4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707A5406" w14:textId="7218D1B2">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91.8</w:t>
            </w:r>
          </w:p>
        </w:tc>
        <w:tc>
          <w:tcPr>
            <w:tcW w:w="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1FF6552E" w14:textId="3D317E5E">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 xml:space="preserve">$90.42 </w:t>
            </w:r>
          </w:p>
        </w:tc>
        <w:tc>
          <w:tcPr>
            <w:tcW w:w="4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6634" w:rsidRPr="00DC1FCC" w:rsidP="004E16D7" w14:paraId="482E87DF" w14:textId="2EC9BAC9">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158.0</w:t>
            </w:r>
          </w:p>
        </w:tc>
        <w:tc>
          <w:tcPr>
            <w:tcW w:w="44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rsidR="00D96634" w:rsidRPr="00DC1FCC" w:rsidP="004E16D7" w14:paraId="3C1F5EC3" w14:textId="0C0F744F">
            <w:pPr>
              <w:widowControl/>
              <w:suppressAutoHyphens/>
              <w:jc w:val="right"/>
              <w:rPr>
                <w:rStyle w:val="DefaultParagraphFont"/>
                <w:snapToGrid/>
                <w:kern w:val="0"/>
                <w:sz w:val="20"/>
                <w:lang w:val="en-US" w:eastAsia="en-US" w:bidi="ar-SA"/>
              </w:rPr>
            </w:pPr>
            <w:r w:rsidRPr="00A46F4A">
              <w:rPr>
                <w:snapToGrid w:val="0"/>
                <w:kern w:val="28"/>
                <w:sz w:val="20"/>
                <w:lang w:val="en-US" w:eastAsia="en-US" w:bidi="ar-SA"/>
              </w:rPr>
              <w:t>220.1</w:t>
            </w:r>
          </w:p>
        </w:tc>
      </w:tr>
      <w:tr w14:paraId="122C7336" w14:textId="77777777" w:rsidTr="00A46F4A">
        <w:tblPrEx>
          <w:tblW w:w="5000" w:type="pct"/>
          <w:tblInd w:w="0" w:type="dxa"/>
          <w:tblLayout w:type="fixed"/>
          <w:tblCellMar>
            <w:top w:w="0" w:type="dxa"/>
            <w:left w:w="108" w:type="dxa"/>
            <w:bottom w:w="0" w:type="dxa"/>
            <w:right w:w="108" w:type="dxa"/>
          </w:tblCellMar>
          <w:tblLook w:val="04A0"/>
        </w:tblPrEx>
        <w:trPr>
          <w:trHeight w:hRule="exact" w:val="432"/>
        </w:trPr>
        <w:tc>
          <w:tcPr>
            <w:tcW w:w="5000" w:type="pct"/>
            <w:gridSpan w:val="10"/>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7A42BE" w:rsidRPr="00DC1FCC" w:rsidP="004E16D7" w14:paraId="36C08148" w14:textId="77777777">
            <w:pPr>
              <w:widowControl/>
              <w:suppressAutoHyphens/>
              <w:jc w:val="center"/>
              <w:rPr>
                <w:rStyle w:val="DefaultParagraphFont"/>
                <w:b/>
                <w:bCs/>
                <w:snapToGrid/>
                <w:kern w:val="0"/>
                <w:sz w:val="20"/>
                <w:lang w:val="en-US" w:eastAsia="en-US" w:bidi="ar-SA"/>
              </w:rPr>
            </w:pPr>
            <w:r w:rsidRPr="00DC1FCC">
              <w:rPr>
                <w:b/>
                <w:bCs/>
                <w:snapToGrid/>
                <w:kern w:val="0"/>
                <w:sz w:val="20"/>
                <w:lang w:val="en-US" w:eastAsia="en-US" w:bidi="ar-SA"/>
              </w:rPr>
              <w:t>Compound Average Annual Rate of Change</w:t>
            </w:r>
          </w:p>
        </w:tc>
      </w:tr>
      <w:tr w14:paraId="1FC06CB9" w14:textId="77777777" w:rsidTr="00A46F4A">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8" w:space="0" w:color="auto"/>
              <w:left w:val="single" w:sz="12" w:space="0" w:color="auto"/>
              <w:bottom w:val="single" w:sz="4" w:space="0" w:color="auto"/>
              <w:right w:val="single" w:sz="12" w:space="0" w:color="auto"/>
            </w:tcBorders>
            <w:shd w:val="clear" w:color="auto" w:fill="auto"/>
            <w:noWrap/>
            <w:vAlign w:val="bottom"/>
            <w:hideMark/>
          </w:tcPr>
          <w:p w:rsidR="00D96634" w:rsidRPr="00DC1FCC" w:rsidP="004E16D7" w14:paraId="4E4CA01B" w14:textId="01869BB6">
            <w:pPr>
              <w:widowControl/>
              <w:suppressAutoHyphens/>
              <w:rPr>
                <w:rStyle w:val="DefaultParagraphFont"/>
                <w:snapToGrid/>
                <w:kern w:val="0"/>
                <w:sz w:val="20"/>
                <w:lang w:val="en-US" w:eastAsia="en-US" w:bidi="ar-SA"/>
              </w:rPr>
            </w:pPr>
            <w:r w:rsidRPr="00DC1FCC">
              <w:rPr>
                <w:snapToGrid/>
                <w:kern w:val="0"/>
                <w:sz w:val="20"/>
                <w:lang w:val="en-US" w:eastAsia="en-US" w:bidi="ar-SA"/>
              </w:rPr>
              <w:t>5-year</w:t>
            </w:r>
            <w:r w:rsidRPr="00DC1FCC">
              <w:rPr>
                <w:snapToGrid/>
                <w:kern w:val="0"/>
                <w:sz w:val="20"/>
                <w:lang w:val="en-US" w:eastAsia="en-US" w:bidi="ar-SA"/>
              </w:rPr>
              <w:t xml:space="preserve"> average</w:t>
            </w:r>
          </w:p>
        </w:tc>
        <w:tc>
          <w:tcPr>
            <w:tcW w:w="482"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96634" w:rsidRPr="00DC1FCC" w:rsidP="004E16D7" w14:paraId="6CA6FC34" w14:textId="04E67E86">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5.6%</w:t>
            </w:r>
          </w:p>
        </w:tc>
        <w:tc>
          <w:tcPr>
            <w:tcW w:w="434"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5D265345" w14:textId="199084DE">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4.4%</w:t>
            </w:r>
          </w:p>
        </w:tc>
        <w:tc>
          <w:tcPr>
            <w:tcW w:w="386"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22556BFD" w14:textId="5845F63D">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w:t>
            </w:r>
          </w:p>
        </w:tc>
        <w:tc>
          <w:tcPr>
            <w:tcW w:w="434"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421C8E4B" w14:textId="0F0467D7">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7.8%</w:t>
            </w:r>
          </w:p>
        </w:tc>
        <w:tc>
          <w:tcPr>
            <w:tcW w:w="523"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5C8BB4BA" w14:textId="3710693D">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w:t>
            </w:r>
          </w:p>
        </w:tc>
        <w:tc>
          <w:tcPr>
            <w:tcW w:w="474"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76A12978" w14:textId="0BA2239A">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-3.9%</w:t>
            </w:r>
          </w:p>
        </w:tc>
        <w:tc>
          <w:tcPr>
            <w:tcW w:w="542"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1FC0E1FF" w14:textId="663C87A3">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3.7%</w:t>
            </w:r>
          </w:p>
        </w:tc>
        <w:tc>
          <w:tcPr>
            <w:tcW w:w="466" w:type="pct"/>
            <w:tcBorders>
              <w:top w:val="single" w:sz="8" w:space="0" w:color="auto"/>
              <w:left w:val="nil"/>
              <w:bottom w:val="single" w:sz="4" w:space="0" w:color="auto"/>
              <w:right w:val="single" w:sz="4" w:space="0" w:color="auto"/>
            </w:tcBorders>
            <w:shd w:val="clear" w:color="auto" w:fill="auto"/>
            <w:noWrap/>
            <w:vAlign w:val="bottom"/>
            <w:hideMark/>
          </w:tcPr>
          <w:p w:rsidR="00D96634" w:rsidRPr="00DC1FCC" w:rsidP="004E16D7" w14:paraId="45AAC1C9" w14:textId="3B2C5700">
            <w:pPr>
              <w:widowControl w:val="0"/>
              <w:suppressAutoHyphens/>
              <w:rPr>
                <w:rStyle w:val="DefaultParagraphFont"/>
                <w:snapToGrid w:val="0"/>
                <w:kern w:val="28"/>
                <w:sz w:val="20"/>
                <w:lang w:val="en-US" w:eastAsia="en-US" w:bidi="ar-SA"/>
              </w:rPr>
            </w:pPr>
            <w:r w:rsidRPr="00A46F4A">
              <w:rPr>
                <w:snapToGrid w:val="0"/>
                <w:kern w:val="28"/>
                <w:sz w:val="20"/>
                <w:lang w:val="en-US" w:eastAsia="en-US" w:bidi="ar-SA"/>
              </w:rPr>
              <w:t>1.5%</w:t>
            </w:r>
          </w:p>
        </w:tc>
        <w:tc>
          <w:tcPr>
            <w:tcW w:w="447" w:type="pct"/>
            <w:tcBorders>
              <w:top w:val="single" w:sz="8" w:space="0" w:color="auto"/>
              <w:left w:val="nil"/>
              <w:bottom w:val="single" w:sz="4" w:space="0" w:color="auto"/>
              <w:right w:val="single" w:sz="12" w:space="0" w:color="auto"/>
            </w:tcBorders>
            <w:shd w:val="clear" w:color="auto" w:fill="auto"/>
            <w:noWrap/>
            <w:vAlign w:val="bottom"/>
            <w:hideMark/>
          </w:tcPr>
          <w:p w:rsidR="00D96634" w:rsidRPr="00DC1FCC" w:rsidP="004E16D7" w14:paraId="42D9272B" w14:textId="2F126C39">
            <w:pPr>
              <w:widowControl w:val="0"/>
              <w:suppressAutoHyphens/>
              <w:rPr>
                <w:rStyle w:val="DefaultParagraphFont"/>
                <w:snapToGrid w:val="0"/>
                <w:kern w:val="28"/>
                <w:sz w:val="20"/>
                <w:lang w:val="en-US" w:eastAsia="en-US" w:bidi="ar-SA"/>
              </w:rPr>
            </w:pPr>
            <w:r w:rsidRPr="00A46F4A">
              <w:rPr>
                <w:snapToGrid w:val="0"/>
                <w:kern w:val="28"/>
                <w:sz w:val="20"/>
                <w:lang w:val="en-US" w:eastAsia="en-US" w:bidi="ar-SA"/>
              </w:rPr>
              <w:t>2.8%</w:t>
            </w:r>
          </w:p>
        </w:tc>
      </w:tr>
      <w:tr w14:paraId="1137893D" w14:textId="77777777" w:rsidTr="00A46F4A">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D96634" w:rsidRPr="00DC1FCC" w:rsidP="004E16D7" w14:paraId="3417AF5A" w14:textId="24104D51">
            <w:pPr>
              <w:widowControl/>
              <w:suppressAutoHyphens/>
              <w:rPr>
                <w:rStyle w:val="DefaultParagraphFont"/>
                <w:snapToGrid/>
                <w:kern w:val="0"/>
                <w:sz w:val="20"/>
                <w:lang w:val="en-US" w:eastAsia="en-US" w:bidi="ar-SA"/>
              </w:rPr>
            </w:pPr>
            <w:r w:rsidRPr="00DC1FCC">
              <w:rPr>
                <w:snapToGrid/>
                <w:kern w:val="0"/>
                <w:sz w:val="20"/>
                <w:lang w:val="en-US" w:eastAsia="en-US" w:bidi="ar-SA"/>
              </w:rPr>
              <w:t>10-year</w:t>
            </w:r>
            <w:r w:rsidRPr="00DC1FCC">
              <w:rPr>
                <w:snapToGrid/>
                <w:kern w:val="0"/>
                <w:sz w:val="20"/>
                <w:lang w:val="en-US" w:eastAsia="en-US" w:bidi="ar-SA"/>
              </w:rPr>
              <w:t xml:space="preserve"> average </w:t>
            </w:r>
          </w:p>
        </w:tc>
        <w:tc>
          <w:tcPr>
            <w:tcW w:w="482" w:type="pct"/>
            <w:tcBorders>
              <w:top w:val="nil"/>
              <w:left w:val="single" w:sz="4" w:space="0" w:color="auto"/>
              <w:bottom w:val="single" w:sz="4" w:space="0" w:color="auto"/>
              <w:right w:val="single" w:sz="4" w:space="0" w:color="auto"/>
            </w:tcBorders>
            <w:shd w:val="clear" w:color="auto" w:fill="auto"/>
            <w:noWrap/>
            <w:vAlign w:val="bottom"/>
            <w:hideMark/>
          </w:tcPr>
          <w:p w:rsidR="00D96634" w:rsidRPr="00DC1FCC" w:rsidP="004E16D7" w14:paraId="0BAEE7BD" w14:textId="415C7342">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5.7%</w:t>
            </w:r>
          </w:p>
        </w:tc>
        <w:tc>
          <w:tcPr>
            <w:tcW w:w="434"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4FFD018B" w14:textId="12BE74A2">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4.7%</w:t>
            </w:r>
          </w:p>
        </w:tc>
        <w:tc>
          <w:tcPr>
            <w:tcW w:w="386"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38312111" w14:textId="2F8D3389">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 </w:t>
            </w:r>
          </w:p>
        </w:tc>
        <w:tc>
          <w:tcPr>
            <w:tcW w:w="434"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4FCE4E69" w14:textId="56FEC996">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7.0%</w:t>
            </w:r>
          </w:p>
        </w:tc>
        <w:tc>
          <w:tcPr>
            <w:tcW w:w="523"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38A2E5B1" w14:textId="07886FE3">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 </w:t>
            </w:r>
          </w:p>
        </w:tc>
        <w:tc>
          <w:tcPr>
            <w:tcW w:w="474"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5C527F15" w14:textId="18391CA0">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-1.6%</w:t>
            </w:r>
          </w:p>
        </w:tc>
        <w:tc>
          <w:tcPr>
            <w:tcW w:w="542"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63E222EA" w14:textId="620BF2B3">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4.3%</w:t>
            </w:r>
          </w:p>
        </w:tc>
        <w:tc>
          <w:tcPr>
            <w:tcW w:w="466" w:type="pct"/>
            <w:tcBorders>
              <w:top w:val="nil"/>
              <w:left w:val="nil"/>
              <w:bottom w:val="single" w:sz="4" w:space="0" w:color="auto"/>
              <w:right w:val="single" w:sz="4" w:space="0" w:color="auto"/>
            </w:tcBorders>
            <w:shd w:val="clear" w:color="auto" w:fill="auto"/>
            <w:noWrap/>
            <w:vAlign w:val="bottom"/>
            <w:hideMark/>
          </w:tcPr>
          <w:p w:rsidR="00D96634" w:rsidRPr="00DC1FCC" w:rsidP="004E16D7" w14:paraId="7562667D" w14:textId="7F6AAF4A">
            <w:pPr>
              <w:widowControl w:val="0"/>
              <w:suppressAutoHyphens/>
              <w:rPr>
                <w:rStyle w:val="DefaultParagraphFont"/>
                <w:snapToGrid w:val="0"/>
                <w:kern w:val="28"/>
                <w:sz w:val="20"/>
                <w:lang w:val="en-US" w:eastAsia="en-US" w:bidi="ar-SA"/>
              </w:rPr>
            </w:pPr>
            <w:r w:rsidRPr="00A46F4A">
              <w:rPr>
                <w:snapToGrid w:val="0"/>
                <w:kern w:val="28"/>
                <w:sz w:val="20"/>
                <w:lang w:val="en-US" w:eastAsia="en-US" w:bidi="ar-SA"/>
              </w:rPr>
              <w:t>1.8%</w:t>
            </w:r>
          </w:p>
        </w:tc>
        <w:tc>
          <w:tcPr>
            <w:tcW w:w="447" w:type="pct"/>
            <w:tcBorders>
              <w:top w:val="nil"/>
              <w:left w:val="nil"/>
              <w:bottom w:val="single" w:sz="4" w:space="0" w:color="auto"/>
              <w:right w:val="single" w:sz="12" w:space="0" w:color="auto"/>
            </w:tcBorders>
            <w:shd w:val="clear" w:color="auto" w:fill="auto"/>
            <w:noWrap/>
            <w:vAlign w:val="bottom"/>
            <w:hideMark/>
          </w:tcPr>
          <w:p w:rsidR="00D96634" w:rsidRPr="00DC1FCC" w:rsidP="004E16D7" w14:paraId="5B02B06F" w14:textId="3AD3AA29">
            <w:pPr>
              <w:widowControl w:val="0"/>
              <w:suppressAutoHyphens/>
              <w:rPr>
                <w:rStyle w:val="DefaultParagraphFont"/>
                <w:snapToGrid w:val="0"/>
                <w:kern w:val="28"/>
                <w:sz w:val="20"/>
                <w:lang w:val="en-US" w:eastAsia="en-US" w:bidi="ar-SA"/>
              </w:rPr>
            </w:pPr>
            <w:r w:rsidRPr="00A46F4A">
              <w:rPr>
                <w:snapToGrid w:val="0"/>
                <w:kern w:val="28"/>
                <w:sz w:val="20"/>
                <w:lang w:val="en-US" w:eastAsia="en-US" w:bidi="ar-SA"/>
              </w:rPr>
              <w:t>2.4%</w:t>
            </w:r>
          </w:p>
        </w:tc>
      </w:tr>
      <w:tr w14:paraId="420C9C90" w14:textId="77777777" w:rsidTr="00DC1FCC">
        <w:tblPrEx>
          <w:tblW w:w="5000" w:type="pct"/>
          <w:tblInd w:w="0" w:type="dxa"/>
          <w:tblLayout w:type="fixed"/>
          <w:tblCellMar>
            <w:top w:w="0" w:type="dxa"/>
            <w:left w:w="108" w:type="dxa"/>
            <w:bottom w:w="0" w:type="dxa"/>
            <w:right w:w="108" w:type="dxa"/>
          </w:tblCellMar>
          <w:tblLook w:val="04A0"/>
        </w:tblPrEx>
        <w:trPr>
          <w:trHeight w:hRule="exact" w:val="288"/>
        </w:trPr>
        <w:tc>
          <w:tcPr>
            <w:tcW w:w="812"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D96634" w:rsidRPr="00DC1FCC" w:rsidP="004E16D7" w14:paraId="1A98A6C1" w14:textId="77777777">
            <w:pPr>
              <w:widowControl/>
              <w:suppressAutoHyphens/>
              <w:rPr>
                <w:rStyle w:val="DefaultParagraphFont"/>
                <w:snapToGrid/>
                <w:kern w:val="0"/>
                <w:sz w:val="20"/>
                <w:lang w:val="en-US" w:eastAsia="en-US" w:bidi="ar-SA"/>
              </w:rPr>
            </w:pPr>
            <w:r w:rsidRPr="00DC1FCC">
              <w:rPr>
                <w:snapToGrid/>
                <w:kern w:val="0"/>
                <w:sz w:val="20"/>
                <w:lang w:val="en-US" w:eastAsia="en-US" w:bidi="ar-SA"/>
              </w:rPr>
              <w:t>1995-2016</w:t>
            </w:r>
          </w:p>
        </w:tc>
        <w:tc>
          <w:tcPr>
            <w:tcW w:w="482" w:type="pct"/>
            <w:tcBorders>
              <w:top w:val="nil"/>
              <w:left w:val="single" w:sz="4" w:space="0" w:color="auto"/>
              <w:bottom w:val="single" w:sz="12" w:space="0" w:color="auto"/>
              <w:right w:val="single" w:sz="4" w:space="0" w:color="auto"/>
            </w:tcBorders>
            <w:shd w:val="clear" w:color="auto" w:fill="auto"/>
            <w:noWrap/>
            <w:vAlign w:val="bottom"/>
            <w:hideMark/>
          </w:tcPr>
          <w:p w:rsidR="00D96634" w:rsidRPr="00DC1FCC" w:rsidP="004E16D7" w14:paraId="6D41F96D" w14:textId="6533BF88">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w:t>
            </w:r>
          </w:p>
        </w:tc>
        <w:tc>
          <w:tcPr>
            <w:tcW w:w="434"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170AB719" w14:textId="0D47C00B">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5.7%</w:t>
            </w:r>
          </w:p>
        </w:tc>
        <w:tc>
          <w:tcPr>
            <w:tcW w:w="386"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111EEE29" w14:textId="149F0E3C">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w:t>
            </w:r>
          </w:p>
        </w:tc>
        <w:tc>
          <w:tcPr>
            <w:tcW w:w="434"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6AA35796" w14:textId="34F1DC07">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5.6%</w:t>
            </w:r>
          </w:p>
        </w:tc>
        <w:tc>
          <w:tcPr>
            <w:tcW w:w="523"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1763F447" w14:textId="3D92D647">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w:t>
            </w:r>
          </w:p>
        </w:tc>
        <w:tc>
          <w:tcPr>
            <w:tcW w:w="474"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709F1903" w14:textId="4533448C">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-0.4%</w:t>
            </w:r>
          </w:p>
        </w:tc>
        <w:tc>
          <w:tcPr>
            <w:tcW w:w="542"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228F8466" w14:textId="5AD99822">
            <w:pPr>
              <w:widowControl/>
              <w:suppressAutoHyphens/>
              <w:jc w:val="center"/>
              <w:rPr>
                <w:rStyle w:val="DefaultParagraphFont"/>
                <w:snapToGrid/>
                <w:kern w:val="0"/>
                <w:sz w:val="20"/>
                <w:lang w:val="en-US" w:eastAsia="en-US" w:bidi="ar-SA"/>
              </w:rPr>
            </w:pPr>
            <w:r w:rsidRPr="00A46F4A">
              <w:rPr>
                <w:snapToGrid w:val="0"/>
                <w:kern w:val="28"/>
                <w:sz w:val="20"/>
                <w:lang w:val="en-US" w:eastAsia="en-US" w:bidi="ar-SA"/>
              </w:rPr>
              <w:t>---</w:t>
            </w:r>
          </w:p>
        </w:tc>
        <w:tc>
          <w:tcPr>
            <w:tcW w:w="466" w:type="pct"/>
            <w:tcBorders>
              <w:top w:val="nil"/>
              <w:left w:val="nil"/>
              <w:bottom w:val="single" w:sz="12" w:space="0" w:color="auto"/>
              <w:right w:val="single" w:sz="4" w:space="0" w:color="auto"/>
            </w:tcBorders>
            <w:shd w:val="clear" w:color="auto" w:fill="auto"/>
            <w:noWrap/>
            <w:vAlign w:val="bottom"/>
            <w:hideMark/>
          </w:tcPr>
          <w:p w:rsidR="00D96634" w:rsidRPr="00DC1FCC" w:rsidP="004E16D7" w14:paraId="76D6FDB7" w14:textId="68AE320E">
            <w:pPr>
              <w:widowControl w:val="0"/>
              <w:suppressAutoHyphens/>
              <w:rPr>
                <w:rStyle w:val="DefaultParagraphFont"/>
                <w:snapToGrid w:val="0"/>
                <w:kern w:val="28"/>
                <w:sz w:val="20"/>
                <w:lang w:val="en-US" w:eastAsia="en-US" w:bidi="ar-SA"/>
              </w:rPr>
            </w:pPr>
            <w:r w:rsidRPr="00A46F4A">
              <w:rPr>
                <w:snapToGrid w:val="0"/>
                <w:kern w:val="28"/>
                <w:sz w:val="20"/>
                <w:lang w:val="en-US" w:eastAsia="en-US" w:bidi="ar-SA"/>
              </w:rPr>
              <w:t>2.2%</w:t>
            </w:r>
          </w:p>
        </w:tc>
        <w:tc>
          <w:tcPr>
            <w:tcW w:w="447" w:type="pct"/>
            <w:tcBorders>
              <w:top w:val="nil"/>
              <w:left w:val="nil"/>
              <w:bottom w:val="single" w:sz="12" w:space="0" w:color="auto"/>
              <w:right w:val="single" w:sz="12" w:space="0" w:color="auto"/>
            </w:tcBorders>
            <w:shd w:val="clear" w:color="auto" w:fill="auto"/>
            <w:noWrap/>
            <w:vAlign w:val="bottom"/>
            <w:hideMark/>
          </w:tcPr>
          <w:p w:rsidR="00D96634" w:rsidRPr="00DC1FCC" w:rsidP="004E16D7" w14:paraId="30D04C51" w14:textId="7DC33DE4">
            <w:pPr>
              <w:widowControl w:val="0"/>
              <w:suppressAutoHyphens/>
              <w:rPr>
                <w:rStyle w:val="DefaultParagraphFont"/>
                <w:snapToGrid w:val="0"/>
                <w:kern w:val="28"/>
                <w:sz w:val="20"/>
                <w:lang w:val="en-US" w:eastAsia="en-US" w:bidi="ar-SA"/>
              </w:rPr>
            </w:pPr>
            <w:r w:rsidRPr="00A46F4A">
              <w:rPr>
                <w:snapToGrid w:val="0"/>
                <w:kern w:val="28"/>
                <w:sz w:val="20"/>
                <w:lang w:val="en-US" w:eastAsia="en-US" w:bidi="ar-SA"/>
              </w:rPr>
              <w:t>3.8%</w:t>
            </w:r>
          </w:p>
        </w:tc>
      </w:tr>
      <w:tr w14:paraId="0C5322EE" w14:textId="77777777" w:rsidTr="00A46F4A">
        <w:tblPrEx>
          <w:tblW w:w="5000" w:type="pct"/>
          <w:tblInd w:w="0" w:type="dxa"/>
          <w:tblLayout w:type="fixed"/>
          <w:tblCellMar>
            <w:top w:w="0" w:type="dxa"/>
            <w:left w:w="108" w:type="dxa"/>
            <w:bottom w:w="0" w:type="dxa"/>
            <w:right w:w="108" w:type="dxa"/>
          </w:tblCellMar>
          <w:tblLook w:val="04A0"/>
        </w:tblPrEx>
        <w:trPr>
          <w:trHeight w:hRule="exact" w:val="1728"/>
        </w:trPr>
        <w:tc>
          <w:tcPr>
            <w:tcW w:w="5000" w:type="pct"/>
            <w:gridSpan w:val="10"/>
            <w:tcBorders>
              <w:top w:val="single" w:sz="12" w:space="0" w:color="auto"/>
            </w:tcBorders>
            <w:shd w:val="clear" w:color="auto" w:fill="auto"/>
            <w:vAlign w:val="bottom"/>
            <w:hideMark/>
          </w:tcPr>
          <w:p w:rsidR="007A42BE" w:rsidRPr="007A42BE" w:rsidP="00426682" w14:paraId="20B64A75" w14:textId="0C49A0CA">
            <w:pPr>
              <w:widowControl/>
              <w:suppressAutoHyphens/>
              <w:spacing w:after="120"/>
              <w:rPr>
                <w:rStyle w:val="DefaultParagraphFont"/>
                <w:snapToGrid/>
                <w:kern w:val="0"/>
                <w:sz w:val="20"/>
                <w:lang w:val="en-US" w:eastAsia="en-US" w:bidi="ar-SA"/>
              </w:rPr>
            </w:pPr>
            <w:r w:rsidRPr="007A42BE">
              <w:rPr>
                <w:snapToGrid/>
                <w:kern w:val="0"/>
                <w:sz w:val="20"/>
                <w:lang w:val="en-US" w:eastAsia="en-US" w:bidi="ar-SA"/>
              </w:rPr>
              <w:t>Source</w:t>
            </w:r>
            <w:r w:rsidR="008C7377">
              <w:rPr>
                <w:snapToGrid/>
                <w:kern w:val="0"/>
                <w:sz w:val="20"/>
                <w:lang w:val="en-US" w:eastAsia="en-US" w:bidi="ar-SA"/>
              </w:rPr>
              <w:t>s</w:t>
            </w:r>
            <w:r w:rsidRPr="007A42BE">
              <w:rPr>
                <w:snapToGrid/>
                <w:kern w:val="0"/>
                <w:sz w:val="20"/>
                <w:lang w:val="en-US" w:eastAsia="en-US" w:bidi="ar-SA"/>
              </w:rPr>
              <w:t>:</w:t>
            </w:r>
            <w:r w:rsidR="007C3C12">
              <w:rPr>
                <w:snapToGrid/>
                <w:kern w:val="0"/>
                <w:sz w:val="20"/>
                <w:lang w:val="en-US" w:eastAsia="en-US" w:bidi="ar-SA"/>
              </w:rPr>
              <w:t xml:space="preserve">  </w:t>
            </w:r>
            <w:r w:rsidR="0046159B">
              <w:rPr>
                <w:snapToGrid/>
                <w:kern w:val="0"/>
                <w:sz w:val="20"/>
                <w:lang w:val="en-US" w:eastAsia="en-US" w:bidi="ar-SA"/>
              </w:rPr>
              <w:t>1995-2016 survey reports, cited in note</w:t>
            </w:r>
            <w:r w:rsidRPr="00A9142F" w:rsidR="00426682">
              <w:rPr>
                <w:snapToGrid/>
                <w:kern w:val="0"/>
                <w:sz w:val="20"/>
                <w:lang w:val="en-US" w:eastAsia="en-US" w:bidi="ar-SA"/>
              </w:rPr>
              <w:t xml:space="preserve"> </w:t>
            </w:r>
            <w:r w:rsidRPr="00A9142F" w:rsidR="00426682">
              <w:rPr>
                <w:snapToGrid/>
                <w:kern w:val="0"/>
                <w:sz w:val="20"/>
                <w:highlight w:val="yellow"/>
              </w:rPr>
              <w:fldChar w:fldCharType="begin"/>
            </w:r>
            <w:r w:rsidRPr="00A9142F" w:rsidR="00426682">
              <w:rPr>
                <w:snapToGrid/>
                <w:kern w:val="0"/>
                <w:sz w:val="20"/>
                <w:lang w:val="en-US" w:eastAsia="en-US" w:bidi="ar-SA"/>
              </w:rPr>
              <w:instrText xml:space="preserve"> NOTEREF _Ref493140957 \h </w:instrText>
            </w:r>
            <w:r w:rsidRPr="00A9142F" w:rsidR="002357B9">
              <w:rPr>
                <w:snapToGrid/>
                <w:kern w:val="0"/>
                <w:sz w:val="20"/>
                <w:highlight w:val="yellow"/>
                <w:lang w:val="en-US" w:eastAsia="en-US" w:bidi="ar-SA"/>
              </w:rPr>
              <w:instrText xml:space="preserve"> \* MERGEFORMAT </w:instrText>
            </w:r>
            <w:r w:rsidRPr="00A9142F" w:rsidR="00426682">
              <w:rPr>
                <w:snapToGrid/>
                <w:kern w:val="0"/>
                <w:sz w:val="20"/>
                <w:highlight w:val="yellow"/>
              </w:rPr>
              <w:fldChar w:fldCharType="separate"/>
            </w:r>
            <w:r w:rsidR="005E244C">
              <w:rPr>
                <w:snapToGrid/>
                <w:kern w:val="0"/>
                <w:sz w:val="20"/>
                <w:lang w:val="en-US" w:eastAsia="en-US" w:bidi="ar-SA"/>
              </w:rPr>
              <w:t>2</w:t>
            </w:r>
            <w:r w:rsidRPr="00A9142F" w:rsidR="00426682">
              <w:rPr>
                <w:snapToGrid/>
                <w:kern w:val="0"/>
                <w:sz w:val="20"/>
                <w:highlight w:val="yellow"/>
              </w:rPr>
              <w:fldChar w:fldCharType="end"/>
            </w:r>
            <w:r w:rsidR="0046159B">
              <w:rPr>
                <w:snapToGrid/>
                <w:kern w:val="0"/>
                <w:sz w:val="20"/>
                <w:lang w:val="en-US" w:eastAsia="en-US" w:bidi="ar-SA"/>
              </w:rPr>
              <w:t xml:space="preserve">, </w:t>
            </w:r>
            <w:r w:rsidRPr="0046159B" w:rsidR="0046159B">
              <w:rPr>
                <w:i/>
                <w:snapToGrid/>
                <w:kern w:val="0"/>
                <w:sz w:val="20"/>
                <w:lang w:val="en-US" w:eastAsia="en-US" w:bidi="ar-SA"/>
              </w:rPr>
              <w:t>supra</w:t>
            </w:r>
            <w:r w:rsidR="0046159B">
              <w:rPr>
                <w:snapToGrid/>
                <w:kern w:val="0"/>
                <w:sz w:val="20"/>
                <w:lang w:val="en-US" w:eastAsia="en-US" w:bidi="ar-SA"/>
              </w:rPr>
              <w:t>, of this report.  Consumer price indices (CPIs) are</w:t>
            </w:r>
            <w:r w:rsidR="00C15AB1">
              <w:rPr>
                <w:snapToGrid/>
                <w:kern w:val="0"/>
                <w:sz w:val="20"/>
                <w:lang w:val="en-US" w:eastAsia="en-US" w:bidi="ar-SA"/>
              </w:rPr>
              <w:t xml:space="preserve"> from</w:t>
            </w:r>
            <w:r w:rsidR="008C7377">
              <w:rPr>
                <w:snapToGrid/>
                <w:kern w:val="0"/>
                <w:sz w:val="20"/>
                <w:lang w:val="en-US" w:eastAsia="en-US" w:bidi="ar-SA"/>
              </w:rPr>
              <w:t xml:space="preserve"> </w:t>
            </w:r>
            <w:bookmarkStart w:id="89" w:name="_Hlk497213710"/>
            <w:r w:rsidRPr="007A42BE">
              <w:rPr>
                <w:snapToGrid/>
                <w:kern w:val="0"/>
                <w:sz w:val="20"/>
                <w:lang w:val="en-US" w:eastAsia="en-US" w:bidi="ar-SA"/>
              </w:rPr>
              <w:t xml:space="preserve">Bureau of Labor Statistics, Department of Labor, </w:t>
            </w:r>
            <w:r w:rsidRPr="007A42BE">
              <w:rPr>
                <w:i/>
                <w:snapToGrid/>
                <w:kern w:val="0"/>
                <w:sz w:val="20"/>
                <w:lang w:val="en-US" w:eastAsia="en-US" w:bidi="ar-SA"/>
              </w:rPr>
              <w:t>Consumer Price Index, All Urban Consumers, U.S. City Average, Not Seasonally Adjusted,</w:t>
            </w:r>
            <w:r w:rsidRPr="007A42BE">
              <w:rPr>
                <w:snapToGrid/>
                <w:kern w:val="0"/>
                <w:sz w:val="20"/>
                <w:lang w:val="en-US" w:eastAsia="en-US" w:bidi="ar-SA"/>
              </w:rPr>
              <w:t xml:space="preserve"> Series CUUR0000SA0, </w:t>
            </w:r>
            <w:r w:rsidRPr="007A42BE">
              <w:rPr>
                <w:i/>
                <w:snapToGrid/>
                <w:kern w:val="0"/>
                <w:sz w:val="20"/>
                <w:lang w:val="en-US" w:eastAsia="en-US" w:bidi="ar-SA"/>
              </w:rPr>
              <w:t>All Items</w:t>
            </w:r>
            <w:r w:rsidRPr="007A42BE">
              <w:rPr>
                <w:snapToGrid/>
                <w:kern w:val="0"/>
                <w:sz w:val="20"/>
                <w:lang w:val="en-US" w:eastAsia="en-US" w:bidi="ar-SA"/>
              </w:rPr>
              <w:t xml:space="preserve"> (1982-84=100)</w:t>
            </w:r>
            <w:r w:rsidR="00911E32">
              <w:rPr>
                <w:snapToGrid/>
                <w:kern w:val="0"/>
                <w:sz w:val="20"/>
                <w:lang w:val="en-US" w:eastAsia="en-US" w:bidi="ar-SA"/>
              </w:rPr>
              <w:t>;</w:t>
            </w:r>
            <w:r w:rsidRPr="007A42BE">
              <w:rPr>
                <w:snapToGrid/>
                <w:kern w:val="0"/>
                <w:sz w:val="20"/>
                <w:lang w:val="en-US" w:eastAsia="en-US" w:bidi="ar-SA"/>
              </w:rPr>
              <w:t xml:space="preserve"> Series CUUR0000SERA02, </w:t>
            </w:r>
            <w:r w:rsidRPr="007A42BE">
              <w:rPr>
                <w:i/>
                <w:snapToGrid/>
                <w:kern w:val="0"/>
                <w:sz w:val="20"/>
                <w:lang w:val="en-US" w:eastAsia="en-US" w:bidi="ar-SA"/>
              </w:rPr>
              <w:t>Cable and Satellite Television and Radio Service</w:t>
            </w:r>
            <w:r w:rsidRPr="007A42BE">
              <w:rPr>
                <w:snapToGrid/>
                <w:kern w:val="0"/>
                <w:sz w:val="20"/>
                <w:lang w:val="en-US" w:eastAsia="en-US" w:bidi="ar-SA"/>
              </w:rPr>
              <w:t xml:space="preserve"> (Dec. 1983=100)</w:t>
            </w:r>
            <w:r w:rsidR="00921DD1">
              <w:rPr>
                <w:snapToGrid/>
                <w:kern w:val="0"/>
                <w:sz w:val="20"/>
                <w:lang w:val="en-US" w:eastAsia="en-US" w:bidi="ar-SA"/>
              </w:rPr>
              <w:t>,</w:t>
            </w:r>
            <w:r w:rsidRPr="007A42BE">
              <w:rPr>
                <w:snapToGrid/>
                <w:kern w:val="0"/>
                <w:sz w:val="20"/>
                <w:lang w:val="en-US" w:eastAsia="en-US" w:bidi="ar-SA"/>
              </w:rPr>
              <w:t xml:space="preserve"> </w:t>
            </w:r>
            <w:r>
              <w:fldChar w:fldCharType="begin"/>
            </w:r>
            <w:r>
              <w:rPr>
                <w:snapToGrid w:val="0"/>
                <w:kern w:val="28"/>
                <w:sz w:val="22"/>
                <w:lang w:val="en-US" w:eastAsia="en-US" w:bidi="ar-SA"/>
              </w:rPr>
              <w:instrText xml:space="preserve"> HYPERLINK "http://data.bls.gov/cgi-bin/srgate" </w:instrText>
            </w:r>
            <w:r>
              <w:fldChar w:fldCharType="separate"/>
            </w:r>
            <w:r w:rsidRPr="001105B7" w:rsidR="006F5FBE">
              <w:rPr>
                <w:rStyle w:val="Hyperlink"/>
                <w:snapToGrid/>
                <w:color w:val="0000FF"/>
                <w:kern w:val="0"/>
                <w:sz w:val="20"/>
                <w:u w:val="single"/>
                <w:lang w:val="en-US" w:eastAsia="en-US" w:bidi="ar-SA"/>
              </w:rPr>
              <w:t>http://data.bls.‌‌gov/cgi-bin/srgate</w:t>
            </w:r>
            <w:r>
              <w:fldChar w:fldCharType="end"/>
            </w:r>
            <w:r w:rsidR="008C7377">
              <w:rPr>
                <w:snapToGrid/>
                <w:kern w:val="0"/>
                <w:sz w:val="20"/>
                <w:lang w:val="en-US" w:eastAsia="en-US" w:bidi="ar-SA"/>
              </w:rPr>
              <w:t>, a</w:t>
            </w:r>
            <w:r w:rsidRPr="007A42BE">
              <w:rPr>
                <w:snapToGrid/>
                <w:kern w:val="0"/>
                <w:sz w:val="20"/>
                <w:lang w:val="en-US" w:eastAsia="en-US" w:bidi="ar-SA"/>
              </w:rPr>
              <w:t xml:space="preserve">ccessed April </w:t>
            </w:r>
            <w:r w:rsidR="006F5FBE">
              <w:rPr>
                <w:snapToGrid/>
                <w:kern w:val="0"/>
                <w:sz w:val="20"/>
                <w:lang w:val="en-US" w:eastAsia="en-US" w:bidi="ar-SA"/>
              </w:rPr>
              <w:t>15</w:t>
            </w:r>
            <w:r w:rsidRPr="007A42BE">
              <w:rPr>
                <w:snapToGrid/>
                <w:kern w:val="0"/>
                <w:sz w:val="20"/>
                <w:lang w:val="en-US" w:eastAsia="en-US" w:bidi="ar-SA"/>
              </w:rPr>
              <w:t>, 201</w:t>
            </w:r>
            <w:r w:rsidR="008C7377">
              <w:rPr>
                <w:snapToGrid/>
                <w:kern w:val="0"/>
                <w:sz w:val="20"/>
                <w:lang w:val="en-US" w:eastAsia="en-US" w:bidi="ar-SA"/>
              </w:rPr>
              <w:t>7</w:t>
            </w:r>
            <w:r w:rsidRPr="007A42BE">
              <w:rPr>
                <w:snapToGrid/>
                <w:kern w:val="0"/>
                <w:sz w:val="20"/>
                <w:lang w:val="en-US" w:eastAsia="en-US" w:bidi="ar-SA"/>
              </w:rPr>
              <w:t>.</w:t>
            </w:r>
            <w:r w:rsidR="0046159B">
              <w:rPr>
                <w:snapToGrid/>
                <w:kern w:val="0"/>
                <w:sz w:val="20"/>
                <w:lang w:val="en-US" w:eastAsia="en-US" w:bidi="ar-SA"/>
              </w:rPr>
              <w:t xml:space="preserve"> </w:t>
            </w:r>
            <w:bookmarkEnd w:id="89"/>
            <w:r w:rsidR="0046159B">
              <w:rPr>
                <w:snapToGrid/>
                <w:kern w:val="0"/>
                <w:sz w:val="20"/>
                <w:lang w:val="en-US" w:eastAsia="en-US" w:bidi="ar-SA"/>
              </w:rPr>
              <w:t xml:space="preserve"> We </w:t>
            </w:r>
            <w:r w:rsidR="007C3C12">
              <w:rPr>
                <w:snapToGrid/>
                <w:kern w:val="0"/>
                <w:sz w:val="20"/>
                <w:lang w:val="en-US" w:eastAsia="en-US" w:bidi="ar-SA"/>
              </w:rPr>
              <w:t>re-based</w:t>
            </w:r>
            <w:r w:rsidR="007F73A6">
              <w:rPr>
                <w:snapToGrid/>
                <w:kern w:val="0"/>
                <w:sz w:val="20"/>
                <w:lang w:val="en-US" w:eastAsia="en-US" w:bidi="ar-SA"/>
              </w:rPr>
              <w:t xml:space="preserve"> </w:t>
            </w:r>
            <w:r w:rsidR="007C3C12">
              <w:rPr>
                <w:snapToGrid/>
                <w:kern w:val="0"/>
                <w:sz w:val="20"/>
                <w:lang w:val="en-US" w:eastAsia="en-US" w:bidi="ar-SA"/>
              </w:rPr>
              <w:t>the</w:t>
            </w:r>
            <w:r w:rsidR="0046159B">
              <w:rPr>
                <w:snapToGrid/>
                <w:kern w:val="0"/>
                <w:sz w:val="20"/>
                <w:lang w:val="en-US" w:eastAsia="en-US" w:bidi="ar-SA"/>
              </w:rPr>
              <w:t xml:space="preserve">se </w:t>
            </w:r>
            <w:r w:rsidR="007C3C12">
              <w:rPr>
                <w:snapToGrid/>
                <w:kern w:val="0"/>
                <w:sz w:val="20"/>
                <w:lang w:val="en-US" w:eastAsia="en-US" w:bidi="ar-SA"/>
              </w:rPr>
              <w:t>CPI</w:t>
            </w:r>
            <w:r w:rsidR="0046159B">
              <w:rPr>
                <w:snapToGrid/>
                <w:kern w:val="0"/>
                <w:sz w:val="20"/>
                <w:lang w:val="en-US" w:eastAsia="en-US" w:bidi="ar-SA"/>
              </w:rPr>
              <w:t xml:space="preserve"> series to July 1995 = 100 for the purpose of this report.  This attachment is described in the Methodology Appendix. </w:t>
            </w:r>
          </w:p>
        </w:tc>
      </w:tr>
    </w:tbl>
    <w:p w:rsidR="0046159B" w:rsidP="004E16D7" w14:paraId="6C6FAF51" w14:textId="030E783C">
      <w:pPr>
        <w:widowControl/>
        <w:suppressAutoHyphens/>
        <w:rPr>
          <w:b/>
          <w:szCs w:val="22"/>
        </w:rPr>
      </w:pPr>
    </w:p>
    <w:p w:rsidR="0046159B" w:rsidP="004E16D7" w14:paraId="5D273C9C" w14:textId="77777777">
      <w:pPr>
        <w:widowControl/>
        <w:suppressAutoHyphens/>
        <w:rPr>
          <w:b/>
          <w:szCs w:val="22"/>
        </w:rPr>
      </w:pPr>
      <w:r>
        <w:rPr>
          <w:b/>
          <w:szCs w:val="22"/>
        </w:rPr>
        <w:br w:type="page"/>
      </w:r>
    </w:p>
    <w:p w:rsidR="00AB1A75" w:rsidP="004E16D7" w14:paraId="55DD2772" w14:textId="1C3C5CEC">
      <w:pPr>
        <w:widowControl/>
        <w:suppressAutoHyphens/>
        <w:rPr>
          <w:b/>
          <w:szCs w:val="22"/>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320"/>
        <w:gridCol w:w="1528"/>
        <w:gridCol w:w="399"/>
        <w:gridCol w:w="1547"/>
        <w:gridCol w:w="397"/>
        <w:gridCol w:w="1706"/>
        <w:gridCol w:w="433"/>
      </w:tblGrid>
      <w:tr w14:paraId="5289CFC7" w14:textId="77777777" w:rsidTr="00A46F4A">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1728"/>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E47FEA" w:rsidP="004E16D7" w14:paraId="203F2B30" w14:textId="10509B64">
            <w:pPr>
              <w:widowControl w:val="0"/>
              <w:pBdr>
                <w:top w:val="single" w:sz="12" w:space="1" w:color="auto"/>
                <w:left w:val="single" w:sz="12" w:space="4" w:color="auto"/>
                <w:right w:val="single" w:sz="12" w:space="4" w:color="auto"/>
              </w:pBdr>
              <w:suppressAutoHyphens/>
              <w:jc w:val="center"/>
              <w:rPr>
                <w:rStyle w:val="DefaultParagraphFont"/>
                <w:rFonts w:eastAsia="Calibri"/>
                <w:b/>
                <w:snapToGrid w:val="0"/>
                <w:kern w:val="28"/>
                <w:sz w:val="22"/>
                <w:szCs w:val="22"/>
                <w:lang w:val="en-US" w:eastAsia="en-US" w:bidi="ar-SA"/>
              </w:rPr>
            </w:pPr>
            <w:r w:rsidRPr="00DE2CB7">
              <w:rPr>
                <w:rFonts w:eastAsia="Calibri"/>
                <w:b/>
                <w:snapToGrid w:val="0"/>
                <w:kern w:val="28"/>
                <w:sz w:val="24"/>
                <w:szCs w:val="24"/>
                <w:lang w:val="en-US" w:eastAsia="en-US" w:bidi="ar-SA"/>
              </w:rPr>
              <w:br w:type="page"/>
            </w:r>
            <w:r w:rsidRPr="005A7FAB">
              <w:rPr>
                <w:rFonts w:eastAsia="Calibri"/>
                <w:b/>
                <w:snapToGrid w:val="0"/>
                <w:kern w:val="28"/>
                <w:sz w:val="22"/>
                <w:szCs w:val="22"/>
                <w:lang w:val="en-US" w:eastAsia="en-US" w:bidi="ar-SA"/>
              </w:rPr>
              <w:t>Attachment 8</w:t>
            </w:r>
          </w:p>
          <w:p w:rsidR="00E47FEA" w:rsidP="004E16D7" w14:paraId="06C439BC" w14:textId="444D1EE0">
            <w:pPr>
              <w:widowControl w:val="0"/>
              <w:pBdr>
                <w:top w:val="single" w:sz="12" w:space="1" w:color="auto"/>
                <w:left w:val="single" w:sz="12" w:space="4" w:color="auto"/>
                <w:right w:val="single" w:sz="12" w:space="4" w:color="auto"/>
              </w:pBdr>
              <w:suppressAutoHyphens/>
              <w:jc w:val="center"/>
              <w:rPr>
                <w:rStyle w:val="DefaultParagraphFont"/>
                <w:rFonts w:eastAsia="Calibri"/>
                <w:b/>
                <w:snapToGrid w:val="0"/>
                <w:kern w:val="28"/>
                <w:sz w:val="22"/>
                <w:szCs w:val="22"/>
                <w:lang w:val="en-US" w:eastAsia="en-US" w:bidi="ar-SA"/>
              </w:rPr>
            </w:pPr>
            <w:r>
              <w:rPr>
                <w:rFonts w:eastAsia="Calibri"/>
                <w:b/>
                <w:snapToGrid w:val="0"/>
                <w:kern w:val="28"/>
                <w:sz w:val="22"/>
                <w:szCs w:val="22"/>
                <w:lang w:val="en-US" w:eastAsia="en-US" w:bidi="ar-SA"/>
              </w:rPr>
              <w:t xml:space="preserve">DBS </w:t>
            </w:r>
            <w:r>
              <w:rPr>
                <w:rFonts w:eastAsia="Calibri"/>
                <w:b/>
                <w:snapToGrid w:val="0"/>
                <w:kern w:val="28"/>
                <w:sz w:val="22"/>
                <w:szCs w:val="22"/>
                <w:lang w:val="en-US" w:eastAsia="en-US" w:bidi="ar-SA"/>
              </w:rPr>
              <w:t xml:space="preserve">Compared to </w:t>
            </w:r>
            <w:r>
              <w:rPr>
                <w:rFonts w:eastAsia="Calibri"/>
                <w:b/>
                <w:snapToGrid w:val="0"/>
                <w:kern w:val="28"/>
                <w:sz w:val="22"/>
                <w:szCs w:val="22"/>
                <w:lang w:val="en-US" w:eastAsia="en-US" w:bidi="ar-SA"/>
              </w:rPr>
              <w:t>Cable</w:t>
            </w:r>
            <w:r>
              <w:rPr>
                <w:rFonts w:eastAsia="Calibri"/>
                <w:b/>
                <w:snapToGrid w:val="0"/>
                <w:kern w:val="28"/>
                <w:sz w:val="22"/>
                <w:szCs w:val="22"/>
                <w:lang w:val="en-US" w:eastAsia="en-US" w:bidi="ar-SA"/>
              </w:rPr>
              <w:t xml:space="preserve"> Service </w:t>
            </w:r>
            <w:r w:rsidR="00650419">
              <w:rPr>
                <w:rFonts w:eastAsia="Calibri"/>
                <w:b/>
                <w:snapToGrid w:val="0"/>
                <w:kern w:val="28"/>
                <w:sz w:val="22"/>
                <w:szCs w:val="22"/>
                <w:lang w:val="en-US" w:eastAsia="en-US" w:bidi="ar-SA"/>
              </w:rPr>
              <w:t>Averages</w:t>
            </w:r>
          </w:p>
          <w:p w:rsidR="00E47FEA" w:rsidRPr="00823D5E" w:rsidP="004E16D7" w14:paraId="41F7F2FB" w14:textId="5128105E">
            <w:pPr>
              <w:widowControl w:val="0"/>
              <w:pBdr>
                <w:top w:val="single" w:sz="12" w:space="1" w:color="auto"/>
                <w:left w:val="single" w:sz="12" w:space="4" w:color="auto"/>
                <w:right w:val="single" w:sz="12" w:space="4" w:color="auto"/>
              </w:pBdr>
              <w:suppressAutoHyphens/>
              <w:jc w:val="center"/>
              <w:rPr>
                <w:rStyle w:val="DefaultParagraphFont"/>
                <w:rFonts w:eastAsia="Calibri"/>
                <w:snapToGrid w:val="0"/>
                <w:kern w:val="28"/>
                <w:sz w:val="22"/>
                <w:szCs w:val="22"/>
                <w:lang w:val="en-US" w:eastAsia="en-US" w:bidi="ar-SA"/>
              </w:rPr>
            </w:pPr>
            <w:r>
              <w:rPr>
                <w:rFonts w:eastAsia="Calibri"/>
                <w:b/>
                <w:snapToGrid w:val="0"/>
                <w:kern w:val="28"/>
                <w:sz w:val="22"/>
                <w:szCs w:val="22"/>
                <w:lang w:val="en-US" w:eastAsia="en-US" w:bidi="ar-SA"/>
              </w:rPr>
              <w:t>Price</w:t>
            </w:r>
            <w:r w:rsidR="00650419">
              <w:rPr>
                <w:rFonts w:eastAsia="Calibri"/>
                <w:b/>
                <w:snapToGrid w:val="0"/>
                <w:kern w:val="28"/>
                <w:sz w:val="22"/>
                <w:szCs w:val="22"/>
                <w:lang w:val="en-US" w:eastAsia="en-US" w:bidi="ar-SA"/>
              </w:rPr>
              <w:t>,</w:t>
            </w:r>
            <w:r>
              <w:rPr>
                <w:rFonts w:eastAsia="Calibri"/>
                <w:b/>
                <w:snapToGrid w:val="0"/>
                <w:kern w:val="28"/>
                <w:sz w:val="22"/>
                <w:szCs w:val="22"/>
                <w:lang w:val="en-US" w:eastAsia="en-US" w:bidi="ar-SA"/>
              </w:rPr>
              <w:t xml:space="preserve"> Channels</w:t>
            </w:r>
            <w:r w:rsidR="00650419">
              <w:rPr>
                <w:rFonts w:eastAsia="Calibri"/>
                <w:b/>
                <w:snapToGrid w:val="0"/>
                <w:kern w:val="28"/>
                <w:sz w:val="22"/>
                <w:szCs w:val="22"/>
                <w:lang w:val="en-US" w:eastAsia="en-US" w:bidi="ar-SA"/>
              </w:rPr>
              <w:t xml:space="preserve"> and Price Per Channel</w:t>
            </w:r>
            <w:r>
              <w:rPr>
                <w:rFonts w:eastAsia="Calibri"/>
                <w:b/>
                <w:snapToGrid w:val="0"/>
                <w:kern w:val="28"/>
                <w:sz w:val="22"/>
                <w:szCs w:val="22"/>
                <w:lang w:val="en-US" w:eastAsia="en-US" w:bidi="ar-SA"/>
              </w:rPr>
              <w:t xml:space="preserve"> </w:t>
            </w:r>
          </w:p>
          <w:p w:rsidR="00E47FEA" w:rsidRPr="00DE2CB7" w:rsidP="004E16D7" w14:paraId="3207064F" w14:textId="77777777">
            <w:pPr>
              <w:widowControl w:val="0"/>
              <w:pBdr>
                <w:top w:val="single" w:sz="12" w:space="1" w:color="auto"/>
                <w:left w:val="single" w:sz="12" w:space="4" w:color="auto"/>
                <w:right w:val="single" w:sz="12" w:space="4" w:color="auto"/>
              </w:pBdr>
              <w:suppressAutoHyphens/>
              <w:jc w:val="center"/>
              <w:rPr>
                <w:rStyle w:val="DefaultParagraphFont"/>
                <w:rFonts w:eastAsia="Calibri"/>
                <w:snapToGrid w:val="0"/>
                <w:kern w:val="28"/>
                <w:sz w:val="22"/>
                <w:szCs w:val="22"/>
                <w:lang w:val="en-US" w:eastAsia="en-US" w:bidi="ar-SA"/>
              </w:rPr>
            </w:pPr>
            <w:r w:rsidRPr="00823D5E">
              <w:rPr>
                <w:rFonts w:eastAsia="Calibri"/>
                <w:snapToGrid w:val="0"/>
                <w:kern w:val="28"/>
                <w:sz w:val="22"/>
                <w:szCs w:val="22"/>
                <w:lang w:val="en-US" w:eastAsia="en-US" w:bidi="ar-SA"/>
              </w:rPr>
              <w:t>January 1, 2016</w:t>
            </w:r>
            <w:r w:rsidRPr="005A7FAB">
              <w:rPr>
                <w:rFonts w:eastAsia="Calibri"/>
                <w:b/>
                <w:snapToGrid w:val="0"/>
                <w:kern w:val="28"/>
                <w:sz w:val="22"/>
                <w:szCs w:val="22"/>
                <w:lang w:val="en-US" w:eastAsia="en-US" w:bidi="ar-SA"/>
              </w:rPr>
              <w:t xml:space="preserve"> </w:t>
            </w:r>
          </w:p>
        </w:tc>
      </w:tr>
      <w:tr w14:paraId="3D724F7A" w14:textId="77777777" w:rsidTr="00A46F4A">
        <w:tblPrEx>
          <w:tblW w:w="5000" w:type="pct"/>
          <w:tblInd w:w="0" w:type="dxa"/>
          <w:tblCellMar>
            <w:top w:w="0" w:type="dxa"/>
            <w:left w:w="108" w:type="dxa"/>
            <w:bottom w:w="0" w:type="dxa"/>
            <w:right w:w="108" w:type="dxa"/>
          </w:tblCellMar>
          <w:tblLook w:val="04A0"/>
        </w:tblPrEx>
        <w:trPr>
          <w:trHeight w:val="848"/>
        </w:trPr>
        <w:tc>
          <w:tcPr>
            <w:tcW w:w="1779" w:type="pct"/>
            <w:tcBorders>
              <w:top w:val="single" w:sz="12" w:space="0" w:color="auto"/>
              <w:left w:val="single" w:sz="12" w:space="0" w:color="auto"/>
              <w:bottom w:val="single" w:sz="8" w:space="0" w:color="auto"/>
              <w:right w:val="single" w:sz="8" w:space="0" w:color="auto"/>
            </w:tcBorders>
            <w:shd w:val="clear" w:color="auto" w:fill="auto"/>
            <w:vAlign w:val="center"/>
          </w:tcPr>
          <w:p w:rsidR="00E47FEA" w:rsidRPr="00E47FEA" w:rsidP="004E16D7" w14:paraId="4C26ACC4" w14:textId="186822F3">
            <w:pPr>
              <w:widowControl w:val="0"/>
              <w:suppressAutoHyphens/>
              <w:jc w:val="center"/>
              <w:rPr>
                <w:rStyle w:val="DefaultParagraphFont"/>
                <w:rFonts w:eastAsia="Calibri"/>
                <w:b/>
                <w:snapToGrid w:val="0"/>
                <w:kern w:val="28"/>
                <w:sz w:val="22"/>
                <w:szCs w:val="22"/>
                <w:lang w:val="en-US" w:eastAsia="en-US" w:bidi="ar-SA"/>
              </w:rPr>
            </w:pPr>
            <w:r w:rsidRPr="00E47FEA">
              <w:rPr>
                <w:rFonts w:eastAsia="Calibri"/>
                <w:b/>
                <w:snapToGrid w:val="0"/>
                <w:kern w:val="28"/>
                <w:sz w:val="22"/>
                <w:szCs w:val="22"/>
                <w:lang w:val="en-US" w:eastAsia="en-US" w:bidi="ar-SA"/>
              </w:rPr>
              <w:t>Statistic</w:t>
            </w:r>
          </w:p>
        </w:tc>
        <w:tc>
          <w:tcPr>
            <w:tcW w:w="1033"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E47FEA" w:rsidRPr="00E47FEA" w:rsidP="004E16D7" w14:paraId="2BF5317F" w14:textId="196A1B28">
            <w:pPr>
              <w:widowControl w:val="0"/>
              <w:suppressAutoHyphens/>
              <w:jc w:val="center"/>
              <w:rPr>
                <w:rStyle w:val="DefaultParagraphFont"/>
                <w:rFonts w:eastAsia="Calibri"/>
                <w:b/>
                <w:snapToGrid w:val="0"/>
                <w:kern w:val="28"/>
                <w:sz w:val="22"/>
                <w:szCs w:val="22"/>
                <w:lang w:val="en-US" w:eastAsia="en-US" w:bidi="ar-SA"/>
              </w:rPr>
            </w:pPr>
            <w:r w:rsidRPr="00E47FEA">
              <w:rPr>
                <w:rFonts w:eastAsia="Calibri"/>
                <w:b/>
                <w:snapToGrid w:val="0"/>
                <w:kern w:val="28"/>
                <w:sz w:val="22"/>
                <w:szCs w:val="22"/>
                <w:lang w:val="en-US" w:eastAsia="en-US" w:bidi="ar-SA"/>
              </w:rPr>
              <w:t>Expanded Basic Cable Service</w:t>
            </w:r>
          </w:p>
        </w:tc>
        <w:tc>
          <w:tcPr>
            <w:tcW w:w="1042"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E47FEA" w:rsidRPr="00E47FEA" w:rsidP="004E16D7" w14:paraId="67E6C7AB" w14:textId="2E805435">
            <w:pPr>
              <w:widowControl w:val="0"/>
              <w:suppressAutoHyphens/>
              <w:jc w:val="center"/>
              <w:rPr>
                <w:rStyle w:val="DefaultParagraphFont"/>
                <w:rFonts w:eastAsia="Calibri"/>
                <w:b/>
                <w:snapToGrid w:val="0"/>
                <w:kern w:val="28"/>
                <w:sz w:val="22"/>
                <w:szCs w:val="22"/>
                <w:lang w:val="en-US" w:eastAsia="en-US" w:bidi="ar-SA"/>
              </w:rPr>
            </w:pPr>
            <w:r w:rsidRPr="00E47FEA">
              <w:rPr>
                <w:rFonts w:eastAsia="Calibri"/>
                <w:b/>
                <w:snapToGrid w:val="0"/>
                <w:kern w:val="28"/>
                <w:sz w:val="22"/>
                <w:szCs w:val="22"/>
                <w:lang w:val="en-US" w:eastAsia="en-US" w:bidi="ar-SA"/>
              </w:rPr>
              <w:t xml:space="preserve">DBS </w:t>
            </w:r>
            <w:r w:rsidR="007D5892">
              <w:rPr>
                <w:rFonts w:eastAsia="Calibri"/>
                <w:b/>
                <w:snapToGrid w:val="0"/>
                <w:kern w:val="28"/>
                <w:sz w:val="22"/>
                <w:szCs w:val="22"/>
                <w:lang w:val="en-US" w:eastAsia="en-US" w:bidi="ar-SA"/>
              </w:rPr>
              <w:t>DIRECTV</w:t>
            </w:r>
          </w:p>
          <w:p w:rsidR="00E47FEA" w:rsidRPr="00E47FEA" w:rsidP="004E16D7" w14:paraId="1B86D633" w14:textId="26CEDE4F">
            <w:pPr>
              <w:widowControl w:val="0"/>
              <w:suppressAutoHyphens/>
              <w:jc w:val="center"/>
              <w:rPr>
                <w:rStyle w:val="DefaultParagraphFont"/>
                <w:rFonts w:eastAsia="Calibri"/>
                <w:b/>
                <w:snapToGrid w:val="0"/>
                <w:kern w:val="28"/>
                <w:sz w:val="22"/>
                <w:szCs w:val="22"/>
                <w:lang w:val="en-US" w:eastAsia="en-US" w:bidi="ar-SA"/>
              </w:rPr>
            </w:pPr>
            <w:r w:rsidRPr="00E47FEA">
              <w:rPr>
                <w:rFonts w:eastAsia="Calibri"/>
                <w:b/>
                <w:snapToGrid w:val="0"/>
                <w:kern w:val="28"/>
                <w:sz w:val="22"/>
                <w:szCs w:val="22"/>
                <w:lang w:val="en-US" w:eastAsia="en-US" w:bidi="ar-SA"/>
              </w:rPr>
              <w:t xml:space="preserve"> Choice </w:t>
            </w:r>
            <w:r>
              <w:rPr>
                <w:rFonts w:eastAsia="Calibri"/>
                <w:b/>
                <w:snapToGrid w:val="0"/>
                <w:kern w:val="28"/>
                <w:sz w:val="22"/>
                <w:szCs w:val="22"/>
                <w:lang w:val="en-US" w:eastAsia="en-US" w:bidi="ar-SA"/>
              </w:rPr>
              <w:t xml:space="preserve">Service </w:t>
            </w:r>
            <w:r w:rsidRPr="00E47FEA">
              <w:rPr>
                <w:rFonts w:eastAsia="Calibri"/>
                <w:b/>
                <w:snapToGrid w:val="0"/>
                <w:kern w:val="28"/>
                <w:sz w:val="22"/>
                <w:szCs w:val="22"/>
                <w:lang w:val="en-US" w:eastAsia="en-US" w:bidi="ar-SA"/>
              </w:rPr>
              <w:t>Package</w:t>
            </w:r>
          </w:p>
        </w:tc>
        <w:tc>
          <w:tcPr>
            <w:tcW w:w="1146" w:type="pct"/>
            <w:gridSpan w:val="2"/>
            <w:tcBorders>
              <w:top w:val="single" w:sz="12" w:space="0" w:color="auto"/>
              <w:left w:val="single" w:sz="8" w:space="0" w:color="auto"/>
              <w:bottom w:val="single" w:sz="8" w:space="0" w:color="auto"/>
              <w:right w:val="single" w:sz="12" w:space="0" w:color="auto"/>
            </w:tcBorders>
            <w:shd w:val="clear" w:color="auto" w:fill="auto"/>
            <w:vAlign w:val="center"/>
          </w:tcPr>
          <w:p w:rsidR="00E47FEA" w:rsidRPr="00E47FEA" w:rsidP="004E16D7" w14:paraId="1ED41C4D" w14:textId="0C2B3552">
            <w:pPr>
              <w:widowControl w:val="0"/>
              <w:suppressAutoHyphens/>
              <w:jc w:val="center"/>
              <w:rPr>
                <w:rStyle w:val="DefaultParagraphFont"/>
                <w:rFonts w:eastAsia="Calibri"/>
                <w:b/>
                <w:snapToGrid w:val="0"/>
                <w:kern w:val="28"/>
                <w:sz w:val="22"/>
                <w:szCs w:val="22"/>
                <w:lang w:val="en-US" w:eastAsia="en-US" w:bidi="ar-SA"/>
              </w:rPr>
            </w:pPr>
            <w:r w:rsidRPr="00E47FEA">
              <w:rPr>
                <w:rFonts w:eastAsia="Calibri"/>
                <w:b/>
                <w:snapToGrid w:val="0"/>
                <w:kern w:val="28"/>
                <w:sz w:val="22"/>
                <w:szCs w:val="22"/>
                <w:lang w:val="en-US" w:eastAsia="en-US" w:bidi="ar-SA"/>
              </w:rPr>
              <w:t xml:space="preserve">DBS </w:t>
            </w:r>
            <w:r w:rsidR="007D5892">
              <w:rPr>
                <w:rFonts w:eastAsia="Calibri"/>
                <w:b/>
                <w:snapToGrid w:val="0"/>
                <w:kern w:val="28"/>
                <w:sz w:val="22"/>
                <w:szCs w:val="22"/>
                <w:lang w:val="en-US" w:eastAsia="en-US" w:bidi="ar-SA"/>
              </w:rPr>
              <w:t>DISH</w:t>
            </w:r>
            <w:r w:rsidRPr="00E47FEA">
              <w:rPr>
                <w:rFonts w:eastAsia="Calibri"/>
                <w:b/>
                <w:snapToGrid w:val="0"/>
                <w:kern w:val="28"/>
                <w:sz w:val="22"/>
                <w:szCs w:val="22"/>
                <w:lang w:val="en-US" w:eastAsia="en-US" w:bidi="ar-SA"/>
              </w:rPr>
              <w:t xml:space="preserve"> Network</w:t>
            </w:r>
          </w:p>
          <w:p w:rsidR="00E47FEA" w:rsidRPr="00E47FEA" w:rsidP="004E16D7" w14:paraId="4A4E6B2C" w14:textId="77777777">
            <w:pPr>
              <w:widowControl w:val="0"/>
              <w:suppressAutoHyphens/>
              <w:jc w:val="center"/>
              <w:rPr>
                <w:rStyle w:val="DefaultParagraphFont"/>
                <w:rFonts w:eastAsia="Calibri"/>
                <w:b/>
                <w:snapToGrid w:val="0"/>
                <w:kern w:val="28"/>
                <w:sz w:val="22"/>
                <w:szCs w:val="22"/>
                <w:lang w:val="en-US" w:eastAsia="en-US" w:bidi="ar-SA"/>
              </w:rPr>
            </w:pPr>
            <w:r w:rsidRPr="00E47FEA">
              <w:rPr>
                <w:rFonts w:eastAsia="Calibri"/>
                <w:b/>
                <w:snapToGrid w:val="0"/>
                <w:kern w:val="28"/>
                <w:sz w:val="22"/>
                <w:szCs w:val="22"/>
                <w:lang w:val="en-US" w:eastAsia="en-US" w:bidi="ar-SA"/>
              </w:rPr>
              <w:t>America’s Top 120 Plus</w:t>
            </w:r>
          </w:p>
        </w:tc>
      </w:tr>
      <w:tr w14:paraId="18A7C31A" w14:textId="77777777" w:rsidTr="00A46F4A">
        <w:tblPrEx>
          <w:tblW w:w="5000" w:type="pct"/>
          <w:tblInd w:w="0" w:type="dxa"/>
          <w:tblCellMar>
            <w:top w:w="0" w:type="dxa"/>
            <w:left w:w="108" w:type="dxa"/>
            <w:bottom w:w="0" w:type="dxa"/>
            <w:right w:w="108" w:type="dxa"/>
          </w:tblCellMar>
          <w:tblLook w:val="04A0"/>
        </w:tblPrEx>
        <w:trPr>
          <w:trHeight w:hRule="exact" w:val="432"/>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655FC2A6" w14:textId="1F76F023">
            <w:pPr>
              <w:widowControl w:val="0"/>
              <w:suppressAutoHyphens/>
              <w:rPr>
                <w:rStyle w:val="DefaultParagraphFont"/>
                <w:rFonts w:eastAsia="Calibri"/>
                <w:b/>
                <w:snapToGrid w:val="0"/>
                <w:kern w:val="28"/>
                <w:sz w:val="20"/>
                <w:lang w:val="en-US" w:eastAsia="en-US" w:bidi="ar-SA"/>
              </w:rPr>
            </w:pPr>
            <w:r w:rsidRPr="00753D31">
              <w:rPr>
                <w:rFonts w:eastAsia="Calibri"/>
                <w:b/>
                <w:snapToGrid w:val="0"/>
                <w:kern w:val="28"/>
                <w:sz w:val="20"/>
                <w:lang w:val="en-US" w:eastAsia="en-US" w:bidi="ar-SA"/>
              </w:rPr>
              <w:t>Average price of programming</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25BB5783" w14:textId="7777777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$71.38</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4479910F"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1F190413" w14:textId="54F1878D">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r w:rsidRPr="00753D31" w:rsidR="00EE1AE1">
              <w:rPr>
                <w:rFonts w:eastAsia="Calibri"/>
                <w:snapToGrid w:val="0"/>
                <w:kern w:val="28"/>
                <w:sz w:val="20"/>
                <w:lang w:val="en-US" w:eastAsia="en-US" w:bidi="ar-SA"/>
              </w:rPr>
              <w:t>70.9</w:t>
            </w:r>
            <w:r w:rsidRPr="00753D31" w:rsidR="00431329">
              <w:rPr>
                <w:rFonts w:eastAsia="Calibri"/>
                <w:snapToGrid w:val="0"/>
                <w:kern w:val="28"/>
                <w:sz w:val="20"/>
                <w:lang w:val="en-US" w:eastAsia="en-US" w:bidi="ar-SA"/>
              </w:rPr>
              <w:t>5</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1DBE0B52" w14:textId="13E611D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1EC50808" w14:textId="5A5EBA8A">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r w:rsidRPr="00753D31" w:rsidR="00431329">
              <w:rPr>
                <w:rFonts w:eastAsia="Calibri"/>
                <w:snapToGrid w:val="0"/>
                <w:kern w:val="28"/>
                <w:sz w:val="20"/>
                <w:lang w:val="en-US" w:eastAsia="en-US" w:bidi="ar-SA"/>
              </w:rPr>
              <w:t>64</w:t>
            </w:r>
            <w:r w:rsidRPr="00753D31">
              <w:rPr>
                <w:rFonts w:eastAsia="Calibri"/>
                <w:snapToGrid w:val="0"/>
                <w:kern w:val="28"/>
                <w:sz w:val="20"/>
                <w:lang w:val="en-US" w:eastAsia="en-US" w:bidi="ar-SA"/>
              </w:rPr>
              <w:t>.99</w:t>
            </w:r>
            <w:r w:rsidR="002660EA">
              <w:rPr>
                <w:rFonts w:eastAsia="Calibri"/>
                <w:snapToGrid w:val="0"/>
                <w:kern w:val="28"/>
                <w:sz w:val="20"/>
                <w:lang w:val="en-US" w:eastAsia="en-US" w:bidi="ar-SA"/>
              </w:rPr>
              <w:t>*</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07D1DA13" w14:textId="462A48DE">
            <w:pPr>
              <w:widowControl w:val="0"/>
              <w:suppressAutoHyphens/>
              <w:rPr>
                <w:rStyle w:val="DefaultParagraphFont"/>
                <w:rFonts w:eastAsia="Calibri"/>
                <w:snapToGrid w:val="0"/>
                <w:kern w:val="28"/>
                <w:sz w:val="20"/>
                <w:lang w:val="en-US" w:eastAsia="en-US" w:bidi="ar-SA"/>
              </w:rPr>
            </w:pPr>
          </w:p>
        </w:tc>
      </w:tr>
      <w:tr w14:paraId="55D12863"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76F478C2" w14:textId="09AA48F2">
            <w:pPr>
              <w:widowControl w:val="0"/>
              <w:suppressAutoHyphens/>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No. of sample observations</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1BC9B326" w14:textId="5F3A3BFF">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76</w:t>
            </w:r>
            <w:r>
              <w:rPr>
                <w:rFonts w:eastAsia="Calibri"/>
                <w:snapToGrid w:val="0"/>
                <w:kern w:val="28"/>
                <w:sz w:val="20"/>
                <w:lang w:val="en-US" w:eastAsia="en-US" w:bidi="ar-SA"/>
              </w:rPr>
              <w:t>5</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5FBE5712"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23EA7845" w14:textId="39B27D3D">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35</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7514C322"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88EE7E9" w14:textId="151C4A3E">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35</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5D63B986" w14:textId="77777777">
            <w:pPr>
              <w:widowControl w:val="0"/>
              <w:suppressAutoHyphens/>
              <w:rPr>
                <w:rStyle w:val="DefaultParagraphFont"/>
                <w:rFonts w:eastAsia="Calibri"/>
                <w:snapToGrid w:val="0"/>
                <w:kern w:val="28"/>
                <w:sz w:val="20"/>
                <w:lang w:val="en-US" w:eastAsia="en-US" w:bidi="ar-SA"/>
              </w:rPr>
            </w:pPr>
          </w:p>
        </w:tc>
      </w:tr>
      <w:tr w14:paraId="0C890A52"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54074E95" w14:textId="45A699CB">
            <w:pPr>
              <w:widowControl w:val="0"/>
              <w:suppressAutoHyphens/>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Standard error of the mean</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75E8432" w14:textId="7777777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0.270</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5C9DAA3C"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40023261" w14:textId="0CF7537E">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0.0</w:t>
            </w:r>
            <w:r w:rsidRPr="00753D31" w:rsidR="00431329">
              <w:rPr>
                <w:rFonts w:eastAsia="Calibri"/>
                <w:snapToGrid w:val="0"/>
                <w:kern w:val="28"/>
                <w:sz w:val="20"/>
                <w:lang w:val="en-US" w:eastAsia="en-US" w:bidi="ar-SA"/>
              </w:rPr>
              <w:t>32</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2F538044"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16C800E" w14:textId="2516933A">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0.000</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2A795A46" w14:textId="77777777">
            <w:pPr>
              <w:widowControl w:val="0"/>
              <w:suppressAutoHyphens/>
              <w:rPr>
                <w:rStyle w:val="DefaultParagraphFont"/>
                <w:rFonts w:eastAsia="Calibri"/>
                <w:snapToGrid w:val="0"/>
                <w:kern w:val="28"/>
                <w:sz w:val="20"/>
                <w:lang w:val="en-US" w:eastAsia="en-US" w:bidi="ar-SA"/>
              </w:rPr>
            </w:pPr>
          </w:p>
        </w:tc>
      </w:tr>
      <w:tr w14:paraId="6EA1D6EB"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005DABEF" w14:textId="54F0A2AD">
            <w:pPr>
              <w:widowControl w:val="0"/>
              <w:suppressAutoHyphens/>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Statistical t-value</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24998F85" w14:textId="7777777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244AD3E4"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223B4CA" w14:textId="05F18E9E">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r w:rsidRPr="00753D31" w:rsidR="00EE1AE1">
              <w:rPr>
                <w:rFonts w:eastAsia="Calibri"/>
                <w:snapToGrid w:val="0"/>
                <w:kern w:val="28"/>
                <w:sz w:val="20"/>
                <w:lang w:val="en-US" w:eastAsia="en-US" w:bidi="ar-SA"/>
              </w:rPr>
              <w:t>1.</w:t>
            </w:r>
            <w:r w:rsidRPr="00753D31" w:rsidR="00114E00">
              <w:rPr>
                <w:rFonts w:eastAsia="Calibri"/>
                <w:snapToGrid w:val="0"/>
                <w:kern w:val="28"/>
                <w:sz w:val="20"/>
                <w:lang w:val="en-US" w:eastAsia="en-US" w:bidi="ar-SA"/>
              </w:rPr>
              <w:t>580</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1EDB7896"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64ADC5BE" w14:textId="0444F14B">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-23.667</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7987ED26" w14:textId="77777777">
            <w:pPr>
              <w:widowControl w:val="0"/>
              <w:suppressAutoHyphens/>
              <w:rPr>
                <w:rStyle w:val="DefaultParagraphFont"/>
                <w:rFonts w:eastAsia="Calibri"/>
                <w:snapToGrid w:val="0"/>
                <w:kern w:val="28"/>
                <w:sz w:val="20"/>
                <w:lang w:val="en-US" w:eastAsia="en-US" w:bidi="ar-SA"/>
              </w:rPr>
            </w:pPr>
          </w:p>
        </w:tc>
      </w:tr>
      <w:tr w14:paraId="0B279C90" w14:textId="77777777" w:rsidTr="00A46F4A">
        <w:tblPrEx>
          <w:tblW w:w="5000" w:type="pct"/>
          <w:tblInd w:w="0" w:type="dxa"/>
          <w:tblCellMar>
            <w:top w:w="0" w:type="dxa"/>
            <w:left w:w="108" w:type="dxa"/>
            <w:bottom w:w="0" w:type="dxa"/>
            <w:right w:w="108" w:type="dxa"/>
          </w:tblCellMar>
          <w:tblLook w:val="04A0"/>
        </w:tblPrEx>
        <w:trPr>
          <w:trHeight w:hRule="exact" w:val="432"/>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51BEE8FC" w14:textId="2013D36B">
            <w:pPr>
              <w:widowControl w:val="0"/>
              <w:suppressAutoHyphens/>
              <w:rPr>
                <w:rStyle w:val="DefaultParagraphFont"/>
                <w:rFonts w:eastAsia="Calibri"/>
                <w:b/>
                <w:snapToGrid w:val="0"/>
                <w:kern w:val="28"/>
                <w:sz w:val="20"/>
                <w:lang w:val="en-US" w:eastAsia="en-US" w:bidi="ar-SA"/>
              </w:rPr>
            </w:pPr>
            <w:r w:rsidRPr="00753D31">
              <w:rPr>
                <w:rFonts w:eastAsia="Calibri"/>
                <w:b/>
                <w:snapToGrid w:val="0"/>
                <w:kern w:val="28"/>
                <w:sz w:val="20"/>
                <w:lang w:val="en-US" w:eastAsia="en-US" w:bidi="ar-SA"/>
              </w:rPr>
              <w:t>Average no. of video channels</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23FCEFE1" w14:textId="581C8D30">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1</w:t>
            </w:r>
            <w:r w:rsidR="00DC1FCC">
              <w:rPr>
                <w:rFonts w:eastAsia="Calibri"/>
                <w:snapToGrid w:val="0"/>
                <w:kern w:val="28"/>
                <w:sz w:val="20"/>
                <w:lang w:val="en-US" w:eastAsia="en-US" w:bidi="ar-SA"/>
              </w:rPr>
              <w:t>81.0</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198893C9"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98B4688" w14:textId="3B1C3936">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1</w:t>
            </w:r>
            <w:r w:rsidRPr="00753D31" w:rsidR="00B579EB">
              <w:rPr>
                <w:rFonts w:eastAsia="Calibri"/>
                <w:snapToGrid w:val="0"/>
                <w:kern w:val="28"/>
                <w:sz w:val="20"/>
                <w:lang w:val="en-US" w:eastAsia="en-US" w:bidi="ar-SA"/>
              </w:rPr>
              <w:t>6</w:t>
            </w:r>
            <w:r w:rsidRPr="00753D31" w:rsidR="00431329">
              <w:rPr>
                <w:rFonts w:eastAsia="Calibri"/>
                <w:snapToGrid w:val="0"/>
                <w:kern w:val="28"/>
                <w:sz w:val="20"/>
                <w:lang w:val="en-US" w:eastAsia="en-US" w:bidi="ar-SA"/>
              </w:rPr>
              <w:t>7</w:t>
            </w:r>
            <w:r w:rsidRPr="00753D31">
              <w:rPr>
                <w:rFonts w:eastAsia="Calibri"/>
                <w:snapToGrid w:val="0"/>
                <w:kern w:val="28"/>
                <w:sz w:val="20"/>
                <w:lang w:val="en-US" w:eastAsia="en-US" w:bidi="ar-SA"/>
              </w:rPr>
              <w:t>.</w:t>
            </w:r>
            <w:r w:rsidRPr="00753D31" w:rsidR="00431329">
              <w:rPr>
                <w:rFonts w:eastAsia="Calibri"/>
                <w:snapToGrid w:val="0"/>
                <w:kern w:val="28"/>
                <w:sz w:val="20"/>
                <w:lang w:val="en-US" w:eastAsia="en-US" w:bidi="ar-SA"/>
              </w:rPr>
              <w:t>7</w:t>
            </w:r>
            <w:r w:rsidR="002660EA">
              <w:rPr>
                <w:rFonts w:eastAsia="Calibri"/>
                <w:snapToGrid w:val="0"/>
                <w:kern w:val="28"/>
                <w:sz w:val="20"/>
                <w:lang w:val="en-US" w:eastAsia="en-US" w:bidi="ar-SA"/>
              </w:rPr>
              <w:t>*</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2F1DA74C" w14:textId="5A614553">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1FA7EAEC" w14:textId="5587EB6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1</w:t>
            </w:r>
            <w:r w:rsidRPr="00753D31" w:rsidR="00431329">
              <w:rPr>
                <w:rFonts w:eastAsia="Calibri"/>
                <w:snapToGrid w:val="0"/>
                <w:kern w:val="28"/>
                <w:sz w:val="20"/>
                <w:lang w:val="en-US" w:eastAsia="en-US" w:bidi="ar-SA"/>
              </w:rPr>
              <w:t>59</w:t>
            </w:r>
            <w:r w:rsidRPr="00753D31">
              <w:rPr>
                <w:rFonts w:eastAsia="Calibri"/>
                <w:snapToGrid w:val="0"/>
                <w:kern w:val="28"/>
                <w:sz w:val="20"/>
                <w:lang w:val="en-US" w:eastAsia="en-US" w:bidi="ar-SA"/>
              </w:rPr>
              <w:t>.6</w:t>
            </w:r>
            <w:r w:rsidR="002660EA">
              <w:rPr>
                <w:rFonts w:eastAsia="Calibri"/>
                <w:snapToGrid w:val="0"/>
                <w:kern w:val="28"/>
                <w:sz w:val="20"/>
                <w:lang w:val="en-US" w:eastAsia="en-US" w:bidi="ar-SA"/>
              </w:rPr>
              <w:t>*</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07EC312F" w14:textId="60AD67A7">
            <w:pPr>
              <w:widowControl w:val="0"/>
              <w:suppressAutoHyphens/>
              <w:rPr>
                <w:rStyle w:val="DefaultParagraphFont"/>
                <w:rFonts w:eastAsia="Calibri"/>
                <w:snapToGrid w:val="0"/>
                <w:kern w:val="28"/>
                <w:sz w:val="20"/>
                <w:lang w:val="en-US" w:eastAsia="en-US" w:bidi="ar-SA"/>
              </w:rPr>
            </w:pPr>
          </w:p>
        </w:tc>
      </w:tr>
      <w:tr w14:paraId="67AC74CD"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09ADF48B" w14:textId="5EC8C31E">
            <w:pPr>
              <w:widowControl w:val="0"/>
              <w:suppressAutoHyphens/>
              <w:rPr>
                <w:rStyle w:val="DefaultParagraphFont"/>
                <w:rFonts w:eastAsia="Calibri"/>
                <w:snapToGrid w:val="0"/>
                <w:kern w:val="28"/>
                <w:sz w:val="20"/>
                <w:lang w:val="en-US" w:eastAsia="en-US" w:bidi="ar-SA"/>
              </w:rPr>
            </w:pPr>
            <w:r w:rsidRPr="00753D31">
              <w:rPr>
                <w:snapToGrid w:val="0"/>
                <w:kern w:val="28"/>
                <w:sz w:val="20"/>
                <w:lang w:val="en-US" w:eastAsia="en-US" w:bidi="ar-SA"/>
              </w:rPr>
              <w:t>No. of sample observations</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718B1CC2" w14:textId="776E5E16">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76</w:t>
            </w:r>
            <w:r w:rsidR="00DC1FCC">
              <w:rPr>
                <w:rFonts w:eastAsia="Calibri"/>
                <w:snapToGrid w:val="0"/>
                <w:kern w:val="28"/>
                <w:sz w:val="20"/>
                <w:lang w:val="en-US" w:eastAsia="en-US" w:bidi="ar-SA"/>
              </w:rPr>
              <w:t>5</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663FE4E8"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00DB3B63" w14:textId="5B387CFF">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35</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7581F0A5"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14F9E62D" w14:textId="6117B75C">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35</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52001181" w14:textId="77777777">
            <w:pPr>
              <w:widowControl w:val="0"/>
              <w:suppressAutoHyphens/>
              <w:rPr>
                <w:rStyle w:val="DefaultParagraphFont"/>
                <w:rFonts w:eastAsia="Calibri"/>
                <w:snapToGrid w:val="0"/>
                <w:kern w:val="28"/>
                <w:sz w:val="20"/>
                <w:lang w:val="en-US" w:eastAsia="en-US" w:bidi="ar-SA"/>
              </w:rPr>
            </w:pPr>
          </w:p>
        </w:tc>
      </w:tr>
      <w:tr w14:paraId="5F62DF1B"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5E09CEBD" w14:textId="289923BC">
            <w:pPr>
              <w:widowControl w:val="0"/>
              <w:suppressAutoHyphens/>
              <w:rPr>
                <w:rStyle w:val="DefaultParagraphFont"/>
                <w:rFonts w:eastAsia="Calibri"/>
                <w:snapToGrid w:val="0"/>
                <w:kern w:val="28"/>
                <w:sz w:val="20"/>
                <w:lang w:val="en-US" w:eastAsia="en-US" w:bidi="ar-SA"/>
              </w:rPr>
            </w:pPr>
            <w:r w:rsidRPr="00753D31">
              <w:rPr>
                <w:snapToGrid w:val="0"/>
                <w:kern w:val="28"/>
                <w:sz w:val="20"/>
                <w:lang w:val="en-US" w:eastAsia="en-US" w:bidi="ar-SA"/>
              </w:rPr>
              <w:t>Standard error of the mean</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94D0293" w14:textId="601C6BD3">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1.</w:t>
            </w:r>
            <w:r w:rsidR="00DC1FCC">
              <w:rPr>
                <w:rFonts w:eastAsia="Calibri"/>
                <w:snapToGrid w:val="0"/>
                <w:kern w:val="28"/>
                <w:sz w:val="20"/>
                <w:lang w:val="en-US" w:eastAsia="en-US" w:bidi="ar-SA"/>
              </w:rPr>
              <w:t>610</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1D5E14C8"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5A689A0B" w14:textId="689ADE5C">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1.</w:t>
            </w:r>
            <w:r w:rsidRPr="00753D31" w:rsidR="00431329">
              <w:rPr>
                <w:rFonts w:eastAsia="Calibri"/>
                <w:snapToGrid w:val="0"/>
                <w:kern w:val="28"/>
                <w:sz w:val="20"/>
                <w:lang w:val="en-US" w:eastAsia="en-US" w:bidi="ar-SA"/>
              </w:rPr>
              <w:t>290</w:t>
            </w:r>
          </w:p>
          <w:p w:rsidR="00E47FEA" w:rsidRPr="00753D31" w:rsidP="004E16D7" w14:paraId="79EA6D43" w14:textId="77777777">
            <w:pPr>
              <w:widowControl w:val="0"/>
              <w:suppressAutoHyphens/>
              <w:jc w:val="right"/>
              <w:rPr>
                <w:rStyle w:val="DefaultParagraphFont"/>
                <w:rFonts w:eastAsia="Calibri"/>
                <w:snapToGrid w:val="0"/>
                <w:kern w:val="28"/>
                <w:sz w:val="20"/>
                <w:lang w:val="en-US" w:eastAsia="en-US" w:bidi="ar-SA"/>
              </w:rPr>
            </w:pP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316E984E"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7AD5B0A3" w14:textId="65755A9A">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1.22</w:t>
            </w:r>
            <w:r w:rsidRPr="00753D31" w:rsidR="00431329">
              <w:rPr>
                <w:rFonts w:eastAsia="Calibri"/>
                <w:snapToGrid w:val="0"/>
                <w:kern w:val="28"/>
                <w:sz w:val="20"/>
                <w:lang w:val="en-US" w:eastAsia="en-US" w:bidi="ar-SA"/>
              </w:rPr>
              <w:t>6</w:t>
            </w:r>
          </w:p>
          <w:p w:rsidR="00E47FEA" w:rsidRPr="00753D31" w:rsidP="004E16D7" w14:paraId="72E66847" w14:textId="77777777">
            <w:pPr>
              <w:widowControl w:val="0"/>
              <w:suppressAutoHyphens/>
              <w:jc w:val="right"/>
              <w:rPr>
                <w:rStyle w:val="DefaultParagraphFont"/>
                <w:rFonts w:eastAsia="Calibri"/>
                <w:snapToGrid w:val="0"/>
                <w:kern w:val="28"/>
                <w:sz w:val="20"/>
                <w:lang w:val="en-US" w:eastAsia="en-US" w:bidi="ar-SA"/>
              </w:rPr>
            </w:pP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0C3B70CB" w14:textId="77777777">
            <w:pPr>
              <w:widowControl w:val="0"/>
              <w:suppressAutoHyphens/>
              <w:rPr>
                <w:rStyle w:val="DefaultParagraphFont"/>
                <w:rFonts w:eastAsia="Calibri"/>
                <w:snapToGrid w:val="0"/>
                <w:kern w:val="28"/>
                <w:sz w:val="20"/>
                <w:lang w:val="en-US" w:eastAsia="en-US" w:bidi="ar-SA"/>
              </w:rPr>
            </w:pPr>
          </w:p>
        </w:tc>
      </w:tr>
      <w:tr w14:paraId="1819CF4D"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6F15F3F6" w14:textId="16EBD333">
            <w:pPr>
              <w:widowControl w:val="0"/>
              <w:suppressAutoHyphens/>
              <w:rPr>
                <w:rStyle w:val="DefaultParagraphFont"/>
                <w:rFonts w:eastAsia="Calibri"/>
                <w:snapToGrid w:val="0"/>
                <w:kern w:val="28"/>
                <w:sz w:val="20"/>
                <w:lang w:val="en-US" w:eastAsia="en-US" w:bidi="ar-SA"/>
              </w:rPr>
            </w:pPr>
            <w:r w:rsidRPr="00753D31">
              <w:rPr>
                <w:snapToGrid w:val="0"/>
                <w:kern w:val="28"/>
                <w:sz w:val="20"/>
                <w:lang w:val="en-US" w:eastAsia="en-US" w:bidi="ar-SA"/>
              </w:rPr>
              <w:t>Statistical t-value</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83D0673" w14:textId="7777777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3E1B2144"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182D3AC7" w14:textId="4E9712E5">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r w:rsidRPr="00753D31" w:rsidR="00114E00">
              <w:rPr>
                <w:rFonts w:eastAsia="Calibri"/>
                <w:snapToGrid w:val="0"/>
                <w:kern w:val="28"/>
                <w:sz w:val="20"/>
                <w:lang w:val="en-US" w:eastAsia="en-US" w:bidi="ar-SA"/>
              </w:rPr>
              <w:t>4.581</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1A34A555"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70B77AD4" w14:textId="12185665">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-8.723</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49F005C2" w14:textId="77777777">
            <w:pPr>
              <w:widowControl w:val="0"/>
              <w:suppressAutoHyphens/>
              <w:rPr>
                <w:rStyle w:val="DefaultParagraphFont"/>
                <w:rFonts w:eastAsia="Calibri"/>
                <w:snapToGrid w:val="0"/>
                <w:kern w:val="28"/>
                <w:sz w:val="20"/>
                <w:lang w:val="en-US" w:eastAsia="en-US" w:bidi="ar-SA"/>
              </w:rPr>
            </w:pPr>
          </w:p>
        </w:tc>
      </w:tr>
      <w:tr w14:paraId="45AAD198" w14:textId="77777777" w:rsidTr="00A46F4A">
        <w:tblPrEx>
          <w:tblW w:w="5000" w:type="pct"/>
          <w:tblInd w:w="0" w:type="dxa"/>
          <w:tblCellMar>
            <w:top w:w="0" w:type="dxa"/>
            <w:left w:w="108" w:type="dxa"/>
            <w:bottom w:w="0" w:type="dxa"/>
            <w:right w:w="108" w:type="dxa"/>
          </w:tblCellMar>
          <w:tblLook w:val="04A0"/>
        </w:tblPrEx>
        <w:trPr>
          <w:trHeight w:hRule="exact" w:val="432"/>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31327F10" w14:textId="6B905968">
            <w:pPr>
              <w:widowControl w:val="0"/>
              <w:suppressAutoHyphens/>
              <w:rPr>
                <w:rStyle w:val="DefaultParagraphFont"/>
                <w:rFonts w:eastAsia="Calibri"/>
                <w:b/>
                <w:snapToGrid w:val="0"/>
                <w:kern w:val="28"/>
                <w:sz w:val="20"/>
                <w:lang w:val="en-US" w:eastAsia="en-US" w:bidi="ar-SA"/>
              </w:rPr>
            </w:pPr>
            <w:r w:rsidRPr="00753D31">
              <w:rPr>
                <w:rFonts w:eastAsia="Calibri"/>
                <w:b/>
                <w:snapToGrid w:val="0"/>
                <w:kern w:val="28"/>
                <w:sz w:val="20"/>
                <w:lang w:val="en-US" w:eastAsia="en-US" w:bidi="ar-SA"/>
              </w:rPr>
              <w:t>Average price per channel</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7941443A" w14:textId="3D6164FB">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$0.4</w:t>
            </w:r>
            <w:r w:rsidR="00DC1FCC">
              <w:rPr>
                <w:rFonts w:eastAsia="Calibri"/>
                <w:snapToGrid w:val="0"/>
                <w:kern w:val="28"/>
                <w:sz w:val="20"/>
                <w:lang w:val="en-US" w:eastAsia="en-US" w:bidi="ar-SA"/>
              </w:rPr>
              <w:t>69</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47ABF0E9"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57E366D8" w14:textId="44CB9D1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w:t>
            </w:r>
            <w:r w:rsidRPr="00753D31" w:rsidR="00B579EB">
              <w:rPr>
                <w:rFonts w:eastAsia="Calibri"/>
                <w:snapToGrid w:val="0"/>
                <w:kern w:val="28"/>
                <w:sz w:val="20"/>
                <w:lang w:val="en-US" w:eastAsia="en-US" w:bidi="ar-SA"/>
              </w:rPr>
              <w:t>4</w:t>
            </w:r>
            <w:r w:rsidRPr="00753D31" w:rsidR="00431329">
              <w:rPr>
                <w:rFonts w:eastAsia="Calibri"/>
                <w:snapToGrid w:val="0"/>
                <w:kern w:val="28"/>
                <w:sz w:val="20"/>
                <w:lang w:val="en-US" w:eastAsia="en-US" w:bidi="ar-SA"/>
              </w:rPr>
              <w:t>24</w:t>
            </w:r>
            <w:r w:rsidR="002660EA">
              <w:rPr>
                <w:rFonts w:eastAsia="Calibri"/>
                <w:snapToGrid w:val="0"/>
                <w:kern w:val="28"/>
                <w:sz w:val="20"/>
                <w:lang w:val="en-US" w:eastAsia="en-US" w:bidi="ar-SA"/>
              </w:rPr>
              <w:t>*</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49ED5D63" w14:textId="5C6BB72A">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2246E8A" w14:textId="5256585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$0.4</w:t>
            </w:r>
            <w:r w:rsidRPr="00753D31" w:rsidR="00431329">
              <w:rPr>
                <w:rFonts w:eastAsia="Calibri"/>
                <w:snapToGrid w:val="0"/>
                <w:kern w:val="28"/>
                <w:sz w:val="20"/>
                <w:lang w:val="en-US" w:eastAsia="en-US" w:bidi="ar-SA"/>
              </w:rPr>
              <w:t>08</w:t>
            </w:r>
            <w:r w:rsidR="002660EA">
              <w:rPr>
                <w:rFonts w:eastAsia="Calibri"/>
                <w:snapToGrid w:val="0"/>
                <w:kern w:val="28"/>
                <w:sz w:val="20"/>
                <w:lang w:val="en-US" w:eastAsia="en-US" w:bidi="ar-SA"/>
              </w:rPr>
              <w:t>*</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3AB17A3A" w14:textId="2B5EB920">
            <w:pPr>
              <w:widowControl w:val="0"/>
              <w:suppressAutoHyphens/>
              <w:rPr>
                <w:rStyle w:val="DefaultParagraphFont"/>
                <w:rFonts w:eastAsia="Calibri"/>
                <w:snapToGrid w:val="0"/>
                <w:kern w:val="28"/>
                <w:sz w:val="20"/>
                <w:lang w:val="en-US" w:eastAsia="en-US" w:bidi="ar-SA"/>
              </w:rPr>
            </w:pPr>
          </w:p>
        </w:tc>
      </w:tr>
      <w:tr w14:paraId="32767D7A"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45379BD8" w14:textId="7C766E32">
            <w:pPr>
              <w:widowControl w:val="0"/>
              <w:suppressAutoHyphens/>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No. of sample observations</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01628F54" w14:textId="6BF0C58F">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76</w:t>
            </w:r>
            <w:r w:rsidR="00DC1FCC">
              <w:rPr>
                <w:rFonts w:eastAsia="Calibri"/>
                <w:snapToGrid w:val="0"/>
                <w:kern w:val="28"/>
                <w:sz w:val="20"/>
                <w:lang w:val="en-US" w:eastAsia="en-US" w:bidi="ar-SA"/>
              </w:rPr>
              <w:t>5</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577399B8"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3D214589" w14:textId="217D556F">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35</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40755F34"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71D2294D" w14:textId="32D1926C">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35</w:t>
            </w: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26875FE4" w14:textId="77777777">
            <w:pPr>
              <w:widowControl w:val="0"/>
              <w:suppressAutoHyphens/>
              <w:rPr>
                <w:rStyle w:val="DefaultParagraphFont"/>
                <w:rFonts w:eastAsia="Calibri"/>
                <w:snapToGrid w:val="0"/>
                <w:kern w:val="28"/>
                <w:sz w:val="20"/>
                <w:lang w:val="en-US" w:eastAsia="en-US" w:bidi="ar-SA"/>
              </w:rPr>
            </w:pPr>
          </w:p>
        </w:tc>
      </w:tr>
      <w:tr w14:paraId="599846E5"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8" w:space="0" w:color="auto"/>
              <w:right w:val="single" w:sz="8" w:space="0" w:color="auto"/>
            </w:tcBorders>
            <w:shd w:val="clear" w:color="auto" w:fill="auto"/>
            <w:vAlign w:val="bottom"/>
          </w:tcPr>
          <w:p w:rsidR="00E47FEA" w:rsidRPr="00753D31" w:rsidP="004E16D7" w14:paraId="06B88E63" w14:textId="666E6035">
            <w:pPr>
              <w:widowControl w:val="0"/>
              <w:suppressAutoHyphens/>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Standard error of the mean</w:t>
            </w:r>
          </w:p>
        </w:tc>
        <w:tc>
          <w:tcPr>
            <w:tcW w:w="81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713B1001" w14:textId="0ED7DCFD">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0.00</w:t>
            </w:r>
            <w:r w:rsidR="00DC1FCC">
              <w:rPr>
                <w:rFonts w:eastAsia="Calibri"/>
                <w:snapToGrid w:val="0"/>
                <w:kern w:val="28"/>
                <w:sz w:val="20"/>
                <w:lang w:val="en-US" w:eastAsia="en-US" w:bidi="ar-SA"/>
              </w:rPr>
              <w:t>6</w:t>
            </w:r>
          </w:p>
        </w:tc>
        <w:tc>
          <w:tcPr>
            <w:tcW w:w="214" w:type="pct"/>
            <w:tcBorders>
              <w:top w:val="single" w:sz="8" w:space="0" w:color="auto"/>
              <w:left w:val="nil"/>
              <w:bottom w:val="single" w:sz="8" w:space="0" w:color="auto"/>
              <w:right w:val="single" w:sz="8" w:space="0" w:color="auto"/>
            </w:tcBorders>
            <w:vAlign w:val="bottom"/>
          </w:tcPr>
          <w:p w:rsidR="00E47FEA" w:rsidRPr="00753D31" w:rsidP="004E16D7" w14:paraId="242B8A81"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01E1DE5E" w14:textId="457A9922">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0.00</w:t>
            </w:r>
            <w:r w:rsidRPr="00753D31" w:rsidR="00B579EB">
              <w:rPr>
                <w:rFonts w:eastAsia="Calibri"/>
                <w:snapToGrid w:val="0"/>
                <w:kern w:val="28"/>
                <w:sz w:val="20"/>
                <w:lang w:val="en-US" w:eastAsia="en-US" w:bidi="ar-SA"/>
              </w:rPr>
              <w:t>3</w:t>
            </w:r>
          </w:p>
        </w:tc>
        <w:tc>
          <w:tcPr>
            <w:tcW w:w="213" w:type="pct"/>
            <w:tcBorders>
              <w:top w:val="single" w:sz="8" w:space="0" w:color="auto"/>
              <w:left w:val="nil"/>
              <w:bottom w:val="single" w:sz="8" w:space="0" w:color="auto"/>
              <w:right w:val="single" w:sz="8" w:space="0" w:color="auto"/>
            </w:tcBorders>
            <w:shd w:val="clear" w:color="auto" w:fill="auto"/>
            <w:vAlign w:val="bottom"/>
          </w:tcPr>
          <w:p w:rsidR="00E47FEA" w:rsidRPr="00753D31" w:rsidP="004E16D7" w14:paraId="511C741F"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8" w:space="0" w:color="auto"/>
              <w:right w:val="nil"/>
            </w:tcBorders>
            <w:shd w:val="clear" w:color="auto" w:fill="auto"/>
            <w:vAlign w:val="bottom"/>
          </w:tcPr>
          <w:p w:rsidR="00E47FEA" w:rsidRPr="00753D31" w:rsidP="004E16D7" w14:paraId="4B9F970A" w14:textId="0DAB1B9E">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0.00</w:t>
            </w:r>
            <w:r w:rsidRPr="00753D31" w:rsidR="00431329">
              <w:rPr>
                <w:rFonts w:eastAsia="Calibri"/>
                <w:snapToGrid w:val="0"/>
                <w:kern w:val="28"/>
                <w:sz w:val="20"/>
                <w:lang w:val="en-US" w:eastAsia="en-US" w:bidi="ar-SA"/>
              </w:rPr>
              <w:t>3</w:t>
            </w:r>
          </w:p>
          <w:p w:rsidR="00E47FEA" w:rsidRPr="00753D31" w:rsidP="004E16D7" w14:paraId="447239F1" w14:textId="77777777">
            <w:pPr>
              <w:widowControl w:val="0"/>
              <w:suppressAutoHyphens/>
              <w:jc w:val="right"/>
              <w:rPr>
                <w:rStyle w:val="DefaultParagraphFont"/>
                <w:rFonts w:eastAsia="Calibri"/>
                <w:snapToGrid w:val="0"/>
                <w:kern w:val="28"/>
                <w:sz w:val="20"/>
                <w:lang w:val="en-US" w:eastAsia="en-US" w:bidi="ar-SA"/>
              </w:rPr>
            </w:pPr>
          </w:p>
        </w:tc>
        <w:tc>
          <w:tcPr>
            <w:tcW w:w="232" w:type="pct"/>
            <w:tcBorders>
              <w:top w:val="single" w:sz="8" w:space="0" w:color="auto"/>
              <w:left w:val="nil"/>
              <w:bottom w:val="single" w:sz="8" w:space="0" w:color="auto"/>
              <w:right w:val="single" w:sz="12" w:space="0" w:color="auto"/>
            </w:tcBorders>
            <w:shd w:val="clear" w:color="auto" w:fill="auto"/>
            <w:vAlign w:val="bottom"/>
          </w:tcPr>
          <w:p w:rsidR="00E47FEA" w:rsidRPr="00753D31" w:rsidP="004E16D7" w14:paraId="6D25AE30" w14:textId="77777777">
            <w:pPr>
              <w:widowControl w:val="0"/>
              <w:suppressAutoHyphens/>
              <w:rPr>
                <w:rStyle w:val="DefaultParagraphFont"/>
                <w:rFonts w:eastAsia="Calibri"/>
                <w:snapToGrid w:val="0"/>
                <w:kern w:val="28"/>
                <w:sz w:val="20"/>
                <w:lang w:val="en-US" w:eastAsia="en-US" w:bidi="ar-SA"/>
              </w:rPr>
            </w:pPr>
          </w:p>
        </w:tc>
      </w:tr>
      <w:tr w14:paraId="176934BD" w14:textId="77777777" w:rsidTr="00A46F4A">
        <w:tblPrEx>
          <w:tblW w:w="5000" w:type="pct"/>
          <w:tblInd w:w="0" w:type="dxa"/>
          <w:tblCellMar>
            <w:top w:w="0" w:type="dxa"/>
            <w:left w:w="108" w:type="dxa"/>
            <w:bottom w:w="0" w:type="dxa"/>
            <w:right w:w="108" w:type="dxa"/>
          </w:tblCellMar>
          <w:tblLook w:val="04A0"/>
        </w:tblPrEx>
        <w:trPr>
          <w:trHeight w:hRule="exact" w:val="288"/>
        </w:trPr>
        <w:tc>
          <w:tcPr>
            <w:tcW w:w="1779" w:type="pct"/>
            <w:tcBorders>
              <w:top w:val="single" w:sz="8" w:space="0" w:color="auto"/>
              <w:left w:val="single" w:sz="12" w:space="0" w:color="auto"/>
              <w:bottom w:val="single" w:sz="12" w:space="0" w:color="auto"/>
              <w:right w:val="single" w:sz="8" w:space="0" w:color="auto"/>
            </w:tcBorders>
            <w:shd w:val="clear" w:color="auto" w:fill="auto"/>
            <w:vAlign w:val="bottom"/>
          </w:tcPr>
          <w:p w:rsidR="00E47FEA" w:rsidRPr="00753D31" w:rsidP="004E16D7" w14:paraId="41E4A8EA" w14:textId="336DCEC3">
            <w:pPr>
              <w:widowControl w:val="0"/>
              <w:suppressAutoHyphens/>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Statistical t-value</w:t>
            </w:r>
          </w:p>
        </w:tc>
        <w:tc>
          <w:tcPr>
            <w:tcW w:w="819" w:type="pct"/>
            <w:tcBorders>
              <w:top w:val="single" w:sz="8" w:space="0" w:color="auto"/>
              <w:left w:val="single" w:sz="8" w:space="0" w:color="auto"/>
              <w:bottom w:val="single" w:sz="12" w:space="0" w:color="auto"/>
              <w:right w:val="nil"/>
            </w:tcBorders>
            <w:shd w:val="clear" w:color="auto" w:fill="auto"/>
            <w:vAlign w:val="bottom"/>
          </w:tcPr>
          <w:p w:rsidR="00E47FEA" w:rsidRPr="00753D31" w:rsidP="004E16D7" w14:paraId="7C30FE28" w14:textId="77777777">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w:t>
            </w:r>
          </w:p>
        </w:tc>
        <w:tc>
          <w:tcPr>
            <w:tcW w:w="214" w:type="pct"/>
            <w:tcBorders>
              <w:top w:val="single" w:sz="8" w:space="0" w:color="auto"/>
              <w:left w:val="nil"/>
              <w:bottom w:val="single" w:sz="12" w:space="0" w:color="auto"/>
              <w:right w:val="single" w:sz="8" w:space="0" w:color="auto"/>
            </w:tcBorders>
            <w:vAlign w:val="bottom"/>
          </w:tcPr>
          <w:p w:rsidR="00E47FEA" w:rsidRPr="00753D31" w:rsidP="004E16D7" w14:paraId="399C0AA8" w14:textId="77777777">
            <w:pPr>
              <w:widowControl w:val="0"/>
              <w:suppressAutoHyphens/>
              <w:jc w:val="right"/>
              <w:rPr>
                <w:rStyle w:val="DefaultParagraphFont"/>
                <w:rFonts w:eastAsia="Calibri"/>
                <w:snapToGrid w:val="0"/>
                <w:kern w:val="28"/>
                <w:sz w:val="20"/>
                <w:lang w:val="en-US" w:eastAsia="en-US" w:bidi="ar-SA"/>
              </w:rPr>
            </w:pPr>
          </w:p>
        </w:tc>
        <w:tc>
          <w:tcPr>
            <w:tcW w:w="829" w:type="pct"/>
            <w:tcBorders>
              <w:top w:val="single" w:sz="8" w:space="0" w:color="auto"/>
              <w:left w:val="single" w:sz="8" w:space="0" w:color="auto"/>
              <w:bottom w:val="single" w:sz="12" w:space="0" w:color="auto"/>
              <w:right w:val="nil"/>
            </w:tcBorders>
            <w:shd w:val="clear" w:color="auto" w:fill="auto"/>
            <w:vAlign w:val="bottom"/>
          </w:tcPr>
          <w:p w:rsidR="00E47FEA" w:rsidRPr="00753D31" w:rsidP="004E16D7" w14:paraId="7E934CF9" w14:textId="2565D1FF">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-7.489</w:t>
            </w:r>
          </w:p>
        </w:tc>
        <w:tc>
          <w:tcPr>
            <w:tcW w:w="213" w:type="pct"/>
            <w:tcBorders>
              <w:top w:val="single" w:sz="8" w:space="0" w:color="auto"/>
              <w:left w:val="nil"/>
              <w:bottom w:val="single" w:sz="12" w:space="0" w:color="auto"/>
              <w:right w:val="single" w:sz="8" w:space="0" w:color="auto"/>
            </w:tcBorders>
            <w:shd w:val="clear" w:color="auto" w:fill="auto"/>
            <w:vAlign w:val="bottom"/>
          </w:tcPr>
          <w:p w:rsidR="00E47FEA" w:rsidRPr="00753D31" w:rsidP="004E16D7" w14:paraId="73FCE3D1" w14:textId="77777777">
            <w:pPr>
              <w:widowControl w:val="0"/>
              <w:suppressAutoHyphens/>
              <w:jc w:val="right"/>
              <w:rPr>
                <w:rStyle w:val="DefaultParagraphFont"/>
                <w:rFonts w:eastAsia="Calibri"/>
                <w:snapToGrid w:val="0"/>
                <w:kern w:val="28"/>
                <w:sz w:val="20"/>
                <w:lang w:val="en-US" w:eastAsia="en-US" w:bidi="ar-SA"/>
              </w:rPr>
            </w:pPr>
          </w:p>
        </w:tc>
        <w:tc>
          <w:tcPr>
            <w:tcW w:w="914" w:type="pct"/>
            <w:tcBorders>
              <w:top w:val="single" w:sz="8" w:space="0" w:color="auto"/>
              <w:left w:val="single" w:sz="8" w:space="0" w:color="auto"/>
              <w:bottom w:val="single" w:sz="12" w:space="0" w:color="auto"/>
              <w:right w:val="nil"/>
            </w:tcBorders>
            <w:shd w:val="clear" w:color="auto" w:fill="auto"/>
            <w:vAlign w:val="bottom"/>
          </w:tcPr>
          <w:p w:rsidR="00E47FEA" w:rsidRPr="00753D31" w:rsidP="004E16D7" w14:paraId="47BCB067" w14:textId="766931DC">
            <w:pPr>
              <w:widowControl w:val="0"/>
              <w:suppressAutoHyphens/>
              <w:jc w:val="right"/>
              <w:rPr>
                <w:rStyle w:val="DefaultParagraphFont"/>
                <w:rFonts w:eastAsia="Calibri"/>
                <w:snapToGrid w:val="0"/>
                <w:kern w:val="28"/>
                <w:sz w:val="20"/>
                <w:lang w:val="en-US" w:eastAsia="en-US" w:bidi="ar-SA"/>
              </w:rPr>
            </w:pPr>
            <w:r w:rsidRPr="00753D31">
              <w:rPr>
                <w:rFonts w:eastAsia="Calibri"/>
                <w:snapToGrid w:val="0"/>
                <w:kern w:val="28"/>
                <w:sz w:val="20"/>
                <w:lang w:val="en-US" w:eastAsia="en-US" w:bidi="ar-SA"/>
              </w:rPr>
              <w:t>-9.393</w:t>
            </w:r>
          </w:p>
        </w:tc>
        <w:tc>
          <w:tcPr>
            <w:tcW w:w="232" w:type="pct"/>
            <w:tcBorders>
              <w:top w:val="single" w:sz="8" w:space="0" w:color="auto"/>
              <w:left w:val="nil"/>
              <w:bottom w:val="single" w:sz="12" w:space="0" w:color="auto"/>
              <w:right w:val="single" w:sz="12" w:space="0" w:color="auto"/>
            </w:tcBorders>
            <w:shd w:val="clear" w:color="auto" w:fill="auto"/>
            <w:vAlign w:val="bottom"/>
          </w:tcPr>
          <w:p w:rsidR="00E47FEA" w:rsidRPr="00753D31" w:rsidP="004E16D7" w14:paraId="2CC8336A" w14:textId="77777777">
            <w:pPr>
              <w:widowControl w:val="0"/>
              <w:suppressAutoHyphens/>
              <w:rPr>
                <w:rStyle w:val="DefaultParagraphFont"/>
                <w:rFonts w:eastAsia="Calibri"/>
                <w:snapToGrid w:val="0"/>
                <w:kern w:val="28"/>
                <w:sz w:val="20"/>
                <w:lang w:val="en-US" w:eastAsia="en-US" w:bidi="ar-SA"/>
              </w:rPr>
            </w:pPr>
          </w:p>
        </w:tc>
      </w:tr>
      <w:tr w14:paraId="1287F7B6" w14:textId="77777777" w:rsidTr="00A46F4A">
        <w:tblPrEx>
          <w:tblW w:w="5000" w:type="pct"/>
          <w:tblInd w:w="0" w:type="dxa"/>
          <w:tblCellMar>
            <w:top w:w="0" w:type="dxa"/>
            <w:left w:w="108" w:type="dxa"/>
            <w:bottom w:w="0" w:type="dxa"/>
            <w:right w:w="108" w:type="dxa"/>
          </w:tblCellMar>
          <w:tblLook w:val="04A0"/>
        </w:tblPrEx>
        <w:trPr>
          <w:trHeight w:val="576"/>
        </w:trPr>
        <w:tc>
          <w:tcPr>
            <w:tcW w:w="5000" w:type="pct"/>
            <w:gridSpan w:val="7"/>
            <w:tcBorders>
              <w:top w:val="single" w:sz="12" w:space="0" w:color="auto"/>
              <w:left w:val="nil"/>
              <w:bottom w:val="nil"/>
              <w:right w:val="nil"/>
            </w:tcBorders>
          </w:tcPr>
          <w:tbl>
            <w:tblPr>
              <w:tblW w:w="5000" w:type="pct"/>
              <w:tblInd w:w="0" w:type="dxa"/>
              <w:tblCellMar>
                <w:top w:w="0" w:type="dxa"/>
                <w:left w:w="108" w:type="dxa"/>
                <w:bottom w:w="0" w:type="dxa"/>
                <w:right w:w="108" w:type="dxa"/>
              </w:tblCellMar>
              <w:tblLook w:val="04A0"/>
            </w:tblPr>
            <w:tblGrid>
              <w:gridCol w:w="9114"/>
            </w:tblGrid>
            <w:tr w14:paraId="3312FCCD" w14:textId="77777777" w:rsidTr="008D16F2">
              <w:tblPrEx>
                <w:tblW w:w="5000" w:type="pct"/>
                <w:tblInd w:w="0" w:type="dxa"/>
                <w:tblCellMar>
                  <w:top w:w="0" w:type="dxa"/>
                  <w:left w:w="108" w:type="dxa"/>
                  <w:bottom w:w="0" w:type="dxa"/>
                  <w:right w:w="108" w:type="dxa"/>
                </w:tblCellMar>
                <w:tblLook w:val="04A0"/>
              </w:tblPrEx>
              <w:trPr>
                <w:cantSplit/>
                <w:trHeight w:val="153"/>
              </w:trPr>
              <w:tc>
                <w:tcPr>
                  <w:tcW w:w="5000" w:type="pct"/>
                  <w:vAlign w:val="bottom"/>
                </w:tcPr>
                <w:p w:rsidR="00E47FEA" w:rsidRPr="00753D31" w:rsidP="004E16D7" w14:paraId="3A18F839" w14:textId="29841455">
                  <w:pPr>
                    <w:widowControl w:val="0"/>
                    <w:suppressAutoHyphens/>
                    <w:spacing w:before="120"/>
                    <w:ind w:left="-198"/>
                    <w:rPr>
                      <w:rStyle w:val="DefaultParagraphFont"/>
                      <w:snapToGrid/>
                      <w:kern w:val="0"/>
                      <w:sz w:val="20"/>
                      <w:lang w:val="en-US" w:eastAsia="en-US" w:bidi="ar-SA"/>
                    </w:rPr>
                  </w:pPr>
                  <w:r w:rsidRPr="00753D31">
                    <w:rPr>
                      <w:snapToGrid/>
                      <w:kern w:val="0"/>
                      <w:sz w:val="20"/>
                      <w:lang w:val="en-US" w:eastAsia="en-US" w:bidi="ar-SA"/>
                    </w:rPr>
                    <w:t>*</w:t>
                  </w:r>
                  <w:r w:rsidR="00753D31">
                    <w:rPr>
                      <w:snapToGrid/>
                      <w:kern w:val="0"/>
                      <w:sz w:val="20"/>
                      <w:lang w:val="en-US" w:eastAsia="en-US" w:bidi="ar-SA"/>
                    </w:rPr>
                    <w:t xml:space="preserve">* </w:t>
                  </w:r>
                  <w:r w:rsidRPr="00753D31">
                    <w:rPr>
                      <w:snapToGrid/>
                      <w:kern w:val="0"/>
                      <w:sz w:val="20"/>
                      <w:lang w:val="en-US" w:eastAsia="en-US" w:bidi="ar-SA"/>
                    </w:rPr>
                    <w:t xml:space="preserve">An asterisk indicates that the </w:t>
                  </w:r>
                  <w:r w:rsidRPr="00753D31" w:rsidR="00EE1AE1">
                    <w:rPr>
                      <w:snapToGrid/>
                      <w:kern w:val="0"/>
                      <w:sz w:val="20"/>
                      <w:lang w:val="en-US" w:eastAsia="en-US" w:bidi="ar-SA"/>
                    </w:rPr>
                    <w:t>differen</w:t>
                  </w:r>
                  <w:r w:rsidRPr="00753D31" w:rsidR="00114E00">
                    <w:rPr>
                      <w:snapToGrid/>
                      <w:kern w:val="0"/>
                      <w:sz w:val="20"/>
                      <w:lang w:val="en-US" w:eastAsia="en-US" w:bidi="ar-SA"/>
                    </w:rPr>
                    <w:t>ce</w:t>
                  </w:r>
                  <w:r w:rsidRPr="00753D31" w:rsidR="00EE1AE1">
                    <w:rPr>
                      <w:snapToGrid/>
                      <w:kern w:val="0"/>
                      <w:sz w:val="20"/>
                      <w:lang w:val="en-US" w:eastAsia="en-US" w:bidi="ar-SA"/>
                    </w:rPr>
                    <w:t xml:space="preserve"> between the </w:t>
                  </w:r>
                  <w:r w:rsidRPr="00753D31" w:rsidR="00114E00">
                    <w:rPr>
                      <w:snapToGrid/>
                      <w:kern w:val="0"/>
                      <w:sz w:val="20"/>
                      <w:lang w:val="en-US" w:eastAsia="en-US" w:bidi="ar-SA"/>
                    </w:rPr>
                    <w:t xml:space="preserve">cable service average shown under expanded basic service and the comparable average shown in </w:t>
                  </w:r>
                  <w:r w:rsidRPr="00753D31" w:rsidR="003F573A">
                    <w:rPr>
                      <w:snapToGrid/>
                      <w:kern w:val="0"/>
                      <w:sz w:val="20"/>
                      <w:lang w:val="en-US" w:eastAsia="en-US" w:bidi="ar-SA"/>
                    </w:rPr>
                    <w:t>the</w:t>
                  </w:r>
                  <w:r w:rsidRPr="00753D31" w:rsidR="00114E00">
                    <w:rPr>
                      <w:snapToGrid/>
                      <w:kern w:val="0"/>
                      <w:sz w:val="20"/>
                      <w:lang w:val="en-US" w:eastAsia="en-US" w:bidi="ar-SA"/>
                    </w:rPr>
                    <w:t xml:space="preserve"> </w:t>
                  </w:r>
                  <w:r w:rsidR="007D5892">
                    <w:rPr>
                      <w:snapToGrid/>
                      <w:kern w:val="0"/>
                      <w:sz w:val="20"/>
                      <w:lang w:val="en-US" w:eastAsia="en-US" w:bidi="ar-SA"/>
                    </w:rPr>
                    <w:t>DIRECTV</w:t>
                  </w:r>
                  <w:r w:rsidRPr="00753D31" w:rsidR="00114E00">
                    <w:rPr>
                      <w:snapToGrid/>
                      <w:kern w:val="0"/>
                      <w:sz w:val="20"/>
                      <w:lang w:val="en-US" w:eastAsia="en-US" w:bidi="ar-SA"/>
                    </w:rPr>
                    <w:t xml:space="preserve"> or </w:t>
                  </w:r>
                  <w:r w:rsidR="007D5892">
                    <w:rPr>
                      <w:snapToGrid/>
                      <w:kern w:val="0"/>
                      <w:sz w:val="20"/>
                      <w:lang w:val="en-US" w:eastAsia="en-US" w:bidi="ar-SA"/>
                    </w:rPr>
                    <w:t>DISH</w:t>
                  </w:r>
                  <w:r w:rsidRPr="00753D31" w:rsidR="00114E00">
                    <w:rPr>
                      <w:snapToGrid/>
                      <w:kern w:val="0"/>
                      <w:sz w:val="20"/>
                      <w:lang w:val="en-US" w:eastAsia="en-US" w:bidi="ar-SA"/>
                    </w:rPr>
                    <w:t xml:space="preserve"> Network</w:t>
                  </w:r>
                  <w:r w:rsidRPr="00753D31" w:rsidR="003F573A">
                    <w:rPr>
                      <w:snapToGrid/>
                      <w:kern w:val="0"/>
                      <w:sz w:val="20"/>
                      <w:lang w:val="en-US" w:eastAsia="en-US" w:bidi="ar-SA"/>
                    </w:rPr>
                    <w:t xml:space="preserve"> column</w:t>
                  </w:r>
                  <w:r w:rsidRPr="00753D31" w:rsidR="00114E00">
                    <w:rPr>
                      <w:snapToGrid/>
                      <w:kern w:val="0"/>
                      <w:sz w:val="20"/>
                      <w:lang w:val="en-US" w:eastAsia="en-US" w:bidi="ar-SA"/>
                    </w:rPr>
                    <w:t xml:space="preserve"> is </w:t>
                  </w:r>
                  <w:r w:rsidRPr="00753D31">
                    <w:rPr>
                      <w:snapToGrid/>
                      <w:kern w:val="0"/>
                      <w:sz w:val="20"/>
                      <w:lang w:val="en-US" w:eastAsia="en-US" w:bidi="ar-SA"/>
                    </w:rPr>
                    <w:t>statistically significant at the 95 percent confidence level</w:t>
                  </w:r>
                  <w:r w:rsidRPr="00753D31" w:rsidR="003F573A">
                    <w:rPr>
                      <w:snapToGrid/>
                      <w:kern w:val="0"/>
                      <w:sz w:val="20"/>
                      <w:lang w:val="en-US" w:eastAsia="en-US" w:bidi="ar-SA"/>
                    </w:rPr>
                    <w:t xml:space="preserve"> according to a</w:t>
                  </w:r>
                  <w:r w:rsidRPr="00753D31" w:rsidR="003F573A">
                    <w:rPr>
                      <w:snapToGrid w:val="0"/>
                      <w:kern w:val="28"/>
                      <w:sz w:val="20"/>
                      <w:lang w:val="en-US" w:eastAsia="en-US" w:bidi="ar-SA"/>
                    </w:rPr>
                    <w:t xml:space="preserve"> t-test designed to compare two independent samples.</w:t>
                  </w:r>
                </w:p>
                <w:p w:rsidR="00E47FEA" w:rsidRPr="005A7FAB" w:rsidP="004E16D7" w14:paraId="6AF77A12" w14:textId="0DDC4B65">
                  <w:pPr>
                    <w:widowControl w:val="0"/>
                    <w:suppressAutoHyphens/>
                    <w:spacing w:before="120"/>
                    <w:ind w:left="-108"/>
                    <w:rPr>
                      <w:rStyle w:val="DefaultParagraphFont"/>
                      <w:snapToGrid/>
                      <w:kern w:val="0"/>
                      <w:sz w:val="20"/>
                      <w:lang w:val="en-US" w:eastAsia="en-US" w:bidi="ar-SA"/>
                    </w:rPr>
                  </w:pPr>
                  <w:r w:rsidRPr="005A7FAB">
                    <w:rPr>
                      <w:snapToGrid/>
                      <w:kern w:val="0"/>
                      <w:sz w:val="20"/>
                      <w:lang w:val="en-US" w:eastAsia="en-US" w:bidi="ar-SA"/>
                    </w:rPr>
                    <w:t>Sources</w:t>
                  </w:r>
                  <w:r w:rsidR="00114E00">
                    <w:rPr>
                      <w:snapToGrid/>
                      <w:kern w:val="0"/>
                      <w:sz w:val="20"/>
                      <w:lang w:val="en-US" w:eastAsia="en-US" w:bidi="ar-SA"/>
                    </w:rPr>
                    <w:t xml:space="preserve"> and methods</w:t>
                  </w:r>
                  <w:r w:rsidRPr="005A7FAB">
                    <w:rPr>
                      <w:snapToGrid/>
                      <w:kern w:val="0"/>
                      <w:sz w:val="20"/>
                      <w:lang w:val="en-US" w:eastAsia="en-US" w:bidi="ar-SA"/>
                    </w:rPr>
                    <w:t xml:space="preserve">: </w:t>
                  </w:r>
                  <w:r>
                    <w:rPr>
                      <w:snapToGrid/>
                      <w:kern w:val="0"/>
                      <w:sz w:val="20"/>
                      <w:lang w:val="en-US" w:eastAsia="en-US" w:bidi="ar-SA"/>
                    </w:rPr>
                    <w:t xml:space="preserve"> </w:t>
                  </w:r>
                  <w:r w:rsidR="00114E00">
                    <w:rPr>
                      <w:snapToGrid/>
                      <w:kern w:val="0"/>
                      <w:sz w:val="20"/>
                      <w:lang w:val="en-US" w:eastAsia="en-US" w:bidi="ar-SA"/>
                    </w:rPr>
                    <w:t>Expanded basic c</w:t>
                  </w:r>
                  <w:r>
                    <w:rPr>
                      <w:snapToGrid/>
                      <w:kern w:val="0"/>
                      <w:sz w:val="20"/>
                      <w:lang w:val="en-US" w:eastAsia="en-US" w:bidi="ar-SA"/>
                    </w:rPr>
                    <w:t xml:space="preserve">able </w:t>
                  </w:r>
                  <w:r w:rsidR="00114E00">
                    <w:rPr>
                      <w:snapToGrid/>
                      <w:kern w:val="0"/>
                      <w:sz w:val="20"/>
                      <w:lang w:val="en-US" w:eastAsia="en-US" w:bidi="ar-SA"/>
                    </w:rPr>
                    <w:t xml:space="preserve">service statistics </w:t>
                  </w:r>
                  <w:r>
                    <w:rPr>
                      <w:snapToGrid/>
                      <w:kern w:val="0"/>
                      <w:sz w:val="20"/>
                      <w:lang w:val="en-US" w:eastAsia="en-US" w:bidi="ar-SA"/>
                    </w:rPr>
                    <w:t>are from A</w:t>
                  </w:r>
                  <w:r w:rsidRPr="005A7FAB">
                    <w:rPr>
                      <w:snapToGrid/>
                      <w:kern w:val="0"/>
                      <w:sz w:val="20"/>
                      <w:lang w:val="en-US" w:eastAsia="en-US" w:bidi="ar-SA"/>
                    </w:rPr>
                    <w:t xml:space="preserve">ttachments 2, 4 and </w:t>
                  </w:r>
                  <w:r>
                    <w:rPr>
                      <w:snapToGrid/>
                      <w:kern w:val="0"/>
                      <w:sz w:val="20"/>
                      <w:lang w:val="en-US" w:eastAsia="en-US" w:bidi="ar-SA"/>
                    </w:rPr>
                    <w:t>6</w:t>
                  </w:r>
                  <w:r w:rsidRPr="005A7FAB">
                    <w:rPr>
                      <w:snapToGrid/>
                      <w:kern w:val="0"/>
                      <w:sz w:val="20"/>
                      <w:lang w:val="en-US" w:eastAsia="en-US" w:bidi="ar-SA"/>
                    </w:rPr>
                    <w:t xml:space="preserve">.  </w:t>
                  </w:r>
                  <w:r w:rsidR="00594234">
                    <w:rPr>
                      <w:snapToGrid/>
                      <w:kern w:val="0"/>
                      <w:sz w:val="20"/>
                      <w:lang w:val="en-US" w:eastAsia="en-US" w:bidi="ar-SA"/>
                    </w:rPr>
                    <w:t>The DBS d</w:t>
                  </w:r>
                  <w:r w:rsidR="00114E00">
                    <w:rPr>
                      <w:snapToGrid/>
                      <w:kern w:val="0"/>
                      <w:sz w:val="20"/>
                      <w:lang w:val="en-US" w:eastAsia="en-US" w:bidi="ar-SA"/>
                    </w:rPr>
                    <w:t>ata</w:t>
                  </w:r>
                  <w:r w:rsidR="00594234">
                    <w:rPr>
                      <w:snapToGrid/>
                      <w:kern w:val="0"/>
                      <w:sz w:val="20"/>
                      <w:lang w:val="en-US" w:eastAsia="en-US" w:bidi="ar-SA"/>
                    </w:rPr>
                    <w:t xml:space="preserve"> reflect the rates in effect and channels offered</w:t>
                  </w:r>
                  <w:r w:rsidR="00DF3E38">
                    <w:rPr>
                      <w:snapToGrid/>
                      <w:kern w:val="0"/>
                      <w:sz w:val="20"/>
                      <w:lang w:val="en-US" w:eastAsia="en-US" w:bidi="ar-SA"/>
                    </w:rPr>
                    <w:t xml:space="preserve"> on January 1, 2016</w:t>
                  </w:r>
                  <w:r w:rsidR="00594234">
                    <w:rPr>
                      <w:snapToGrid/>
                      <w:kern w:val="0"/>
                      <w:sz w:val="20"/>
                      <w:lang w:val="en-US" w:eastAsia="en-US" w:bidi="ar-SA"/>
                    </w:rPr>
                    <w:t>.  The sources were</w:t>
                  </w:r>
                  <w:r w:rsidR="00DF3E38">
                    <w:rPr>
                      <w:snapToGrid/>
                      <w:kern w:val="0"/>
                      <w:sz w:val="20"/>
                      <w:lang w:val="en-US" w:eastAsia="en-US" w:bidi="ar-SA"/>
                    </w:rPr>
                    <w:t xml:space="preserve"> </w:t>
                  </w:r>
                  <w:r w:rsidR="007D5892">
                    <w:rPr>
                      <w:snapToGrid/>
                      <w:kern w:val="0"/>
                      <w:sz w:val="20"/>
                      <w:lang w:val="en-US" w:eastAsia="en-US" w:bidi="ar-SA"/>
                    </w:rPr>
                    <w:t>DIRECTV</w:t>
                  </w:r>
                  <w:r w:rsidR="00DF3E38">
                    <w:rPr>
                      <w:snapToGrid/>
                      <w:kern w:val="0"/>
                      <w:sz w:val="20"/>
                      <w:lang w:val="en-US" w:eastAsia="en-US" w:bidi="ar-SA"/>
                    </w:rPr>
                    <w:t>,</w:t>
                  </w:r>
                  <w:r w:rsidRPr="005A7FAB">
                    <w:rPr>
                      <w:snapToGrid/>
                      <w:kern w:val="0"/>
                      <w:sz w:val="20"/>
                      <w:lang w:val="en-US" w:eastAsia="en-US" w:bidi="ar-SA"/>
                    </w:rPr>
                    <w:t xml:space="preserve"> </w:t>
                  </w:r>
                  <w:r>
                    <w:fldChar w:fldCharType="begin"/>
                  </w:r>
                  <w:r>
                    <w:rPr>
                      <w:snapToGrid w:val="0"/>
                      <w:kern w:val="28"/>
                      <w:sz w:val="22"/>
                      <w:lang w:val="en-US" w:eastAsia="en-US" w:bidi="ar-SA"/>
                    </w:rPr>
                    <w:instrText xml:space="preserve"> HYPERLINK "http://www.directv.com/" </w:instrText>
                  </w:r>
                  <w:r>
                    <w:fldChar w:fldCharType="separate"/>
                  </w:r>
                  <w:r w:rsidRPr="005A7FAB">
                    <w:rPr>
                      <w:rStyle w:val="Hyperlink"/>
                      <w:snapToGrid w:val="0"/>
                      <w:color w:val="0000FF"/>
                      <w:kern w:val="0"/>
                      <w:sz w:val="20"/>
                      <w:u w:val="single"/>
                      <w:lang w:val="en-US" w:eastAsia="en-US" w:bidi="ar-SA"/>
                    </w:rPr>
                    <w:t>http://www.directv.com</w:t>
                  </w:r>
                  <w:r>
                    <w:fldChar w:fldCharType="end"/>
                  </w:r>
                  <w:r w:rsidRPr="005A7FAB">
                    <w:rPr>
                      <w:snapToGrid/>
                      <w:kern w:val="0"/>
                      <w:sz w:val="20"/>
                      <w:lang w:val="en-US" w:eastAsia="en-US" w:bidi="ar-SA"/>
                    </w:rPr>
                    <w:t xml:space="preserve"> </w:t>
                  </w:r>
                  <w:r w:rsidR="00114E00">
                    <w:rPr>
                      <w:snapToGrid/>
                      <w:kern w:val="0"/>
                      <w:sz w:val="20"/>
                      <w:lang w:val="en-US" w:eastAsia="en-US" w:bidi="ar-SA"/>
                    </w:rPr>
                    <w:t xml:space="preserve">and </w:t>
                  </w:r>
                  <w:r w:rsidR="007D5892">
                    <w:rPr>
                      <w:snapToGrid/>
                      <w:kern w:val="0"/>
                      <w:sz w:val="20"/>
                      <w:lang w:val="en-US" w:eastAsia="en-US" w:bidi="ar-SA"/>
                    </w:rPr>
                    <w:t>DISH</w:t>
                  </w:r>
                  <w:r w:rsidR="00114E00">
                    <w:rPr>
                      <w:snapToGrid/>
                      <w:kern w:val="0"/>
                      <w:sz w:val="20"/>
                      <w:lang w:val="en-US" w:eastAsia="en-US" w:bidi="ar-SA"/>
                    </w:rPr>
                    <w:t xml:space="preserve"> Network</w:t>
                  </w:r>
                  <w:r w:rsidR="00DF3E38">
                    <w:rPr>
                      <w:snapToGrid/>
                      <w:kern w:val="0"/>
                      <w:sz w:val="20"/>
                      <w:lang w:val="en-US" w:eastAsia="en-US" w:bidi="ar-SA"/>
                    </w:rPr>
                    <w:t>,</w:t>
                  </w:r>
                  <w:r w:rsidRPr="005A7FAB">
                    <w:rPr>
                      <w:snapToGrid/>
                      <w:kern w:val="0"/>
                      <w:sz w:val="20"/>
                      <w:lang w:val="en-US" w:eastAsia="en-US" w:bidi="ar-SA"/>
                    </w:rPr>
                    <w:t xml:space="preserve"> </w:t>
                  </w:r>
                  <w:r>
                    <w:fldChar w:fldCharType="begin"/>
                  </w:r>
                  <w:r>
                    <w:rPr>
                      <w:snapToGrid w:val="0"/>
                      <w:kern w:val="28"/>
                      <w:sz w:val="22"/>
                      <w:lang w:val="en-US" w:eastAsia="en-US" w:bidi="ar-SA"/>
                    </w:rPr>
                    <w:instrText xml:space="preserve"> HYPERLINK "http://www.dish.com/" </w:instrText>
                  </w:r>
                  <w:r>
                    <w:fldChar w:fldCharType="separate"/>
                  </w:r>
                  <w:r w:rsidRPr="005A7FAB">
                    <w:rPr>
                      <w:rStyle w:val="Hyperlink"/>
                      <w:snapToGrid w:val="0"/>
                      <w:color w:val="0000FF"/>
                      <w:kern w:val="0"/>
                      <w:sz w:val="20"/>
                      <w:u w:val="single"/>
                      <w:lang w:val="en-US" w:eastAsia="en-US" w:bidi="ar-SA"/>
                    </w:rPr>
                    <w:t>http://www.dish.com</w:t>
                  </w:r>
                  <w:r>
                    <w:fldChar w:fldCharType="end"/>
                  </w:r>
                  <w:r w:rsidR="00594234">
                    <w:rPr>
                      <w:snapToGrid/>
                      <w:kern w:val="0"/>
                      <w:sz w:val="20"/>
                      <w:lang w:val="en-US" w:eastAsia="en-US" w:bidi="ar-SA"/>
                    </w:rPr>
                    <w:t xml:space="preserve">, </w:t>
                  </w:r>
                  <w:r w:rsidR="003F573A">
                    <w:rPr>
                      <w:snapToGrid/>
                      <w:kern w:val="0"/>
                      <w:sz w:val="20"/>
                      <w:lang w:val="en-US" w:eastAsia="en-US" w:bidi="ar-SA"/>
                    </w:rPr>
                    <w:t>and</w:t>
                  </w:r>
                  <w:r w:rsidR="00594234">
                    <w:rPr>
                      <w:snapToGrid/>
                      <w:kern w:val="0"/>
                      <w:sz w:val="20"/>
                      <w:lang w:val="en-US" w:eastAsia="en-US" w:bidi="ar-SA"/>
                    </w:rPr>
                    <w:t xml:space="preserve"> </w:t>
                  </w:r>
                  <w:r w:rsidR="003F573A">
                    <w:rPr>
                      <w:snapToGrid/>
                      <w:kern w:val="0"/>
                      <w:sz w:val="20"/>
                      <w:lang w:val="en-US" w:eastAsia="en-US" w:bidi="ar-SA"/>
                    </w:rPr>
                    <w:t>other</w:t>
                  </w:r>
                  <w:r w:rsidR="00594234">
                    <w:rPr>
                      <w:snapToGrid/>
                      <w:kern w:val="0"/>
                      <w:sz w:val="20"/>
                      <w:lang w:val="en-US" w:eastAsia="en-US" w:bidi="ar-SA"/>
                    </w:rPr>
                    <w:t xml:space="preserve"> publicly available references </w:t>
                  </w:r>
                  <w:r w:rsidR="003F573A">
                    <w:rPr>
                      <w:snapToGrid/>
                      <w:kern w:val="0"/>
                      <w:sz w:val="20"/>
                      <w:lang w:val="en-US" w:eastAsia="en-US" w:bidi="ar-SA"/>
                    </w:rPr>
                    <w:t xml:space="preserve">used </w:t>
                  </w:r>
                  <w:r w:rsidR="00594234">
                    <w:rPr>
                      <w:snapToGrid/>
                      <w:kern w:val="0"/>
                      <w:sz w:val="20"/>
                      <w:lang w:val="en-US" w:eastAsia="en-US" w:bidi="ar-SA"/>
                    </w:rPr>
                    <w:t xml:space="preserve">to confirm the data.  </w:t>
                  </w:r>
                  <w:r w:rsidRPr="005A7FAB" w:rsidR="000579AC">
                    <w:rPr>
                      <w:rFonts w:eastAsia="Calibri"/>
                      <w:snapToGrid/>
                      <w:kern w:val="0"/>
                      <w:sz w:val="20"/>
                      <w:lang w:val="en-US" w:eastAsia="en-US" w:bidi="ar-SA"/>
                    </w:rPr>
                    <w:t xml:space="preserve">We determined that </w:t>
                  </w:r>
                  <w:r w:rsidR="007D5892">
                    <w:rPr>
                      <w:rFonts w:eastAsia="Calibri"/>
                      <w:snapToGrid/>
                      <w:kern w:val="0"/>
                      <w:sz w:val="20"/>
                      <w:lang w:val="en-US" w:eastAsia="en-US" w:bidi="ar-SA"/>
                    </w:rPr>
                    <w:t>DIRECTV</w:t>
                  </w:r>
                  <w:r w:rsidR="000579AC">
                    <w:rPr>
                      <w:rFonts w:eastAsia="Calibri"/>
                      <w:snapToGrid/>
                      <w:kern w:val="0"/>
                      <w:sz w:val="20"/>
                      <w:lang w:val="en-US" w:eastAsia="en-US" w:bidi="ar-SA"/>
                    </w:rPr>
                    <w:t xml:space="preserve">’s </w:t>
                  </w:r>
                  <w:r w:rsidRPr="005A7FAB" w:rsidR="000579AC">
                    <w:rPr>
                      <w:rFonts w:eastAsia="Calibri"/>
                      <w:snapToGrid/>
                      <w:kern w:val="0"/>
                      <w:sz w:val="20"/>
                      <w:lang w:val="en-US" w:eastAsia="en-US" w:bidi="ar-SA"/>
                    </w:rPr>
                    <w:t xml:space="preserve">Choice and </w:t>
                  </w:r>
                  <w:r w:rsidR="007D5892">
                    <w:rPr>
                      <w:rFonts w:eastAsia="Calibri"/>
                      <w:snapToGrid/>
                      <w:kern w:val="0"/>
                      <w:sz w:val="20"/>
                      <w:lang w:val="en-US" w:eastAsia="en-US" w:bidi="ar-SA"/>
                    </w:rPr>
                    <w:t>DISH</w:t>
                  </w:r>
                  <w:r w:rsidR="000579AC">
                    <w:rPr>
                      <w:rFonts w:eastAsia="Calibri"/>
                      <w:snapToGrid/>
                      <w:kern w:val="0"/>
                      <w:sz w:val="20"/>
                      <w:lang w:val="en-US" w:eastAsia="en-US" w:bidi="ar-SA"/>
                    </w:rPr>
                    <w:t xml:space="preserve"> Network’s </w:t>
                  </w:r>
                  <w:r w:rsidRPr="005A7FAB" w:rsidR="000579AC">
                    <w:rPr>
                      <w:rFonts w:eastAsia="Calibri"/>
                      <w:snapToGrid/>
                      <w:kern w:val="0"/>
                      <w:sz w:val="20"/>
                      <w:lang w:val="en-US" w:eastAsia="en-US" w:bidi="ar-SA"/>
                    </w:rPr>
                    <w:t>America’s Top 120 Plus</w:t>
                  </w:r>
                  <w:r w:rsidR="000579AC">
                    <w:rPr>
                      <w:rFonts w:eastAsia="Calibri"/>
                      <w:snapToGrid/>
                      <w:kern w:val="0"/>
                      <w:sz w:val="20"/>
                      <w:lang w:val="en-US" w:eastAsia="en-US" w:bidi="ar-SA"/>
                    </w:rPr>
                    <w:t xml:space="preserve"> (AT120+)</w:t>
                  </w:r>
                  <w:r w:rsidRPr="005A7FAB" w:rsidR="000579AC">
                    <w:rPr>
                      <w:rFonts w:eastAsia="Calibri"/>
                      <w:snapToGrid/>
                      <w:kern w:val="0"/>
                      <w:sz w:val="20"/>
                      <w:lang w:val="en-US" w:eastAsia="en-US" w:bidi="ar-SA"/>
                    </w:rPr>
                    <w:t xml:space="preserve"> were the DBS packages most comparable to cable</w:t>
                  </w:r>
                  <w:r w:rsidR="000579AC">
                    <w:rPr>
                      <w:rFonts w:eastAsia="Calibri"/>
                      <w:snapToGrid/>
                      <w:kern w:val="0"/>
                      <w:sz w:val="20"/>
                      <w:lang w:val="en-US" w:eastAsia="en-US" w:bidi="ar-SA"/>
                    </w:rPr>
                    <w:t>’s</w:t>
                  </w:r>
                  <w:r w:rsidRPr="005A7FAB" w:rsidR="000579AC">
                    <w:rPr>
                      <w:rFonts w:eastAsia="Calibri"/>
                      <w:snapToGrid/>
                      <w:kern w:val="0"/>
                      <w:sz w:val="20"/>
                      <w:lang w:val="en-US" w:eastAsia="en-US" w:bidi="ar-SA"/>
                    </w:rPr>
                    <w:t xml:space="preserve"> expanded basic service</w:t>
                  </w:r>
                  <w:r w:rsidR="000579AC">
                    <w:rPr>
                      <w:snapToGrid/>
                      <w:kern w:val="0"/>
                      <w:sz w:val="20"/>
                      <w:lang w:val="en-US" w:eastAsia="en-US" w:bidi="ar-SA"/>
                    </w:rPr>
                    <w:t xml:space="preserve">   </w:t>
                  </w:r>
                  <w:r w:rsidR="007F6319">
                    <w:rPr>
                      <w:snapToGrid/>
                      <w:kern w:val="0"/>
                      <w:sz w:val="20"/>
                      <w:lang w:val="en-US" w:eastAsia="en-US" w:bidi="ar-SA"/>
                    </w:rPr>
                    <w:t>To get the</w:t>
                  </w:r>
                  <w:r w:rsidR="00594234">
                    <w:rPr>
                      <w:rFonts w:eastAsia="Calibri"/>
                      <w:snapToGrid/>
                      <w:kern w:val="0"/>
                      <w:sz w:val="20"/>
                      <w:lang w:val="en-US" w:eastAsia="en-US" w:bidi="ar-SA"/>
                    </w:rPr>
                    <w:t xml:space="preserve"> DBS</w:t>
                  </w:r>
                  <w:r w:rsidRPr="005A7FAB" w:rsidR="00594234">
                    <w:rPr>
                      <w:rFonts w:eastAsia="Calibri"/>
                      <w:snapToGrid/>
                      <w:kern w:val="0"/>
                      <w:sz w:val="20"/>
                      <w:lang w:val="en-US" w:eastAsia="en-US" w:bidi="ar-SA"/>
                    </w:rPr>
                    <w:t xml:space="preserve"> </w:t>
                  </w:r>
                  <w:r w:rsidR="007F6319">
                    <w:rPr>
                      <w:rFonts w:eastAsia="Calibri"/>
                      <w:snapToGrid/>
                      <w:kern w:val="0"/>
                      <w:sz w:val="20"/>
                      <w:lang w:val="en-US" w:eastAsia="en-US" w:bidi="ar-SA"/>
                    </w:rPr>
                    <w:t>averages</w:t>
                  </w:r>
                  <w:r w:rsidR="000A0528">
                    <w:rPr>
                      <w:rFonts w:eastAsia="Calibri"/>
                      <w:snapToGrid/>
                      <w:kern w:val="0"/>
                      <w:sz w:val="20"/>
                      <w:lang w:val="en-US" w:eastAsia="en-US" w:bidi="ar-SA"/>
                    </w:rPr>
                    <w:t xml:space="preserve"> for these services</w:t>
                  </w:r>
                  <w:r w:rsidR="007F6319">
                    <w:rPr>
                      <w:rFonts w:eastAsia="Calibri"/>
                      <w:snapToGrid/>
                      <w:kern w:val="0"/>
                      <w:sz w:val="20"/>
                      <w:lang w:val="en-US" w:eastAsia="en-US" w:bidi="ar-SA"/>
                    </w:rPr>
                    <w:t>, we sampled 35</w:t>
                  </w:r>
                  <w:r w:rsidR="00594234">
                    <w:rPr>
                      <w:rFonts w:eastAsia="Calibri"/>
                      <w:snapToGrid/>
                      <w:kern w:val="0"/>
                      <w:sz w:val="20"/>
                      <w:lang w:val="en-US" w:eastAsia="en-US" w:bidi="ar-SA"/>
                    </w:rPr>
                    <w:t xml:space="preserve"> different geographic markets</w:t>
                  </w:r>
                  <w:r w:rsidR="007F6319">
                    <w:rPr>
                      <w:rFonts w:eastAsia="Calibri"/>
                      <w:snapToGrid/>
                      <w:kern w:val="0"/>
                      <w:sz w:val="20"/>
                      <w:lang w:val="en-US" w:eastAsia="en-US" w:bidi="ar-SA"/>
                    </w:rPr>
                    <w:t>,</w:t>
                  </w:r>
                  <w:r w:rsidR="00594234">
                    <w:rPr>
                      <w:rFonts w:eastAsia="Calibri"/>
                      <w:snapToGrid/>
                      <w:kern w:val="0"/>
                      <w:sz w:val="20"/>
                      <w:lang w:val="en-US" w:eastAsia="en-US" w:bidi="ar-SA"/>
                    </w:rPr>
                    <w:t xml:space="preserve"> selected </w:t>
                  </w:r>
                  <w:r w:rsidRPr="005A7FAB" w:rsidR="00594234">
                    <w:rPr>
                      <w:rFonts w:eastAsia="Calibri"/>
                      <w:snapToGrid/>
                      <w:kern w:val="0"/>
                      <w:sz w:val="20"/>
                      <w:lang w:val="en-US" w:eastAsia="en-US" w:bidi="ar-SA"/>
                    </w:rPr>
                    <w:t>in a systematic random sample</w:t>
                  </w:r>
                  <w:r w:rsidR="007F6319">
                    <w:rPr>
                      <w:rFonts w:eastAsia="Calibri"/>
                      <w:snapToGrid/>
                      <w:kern w:val="0"/>
                      <w:sz w:val="20"/>
                      <w:lang w:val="en-US" w:eastAsia="en-US" w:bidi="ar-SA"/>
                    </w:rPr>
                    <w:t>, that are</w:t>
                  </w:r>
                  <w:r w:rsidR="00594234">
                    <w:rPr>
                      <w:rFonts w:eastAsia="Calibri"/>
                      <w:snapToGrid/>
                      <w:kern w:val="0"/>
                      <w:sz w:val="20"/>
                      <w:lang w:val="en-US" w:eastAsia="en-US" w:bidi="ar-SA"/>
                    </w:rPr>
                    <w:t xml:space="preserve"> representative of markets in our annual cable price surveys.  These markets range</w:t>
                  </w:r>
                  <w:r w:rsidR="007F6319">
                    <w:rPr>
                      <w:rFonts w:eastAsia="Calibri"/>
                      <w:snapToGrid/>
                      <w:kern w:val="0"/>
                      <w:sz w:val="20"/>
                      <w:lang w:val="en-US" w:eastAsia="en-US" w:bidi="ar-SA"/>
                    </w:rPr>
                    <w:t>d</w:t>
                  </w:r>
                  <w:r w:rsidR="00594234">
                    <w:rPr>
                      <w:rFonts w:eastAsia="Calibri"/>
                      <w:snapToGrid/>
                      <w:kern w:val="0"/>
                      <w:sz w:val="20"/>
                      <w:lang w:val="en-US" w:eastAsia="en-US" w:bidi="ar-SA"/>
                    </w:rPr>
                    <w:t xml:space="preserve"> in size and</w:t>
                  </w:r>
                  <w:r w:rsidR="003F573A">
                    <w:rPr>
                      <w:rFonts w:eastAsia="Calibri"/>
                      <w:snapToGrid/>
                      <w:kern w:val="0"/>
                      <w:sz w:val="20"/>
                      <w:lang w:val="en-US" w:eastAsia="en-US" w:bidi="ar-SA"/>
                    </w:rPr>
                    <w:t>,</w:t>
                  </w:r>
                  <w:r w:rsidR="00594234">
                    <w:rPr>
                      <w:rFonts w:eastAsia="Calibri"/>
                      <w:snapToGrid/>
                      <w:kern w:val="0"/>
                      <w:sz w:val="20"/>
                      <w:lang w:val="en-US" w:eastAsia="en-US" w:bidi="ar-SA"/>
                    </w:rPr>
                    <w:t xml:space="preserve"> therefore</w:t>
                  </w:r>
                  <w:r w:rsidR="007F6319">
                    <w:rPr>
                      <w:rFonts w:eastAsia="Calibri"/>
                      <w:snapToGrid/>
                      <w:kern w:val="0"/>
                      <w:sz w:val="20"/>
                      <w:lang w:val="en-US" w:eastAsia="en-US" w:bidi="ar-SA"/>
                    </w:rPr>
                    <w:t xml:space="preserve">, for the purpose of calculating statistical averages, we weighted </w:t>
                  </w:r>
                  <w:r w:rsidR="003F573A">
                    <w:rPr>
                      <w:rFonts w:eastAsia="Calibri"/>
                      <w:snapToGrid/>
                      <w:kern w:val="0"/>
                      <w:sz w:val="20"/>
                      <w:lang w:val="en-US" w:eastAsia="en-US" w:bidi="ar-SA"/>
                    </w:rPr>
                    <w:t>each individual market</w:t>
                  </w:r>
                  <w:r w:rsidR="007F6319">
                    <w:rPr>
                      <w:rFonts w:eastAsia="Calibri"/>
                      <w:snapToGrid/>
                      <w:kern w:val="0"/>
                      <w:sz w:val="20"/>
                      <w:lang w:val="en-US" w:eastAsia="en-US" w:bidi="ar-SA"/>
                    </w:rPr>
                    <w:t xml:space="preserve"> observation </w:t>
                  </w:r>
                  <w:r w:rsidR="003F573A">
                    <w:rPr>
                      <w:rFonts w:eastAsia="Calibri"/>
                      <w:snapToGrid/>
                      <w:kern w:val="0"/>
                      <w:sz w:val="20"/>
                      <w:lang w:val="en-US" w:eastAsia="en-US" w:bidi="ar-SA"/>
                    </w:rPr>
                    <w:t>of price</w:t>
                  </w:r>
                  <w:r w:rsidR="00087E08">
                    <w:rPr>
                      <w:rFonts w:eastAsia="Calibri"/>
                      <w:snapToGrid/>
                      <w:kern w:val="0"/>
                      <w:sz w:val="20"/>
                      <w:lang w:val="en-US" w:eastAsia="en-US" w:bidi="ar-SA"/>
                    </w:rPr>
                    <w:t>,</w:t>
                  </w:r>
                  <w:r w:rsidR="003F573A">
                    <w:rPr>
                      <w:rFonts w:eastAsia="Calibri"/>
                      <w:snapToGrid/>
                      <w:kern w:val="0"/>
                      <w:sz w:val="20"/>
                      <w:lang w:val="en-US" w:eastAsia="en-US" w:bidi="ar-SA"/>
                    </w:rPr>
                    <w:t xml:space="preserve"> channels</w:t>
                  </w:r>
                  <w:r w:rsidR="00920CB0">
                    <w:rPr>
                      <w:rFonts w:eastAsia="Calibri"/>
                      <w:snapToGrid/>
                      <w:kern w:val="0"/>
                      <w:sz w:val="20"/>
                      <w:lang w:val="en-US" w:eastAsia="en-US" w:bidi="ar-SA"/>
                    </w:rPr>
                    <w:t>,</w:t>
                  </w:r>
                  <w:r w:rsidR="00087E08">
                    <w:rPr>
                      <w:rFonts w:eastAsia="Calibri"/>
                      <w:snapToGrid/>
                      <w:kern w:val="0"/>
                      <w:sz w:val="20"/>
                      <w:lang w:val="en-US" w:eastAsia="en-US" w:bidi="ar-SA"/>
                    </w:rPr>
                    <w:t xml:space="preserve"> and price per channel according to</w:t>
                  </w:r>
                  <w:r w:rsidR="007F6319">
                    <w:rPr>
                      <w:rFonts w:eastAsia="Calibri"/>
                      <w:snapToGrid/>
                      <w:kern w:val="0"/>
                      <w:sz w:val="20"/>
                      <w:lang w:val="en-US" w:eastAsia="en-US" w:bidi="ar-SA"/>
                    </w:rPr>
                    <w:t xml:space="preserve"> the number of DBS subscribers in th</w:t>
                  </w:r>
                  <w:r w:rsidR="003F573A">
                    <w:rPr>
                      <w:rFonts w:eastAsia="Calibri"/>
                      <w:snapToGrid/>
                      <w:kern w:val="0"/>
                      <w:sz w:val="20"/>
                      <w:lang w:val="en-US" w:eastAsia="en-US" w:bidi="ar-SA"/>
                    </w:rPr>
                    <w:t>at</w:t>
                  </w:r>
                  <w:r w:rsidR="007F6319">
                    <w:rPr>
                      <w:rFonts w:eastAsia="Calibri"/>
                      <w:snapToGrid/>
                      <w:kern w:val="0"/>
                      <w:sz w:val="20"/>
                      <w:lang w:val="en-US" w:eastAsia="en-US" w:bidi="ar-SA"/>
                    </w:rPr>
                    <w:t xml:space="preserve"> market</w:t>
                  </w:r>
                  <w:r w:rsidR="003F573A">
                    <w:rPr>
                      <w:rFonts w:eastAsia="Calibri"/>
                      <w:snapToGrid/>
                      <w:kern w:val="0"/>
                      <w:sz w:val="20"/>
                      <w:lang w:val="en-US" w:eastAsia="en-US" w:bidi="ar-SA"/>
                    </w:rPr>
                    <w:t xml:space="preserve">.  </w:t>
                  </w:r>
                  <w:r w:rsidR="00087E08">
                    <w:rPr>
                      <w:rFonts w:eastAsia="Calibri"/>
                      <w:snapToGrid/>
                      <w:kern w:val="0"/>
                      <w:sz w:val="20"/>
                      <w:lang w:val="en-US" w:eastAsia="en-US" w:bidi="ar-SA"/>
                    </w:rPr>
                    <w:t>W</w:t>
                  </w:r>
                  <w:r w:rsidR="003F573A">
                    <w:rPr>
                      <w:rFonts w:eastAsia="Calibri"/>
                      <w:snapToGrid/>
                      <w:kern w:val="0"/>
                      <w:sz w:val="20"/>
                      <w:lang w:val="en-US" w:eastAsia="en-US" w:bidi="ar-SA"/>
                    </w:rPr>
                    <w:t xml:space="preserve">eights were </w:t>
                  </w:r>
                  <w:r w:rsidR="007F6319">
                    <w:rPr>
                      <w:rFonts w:eastAsia="Calibri"/>
                      <w:snapToGrid/>
                      <w:kern w:val="0"/>
                      <w:sz w:val="20"/>
                      <w:lang w:val="en-US" w:eastAsia="en-US" w:bidi="ar-SA"/>
                    </w:rPr>
                    <w:t xml:space="preserve">calculated separately for </w:t>
                  </w:r>
                  <w:r w:rsidR="007D5892">
                    <w:rPr>
                      <w:rFonts w:eastAsia="Calibri"/>
                      <w:snapToGrid/>
                      <w:kern w:val="0"/>
                      <w:sz w:val="20"/>
                      <w:lang w:val="en-US" w:eastAsia="en-US" w:bidi="ar-SA"/>
                    </w:rPr>
                    <w:t>DIRECTV</w:t>
                  </w:r>
                  <w:r w:rsidR="007F6319">
                    <w:rPr>
                      <w:rFonts w:eastAsia="Calibri"/>
                      <w:snapToGrid/>
                      <w:kern w:val="0"/>
                      <w:sz w:val="20"/>
                      <w:lang w:val="en-US" w:eastAsia="en-US" w:bidi="ar-SA"/>
                    </w:rPr>
                    <w:t xml:space="preserve"> and </w:t>
                  </w:r>
                  <w:r w:rsidR="007D5892">
                    <w:rPr>
                      <w:rFonts w:eastAsia="Calibri"/>
                      <w:snapToGrid/>
                      <w:kern w:val="0"/>
                      <w:sz w:val="20"/>
                      <w:lang w:val="en-US" w:eastAsia="en-US" w:bidi="ar-SA"/>
                    </w:rPr>
                    <w:t>DISH</w:t>
                  </w:r>
                  <w:r w:rsidR="007F6319">
                    <w:rPr>
                      <w:rFonts w:eastAsia="Calibri"/>
                      <w:snapToGrid/>
                      <w:kern w:val="0"/>
                      <w:sz w:val="20"/>
                      <w:lang w:val="en-US" w:eastAsia="en-US" w:bidi="ar-SA"/>
                    </w:rPr>
                    <w:t xml:space="preserve"> Network.</w:t>
                  </w:r>
                  <w:r w:rsidR="00087E08">
                    <w:rPr>
                      <w:rFonts w:eastAsia="Calibri"/>
                      <w:snapToGrid/>
                      <w:kern w:val="0"/>
                      <w:sz w:val="20"/>
                      <w:lang w:val="en-US" w:eastAsia="en-US" w:bidi="ar-SA"/>
                    </w:rPr>
                    <w:t xml:space="preserve">  </w:t>
                  </w:r>
                  <w:r w:rsidR="00920CB0">
                    <w:rPr>
                      <w:rFonts w:eastAsia="Calibri"/>
                      <w:snapToGrid/>
                      <w:kern w:val="0"/>
                      <w:sz w:val="20"/>
                      <w:lang w:val="en-US" w:eastAsia="en-US" w:bidi="ar-SA"/>
                    </w:rPr>
                    <w:t>C</w:t>
                  </w:r>
                  <w:r w:rsidR="003F573A">
                    <w:rPr>
                      <w:rFonts w:eastAsia="Calibri"/>
                      <w:snapToGrid/>
                      <w:kern w:val="0"/>
                      <w:sz w:val="20"/>
                      <w:lang w:val="en-US" w:eastAsia="en-US" w:bidi="ar-SA"/>
                    </w:rPr>
                    <w:t xml:space="preserve">able averages reported in this table are also subscriber weighted as described in the Methodology Appendix. </w:t>
                  </w:r>
                  <w:r w:rsidR="003F573A">
                    <w:rPr>
                      <w:snapToGrid w:val="0"/>
                      <w:kern w:val="28"/>
                      <w:sz w:val="20"/>
                      <w:lang w:val="en-US" w:eastAsia="en-US" w:bidi="ar-SA"/>
                    </w:rPr>
                    <w:t xml:space="preserve"> </w:t>
                  </w:r>
                  <w:r w:rsidR="000A0528">
                    <w:rPr>
                      <w:snapToGrid w:val="0"/>
                      <w:kern w:val="28"/>
                      <w:sz w:val="20"/>
                      <w:lang w:val="en-US" w:eastAsia="en-US" w:bidi="ar-SA"/>
                    </w:rPr>
                    <w:t>Our sample</w:t>
                  </w:r>
                  <w:r w:rsidR="00920CB0">
                    <w:rPr>
                      <w:snapToGrid w:val="0"/>
                      <w:kern w:val="28"/>
                      <w:sz w:val="20"/>
                      <w:lang w:val="en-US" w:eastAsia="en-US" w:bidi="ar-SA"/>
                    </w:rPr>
                    <w:t xml:space="preserve"> found that the</w:t>
                  </w:r>
                  <w:r w:rsidR="00087E08">
                    <w:rPr>
                      <w:snapToGrid w:val="0"/>
                      <w:kern w:val="28"/>
                      <w:sz w:val="20"/>
                      <w:lang w:val="en-US" w:eastAsia="en-US" w:bidi="ar-SA"/>
                    </w:rPr>
                    <w:t xml:space="preserve"> Choice and AT120+</w:t>
                  </w:r>
                  <w:r w:rsidRPr="005A7FAB" w:rsidR="007F6319">
                    <w:rPr>
                      <w:rFonts w:eastAsia="Calibri"/>
                      <w:snapToGrid/>
                      <w:kern w:val="0"/>
                      <w:sz w:val="20"/>
                      <w:lang w:val="en-US" w:eastAsia="en-US" w:bidi="ar-SA"/>
                    </w:rPr>
                    <w:t xml:space="preserve"> packages</w:t>
                  </w:r>
                  <w:r w:rsidR="00920CB0">
                    <w:rPr>
                      <w:rFonts w:eastAsia="Calibri"/>
                      <w:snapToGrid/>
                      <w:kern w:val="0"/>
                      <w:sz w:val="20"/>
                      <w:lang w:val="en-US" w:eastAsia="en-US" w:bidi="ar-SA"/>
                    </w:rPr>
                    <w:t xml:space="preserve"> were</w:t>
                  </w:r>
                  <w:r w:rsidR="007F6319">
                    <w:rPr>
                      <w:rFonts w:eastAsia="Calibri"/>
                      <w:snapToGrid/>
                      <w:kern w:val="0"/>
                      <w:sz w:val="20"/>
                      <w:lang w:val="en-US" w:eastAsia="en-US" w:bidi="ar-SA"/>
                    </w:rPr>
                    <w:t xml:space="preserve"> generally offered </w:t>
                  </w:r>
                  <w:r w:rsidR="00920CB0">
                    <w:rPr>
                      <w:rFonts w:eastAsia="Calibri"/>
                      <w:snapToGrid/>
                      <w:kern w:val="0"/>
                      <w:sz w:val="20"/>
                      <w:lang w:val="en-US" w:eastAsia="en-US" w:bidi="ar-SA"/>
                    </w:rPr>
                    <w:t xml:space="preserve">at a uniform </w:t>
                  </w:r>
                  <w:r w:rsidR="007F6319">
                    <w:rPr>
                      <w:rFonts w:eastAsia="Calibri"/>
                      <w:snapToGrid/>
                      <w:kern w:val="0"/>
                      <w:sz w:val="20"/>
                      <w:lang w:val="en-US" w:eastAsia="en-US" w:bidi="ar-SA"/>
                    </w:rPr>
                    <w:t>national</w:t>
                  </w:r>
                  <w:r w:rsidR="00920CB0">
                    <w:rPr>
                      <w:rFonts w:eastAsia="Calibri"/>
                      <w:snapToGrid/>
                      <w:kern w:val="0"/>
                      <w:sz w:val="20"/>
                      <w:lang w:val="en-US" w:eastAsia="en-US" w:bidi="ar-SA"/>
                    </w:rPr>
                    <w:t xml:space="preserve"> </w:t>
                  </w:r>
                  <w:r w:rsidRPr="005A7FAB" w:rsidR="007F6319">
                    <w:rPr>
                      <w:rFonts w:eastAsia="Calibri"/>
                      <w:snapToGrid/>
                      <w:kern w:val="0"/>
                      <w:sz w:val="20"/>
                      <w:lang w:val="en-US" w:eastAsia="en-US" w:bidi="ar-SA"/>
                    </w:rPr>
                    <w:t>price</w:t>
                  </w:r>
                  <w:r w:rsidR="007F6319">
                    <w:rPr>
                      <w:rFonts w:eastAsia="Calibri"/>
                      <w:snapToGrid/>
                      <w:kern w:val="0"/>
                      <w:sz w:val="20"/>
                      <w:lang w:val="en-US" w:eastAsia="en-US" w:bidi="ar-SA"/>
                    </w:rPr>
                    <w:t xml:space="preserve"> set </w:t>
                  </w:r>
                  <w:r w:rsidRPr="005A7FAB" w:rsidR="007F6319">
                    <w:rPr>
                      <w:rFonts w:eastAsia="Calibri"/>
                      <w:snapToGrid/>
                      <w:kern w:val="0"/>
                      <w:sz w:val="20"/>
                      <w:lang w:val="en-US" w:eastAsia="en-US" w:bidi="ar-SA"/>
                    </w:rPr>
                    <w:t xml:space="preserve">for </w:t>
                  </w:r>
                  <w:r w:rsidR="00087E08">
                    <w:rPr>
                      <w:rFonts w:eastAsia="Calibri"/>
                      <w:snapToGrid/>
                      <w:kern w:val="0"/>
                      <w:sz w:val="20"/>
                      <w:lang w:val="en-US" w:eastAsia="en-US" w:bidi="ar-SA"/>
                    </w:rPr>
                    <w:t>the</w:t>
                  </w:r>
                  <w:r w:rsidR="007F6319">
                    <w:rPr>
                      <w:rFonts w:eastAsia="Calibri"/>
                      <w:snapToGrid/>
                      <w:kern w:val="0"/>
                      <w:sz w:val="20"/>
                      <w:lang w:val="en-US" w:eastAsia="en-US" w:bidi="ar-SA"/>
                    </w:rPr>
                    <w:t xml:space="preserve"> particular </w:t>
                  </w:r>
                  <w:r w:rsidRPr="005A7FAB" w:rsidR="007F6319">
                    <w:rPr>
                      <w:rFonts w:eastAsia="Calibri"/>
                      <w:snapToGrid/>
                      <w:kern w:val="0"/>
                      <w:sz w:val="20"/>
                      <w:lang w:val="en-US" w:eastAsia="en-US" w:bidi="ar-SA"/>
                    </w:rPr>
                    <w:t>package</w:t>
                  </w:r>
                  <w:r w:rsidR="00087E08">
                    <w:rPr>
                      <w:rFonts w:eastAsia="Calibri"/>
                      <w:snapToGrid/>
                      <w:kern w:val="0"/>
                      <w:sz w:val="20"/>
                      <w:lang w:val="en-US" w:eastAsia="en-US" w:bidi="ar-SA"/>
                    </w:rPr>
                    <w:t xml:space="preserve"> </w:t>
                  </w:r>
                  <w:r w:rsidR="00920CB0">
                    <w:rPr>
                      <w:rFonts w:eastAsia="Calibri"/>
                      <w:snapToGrid/>
                      <w:kern w:val="0"/>
                      <w:sz w:val="20"/>
                      <w:lang w:val="en-US" w:eastAsia="en-US" w:bidi="ar-SA"/>
                    </w:rPr>
                    <w:t>and that the price includes</w:t>
                  </w:r>
                  <w:r w:rsidR="00F11141">
                    <w:rPr>
                      <w:rFonts w:eastAsia="Calibri"/>
                      <w:snapToGrid/>
                      <w:kern w:val="0"/>
                      <w:sz w:val="20"/>
                      <w:lang w:val="en-US" w:eastAsia="en-US" w:bidi="ar-SA"/>
                    </w:rPr>
                    <w:t xml:space="preserve"> both national and local channels.  </w:t>
                  </w:r>
                  <w:r w:rsidR="00920CB0">
                    <w:rPr>
                      <w:rFonts w:eastAsia="Calibri"/>
                      <w:snapToGrid/>
                      <w:kern w:val="0"/>
                      <w:sz w:val="20"/>
                      <w:lang w:val="en-US" w:eastAsia="en-US" w:bidi="ar-SA"/>
                    </w:rPr>
                    <w:t>The n</w:t>
                  </w:r>
                  <w:r w:rsidR="00F11141">
                    <w:rPr>
                      <w:rFonts w:eastAsia="Calibri"/>
                      <w:snapToGrid/>
                      <w:kern w:val="0"/>
                      <w:sz w:val="20"/>
                      <w:lang w:val="en-US" w:eastAsia="en-US" w:bidi="ar-SA"/>
                    </w:rPr>
                    <w:t>umber</w:t>
                  </w:r>
                  <w:r w:rsidR="003F573A">
                    <w:rPr>
                      <w:rFonts w:eastAsia="Calibri"/>
                      <w:snapToGrid/>
                      <w:kern w:val="0"/>
                      <w:sz w:val="20"/>
                      <w:lang w:val="en-US" w:eastAsia="en-US" w:bidi="ar-SA"/>
                    </w:rPr>
                    <w:t xml:space="preserve"> </w:t>
                  </w:r>
                  <w:r w:rsidR="00F11141">
                    <w:rPr>
                      <w:rFonts w:eastAsia="Calibri"/>
                      <w:snapToGrid/>
                      <w:kern w:val="0"/>
                      <w:sz w:val="20"/>
                      <w:lang w:val="en-US" w:eastAsia="en-US" w:bidi="ar-SA"/>
                    </w:rPr>
                    <w:t>of local channels var</w:t>
                  </w:r>
                  <w:r w:rsidR="00920CB0">
                    <w:rPr>
                      <w:rFonts w:eastAsia="Calibri"/>
                      <w:snapToGrid/>
                      <w:kern w:val="0"/>
                      <w:sz w:val="20"/>
                      <w:lang w:val="en-US" w:eastAsia="en-US" w:bidi="ar-SA"/>
                    </w:rPr>
                    <w:t>ied</w:t>
                  </w:r>
                  <w:r w:rsidR="007F6319">
                    <w:rPr>
                      <w:rFonts w:eastAsia="Calibri"/>
                      <w:snapToGrid/>
                      <w:kern w:val="0"/>
                      <w:sz w:val="20"/>
                      <w:lang w:val="en-US" w:eastAsia="en-US" w:bidi="ar-SA"/>
                    </w:rPr>
                    <w:t xml:space="preserve"> from market to market.</w:t>
                  </w:r>
                  <w:r w:rsidR="00F11141">
                    <w:rPr>
                      <w:rFonts w:eastAsia="Calibri"/>
                      <w:snapToGrid/>
                      <w:kern w:val="0"/>
                      <w:sz w:val="20"/>
                      <w:lang w:val="en-US" w:eastAsia="en-US" w:bidi="ar-SA"/>
                    </w:rPr>
                    <w:t xml:space="preserve">  All markets we sampled offered local channels, with the exception of one </w:t>
                  </w:r>
                  <w:r w:rsidR="007D5892">
                    <w:rPr>
                      <w:rFonts w:eastAsia="Calibri"/>
                      <w:snapToGrid/>
                      <w:kern w:val="0"/>
                      <w:sz w:val="20"/>
                      <w:lang w:val="en-US" w:eastAsia="en-US" w:bidi="ar-SA"/>
                    </w:rPr>
                    <w:t>DIRECTV</w:t>
                  </w:r>
                  <w:r w:rsidR="00F11141">
                    <w:rPr>
                      <w:rFonts w:eastAsia="Calibri"/>
                      <w:snapToGrid/>
                      <w:kern w:val="0"/>
                      <w:sz w:val="20"/>
                      <w:lang w:val="en-US" w:eastAsia="en-US" w:bidi="ar-SA"/>
                    </w:rPr>
                    <w:t xml:space="preserve"> market</w:t>
                  </w:r>
                  <w:r w:rsidR="000A0528">
                    <w:rPr>
                      <w:rFonts w:eastAsia="Calibri"/>
                      <w:snapToGrid/>
                      <w:kern w:val="0"/>
                      <w:sz w:val="20"/>
                      <w:lang w:val="en-US" w:eastAsia="en-US" w:bidi="ar-SA"/>
                    </w:rPr>
                    <w:t>, and</w:t>
                  </w:r>
                  <w:r w:rsidR="00F11141">
                    <w:rPr>
                      <w:rFonts w:eastAsia="Calibri"/>
                      <w:snapToGrid/>
                      <w:kern w:val="0"/>
                      <w:sz w:val="20"/>
                      <w:lang w:val="en-US" w:eastAsia="en-US" w:bidi="ar-SA"/>
                    </w:rPr>
                    <w:t xml:space="preserve"> </w:t>
                  </w:r>
                  <w:r w:rsidR="007D5892">
                    <w:rPr>
                      <w:rFonts w:eastAsia="Calibri"/>
                      <w:snapToGrid/>
                      <w:kern w:val="0"/>
                      <w:sz w:val="20"/>
                      <w:lang w:val="en-US" w:eastAsia="en-US" w:bidi="ar-SA"/>
                    </w:rPr>
                    <w:t>DIRECTV</w:t>
                  </w:r>
                  <w:r w:rsidR="00F11141">
                    <w:rPr>
                      <w:rFonts w:eastAsia="Calibri"/>
                      <w:snapToGrid/>
                      <w:kern w:val="0"/>
                      <w:sz w:val="20"/>
                      <w:lang w:val="en-US" w:eastAsia="en-US" w:bidi="ar-SA"/>
                    </w:rPr>
                    <w:t xml:space="preserve"> provided a discount off the national price in this market.</w:t>
                  </w:r>
                  <w:r w:rsidR="00F11141">
                    <w:rPr>
                      <w:snapToGrid/>
                      <w:kern w:val="0"/>
                      <w:sz w:val="20"/>
                      <w:lang w:val="en-US" w:eastAsia="en-US" w:bidi="ar-SA"/>
                    </w:rPr>
                    <w:t xml:space="preserve">  </w:t>
                  </w:r>
                  <w:r w:rsidR="007F6319">
                    <w:rPr>
                      <w:snapToGrid/>
                      <w:kern w:val="0"/>
                      <w:sz w:val="20"/>
                      <w:lang w:val="en-US" w:eastAsia="en-US" w:bidi="ar-SA"/>
                    </w:rPr>
                    <w:t xml:space="preserve">In </w:t>
                  </w:r>
                  <w:r w:rsidR="00F11141">
                    <w:rPr>
                      <w:snapToGrid/>
                      <w:kern w:val="0"/>
                      <w:sz w:val="20"/>
                      <w:lang w:val="en-US" w:eastAsia="en-US" w:bidi="ar-SA"/>
                    </w:rPr>
                    <w:t>counting</w:t>
                  </w:r>
                  <w:r w:rsidR="007F6319">
                    <w:rPr>
                      <w:snapToGrid/>
                      <w:kern w:val="0"/>
                      <w:sz w:val="20"/>
                      <w:lang w:val="en-US" w:eastAsia="en-US" w:bidi="ar-SA"/>
                    </w:rPr>
                    <w:t xml:space="preserve"> DBS channels</w:t>
                  </w:r>
                  <w:r w:rsidR="00F11141">
                    <w:rPr>
                      <w:snapToGrid/>
                      <w:kern w:val="0"/>
                      <w:sz w:val="20"/>
                      <w:lang w:val="en-US" w:eastAsia="en-US" w:bidi="ar-SA"/>
                    </w:rPr>
                    <w:t>,</w:t>
                  </w:r>
                  <w:r w:rsidR="007F6319">
                    <w:rPr>
                      <w:snapToGrid/>
                      <w:kern w:val="0"/>
                      <w:sz w:val="20"/>
                      <w:lang w:val="en-US" w:eastAsia="en-US" w:bidi="ar-SA"/>
                    </w:rPr>
                    <w:t xml:space="preserve"> we did not </w:t>
                  </w:r>
                  <w:r w:rsidR="00920CB0">
                    <w:rPr>
                      <w:snapToGrid/>
                      <w:kern w:val="0"/>
                      <w:sz w:val="20"/>
                      <w:lang w:val="en-US" w:eastAsia="en-US" w:bidi="ar-SA"/>
                    </w:rPr>
                    <w:t>include</w:t>
                  </w:r>
                  <w:r w:rsidR="007F6319">
                    <w:rPr>
                      <w:snapToGrid/>
                      <w:kern w:val="0"/>
                      <w:sz w:val="20"/>
                      <w:lang w:val="en-US" w:eastAsia="en-US" w:bidi="ar-SA"/>
                    </w:rPr>
                    <w:t xml:space="preserve"> audio-only channels</w:t>
                  </w:r>
                  <w:r w:rsidR="00F11141">
                    <w:rPr>
                      <w:snapToGrid/>
                      <w:kern w:val="0"/>
                      <w:sz w:val="20"/>
                      <w:lang w:val="en-US" w:eastAsia="en-US" w:bidi="ar-SA"/>
                    </w:rPr>
                    <w:t xml:space="preserve">.  In addition, the </w:t>
                  </w:r>
                  <w:r w:rsidR="000A0528">
                    <w:rPr>
                      <w:snapToGrid/>
                      <w:kern w:val="0"/>
                      <w:sz w:val="20"/>
                      <w:lang w:val="en-US" w:eastAsia="en-US" w:bidi="ar-SA"/>
                    </w:rPr>
                    <w:t>number of DBS channels</w:t>
                  </w:r>
                  <w:r w:rsidR="00F11141">
                    <w:rPr>
                      <w:snapToGrid/>
                      <w:kern w:val="0"/>
                      <w:sz w:val="20"/>
                      <w:lang w:val="en-US" w:eastAsia="en-US" w:bidi="ar-SA"/>
                    </w:rPr>
                    <w:t xml:space="preserve"> do</w:t>
                  </w:r>
                  <w:r w:rsidR="000A0528">
                    <w:rPr>
                      <w:snapToGrid/>
                      <w:kern w:val="0"/>
                      <w:sz w:val="20"/>
                      <w:lang w:val="en-US" w:eastAsia="en-US" w:bidi="ar-SA"/>
                    </w:rPr>
                    <w:t>es</w:t>
                  </w:r>
                  <w:r w:rsidR="00F11141">
                    <w:rPr>
                      <w:snapToGrid/>
                      <w:kern w:val="0"/>
                      <w:sz w:val="20"/>
                      <w:lang w:val="en-US" w:eastAsia="en-US" w:bidi="ar-SA"/>
                    </w:rPr>
                    <w:t xml:space="preserve"> not include any </w:t>
                  </w:r>
                  <w:r w:rsidR="007F6319">
                    <w:rPr>
                      <w:snapToGrid/>
                      <w:kern w:val="0"/>
                      <w:sz w:val="20"/>
                      <w:lang w:val="en-US" w:eastAsia="en-US" w:bidi="ar-SA"/>
                    </w:rPr>
                    <w:t xml:space="preserve">regional sports networks (RSNs) since </w:t>
                  </w:r>
                  <w:r w:rsidR="007D5892">
                    <w:rPr>
                      <w:snapToGrid/>
                      <w:kern w:val="0"/>
                      <w:sz w:val="20"/>
                      <w:lang w:val="en-US" w:eastAsia="en-US" w:bidi="ar-SA"/>
                    </w:rPr>
                    <w:t>DIRECTV</w:t>
                  </w:r>
                  <w:r w:rsidR="007F6319">
                    <w:rPr>
                      <w:snapToGrid/>
                      <w:kern w:val="0"/>
                      <w:sz w:val="20"/>
                      <w:lang w:val="en-US" w:eastAsia="en-US" w:bidi="ar-SA"/>
                    </w:rPr>
                    <w:t xml:space="preserve"> and </w:t>
                  </w:r>
                  <w:r w:rsidR="007D5892">
                    <w:rPr>
                      <w:snapToGrid/>
                      <w:kern w:val="0"/>
                      <w:sz w:val="20"/>
                      <w:lang w:val="en-US" w:eastAsia="en-US" w:bidi="ar-SA"/>
                    </w:rPr>
                    <w:t>DISH</w:t>
                  </w:r>
                  <w:r w:rsidR="00087E08">
                    <w:rPr>
                      <w:snapToGrid/>
                      <w:kern w:val="0"/>
                      <w:sz w:val="20"/>
                      <w:lang w:val="en-US" w:eastAsia="en-US" w:bidi="ar-SA"/>
                    </w:rPr>
                    <w:t xml:space="preserve"> Network </w:t>
                  </w:r>
                  <w:r w:rsidR="00F11141">
                    <w:rPr>
                      <w:snapToGrid/>
                      <w:kern w:val="0"/>
                      <w:sz w:val="20"/>
                      <w:lang w:val="en-US" w:eastAsia="en-US" w:bidi="ar-SA"/>
                    </w:rPr>
                    <w:t xml:space="preserve">only </w:t>
                  </w:r>
                  <w:r w:rsidR="007F6319">
                    <w:rPr>
                      <w:snapToGrid/>
                      <w:kern w:val="0"/>
                      <w:sz w:val="20"/>
                      <w:lang w:val="en-US" w:eastAsia="en-US" w:bidi="ar-SA"/>
                    </w:rPr>
                    <w:t xml:space="preserve">offer RSNs </w:t>
                  </w:r>
                  <w:r w:rsidR="000A0528">
                    <w:rPr>
                      <w:snapToGrid/>
                      <w:kern w:val="0"/>
                      <w:sz w:val="20"/>
                      <w:lang w:val="en-US" w:eastAsia="en-US" w:bidi="ar-SA"/>
                    </w:rPr>
                    <w:t>through</w:t>
                  </w:r>
                  <w:r w:rsidR="007F6319">
                    <w:rPr>
                      <w:snapToGrid/>
                      <w:kern w:val="0"/>
                      <w:sz w:val="20"/>
                      <w:lang w:val="en-US" w:eastAsia="en-US" w:bidi="ar-SA"/>
                    </w:rPr>
                    <w:t xml:space="preserve"> a separately priced package.</w:t>
                  </w:r>
                  <w:r w:rsidR="00087E08">
                    <w:rPr>
                      <w:snapToGrid/>
                      <w:kern w:val="0"/>
                      <w:sz w:val="20"/>
                      <w:lang w:val="en-US" w:eastAsia="en-US" w:bidi="ar-SA"/>
                    </w:rPr>
                    <w:t xml:space="preserve">  </w:t>
                  </w:r>
                  <w:r w:rsidR="00920CB0">
                    <w:rPr>
                      <w:snapToGrid/>
                      <w:kern w:val="0"/>
                      <w:sz w:val="20"/>
                      <w:lang w:val="en-US" w:eastAsia="en-US" w:bidi="ar-SA"/>
                    </w:rPr>
                    <w:t xml:space="preserve">We derived </w:t>
                  </w:r>
                  <w:r w:rsidR="00920CB0">
                    <w:rPr>
                      <w:snapToGrid w:val="0"/>
                      <w:kern w:val="28"/>
                      <w:sz w:val="20"/>
                      <w:lang w:val="en-US" w:eastAsia="en-US" w:bidi="ar-SA"/>
                    </w:rPr>
                    <w:t>DBS averages by running</w:t>
                  </w:r>
                  <w:r w:rsidRPr="00651A44" w:rsidR="00F11141">
                    <w:rPr>
                      <w:snapToGrid w:val="0"/>
                      <w:kern w:val="28"/>
                      <w:sz w:val="20"/>
                      <w:lang w:val="en-US" w:eastAsia="en-US" w:bidi="ar-SA"/>
                    </w:rPr>
                    <w:t xml:space="preserve"> SAS Software, Version 9.4, SAS Institute Inc.</w:t>
                  </w:r>
                  <w:r w:rsidR="00087E08">
                    <w:rPr>
                      <w:snapToGrid w:val="0"/>
                      <w:kern w:val="28"/>
                      <w:sz w:val="20"/>
                      <w:lang w:val="en-US" w:eastAsia="en-US" w:bidi="ar-SA"/>
                    </w:rPr>
                    <w:t>,</w:t>
                  </w:r>
                  <w:r w:rsidRPr="00651A44" w:rsidR="00F11141">
                    <w:rPr>
                      <w:snapToGrid w:val="0"/>
                      <w:kern w:val="28"/>
                      <w:sz w:val="20"/>
                      <w:lang w:val="en-US" w:eastAsia="en-US" w:bidi="ar-SA"/>
                    </w:rPr>
                    <w:t xml:space="preserve"> Surveymeans </w:t>
                  </w:r>
                  <w:r w:rsidR="00087E08">
                    <w:rPr>
                      <w:snapToGrid w:val="0"/>
                      <w:kern w:val="28"/>
                      <w:sz w:val="20"/>
                      <w:lang w:val="en-US" w:eastAsia="en-US" w:bidi="ar-SA"/>
                    </w:rPr>
                    <w:t>p</w:t>
                  </w:r>
                  <w:r w:rsidRPr="00651A44" w:rsidR="00F11141">
                    <w:rPr>
                      <w:snapToGrid w:val="0"/>
                      <w:kern w:val="28"/>
                      <w:sz w:val="20"/>
                      <w:lang w:val="en-US" w:eastAsia="en-US" w:bidi="ar-SA"/>
                    </w:rPr>
                    <w:t xml:space="preserve">rocedure. </w:t>
                  </w:r>
                  <w:r w:rsidR="00F11141">
                    <w:rPr>
                      <w:snapToGrid w:val="0"/>
                      <w:kern w:val="28"/>
                      <w:sz w:val="20"/>
                      <w:lang w:val="en-US" w:eastAsia="en-US" w:bidi="ar-SA"/>
                    </w:rPr>
                    <w:t xml:space="preserve"> </w:t>
                  </w:r>
                  <w:r w:rsidR="00920CB0">
                    <w:rPr>
                      <w:snapToGrid w:val="0"/>
                      <w:kern w:val="28"/>
                      <w:sz w:val="20"/>
                      <w:lang w:val="en-US" w:eastAsia="en-US" w:bidi="ar-SA"/>
                    </w:rPr>
                    <w:t xml:space="preserve">We compared </w:t>
                  </w:r>
                  <w:r w:rsidR="00650419">
                    <w:rPr>
                      <w:snapToGrid w:val="0"/>
                      <w:kern w:val="28"/>
                      <w:sz w:val="20"/>
                      <w:lang w:val="en-US" w:eastAsia="en-US" w:bidi="ar-SA"/>
                    </w:rPr>
                    <w:t xml:space="preserve">the DBS average to the </w:t>
                  </w:r>
                  <w:r w:rsidR="00920CB0">
                    <w:rPr>
                      <w:snapToGrid w:val="0"/>
                      <w:kern w:val="28"/>
                      <w:sz w:val="20"/>
                      <w:lang w:val="en-US" w:eastAsia="en-US" w:bidi="ar-SA"/>
                    </w:rPr>
                    <w:t>cable</w:t>
                  </w:r>
                  <w:r w:rsidR="00650419">
                    <w:rPr>
                      <w:snapToGrid w:val="0"/>
                      <w:kern w:val="28"/>
                      <w:sz w:val="20"/>
                      <w:lang w:val="en-US" w:eastAsia="en-US" w:bidi="ar-SA"/>
                    </w:rPr>
                    <w:t xml:space="preserve"> average,</w:t>
                  </w:r>
                  <w:r w:rsidR="00920CB0">
                    <w:rPr>
                      <w:snapToGrid w:val="0"/>
                      <w:kern w:val="28"/>
                      <w:sz w:val="20"/>
                      <w:lang w:val="en-US" w:eastAsia="en-US" w:bidi="ar-SA"/>
                    </w:rPr>
                    <w:t xml:space="preserve"> running</w:t>
                  </w:r>
                  <w:r w:rsidR="00087E08">
                    <w:rPr>
                      <w:snapToGrid w:val="0"/>
                      <w:kern w:val="28"/>
                      <w:sz w:val="20"/>
                      <w:lang w:val="en-US" w:eastAsia="en-US" w:bidi="ar-SA"/>
                    </w:rPr>
                    <w:t xml:space="preserve"> the </w:t>
                  </w:r>
                  <w:r w:rsidR="00650419">
                    <w:rPr>
                      <w:snapToGrid w:val="0"/>
                      <w:kern w:val="28"/>
                      <w:sz w:val="20"/>
                      <w:lang w:val="en-US" w:eastAsia="en-US" w:bidi="ar-SA"/>
                    </w:rPr>
                    <w:t xml:space="preserve">SAS </w:t>
                  </w:r>
                  <w:r w:rsidR="00087E08">
                    <w:rPr>
                      <w:snapToGrid w:val="0"/>
                      <w:kern w:val="28"/>
                      <w:sz w:val="20"/>
                      <w:lang w:val="en-US" w:eastAsia="en-US" w:bidi="ar-SA"/>
                    </w:rPr>
                    <w:t>TTEST procedure</w:t>
                  </w:r>
                  <w:r w:rsidR="000A0528">
                    <w:rPr>
                      <w:snapToGrid w:val="0"/>
                      <w:kern w:val="28"/>
                      <w:sz w:val="20"/>
                      <w:lang w:val="en-US" w:eastAsia="en-US" w:bidi="ar-SA"/>
                    </w:rPr>
                    <w:t xml:space="preserve">, </w:t>
                  </w:r>
                  <w:r w:rsidR="00650419">
                    <w:rPr>
                      <w:snapToGrid w:val="0"/>
                      <w:kern w:val="28"/>
                      <w:sz w:val="20"/>
                      <w:lang w:val="en-US" w:eastAsia="en-US" w:bidi="ar-SA"/>
                    </w:rPr>
                    <w:t xml:space="preserve">and </w:t>
                  </w:r>
                  <w:r w:rsidR="000A0528">
                    <w:rPr>
                      <w:snapToGrid w:val="0"/>
                      <w:kern w:val="28"/>
                      <w:sz w:val="20"/>
                      <w:lang w:val="en-US" w:eastAsia="en-US" w:bidi="ar-SA"/>
                    </w:rPr>
                    <w:t xml:space="preserve">specifying a two-sided test at the 95% confidence level of the difference between </w:t>
                  </w:r>
                  <w:r w:rsidR="00650419">
                    <w:rPr>
                      <w:snapToGrid w:val="0"/>
                      <w:kern w:val="28"/>
                      <w:sz w:val="20"/>
                      <w:lang w:val="en-US" w:eastAsia="en-US" w:bidi="ar-SA"/>
                    </w:rPr>
                    <w:t>sample</w:t>
                  </w:r>
                  <w:r w:rsidR="000A0528">
                    <w:rPr>
                      <w:snapToGrid w:val="0"/>
                      <w:kern w:val="28"/>
                      <w:sz w:val="20"/>
                      <w:lang w:val="en-US" w:eastAsia="en-US" w:bidi="ar-SA"/>
                    </w:rPr>
                    <w:t xml:space="preserve"> averages </w:t>
                  </w:r>
                  <w:r w:rsidR="00650419">
                    <w:rPr>
                      <w:snapToGrid w:val="0"/>
                      <w:kern w:val="28"/>
                      <w:sz w:val="20"/>
                      <w:lang w:val="en-US" w:eastAsia="en-US" w:bidi="ar-SA"/>
                    </w:rPr>
                    <w:t xml:space="preserve">taken </w:t>
                  </w:r>
                  <w:r w:rsidR="000A0528">
                    <w:rPr>
                      <w:snapToGrid w:val="0"/>
                      <w:kern w:val="28"/>
                      <w:sz w:val="20"/>
                      <w:lang w:val="en-US" w:eastAsia="en-US" w:bidi="ar-SA"/>
                    </w:rPr>
                    <w:t>from two independent samples.</w:t>
                  </w:r>
                </w:p>
              </w:tc>
            </w:tr>
          </w:tbl>
          <w:p w:rsidR="00E47FEA" w:rsidRPr="00DE2CB7" w:rsidP="004E16D7" w14:paraId="10E09384" w14:textId="0FD2DB35">
            <w:pPr>
              <w:widowControl w:val="0"/>
              <w:suppressAutoHyphens/>
              <w:spacing w:before="80"/>
              <w:rPr>
                <w:rStyle w:val="DefaultParagraphFont"/>
                <w:rFonts w:eastAsia="Calibri"/>
                <w:snapToGrid w:val="0"/>
                <w:kern w:val="28"/>
                <w:sz w:val="22"/>
                <w:szCs w:val="22"/>
                <w:lang w:val="en-US" w:eastAsia="en-US" w:bidi="ar-SA"/>
              </w:rPr>
            </w:pPr>
            <w:r>
              <w:rPr>
                <w:snapToGrid w:val="0"/>
                <w:kern w:val="28"/>
                <w:sz w:val="20"/>
                <w:lang w:val="en-US" w:eastAsia="en-US" w:bidi="ar-SA"/>
              </w:rPr>
              <w:t>.</w:t>
            </w:r>
          </w:p>
        </w:tc>
      </w:tr>
    </w:tbl>
    <w:p w:rsidR="00EE7CF7" w:rsidP="004E16D7" w14:paraId="69F4B50F" w14:textId="446DD46D">
      <w:pPr>
        <w:widowControl/>
        <w:suppressAutoHyphens/>
        <w:rPr>
          <w:b/>
          <w:szCs w:val="22"/>
        </w:rPr>
      </w:pPr>
    </w:p>
    <w:p w:rsidR="002804EB" w:rsidRPr="002804EB" w:rsidP="004E16D7" w14:paraId="13A5B2BC" w14:textId="7767F37B">
      <w:pPr>
        <w:widowControl/>
        <w:suppressAutoHyphens/>
        <w:jc w:val="center"/>
        <w:rPr>
          <w:b/>
          <w:szCs w:val="22"/>
        </w:rPr>
      </w:pPr>
      <w:r w:rsidRPr="002804EB">
        <w:rPr>
          <w:b/>
          <w:szCs w:val="22"/>
        </w:rPr>
        <w:t>APPENDIX</w:t>
      </w:r>
    </w:p>
    <w:p w:rsidR="002804EB" w:rsidRPr="002804EB" w:rsidP="004E16D7" w14:paraId="56C696F5" w14:textId="77777777">
      <w:pPr>
        <w:pStyle w:val="Heading1"/>
        <w:numPr>
          <w:ilvl w:val="0"/>
          <w:numId w:val="0"/>
        </w:numPr>
        <w:jc w:val="center"/>
        <w:rPr>
          <w:caps w:val="0"/>
          <w:szCs w:val="22"/>
        </w:rPr>
      </w:pPr>
      <w:bookmarkStart w:id="90" w:name="_Toc202234572"/>
      <w:bookmarkStart w:id="91" w:name="_Toc235506592"/>
      <w:bookmarkStart w:id="92" w:name="_Toc235591791"/>
      <w:bookmarkStart w:id="93" w:name="_Toc248805875"/>
      <w:bookmarkStart w:id="94" w:name="_Toc384990880"/>
      <w:bookmarkStart w:id="95" w:name="_Toc384991984"/>
      <w:bookmarkStart w:id="96" w:name="_Toc384992820"/>
      <w:bookmarkStart w:id="97" w:name="_Toc456873890"/>
      <w:bookmarkStart w:id="98" w:name="_Toc456874102"/>
      <w:r w:rsidRPr="002804EB">
        <w:rPr>
          <w:caps w:val="0"/>
          <w:szCs w:val="22"/>
        </w:rPr>
        <w:t>Survey Methodology</w:t>
      </w:r>
      <w:bookmarkEnd w:id="90"/>
      <w:bookmarkEnd w:id="91"/>
      <w:bookmarkEnd w:id="92"/>
      <w:bookmarkEnd w:id="93"/>
      <w:bookmarkEnd w:id="94"/>
      <w:bookmarkEnd w:id="95"/>
      <w:bookmarkEnd w:id="96"/>
      <w:bookmarkEnd w:id="97"/>
      <w:bookmarkEnd w:id="98"/>
    </w:p>
    <w:p w:rsidR="002804EB" w:rsidRPr="002804EB" w:rsidP="00EE4D37" w14:paraId="1B9A2BD8" w14:textId="77777777">
      <w:pPr>
        <w:pStyle w:val="Heading2"/>
      </w:pPr>
      <w:bookmarkStart w:id="99" w:name="_Toc202234573"/>
      <w:bookmarkStart w:id="100" w:name="_Toc235506593"/>
      <w:bookmarkStart w:id="101" w:name="_Toc235591792"/>
      <w:bookmarkStart w:id="102" w:name="_Toc248805876"/>
      <w:bookmarkStart w:id="103" w:name="_Toc384990881"/>
      <w:bookmarkStart w:id="104" w:name="_Toc384991985"/>
      <w:bookmarkStart w:id="105" w:name="_Toc384992821"/>
      <w:bookmarkStart w:id="106" w:name="_Toc456873891"/>
      <w:bookmarkStart w:id="107" w:name="_Toc456874103"/>
      <w:r w:rsidRPr="002804EB">
        <w:t>Sampling Procedure</w:t>
      </w:r>
      <w:bookmarkEnd w:id="99"/>
      <w:bookmarkEnd w:id="100"/>
      <w:bookmarkEnd w:id="101"/>
      <w:bookmarkEnd w:id="102"/>
      <w:bookmarkEnd w:id="103"/>
      <w:bookmarkEnd w:id="104"/>
      <w:bookmarkEnd w:id="105"/>
      <w:bookmarkEnd w:id="106"/>
      <w:bookmarkEnd w:id="107"/>
    </w:p>
    <w:p w:rsidR="0057541D" w:rsidP="004E16D7" w14:paraId="0490B418" w14:textId="22776234">
      <w:pPr>
        <w:pStyle w:val="Paranum0"/>
        <w:numPr>
          <w:ilvl w:val="0"/>
          <w:numId w:val="42"/>
        </w:numPr>
        <w:tabs>
          <w:tab w:val="clear" w:pos="1080"/>
        </w:tabs>
        <w:suppressAutoHyphens/>
        <w:spacing w:after="240"/>
        <w:jc w:val="left"/>
        <w:rPr>
          <w:szCs w:val="22"/>
        </w:rPr>
      </w:pPr>
      <w:r w:rsidRPr="0057541D">
        <w:rPr>
          <w:szCs w:val="22"/>
        </w:rPr>
        <w:t xml:space="preserve">We conducted the </w:t>
      </w:r>
      <w:r w:rsidRPr="0057541D" w:rsidR="008634B3">
        <w:rPr>
          <w:szCs w:val="22"/>
        </w:rPr>
        <w:t>2016</w:t>
      </w:r>
      <w:r w:rsidRPr="0057541D">
        <w:rPr>
          <w:szCs w:val="22"/>
        </w:rPr>
        <w:t xml:space="preserve"> survey </w:t>
      </w:r>
      <w:r w:rsidRPr="0057541D" w:rsidR="001A05C2">
        <w:rPr>
          <w:szCs w:val="22"/>
        </w:rPr>
        <w:t xml:space="preserve">to </w:t>
      </w:r>
      <w:r w:rsidR="0046159B">
        <w:rPr>
          <w:szCs w:val="22"/>
        </w:rPr>
        <w:t>ful</w:t>
      </w:r>
      <w:r w:rsidRPr="0057541D" w:rsidR="001A05C2">
        <w:rPr>
          <w:szCs w:val="22"/>
        </w:rPr>
        <w:t>fill the reporting</w:t>
      </w:r>
      <w:r w:rsidRPr="0057541D">
        <w:rPr>
          <w:szCs w:val="22"/>
        </w:rPr>
        <w:t xml:space="preserve"> requirements of the Cable Act.</w:t>
      </w:r>
      <w:r>
        <w:rPr>
          <w:rStyle w:val="FootnoteReference"/>
          <w:sz w:val="22"/>
          <w:szCs w:val="22"/>
        </w:rPr>
        <w:footnoteReference w:id="49"/>
      </w:r>
      <w:r w:rsidRPr="0057541D">
        <w:rPr>
          <w:szCs w:val="22"/>
        </w:rPr>
        <w:t xml:space="preserve">  For the survey, we selected communities nationwide at random to be part of the survey sample, chosen from the Commission’s list of cable operators and communities the operators serve.</w:t>
      </w:r>
      <w:r>
        <w:rPr>
          <w:rStyle w:val="FootnoteReference"/>
          <w:sz w:val="22"/>
          <w:szCs w:val="22"/>
        </w:rPr>
        <w:footnoteReference w:id="50"/>
      </w:r>
      <w:r w:rsidRPr="0057541D">
        <w:rPr>
          <w:szCs w:val="22"/>
        </w:rPr>
        <w:t xml:space="preserve">  In choosing our sample, we divided the communities into two groups.  The noncompetitive </w:t>
      </w:r>
      <w:r w:rsidRPr="0057541D" w:rsidR="005B2485">
        <w:rPr>
          <w:szCs w:val="22"/>
        </w:rPr>
        <w:t xml:space="preserve">group of </w:t>
      </w:r>
      <w:r w:rsidRPr="0057541D">
        <w:rPr>
          <w:szCs w:val="22"/>
        </w:rPr>
        <w:t xml:space="preserve">communities were those for which the Commission had not made a finding of effective competition as of January 1, </w:t>
      </w:r>
      <w:r w:rsidRPr="0057541D" w:rsidR="008634B3">
        <w:rPr>
          <w:szCs w:val="22"/>
        </w:rPr>
        <w:t>2016</w:t>
      </w:r>
      <w:r w:rsidRPr="0057541D">
        <w:rPr>
          <w:szCs w:val="22"/>
        </w:rPr>
        <w:t>, and the effective competition communities were those for which the Commission had made such a finding by that date.  We subdivided the two groups into strata</w:t>
      </w:r>
      <w:r w:rsidRPr="0057541D" w:rsidR="0042260A">
        <w:rPr>
          <w:szCs w:val="22"/>
        </w:rPr>
        <w:t xml:space="preserve"> or subgroups</w:t>
      </w:r>
      <w:r w:rsidRPr="0057541D">
        <w:rPr>
          <w:szCs w:val="22"/>
        </w:rPr>
        <w:t>, and selected a sample of communities from each stratum.  For each community, we asked the operator to complete a survey questionnaire that included questions on the prices charged for video programming service offerings as well as other questions related to the operator’s system.  We used the information collected to estimate and compare mean prices, and other statistics, across the different strata of operators and communities</w:t>
      </w:r>
      <w:r w:rsidRPr="0057541D">
        <w:rPr>
          <w:szCs w:val="22"/>
        </w:rPr>
        <w:t>.</w:t>
      </w:r>
    </w:p>
    <w:p w:rsidR="00723E55" w:rsidRPr="0057541D" w:rsidP="004E16D7" w14:paraId="3E59C028" w14:textId="6DF8DCE3">
      <w:pPr>
        <w:pStyle w:val="Paranum0"/>
        <w:numPr>
          <w:ilvl w:val="0"/>
          <w:numId w:val="42"/>
        </w:numPr>
        <w:tabs>
          <w:tab w:val="clear" w:pos="1080"/>
        </w:tabs>
        <w:suppressAutoHyphens/>
        <w:spacing w:after="240"/>
        <w:jc w:val="left"/>
        <w:rPr>
          <w:szCs w:val="22"/>
        </w:rPr>
      </w:pPr>
      <w:r w:rsidRPr="0057541D">
        <w:rPr>
          <w:szCs w:val="22"/>
        </w:rPr>
        <w:t>The survey</w:t>
      </w:r>
      <w:r w:rsidRPr="0057541D" w:rsidR="002804EB">
        <w:rPr>
          <w:szCs w:val="22"/>
        </w:rPr>
        <w:t xml:space="preserve"> divided</w:t>
      </w:r>
      <w:r w:rsidR="001B085F">
        <w:rPr>
          <w:szCs w:val="22"/>
        </w:rPr>
        <w:t xml:space="preserve"> the sampling </w:t>
      </w:r>
      <w:r w:rsidRPr="0057541D" w:rsidR="002804EB">
        <w:rPr>
          <w:szCs w:val="22"/>
        </w:rPr>
        <w:t xml:space="preserve">groups into strata to compare subgroups </w:t>
      </w:r>
      <w:r w:rsidRPr="0057541D">
        <w:rPr>
          <w:szCs w:val="22"/>
        </w:rPr>
        <w:t>of operators</w:t>
      </w:r>
      <w:r w:rsidR="001B085F">
        <w:rPr>
          <w:szCs w:val="22"/>
        </w:rPr>
        <w:t xml:space="preserve"> and</w:t>
      </w:r>
      <w:r>
        <w:rPr>
          <w:szCs w:val="22"/>
        </w:rPr>
        <w:t xml:space="preserve"> to </w:t>
      </w:r>
      <w:r w:rsidRPr="0057541D" w:rsidR="002804EB">
        <w:rPr>
          <w:szCs w:val="22"/>
        </w:rPr>
        <w:t>achieve desirable levels of statistical precision.</w:t>
      </w:r>
      <w:r w:rsidRPr="0057541D">
        <w:rPr>
          <w:szCs w:val="22"/>
        </w:rPr>
        <w:t xml:space="preserve">  In the latter sense, c</w:t>
      </w:r>
      <w:r w:rsidRPr="0057541D" w:rsidR="002804EB">
        <w:rPr>
          <w:szCs w:val="22"/>
        </w:rPr>
        <w:t xml:space="preserve">reating strata in which prices are less disparate than in the group overall tends to increase the efficiency of sampling </w:t>
      </w:r>
      <w:r w:rsidR="0046159B">
        <w:rPr>
          <w:szCs w:val="22"/>
        </w:rPr>
        <w:t>through</w:t>
      </w:r>
      <w:r w:rsidRPr="0057541D" w:rsidR="002804EB">
        <w:rPr>
          <w:szCs w:val="22"/>
        </w:rPr>
        <w:t xml:space="preserve"> reducing </w:t>
      </w:r>
      <w:r w:rsidR="0046159B">
        <w:rPr>
          <w:szCs w:val="22"/>
        </w:rPr>
        <w:t xml:space="preserve">the sampling </w:t>
      </w:r>
      <w:r w:rsidRPr="0057541D" w:rsidR="002804EB">
        <w:rPr>
          <w:szCs w:val="22"/>
        </w:rPr>
        <w:t>variance.</w:t>
      </w:r>
      <w:r>
        <w:rPr>
          <w:rStyle w:val="FootnoteReference"/>
          <w:sz w:val="22"/>
          <w:szCs w:val="22"/>
        </w:rPr>
        <w:footnoteReference w:id="51"/>
      </w:r>
      <w:r w:rsidRPr="0057541D" w:rsidR="002804EB">
        <w:rPr>
          <w:szCs w:val="22"/>
        </w:rPr>
        <w:t xml:space="preserve">  </w:t>
      </w:r>
      <w:r w:rsidRPr="0057541D" w:rsidR="007B4069">
        <w:rPr>
          <w:szCs w:val="22"/>
        </w:rPr>
        <w:t xml:space="preserve">In the noncompetitive group, </w:t>
      </w:r>
      <w:r w:rsidRPr="0057541D">
        <w:rPr>
          <w:szCs w:val="22"/>
        </w:rPr>
        <w:t xml:space="preserve">because there is a correlation between the level of price charged and the operator’s system size, </w:t>
      </w:r>
      <w:r w:rsidRPr="0057541D" w:rsidR="007B4069">
        <w:rPr>
          <w:szCs w:val="22"/>
        </w:rPr>
        <w:t xml:space="preserve">we stratified cable communities according to </w:t>
      </w:r>
      <w:r w:rsidR="00CC3ACA">
        <w:rPr>
          <w:szCs w:val="22"/>
        </w:rPr>
        <w:t xml:space="preserve">the size of the </w:t>
      </w:r>
      <w:r w:rsidRPr="0057541D" w:rsidR="007B4069">
        <w:rPr>
          <w:szCs w:val="22"/>
        </w:rPr>
        <w:t>cable system.</w:t>
      </w:r>
      <w:r w:rsidRPr="0057541D">
        <w:rPr>
          <w:szCs w:val="22"/>
        </w:rPr>
        <w:t xml:space="preserve">  </w:t>
      </w:r>
      <w:r w:rsidR="006D7732">
        <w:rPr>
          <w:szCs w:val="22"/>
        </w:rPr>
        <w:t>Sp</w:t>
      </w:r>
      <w:r w:rsidR="001E5699">
        <w:rPr>
          <w:szCs w:val="22"/>
        </w:rPr>
        <w:t>ecific</w:t>
      </w:r>
      <w:r w:rsidR="006D7732">
        <w:rPr>
          <w:szCs w:val="22"/>
        </w:rPr>
        <w:t>ally</w:t>
      </w:r>
      <w:r w:rsidRPr="0057541D">
        <w:rPr>
          <w:szCs w:val="22"/>
        </w:rPr>
        <w:t>, we</w:t>
      </w:r>
      <w:r w:rsidRPr="0057541D" w:rsidR="002804EB">
        <w:rPr>
          <w:szCs w:val="22"/>
        </w:rPr>
        <w:t xml:space="preserve"> </w:t>
      </w:r>
      <w:r w:rsidR="006D7732">
        <w:rPr>
          <w:szCs w:val="22"/>
        </w:rPr>
        <w:t>divided</w:t>
      </w:r>
      <w:r w:rsidRPr="0057541D" w:rsidR="002804EB">
        <w:rPr>
          <w:szCs w:val="22"/>
        </w:rPr>
        <w:t xml:space="preserve"> noncompetitive communities into five </w:t>
      </w:r>
      <w:r w:rsidR="006D7732">
        <w:rPr>
          <w:szCs w:val="22"/>
        </w:rPr>
        <w:t xml:space="preserve">size </w:t>
      </w:r>
      <w:r w:rsidRPr="0057541D" w:rsidR="002804EB">
        <w:rPr>
          <w:szCs w:val="22"/>
        </w:rPr>
        <w:t>strata – very large, large, medium, small, and very small</w:t>
      </w:r>
      <w:r w:rsidR="006D7732">
        <w:rPr>
          <w:szCs w:val="22"/>
        </w:rPr>
        <w:t xml:space="preserve"> </w:t>
      </w:r>
      <w:r w:rsidRPr="0057541D" w:rsidR="002804EB">
        <w:rPr>
          <w:szCs w:val="22"/>
        </w:rPr>
        <w:t xml:space="preserve">– depending on the number of subscribers </w:t>
      </w:r>
      <w:r w:rsidR="00C1369B">
        <w:rPr>
          <w:szCs w:val="22"/>
        </w:rPr>
        <w:t xml:space="preserve">served by </w:t>
      </w:r>
      <w:r w:rsidRPr="0057541D" w:rsidR="002804EB">
        <w:rPr>
          <w:szCs w:val="22"/>
        </w:rPr>
        <w:t xml:space="preserve">the system </w:t>
      </w:r>
      <w:r w:rsidR="006D7732">
        <w:rPr>
          <w:szCs w:val="22"/>
        </w:rPr>
        <w:t>to which the community is connected</w:t>
      </w:r>
      <w:r w:rsidRPr="0057541D" w:rsidR="002804EB">
        <w:rPr>
          <w:szCs w:val="22"/>
        </w:rPr>
        <w:t>.</w:t>
      </w:r>
      <w:r>
        <w:rPr>
          <w:rStyle w:val="FootnoteReference"/>
          <w:szCs w:val="22"/>
        </w:rPr>
        <w:footnoteReference w:id="52"/>
      </w:r>
      <w:r w:rsidRPr="006D7732" w:rsidR="006D7732">
        <w:rPr>
          <w:szCs w:val="22"/>
        </w:rPr>
        <w:t xml:space="preserve"> </w:t>
      </w:r>
      <w:r>
        <w:rPr>
          <w:szCs w:val="22"/>
        </w:rPr>
        <w:t xml:space="preserve">  A</w:t>
      </w:r>
      <w:r w:rsidRPr="0057541D">
        <w:rPr>
          <w:szCs w:val="22"/>
        </w:rPr>
        <w:t>ttachment 1 provides additional information on the</w:t>
      </w:r>
      <w:r w:rsidR="0046159B">
        <w:rPr>
          <w:szCs w:val="22"/>
        </w:rPr>
        <w:t>se</w:t>
      </w:r>
      <w:r w:rsidRPr="0057541D">
        <w:rPr>
          <w:szCs w:val="22"/>
        </w:rPr>
        <w:t xml:space="preserve"> sampl</w:t>
      </w:r>
      <w:r w:rsidR="0046159B">
        <w:rPr>
          <w:szCs w:val="22"/>
        </w:rPr>
        <w:t>ing</w:t>
      </w:r>
      <w:r w:rsidRPr="0057541D">
        <w:rPr>
          <w:szCs w:val="22"/>
        </w:rPr>
        <w:t xml:space="preserve"> groups and strata</w:t>
      </w:r>
      <w:r w:rsidR="0046159B">
        <w:rPr>
          <w:szCs w:val="22"/>
        </w:rPr>
        <w:t xml:space="preserve"> designed for our survey</w:t>
      </w:r>
      <w:r w:rsidRPr="0057541D">
        <w:rPr>
          <w:szCs w:val="22"/>
        </w:rPr>
        <w:t>.</w:t>
      </w:r>
    </w:p>
    <w:p w:rsidR="001E5699" w:rsidP="006850FA" w14:paraId="142D844B" w14:textId="79423985">
      <w:pPr>
        <w:pStyle w:val="Paranum0"/>
        <w:widowControl/>
        <w:numPr>
          <w:ilvl w:val="0"/>
          <w:numId w:val="42"/>
        </w:numPr>
        <w:tabs>
          <w:tab w:val="clear" w:pos="1080"/>
        </w:tabs>
        <w:suppressAutoHyphens/>
        <w:spacing w:after="240"/>
        <w:jc w:val="left"/>
        <w:rPr>
          <w:szCs w:val="22"/>
        </w:rPr>
      </w:pPr>
      <w:r w:rsidRPr="002804EB">
        <w:rPr>
          <w:szCs w:val="22"/>
        </w:rPr>
        <w:t xml:space="preserve">We stratified the effective competition cable operators and communities into four strata </w:t>
      </w:r>
      <w:r w:rsidR="00C1369B">
        <w:rPr>
          <w:szCs w:val="22"/>
        </w:rPr>
        <w:t>according to</w:t>
      </w:r>
      <w:r w:rsidRPr="002804EB">
        <w:rPr>
          <w:szCs w:val="22"/>
        </w:rPr>
        <w:t xml:space="preserve"> the basis for which the Commission made a finding of effective competition.</w:t>
      </w:r>
      <w:r w:rsidR="00723E55">
        <w:rPr>
          <w:szCs w:val="22"/>
        </w:rPr>
        <w:t xml:space="preserve">  </w:t>
      </w:r>
      <w:r w:rsidR="002B7F03">
        <w:rPr>
          <w:szCs w:val="22"/>
        </w:rPr>
        <w:t xml:space="preserve">Two </w:t>
      </w:r>
      <w:r w:rsidR="006D7732">
        <w:rPr>
          <w:szCs w:val="22"/>
        </w:rPr>
        <w:t xml:space="preserve">of the </w:t>
      </w:r>
      <w:r w:rsidR="002B7F03">
        <w:rPr>
          <w:szCs w:val="22"/>
        </w:rPr>
        <w:t xml:space="preserve">strata </w:t>
      </w:r>
      <w:r w:rsidR="0057541D">
        <w:rPr>
          <w:szCs w:val="22"/>
        </w:rPr>
        <w:t>consisted of operators in</w:t>
      </w:r>
      <w:r w:rsidR="00723E55">
        <w:rPr>
          <w:szCs w:val="22"/>
        </w:rPr>
        <w:t xml:space="preserve"> cable overbuild </w:t>
      </w:r>
      <w:r w:rsidR="006D7732">
        <w:rPr>
          <w:szCs w:val="22"/>
        </w:rPr>
        <w:t>locales</w:t>
      </w:r>
      <w:r w:rsidR="00723E55">
        <w:rPr>
          <w:szCs w:val="22"/>
        </w:rPr>
        <w:t xml:space="preserve"> </w:t>
      </w:r>
      <w:r w:rsidR="002B7F03">
        <w:rPr>
          <w:szCs w:val="22"/>
        </w:rPr>
        <w:t xml:space="preserve">– </w:t>
      </w:r>
      <w:r w:rsidR="006D7732">
        <w:rPr>
          <w:szCs w:val="22"/>
        </w:rPr>
        <w:t>locations</w:t>
      </w:r>
      <w:r w:rsidR="002B7F03">
        <w:rPr>
          <w:szCs w:val="22"/>
        </w:rPr>
        <w:t xml:space="preserve"> with a finding made on the basis of the presence of a</w:t>
      </w:r>
      <w:r w:rsidR="0057541D">
        <w:rPr>
          <w:szCs w:val="22"/>
        </w:rPr>
        <w:t xml:space="preserve"> second </w:t>
      </w:r>
      <w:r w:rsidR="002B7F03">
        <w:rPr>
          <w:szCs w:val="22"/>
        </w:rPr>
        <w:t xml:space="preserve">“rival” </w:t>
      </w:r>
      <w:r w:rsidR="0057541D">
        <w:rPr>
          <w:szCs w:val="22"/>
        </w:rPr>
        <w:t>cable operator</w:t>
      </w:r>
      <w:r w:rsidR="002B7F03">
        <w:rPr>
          <w:szCs w:val="22"/>
        </w:rPr>
        <w:t>.  The first stratum con</w:t>
      </w:r>
      <w:r w:rsidR="0046159B">
        <w:rPr>
          <w:szCs w:val="22"/>
        </w:rPr>
        <w:t>sisted of</w:t>
      </w:r>
      <w:r w:rsidR="006D7732">
        <w:rPr>
          <w:szCs w:val="22"/>
        </w:rPr>
        <w:t xml:space="preserve"> </w:t>
      </w:r>
      <w:r w:rsidR="002B7F03">
        <w:rPr>
          <w:szCs w:val="22"/>
        </w:rPr>
        <w:t>incumbent</w:t>
      </w:r>
      <w:r w:rsidR="006D7732">
        <w:rPr>
          <w:szCs w:val="22"/>
        </w:rPr>
        <w:t xml:space="preserve"> operators and</w:t>
      </w:r>
      <w:r w:rsidR="0057541D">
        <w:rPr>
          <w:szCs w:val="22"/>
        </w:rPr>
        <w:t xml:space="preserve"> the second </w:t>
      </w:r>
      <w:r w:rsidR="006D7732">
        <w:rPr>
          <w:szCs w:val="22"/>
        </w:rPr>
        <w:t>consisted of the r</w:t>
      </w:r>
      <w:r w:rsidR="00723E55">
        <w:rPr>
          <w:szCs w:val="22"/>
        </w:rPr>
        <w:t>ival cable operator</w:t>
      </w:r>
      <w:r w:rsidR="0057541D">
        <w:rPr>
          <w:szCs w:val="22"/>
        </w:rPr>
        <w:t>s</w:t>
      </w:r>
      <w:r w:rsidR="006D7732">
        <w:rPr>
          <w:szCs w:val="22"/>
        </w:rPr>
        <w:t xml:space="preserve"> in these overbuild areas</w:t>
      </w:r>
      <w:r w:rsidR="00723E55">
        <w:rPr>
          <w:szCs w:val="22"/>
        </w:rPr>
        <w:t>.</w:t>
      </w:r>
      <w:r w:rsidRPr="002804EB">
        <w:rPr>
          <w:szCs w:val="22"/>
        </w:rPr>
        <w:t xml:space="preserve">  Cable operators in the incumbent stratum have sometimes cited municipals as rivals.  Municipals cited as such are included in th</w:t>
      </w:r>
      <w:r w:rsidR="0046159B">
        <w:rPr>
          <w:szCs w:val="22"/>
        </w:rPr>
        <w:t>is</w:t>
      </w:r>
      <w:r w:rsidRPr="002804EB">
        <w:rPr>
          <w:szCs w:val="22"/>
        </w:rPr>
        <w:t xml:space="preserve"> rival s</w:t>
      </w:r>
      <w:r w:rsidR="002B7F03">
        <w:rPr>
          <w:szCs w:val="22"/>
        </w:rPr>
        <w:t>tratum</w:t>
      </w:r>
      <w:r w:rsidRPr="002804EB">
        <w:rPr>
          <w:szCs w:val="22"/>
        </w:rPr>
        <w:t xml:space="preserve"> and a number are included in our survey.  The other municipal cable operators are in the groups of operators without an effective competition finding and some of these operators are in our sample</w:t>
      </w:r>
      <w:r w:rsidR="0046159B">
        <w:rPr>
          <w:szCs w:val="22"/>
        </w:rPr>
        <w:t xml:space="preserve"> as well</w:t>
      </w:r>
      <w:r w:rsidRPr="002804EB">
        <w:rPr>
          <w:szCs w:val="22"/>
        </w:rPr>
        <w:t>.</w:t>
      </w:r>
      <w:r w:rsidRPr="001E5699">
        <w:rPr>
          <w:szCs w:val="22"/>
        </w:rPr>
        <w:t xml:space="preserve"> </w:t>
      </w:r>
      <w:r>
        <w:rPr>
          <w:szCs w:val="22"/>
        </w:rPr>
        <w:t>F</w:t>
      </w:r>
      <w:r w:rsidR="00CC3ACA">
        <w:rPr>
          <w:szCs w:val="22"/>
        </w:rPr>
        <w:t>inally</w:t>
      </w:r>
      <w:r>
        <w:rPr>
          <w:szCs w:val="22"/>
        </w:rPr>
        <w:t xml:space="preserve">, some incumbents in </w:t>
      </w:r>
      <w:r w:rsidR="0046159B">
        <w:rPr>
          <w:szCs w:val="22"/>
        </w:rPr>
        <w:t xml:space="preserve">overbuild areas in their </w:t>
      </w:r>
      <w:r>
        <w:rPr>
          <w:szCs w:val="22"/>
        </w:rPr>
        <w:t xml:space="preserve">effective competition petitions cited </w:t>
      </w:r>
      <w:r w:rsidRPr="002804EB">
        <w:rPr>
          <w:szCs w:val="22"/>
        </w:rPr>
        <w:t>AT&amp;T U-verse</w:t>
      </w:r>
      <w:r>
        <w:rPr>
          <w:szCs w:val="22"/>
        </w:rPr>
        <w:t xml:space="preserve"> as a rival service, however the survey did not collect </w:t>
      </w:r>
      <w:r w:rsidR="0046159B">
        <w:rPr>
          <w:szCs w:val="22"/>
        </w:rPr>
        <w:t>prices with regard to</w:t>
      </w:r>
      <w:r>
        <w:rPr>
          <w:szCs w:val="22"/>
        </w:rPr>
        <w:t xml:space="preserve"> U-Verse</w:t>
      </w:r>
      <w:r w:rsidR="0046159B">
        <w:rPr>
          <w:szCs w:val="22"/>
        </w:rPr>
        <w:t>,</w:t>
      </w:r>
      <w:r w:rsidRPr="001E5699" w:rsidR="0046159B">
        <w:t xml:space="preserve"> because</w:t>
      </w:r>
      <w:r w:rsidR="0046159B">
        <w:t xml:space="preserve"> these systems </w:t>
      </w:r>
      <w:r w:rsidRPr="001E5699" w:rsidR="0046159B">
        <w:t xml:space="preserve">are not registered </w:t>
      </w:r>
      <w:r w:rsidR="0046159B">
        <w:t xml:space="preserve">cable </w:t>
      </w:r>
      <w:r w:rsidRPr="001E5699" w:rsidR="0046159B">
        <w:t>operators</w:t>
      </w:r>
      <w:r w:rsidR="0046159B">
        <w:t xml:space="preserve"> with the Commission</w:t>
      </w:r>
      <w:r w:rsidRPr="001E5699" w:rsidR="0046159B">
        <w:t>.  The Commission</w:t>
      </w:r>
      <w:r w:rsidR="0046159B">
        <w:t>,</w:t>
      </w:r>
      <w:r w:rsidRPr="001E5699" w:rsidR="0046159B">
        <w:t xml:space="preserve"> however</w:t>
      </w:r>
      <w:r w:rsidR="0046159B">
        <w:t>,</w:t>
      </w:r>
      <w:r w:rsidRPr="001E5699" w:rsidR="0046159B">
        <w:t xml:space="preserve"> considers U-verse </w:t>
      </w:r>
      <w:r w:rsidR="0046159B">
        <w:t xml:space="preserve">as a </w:t>
      </w:r>
      <w:r w:rsidRPr="001E5699" w:rsidR="0046159B">
        <w:t>compet</w:t>
      </w:r>
      <w:r w:rsidR="0046159B">
        <w:t>ing service</w:t>
      </w:r>
      <w:r w:rsidRPr="001E5699" w:rsidR="0046159B">
        <w:t xml:space="preserve"> for assessing effective competition</w:t>
      </w:r>
      <w:r w:rsidR="0046159B">
        <w:t>.</w:t>
      </w:r>
    </w:p>
    <w:p w:rsidR="002804EB" w:rsidRPr="002804EB" w:rsidP="004E16D7" w14:paraId="3138E8D8" w14:textId="26F87150">
      <w:pPr>
        <w:pStyle w:val="Paranum0"/>
        <w:numPr>
          <w:ilvl w:val="0"/>
          <w:numId w:val="42"/>
        </w:numPr>
        <w:tabs>
          <w:tab w:val="clear" w:pos="1080"/>
        </w:tabs>
        <w:suppressAutoHyphens/>
        <w:spacing w:after="240"/>
        <w:jc w:val="left"/>
        <w:rPr>
          <w:szCs w:val="22"/>
        </w:rPr>
      </w:pPr>
      <w:r w:rsidRPr="002804EB">
        <w:rPr>
          <w:szCs w:val="22"/>
        </w:rPr>
        <w:t xml:space="preserve">The third </w:t>
      </w:r>
      <w:r w:rsidR="00831B6C">
        <w:rPr>
          <w:szCs w:val="22"/>
        </w:rPr>
        <w:t xml:space="preserve">of the four strata of the effective competition group </w:t>
      </w:r>
      <w:r w:rsidR="0046159B">
        <w:rPr>
          <w:szCs w:val="22"/>
        </w:rPr>
        <w:t xml:space="preserve">of operators consisted of </w:t>
      </w:r>
      <w:r w:rsidRPr="002804EB">
        <w:rPr>
          <w:szCs w:val="22"/>
        </w:rPr>
        <w:t xml:space="preserve">communities with a finding of effective competition based on </w:t>
      </w:r>
      <w:r w:rsidR="0046159B">
        <w:rPr>
          <w:szCs w:val="22"/>
        </w:rPr>
        <w:t>DBS subscribers exceeding the threshold</w:t>
      </w:r>
      <w:r w:rsidRPr="002804EB">
        <w:rPr>
          <w:szCs w:val="22"/>
        </w:rPr>
        <w:t xml:space="preserve"> level</w:t>
      </w:r>
      <w:r w:rsidR="0046159B">
        <w:rPr>
          <w:szCs w:val="22"/>
        </w:rPr>
        <w:t xml:space="preserve"> under the Cable Act’s statutory test.</w:t>
      </w:r>
      <w:r w:rsidRPr="002804EB">
        <w:rPr>
          <w:szCs w:val="22"/>
        </w:rPr>
        <w:t xml:space="preserve"> </w:t>
      </w:r>
      <w:r w:rsidR="0046159B">
        <w:rPr>
          <w:szCs w:val="22"/>
        </w:rPr>
        <w:t xml:space="preserve"> Note that t</w:t>
      </w:r>
      <w:r w:rsidRPr="00831B6C" w:rsidR="00831B6C">
        <w:rPr>
          <w:szCs w:val="22"/>
        </w:rPr>
        <w:t>h</w:t>
      </w:r>
      <w:r w:rsidR="0046159B">
        <w:rPr>
          <w:szCs w:val="22"/>
        </w:rPr>
        <w:t xml:space="preserve">e DBS </w:t>
      </w:r>
      <w:r w:rsidR="00831B6C">
        <w:rPr>
          <w:szCs w:val="22"/>
        </w:rPr>
        <w:t xml:space="preserve">stratum </w:t>
      </w:r>
      <w:r w:rsidR="0046159B">
        <w:rPr>
          <w:szCs w:val="22"/>
        </w:rPr>
        <w:t xml:space="preserve">does not include DBS providers, only cable operators whose petitions were </w:t>
      </w:r>
      <w:r w:rsidR="00104A97">
        <w:rPr>
          <w:szCs w:val="22"/>
        </w:rPr>
        <w:t xml:space="preserve">granted </w:t>
      </w:r>
      <w:r w:rsidR="0046159B">
        <w:rPr>
          <w:szCs w:val="22"/>
        </w:rPr>
        <w:t>on the basis of DBS competition.</w:t>
      </w:r>
      <w:r w:rsidR="00831B6C">
        <w:rPr>
          <w:szCs w:val="22"/>
        </w:rPr>
        <w:t xml:space="preserve">  </w:t>
      </w:r>
      <w:r w:rsidRPr="00831B6C" w:rsidR="00831B6C">
        <w:rPr>
          <w:szCs w:val="22"/>
        </w:rPr>
        <w:t>DBS</w:t>
      </w:r>
      <w:r w:rsidR="00831B6C">
        <w:rPr>
          <w:szCs w:val="22"/>
        </w:rPr>
        <w:t xml:space="preserve"> </w:t>
      </w:r>
      <w:r w:rsidR="0046159B">
        <w:rPr>
          <w:szCs w:val="22"/>
        </w:rPr>
        <w:t>providers</w:t>
      </w:r>
      <w:r w:rsidR="00831B6C">
        <w:rPr>
          <w:szCs w:val="22"/>
        </w:rPr>
        <w:t xml:space="preserve"> are not registered </w:t>
      </w:r>
      <w:r w:rsidR="0046159B">
        <w:rPr>
          <w:szCs w:val="22"/>
        </w:rPr>
        <w:t>with the Commission as cable operators.</w:t>
      </w:r>
      <w:r w:rsidR="00CC3ACA">
        <w:rPr>
          <w:szCs w:val="22"/>
        </w:rPr>
        <w:t xml:space="preserve"> The fourth and final stratum of the effective competition group consisted</w:t>
      </w:r>
      <w:r w:rsidRPr="002804EB">
        <w:rPr>
          <w:szCs w:val="22"/>
        </w:rPr>
        <w:t xml:space="preserve"> of communities within range of a wireless MVPD </w:t>
      </w:r>
      <w:r w:rsidR="0046159B">
        <w:rPr>
          <w:szCs w:val="22"/>
        </w:rPr>
        <w:t xml:space="preserve">system </w:t>
      </w:r>
      <w:r w:rsidRPr="002804EB">
        <w:rPr>
          <w:szCs w:val="22"/>
        </w:rPr>
        <w:t xml:space="preserve">or </w:t>
      </w:r>
      <w:r w:rsidR="00101439">
        <w:rPr>
          <w:szCs w:val="22"/>
        </w:rPr>
        <w:t>that</w:t>
      </w:r>
      <w:r w:rsidRPr="002804EB" w:rsidR="00101439">
        <w:rPr>
          <w:szCs w:val="22"/>
        </w:rPr>
        <w:t xml:space="preserve"> </w:t>
      </w:r>
      <w:r w:rsidRPr="002804EB">
        <w:rPr>
          <w:szCs w:val="22"/>
        </w:rPr>
        <w:t xml:space="preserve">met the low penetration test </w:t>
      </w:r>
      <w:r w:rsidR="00CC3ACA">
        <w:rPr>
          <w:szCs w:val="22"/>
        </w:rPr>
        <w:t>as a result of</w:t>
      </w:r>
      <w:r w:rsidRPr="002804EB">
        <w:rPr>
          <w:szCs w:val="22"/>
        </w:rPr>
        <w:t xml:space="preserve"> serving fewer than 30 percent of </w:t>
      </w:r>
      <w:r w:rsidR="0057541D">
        <w:rPr>
          <w:szCs w:val="22"/>
        </w:rPr>
        <w:t xml:space="preserve">MVPD </w:t>
      </w:r>
      <w:r w:rsidRPr="002804EB">
        <w:rPr>
          <w:szCs w:val="22"/>
        </w:rPr>
        <w:t>households in th</w:t>
      </w:r>
      <w:r w:rsidR="0046159B">
        <w:rPr>
          <w:szCs w:val="22"/>
        </w:rPr>
        <w:t>e</w:t>
      </w:r>
      <w:r w:rsidRPr="002804EB">
        <w:rPr>
          <w:szCs w:val="22"/>
        </w:rPr>
        <w:t xml:space="preserve"> community.</w:t>
      </w:r>
      <w:r>
        <w:rPr>
          <w:rStyle w:val="FootnoteReference"/>
          <w:sz w:val="22"/>
          <w:szCs w:val="22"/>
        </w:rPr>
        <w:footnoteReference w:id="53"/>
      </w:r>
      <w:r w:rsidR="00CC3ACA">
        <w:rPr>
          <w:szCs w:val="22"/>
        </w:rPr>
        <w:t xml:space="preserve">  </w:t>
      </w:r>
      <w:r w:rsidR="0046159B">
        <w:rPr>
          <w:szCs w:val="22"/>
        </w:rPr>
        <w:t>Similar to U-verse and DBS, w</w:t>
      </w:r>
      <w:r w:rsidR="00CC3ACA">
        <w:rPr>
          <w:szCs w:val="22"/>
        </w:rPr>
        <w:t>ireless</w:t>
      </w:r>
      <w:r w:rsidRPr="002804EB">
        <w:rPr>
          <w:szCs w:val="22"/>
        </w:rPr>
        <w:t xml:space="preserve"> </w:t>
      </w:r>
      <w:r w:rsidR="00CC3ACA">
        <w:rPr>
          <w:szCs w:val="22"/>
        </w:rPr>
        <w:t xml:space="preserve">systems are not registered cable operators and as such </w:t>
      </w:r>
      <w:r w:rsidR="0046159B">
        <w:rPr>
          <w:szCs w:val="22"/>
        </w:rPr>
        <w:t>were</w:t>
      </w:r>
      <w:r w:rsidR="00CC3ACA">
        <w:rPr>
          <w:szCs w:val="22"/>
        </w:rPr>
        <w:t xml:space="preserve"> not included in the survey</w:t>
      </w:r>
      <w:r w:rsidR="0046159B">
        <w:rPr>
          <w:szCs w:val="22"/>
        </w:rPr>
        <w:t xml:space="preserve"> sample</w:t>
      </w:r>
      <w:r w:rsidR="00CC3ACA">
        <w:rPr>
          <w:szCs w:val="22"/>
        </w:rPr>
        <w:t>.</w:t>
      </w:r>
    </w:p>
    <w:p w:rsidR="002804EB" w:rsidP="004E16D7" w14:paraId="6F4977C3" w14:textId="452B097D">
      <w:pPr>
        <w:pStyle w:val="Paranum0"/>
        <w:numPr>
          <w:ilvl w:val="0"/>
          <w:numId w:val="42"/>
        </w:numPr>
        <w:tabs>
          <w:tab w:val="clear" w:pos="1080"/>
        </w:tabs>
        <w:suppressAutoHyphens/>
        <w:spacing w:after="240"/>
        <w:jc w:val="left"/>
        <w:rPr>
          <w:szCs w:val="22"/>
        </w:rPr>
      </w:pPr>
      <w:r w:rsidRPr="002804EB">
        <w:rPr>
          <w:szCs w:val="22"/>
        </w:rPr>
        <w:t>We determined that 800 observations of communitie</w:t>
      </w:r>
      <w:r w:rsidR="0046159B">
        <w:rPr>
          <w:szCs w:val="22"/>
        </w:rPr>
        <w:t>s</w:t>
      </w:r>
      <w:r w:rsidR="00306BE6">
        <w:rPr>
          <w:szCs w:val="22"/>
        </w:rPr>
        <w:t xml:space="preserve">, </w:t>
      </w:r>
      <w:r w:rsidRPr="002804EB" w:rsidR="00306BE6">
        <w:rPr>
          <w:szCs w:val="22"/>
        </w:rPr>
        <w:t>divided between the two sampling groups</w:t>
      </w:r>
      <w:r w:rsidR="00104A97">
        <w:rPr>
          <w:szCs w:val="22"/>
        </w:rPr>
        <w:t>,</w:t>
      </w:r>
      <w:r w:rsidRPr="002804EB">
        <w:rPr>
          <w:szCs w:val="22"/>
        </w:rPr>
        <w:t xml:space="preserve"> were required for statistical precision.  To determine the number to allocate </w:t>
      </w:r>
      <w:r w:rsidR="00306BE6">
        <w:rPr>
          <w:szCs w:val="22"/>
        </w:rPr>
        <w:t>to</w:t>
      </w:r>
      <w:r w:rsidRPr="002804EB">
        <w:rPr>
          <w:szCs w:val="22"/>
        </w:rPr>
        <w:t xml:space="preserve"> each group, we used a </w:t>
      </w:r>
      <w:r w:rsidR="00481AAA">
        <w:rPr>
          <w:szCs w:val="22"/>
        </w:rPr>
        <w:t xml:space="preserve">standard </w:t>
      </w:r>
      <w:r w:rsidRPr="002804EB">
        <w:rPr>
          <w:szCs w:val="22"/>
        </w:rPr>
        <w:t xml:space="preserve">sampling size formula calibrated to yield sample price means within one percent of </w:t>
      </w:r>
      <w:r w:rsidR="00481AAA">
        <w:rPr>
          <w:szCs w:val="22"/>
        </w:rPr>
        <w:t xml:space="preserve">the </w:t>
      </w:r>
      <w:r w:rsidRPr="002804EB">
        <w:rPr>
          <w:szCs w:val="22"/>
        </w:rPr>
        <w:t>actual price means at a 95 percent confidence level.</w:t>
      </w:r>
      <w:r>
        <w:rPr>
          <w:rStyle w:val="FootnoteReference"/>
          <w:sz w:val="22"/>
          <w:szCs w:val="22"/>
        </w:rPr>
        <w:footnoteReference w:id="54"/>
      </w:r>
      <w:r w:rsidRPr="002804EB">
        <w:rPr>
          <w:szCs w:val="22"/>
        </w:rPr>
        <w:t xml:space="preserve">  </w:t>
      </w:r>
      <w:r w:rsidR="00481AAA">
        <w:rPr>
          <w:szCs w:val="22"/>
        </w:rPr>
        <w:t xml:space="preserve">After determining </w:t>
      </w:r>
      <w:r w:rsidR="00306BE6">
        <w:rPr>
          <w:szCs w:val="22"/>
        </w:rPr>
        <w:t>the</w:t>
      </w:r>
      <w:r w:rsidR="00481AAA">
        <w:rPr>
          <w:szCs w:val="22"/>
        </w:rPr>
        <w:t xml:space="preserve"> overall sample size</w:t>
      </w:r>
      <w:r w:rsidR="00306BE6">
        <w:rPr>
          <w:szCs w:val="22"/>
        </w:rPr>
        <w:t xml:space="preserve"> for each group</w:t>
      </w:r>
      <w:r w:rsidR="00481AAA">
        <w:rPr>
          <w:szCs w:val="22"/>
        </w:rPr>
        <w:t>, w</w:t>
      </w:r>
      <w:r w:rsidRPr="002804EB">
        <w:rPr>
          <w:szCs w:val="22"/>
        </w:rPr>
        <w:t xml:space="preserve">e then allocated the number of selections </w:t>
      </w:r>
      <w:r w:rsidR="00CC3ACA">
        <w:rPr>
          <w:szCs w:val="22"/>
        </w:rPr>
        <w:t>among</w:t>
      </w:r>
      <w:r w:rsidRPr="002804EB">
        <w:rPr>
          <w:szCs w:val="22"/>
        </w:rPr>
        <w:t xml:space="preserve"> the strata.  Allocation methods generally emphasize two criteria</w:t>
      </w:r>
      <w:r w:rsidR="00D617A6">
        <w:rPr>
          <w:szCs w:val="22"/>
        </w:rPr>
        <w:t>.  First,</w:t>
      </w:r>
      <w:r w:rsidRPr="002804EB">
        <w:rPr>
          <w:szCs w:val="22"/>
        </w:rPr>
        <w:t xml:space="preserve"> selections allocated to a stratum </w:t>
      </w:r>
      <w:r w:rsidR="00D617A6">
        <w:rPr>
          <w:szCs w:val="22"/>
        </w:rPr>
        <w:t>are higher</w:t>
      </w:r>
      <w:r w:rsidRPr="002804EB">
        <w:rPr>
          <w:szCs w:val="22"/>
        </w:rPr>
        <w:t xml:space="preserve"> relative to other strata in proportion to </w:t>
      </w:r>
      <w:r w:rsidR="00481AAA">
        <w:rPr>
          <w:szCs w:val="22"/>
        </w:rPr>
        <w:t xml:space="preserve">the </w:t>
      </w:r>
      <w:r w:rsidRPr="002804EB">
        <w:rPr>
          <w:szCs w:val="22"/>
        </w:rPr>
        <w:t xml:space="preserve">population </w:t>
      </w:r>
      <w:r w:rsidR="00D617A6">
        <w:rPr>
          <w:szCs w:val="22"/>
        </w:rPr>
        <w:t xml:space="preserve">or other size measure; in our case, the number of cable subscribers.  Second, more selections are allocated the higher the dispersion of a key variable </w:t>
      </w:r>
      <w:r w:rsidR="00481AAA">
        <w:rPr>
          <w:szCs w:val="22"/>
        </w:rPr>
        <w:t>to be measured in the survey</w:t>
      </w:r>
      <w:r w:rsidR="00306BE6">
        <w:rPr>
          <w:szCs w:val="22"/>
        </w:rPr>
        <w:t xml:space="preserve"> is</w:t>
      </w:r>
      <w:r w:rsidR="00481AAA">
        <w:rPr>
          <w:szCs w:val="22"/>
        </w:rPr>
        <w:t>; in our case, the price of expanded basic programming service.  The sampling size formula we employed accounted for both these criteria.  In addition,</w:t>
      </w:r>
      <w:r w:rsidRPr="002804EB">
        <w:rPr>
          <w:szCs w:val="22"/>
        </w:rPr>
        <w:t xml:space="preserve"> we adjusted each allocation by a non-response factor.</w:t>
      </w:r>
      <w:r>
        <w:rPr>
          <w:rStyle w:val="FootnoteReference"/>
          <w:sz w:val="22"/>
          <w:szCs w:val="22"/>
        </w:rPr>
        <w:footnoteReference w:id="55"/>
      </w:r>
      <w:r w:rsidRPr="002804EB">
        <w:rPr>
          <w:szCs w:val="22"/>
        </w:rPr>
        <w:t xml:space="preserve">  After completing the allocations, 42 of the 800 overall selections remained.  We assigned these 42 </w:t>
      </w:r>
      <w:r w:rsidR="00481AAA">
        <w:rPr>
          <w:szCs w:val="22"/>
        </w:rPr>
        <w:t xml:space="preserve">remaining </w:t>
      </w:r>
      <w:r w:rsidRPr="002804EB">
        <w:rPr>
          <w:szCs w:val="22"/>
        </w:rPr>
        <w:t>observations among the incumbent and rival s</w:t>
      </w:r>
      <w:r w:rsidR="00481AAA">
        <w:rPr>
          <w:szCs w:val="22"/>
        </w:rPr>
        <w:t>trata</w:t>
      </w:r>
      <w:r w:rsidRPr="002804EB">
        <w:rPr>
          <w:szCs w:val="22"/>
        </w:rPr>
        <w:t xml:space="preserve"> </w:t>
      </w:r>
      <w:r w:rsidR="00F83DA4">
        <w:rPr>
          <w:szCs w:val="22"/>
        </w:rPr>
        <w:t>because</w:t>
      </w:r>
      <w:r w:rsidRPr="002804EB">
        <w:rPr>
          <w:szCs w:val="22"/>
        </w:rPr>
        <w:t xml:space="preserve"> these strata were of particular interest to the survey, yet had relatively few selections.  Attachment 1 reports sample sizes for all strata.</w:t>
      </w:r>
    </w:p>
    <w:p w:rsidR="002804EB" w:rsidRPr="002804EB" w:rsidP="004E16D7" w14:paraId="7084771D" w14:textId="1F17E26C">
      <w:pPr>
        <w:pStyle w:val="Paranum0"/>
        <w:numPr>
          <w:ilvl w:val="0"/>
          <w:numId w:val="42"/>
        </w:numPr>
        <w:tabs>
          <w:tab w:val="clear" w:pos="1080"/>
        </w:tabs>
        <w:suppressAutoHyphens/>
        <w:spacing w:after="240"/>
        <w:jc w:val="left"/>
        <w:rPr>
          <w:szCs w:val="22"/>
        </w:rPr>
      </w:pPr>
      <w:r w:rsidRPr="002804EB">
        <w:rPr>
          <w:szCs w:val="22"/>
        </w:rPr>
        <w:t xml:space="preserve">After </w:t>
      </w:r>
      <w:r>
        <w:rPr>
          <w:szCs w:val="22"/>
        </w:rPr>
        <w:t>allocating</w:t>
      </w:r>
      <w:r w:rsidRPr="002804EB">
        <w:rPr>
          <w:szCs w:val="22"/>
        </w:rPr>
        <w:t xml:space="preserve"> the number of sample selections using the process described above, we drew independent samples of communities from the strata,</w:t>
      </w:r>
      <w:r>
        <w:rPr>
          <w:rStyle w:val="FootnoteReference"/>
          <w:sz w:val="22"/>
          <w:szCs w:val="22"/>
        </w:rPr>
        <w:footnoteReference w:id="56"/>
      </w:r>
      <w:r w:rsidRPr="002804EB">
        <w:rPr>
          <w:szCs w:val="22"/>
        </w:rPr>
        <w:t xml:space="preserve"> using probability proportional to size (PPS) sampling without replacement.</w:t>
      </w:r>
      <w:r>
        <w:rPr>
          <w:rStyle w:val="FootnoteReference"/>
          <w:sz w:val="22"/>
          <w:szCs w:val="22"/>
        </w:rPr>
        <w:footnoteReference w:id="57"/>
      </w:r>
      <w:r w:rsidRPr="002804EB">
        <w:rPr>
          <w:szCs w:val="22"/>
        </w:rPr>
        <w:t xml:space="preserve">  A PPS design is efficient for our survey because of the correlation between the relative size of a community in terms of the number of subscribers and our </w:t>
      </w:r>
      <w:r w:rsidR="00135D3E">
        <w:rPr>
          <w:szCs w:val="22"/>
        </w:rPr>
        <w:t>key</w:t>
      </w:r>
      <w:r w:rsidRPr="002804EB">
        <w:rPr>
          <w:szCs w:val="22"/>
        </w:rPr>
        <w:t xml:space="preserve"> survey study variable (price).</w:t>
      </w:r>
      <w:r>
        <w:rPr>
          <w:rStyle w:val="FootnoteReference"/>
          <w:sz w:val="22"/>
          <w:szCs w:val="22"/>
        </w:rPr>
        <w:footnoteReference w:id="58"/>
      </w:r>
      <w:r w:rsidRPr="002804EB">
        <w:rPr>
          <w:szCs w:val="22"/>
        </w:rPr>
        <w:t xml:space="preserve">  Using the PPS method of sampling, we assigned a selection probability to each community </w:t>
      </w:r>
      <w:r w:rsidR="00135D3E">
        <w:rPr>
          <w:szCs w:val="22"/>
        </w:rPr>
        <w:t>within individual strata in</w:t>
      </w:r>
      <w:r w:rsidRPr="002804EB">
        <w:rPr>
          <w:szCs w:val="22"/>
        </w:rPr>
        <w:t xml:space="preserve"> direct proportion to </w:t>
      </w:r>
      <w:r w:rsidR="00135D3E">
        <w:rPr>
          <w:szCs w:val="22"/>
        </w:rPr>
        <w:t>its</w:t>
      </w:r>
      <w:r w:rsidRPr="002804EB">
        <w:rPr>
          <w:szCs w:val="22"/>
        </w:rPr>
        <w:t xml:space="preserve"> relative number of subscribers.  </w:t>
      </w:r>
      <w:r w:rsidR="00135D3E">
        <w:rPr>
          <w:szCs w:val="22"/>
        </w:rPr>
        <w:t>The high</w:t>
      </w:r>
      <w:r w:rsidRPr="002804EB">
        <w:rPr>
          <w:szCs w:val="22"/>
        </w:rPr>
        <w:t xml:space="preserve">er the level of subscribers </w:t>
      </w:r>
      <w:r w:rsidR="000872E0">
        <w:rPr>
          <w:szCs w:val="22"/>
        </w:rPr>
        <w:t xml:space="preserve">for an operator and community, </w:t>
      </w:r>
      <w:r w:rsidRPr="002804EB">
        <w:rPr>
          <w:szCs w:val="22"/>
        </w:rPr>
        <w:t>relative to other</w:t>
      </w:r>
      <w:r w:rsidR="000872E0">
        <w:rPr>
          <w:szCs w:val="22"/>
        </w:rPr>
        <w:t>s</w:t>
      </w:r>
      <w:r w:rsidRPr="002804EB">
        <w:rPr>
          <w:szCs w:val="22"/>
        </w:rPr>
        <w:t xml:space="preserve"> in the </w:t>
      </w:r>
      <w:r w:rsidR="000872E0">
        <w:rPr>
          <w:szCs w:val="22"/>
        </w:rPr>
        <w:t xml:space="preserve">same </w:t>
      </w:r>
      <w:r w:rsidRPr="002804EB">
        <w:rPr>
          <w:szCs w:val="22"/>
        </w:rPr>
        <w:t>strat</w:t>
      </w:r>
      <w:r w:rsidR="000872E0">
        <w:rPr>
          <w:szCs w:val="22"/>
        </w:rPr>
        <w:t>um</w:t>
      </w:r>
      <w:r w:rsidRPr="002804EB">
        <w:rPr>
          <w:szCs w:val="22"/>
        </w:rPr>
        <w:t>, the higher the likelihood was of selection.  PPS sampling requires sampling selection probability not to exceed one (or 100 percent).  Th</w:t>
      </w:r>
      <w:r w:rsidR="00135D3E">
        <w:rPr>
          <w:szCs w:val="22"/>
        </w:rPr>
        <w:t>us</w:t>
      </w:r>
      <w:r w:rsidRPr="002804EB">
        <w:rPr>
          <w:szCs w:val="22"/>
        </w:rPr>
        <w:t xml:space="preserve">, we </w:t>
      </w:r>
      <w:r w:rsidR="00135D3E">
        <w:rPr>
          <w:szCs w:val="22"/>
        </w:rPr>
        <w:t xml:space="preserve">took the standard approach and </w:t>
      </w:r>
      <w:r w:rsidRPr="002804EB">
        <w:rPr>
          <w:szCs w:val="22"/>
        </w:rPr>
        <w:t>sub-stratified communities whose probability exceeded one into one-unit strata with probability equal to one.</w:t>
      </w:r>
      <w:r>
        <w:rPr>
          <w:rStyle w:val="FootnoteReference"/>
          <w:sz w:val="22"/>
          <w:szCs w:val="22"/>
        </w:rPr>
        <w:footnoteReference w:id="59"/>
      </w:r>
      <w:r w:rsidRPr="002804EB">
        <w:rPr>
          <w:szCs w:val="22"/>
        </w:rPr>
        <w:t xml:space="preserve">  The PPS sample design requires an estimate of the relative number of subscribers in each community.  We estimated the relative sizes using the FCC’s 1994 census of communities, the </w:t>
      </w:r>
      <w:r w:rsidR="000872E0">
        <w:rPr>
          <w:szCs w:val="22"/>
        </w:rPr>
        <w:t>only</w:t>
      </w:r>
      <w:r w:rsidRPr="002804EB">
        <w:rPr>
          <w:szCs w:val="22"/>
        </w:rPr>
        <w:t xml:space="preserve"> census of subscribers at the community level.  If the service areas of two communities merged subsequent to the census, we merged the subscriber counts accordingly.  For the newly registered communities, not part of the census, we estimated the subscriber counts to be equal to the mean number of subscribers for the municipality types</w:t>
      </w:r>
      <w:r w:rsidRPr="002804EB">
        <w:rPr>
          <w:i/>
          <w:szCs w:val="22"/>
        </w:rPr>
        <w:t xml:space="preserve">, </w:t>
      </w:r>
      <w:r w:rsidRPr="002F5E2E">
        <w:rPr>
          <w:szCs w:val="22"/>
        </w:rPr>
        <w:t>i.e.</w:t>
      </w:r>
      <w:r w:rsidRPr="002804EB">
        <w:rPr>
          <w:i/>
          <w:szCs w:val="22"/>
        </w:rPr>
        <w:t>,</w:t>
      </w:r>
      <w:r w:rsidRPr="002804EB">
        <w:rPr>
          <w:szCs w:val="22"/>
        </w:rPr>
        <w:t xml:space="preserve"> an incorporated city, private settlement, </w:t>
      </w:r>
      <w:r w:rsidRPr="002804EB">
        <w:rPr>
          <w:i/>
          <w:szCs w:val="22"/>
        </w:rPr>
        <w:t>etc</w:t>
      </w:r>
      <w:r w:rsidRPr="002804EB">
        <w:rPr>
          <w:szCs w:val="22"/>
        </w:rPr>
        <w:t>.</w:t>
      </w:r>
      <w:r w:rsidR="000872E0">
        <w:rPr>
          <w:szCs w:val="22"/>
        </w:rPr>
        <w:t xml:space="preserve">  We note here that </w:t>
      </w:r>
      <w:r w:rsidR="00135D3E">
        <w:rPr>
          <w:szCs w:val="22"/>
        </w:rPr>
        <w:t xml:space="preserve">for </w:t>
      </w:r>
      <w:r w:rsidR="000872E0">
        <w:rPr>
          <w:szCs w:val="22"/>
        </w:rPr>
        <w:t xml:space="preserve">future surveys </w:t>
      </w:r>
      <w:r w:rsidR="00104A97">
        <w:rPr>
          <w:szCs w:val="22"/>
        </w:rPr>
        <w:t xml:space="preserve">we </w:t>
      </w:r>
      <w:r w:rsidR="000872E0">
        <w:rPr>
          <w:szCs w:val="22"/>
        </w:rPr>
        <w:t xml:space="preserve">will </w:t>
      </w:r>
      <w:r w:rsidR="00135D3E">
        <w:rPr>
          <w:szCs w:val="22"/>
        </w:rPr>
        <w:t>have developed</w:t>
      </w:r>
      <w:r w:rsidR="000872E0">
        <w:rPr>
          <w:szCs w:val="22"/>
        </w:rPr>
        <w:t xml:space="preserve"> a new set of weights based on current estimates of the number of cable subscribers by operator and community.</w:t>
      </w:r>
    </w:p>
    <w:p w:rsidR="002804EB" w:rsidRPr="002804EB" w:rsidP="00EE4D37" w14:paraId="24DA765E" w14:textId="56779611">
      <w:pPr>
        <w:pStyle w:val="Heading2"/>
      </w:pPr>
      <w:bookmarkStart w:id="108" w:name="_Toc384990882"/>
      <w:bookmarkStart w:id="109" w:name="_Toc384991986"/>
      <w:bookmarkStart w:id="110" w:name="_Toc384992822"/>
      <w:bookmarkStart w:id="111" w:name="_Toc456873892"/>
      <w:bookmarkStart w:id="112" w:name="_Toc456874104"/>
      <w:r w:rsidRPr="002804EB">
        <w:t>Data Quality Control</w:t>
      </w:r>
      <w:bookmarkEnd w:id="108"/>
      <w:bookmarkEnd w:id="109"/>
      <w:bookmarkEnd w:id="110"/>
      <w:bookmarkEnd w:id="111"/>
      <w:bookmarkEnd w:id="112"/>
    </w:p>
    <w:p w:rsidR="002804EB" w:rsidRPr="002804EB" w:rsidP="004E16D7" w14:paraId="6BFBBE1A" w14:textId="069ED4F2">
      <w:pPr>
        <w:pStyle w:val="Paranum0"/>
        <w:numPr>
          <w:ilvl w:val="0"/>
          <w:numId w:val="42"/>
        </w:numPr>
        <w:tabs>
          <w:tab w:val="clear" w:pos="1080"/>
        </w:tabs>
        <w:suppressAutoHyphens/>
        <w:spacing w:after="240"/>
        <w:jc w:val="left"/>
        <w:rPr>
          <w:szCs w:val="22"/>
        </w:rPr>
      </w:pPr>
      <w:r w:rsidRPr="002804EB">
        <w:rPr>
          <w:szCs w:val="22"/>
        </w:rPr>
        <w:t>To improve the quality of the survey data and reduce the burden on operators, the survey questionnaire is web-based.</w:t>
      </w:r>
      <w:r>
        <w:rPr>
          <w:rStyle w:val="FootnoteReference"/>
          <w:sz w:val="22"/>
          <w:szCs w:val="22"/>
        </w:rPr>
        <w:footnoteReference w:id="60"/>
      </w:r>
      <w:r w:rsidRPr="002804EB">
        <w:rPr>
          <w:szCs w:val="22"/>
        </w:rPr>
        <w:t xml:space="preserve">  After the samples were drawn, we notified operators serving the selected communities and instructed them on how to complete the survey questionnaire on the Commission’s website.  We took steps to ensure the reliability and accuracy of the data collected.  Computer checks notified respondents in real time of inconsistent answers.  In addition, we asked a responsible party within each company</w:t>
      </w:r>
      <w:r w:rsidR="006A27F0">
        <w:rPr>
          <w:szCs w:val="22"/>
        </w:rPr>
        <w:t xml:space="preserve"> to</w:t>
      </w:r>
      <w:r w:rsidRPr="002804EB">
        <w:rPr>
          <w:szCs w:val="22"/>
        </w:rPr>
        <w:t xml:space="preserve"> certify the completeness and accuracy of the company’s responses.  The survey response rate (ratio of completed to requested questionnaires) equaled 9</w:t>
      </w:r>
      <w:r w:rsidR="006A27F0">
        <w:rPr>
          <w:szCs w:val="22"/>
        </w:rPr>
        <w:t>6</w:t>
      </w:r>
      <w:r w:rsidRPr="002804EB">
        <w:rPr>
          <w:szCs w:val="22"/>
        </w:rPr>
        <w:t xml:space="preserve"> percent or 7</w:t>
      </w:r>
      <w:r w:rsidR="006A27F0">
        <w:rPr>
          <w:szCs w:val="22"/>
        </w:rPr>
        <w:t>68</w:t>
      </w:r>
      <w:r w:rsidRPr="002804EB">
        <w:rPr>
          <w:szCs w:val="22"/>
        </w:rPr>
        <w:t xml:space="preserve"> of </w:t>
      </w:r>
      <w:r w:rsidR="006A27F0">
        <w:rPr>
          <w:szCs w:val="22"/>
        </w:rPr>
        <w:t xml:space="preserve">the </w:t>
      </w:r>
      <w:r w:rsidRPr="002804EB">
        <w:rPr>
          <w:szCs w:val="22"/>
        </w:rPr>
        <w:t xml:space="preserve">800 communities in the sample.  The </w:t>
      </w:r>
      <w:r w:rsidR="006A27F0">
        <w:rPr>
          <w:szCs w:val="22"/>
        </w:rPr>
        <w:t>32</w:t>
      </w:r>
      <w:r w:rsidRPr="002804EB">
        <w:rPr>
          <w:szCs w:val="22"/>
        </w:rPr>
        <w:t xml:space="preserve"> non-responses were cable operators who had either ceased operating in that community or had yet to </w:t>
      </w:r>
      <w:r w:rsidR="006A27F0">
        <w:rPr>
          <w:szCs w:val="22"/>
        </w:rPr>
        <w:t>commence</w:t>
      </w:r>
      <w:r w:rsidRPr="002804EB">
        <w:rPr>
          <w:szCs w:val="22"/>
        </w:rPr>
        <w:t xml:space="preserve"> operation</w:t>
      </w:r>
      <w:r w:rsidR="00306BE6">
        <w:rPr>
          <w:szCs w:val="22"/>
        </w:rPr>
        <w:t>.</w:t>
      </w:r>
    </w:p>
    <w:p w:rsidR="002804EB" w:rsidRPr="002804EB" w:rsidP="004E16D7" w14:paraId="33B8D000" w14:textId="05C2D5F9">
      <w:pPr>
        <w:pStyle w:val="Paranum0"/>
        <w:numPr>
          <w:ilvl w:val="0"/>
          <w:numId w:val="42"/>
        </w:numPr>
        <w:tabs>
          <w:tab w:val="clear" w:pos="1080"/>
        </w:tabs>
        <w:suppressAutoHyphens/>
        <w:spacing w:after="240"/>
        <w:jc w:val="left"/>
        <w:rPr>
          <w:szCs w:val="22"/>
        </w:rPr>
      </w:pPr>
      <w:r w:rsidRPr="002804EB">
        <w:rPr>
          <w:szCs w:val="22"/>
        </w:rPr>
        <w:t xml:space="preserve">We systematically examined all </w:t>
      </w:r>
      <w:r w:rsidR="006A27F0">
        <w:rPr>
          <w:szCs w:val="22"/>
        </w:rPr>
        <w:t xml:space="preserve">survey responses by </w:t>
      </w:r>
      <w:r w:rsidRPr="002804EB">
        <w:rPr>
          <w:szCs w:val="22"/>
        </w:rPr>
        <w:t xml:space="preserve">using computer </w:t>
      </w:r>
      <w:r w:rsidR="00A57586">
        <w:rPr>
          <w:szCs w:val="22"/>
        </w:rPr>
        <w:t>algorithms des</w:t>
      </w:r>
      <w:r w:rsidRPr="002804EB">
        <w:rPr>
          <w:szCs w:val="22"/>
        </w:rPr>
        <w:t xml:space="preserve">igned to identify </w:t>
      </w:r>
      <w:r w:rsidRPr="002804EB" w:rsidR="00CC1A49">
        <w:rPr>
          <w:szCs w:val="22"/>
        </w:rPr>
        <w:t>answers that</w:t>
      </w:r>
      <w:r w:rsidRPr="002804EB">
        <w:rPr>
          <w:szCs w:val="22"/>
        </w:rPr>
        <w:t xml:space="preserve"> appeared to be inaccurate.  When a particular response fell outside of </w:t>
      </w:r>
      <w:r w:rsidR="00A57586">
        <w:rPr>
          <w:szCs w:val="22"/>
        </w:rPr>
        <w:t xml:space="preserve">a </w:t>
      </w:r>
      <w:r w:rsidR="00306BE6">
        <w:rPr>
          <w:szCs w:val="22"/>
        </w:rPr>
        <w:t xml:space="preserve">reasonable </w:t>
      </w:r>
      <w:r w:rsidRPr="002804EB">
        <w:rPr>
          <w:szCs w:val="22"/>
        </w:rPr>
        <w:t xml:space="preserve">range or was inconsistent with the answers to other questions, </w:t>
      </w:r>
      <w:r w:rsidR="006A27F0">
        <w:rPr>
          <w:szCs w:val="22"/>
        </w:rPr>
        <w:t xml:space="preserve">generally </w:t>
      </w:r>
      <w:r w:rsidRPr="002804EB">
        <w:rPr>
          <w:szCs w:val="22"/>
        </w:rPr>
        <w:t xml:space="preserve">we contacted the operator and asked </w:t>
      </w:r>
      <w:r w:rsidR="006A27F0">
        <w:rPr>
          <w:szCs w:val="22"/>
        </w:rPr>
        <w:t>them</w:t>
      </w:r>
      <w:r w:rsidRPr="002804EB">
        <w:rPr>
          <w:szCs w:val="22"/>
        </w:rPr>
        <w:t xml:space="preserve"> to verify the answer</w:t>
      </w:r>
      <w:r w:rsidR="006A27F0">
        <w:rPr>
          <w:szCs w:val="22"/>
        </w:rPr>
        <w:t xml:space="preserve"> </w:t>
      </w:r>
      <w:r w:rsidR="00306BE6">
        <w:rPr>
          <w:szCs w:val="22"/>
        </w:rPr>
        <w:t>or</w:t>
      </w:r>
      <w:r w:rsidRPr="002804EB" w:rsidR="00306BE6">
        <w:rPr>
          <w:szCs w:val="22"/>
        </w:rPr>
        <w:t xml:space="preserve"> </w:t>
      </w:r>
      <w:r w:rsidRPr="002804EB">
        <w:rPr>
          <w:szCs w:val="22"/>
        </w:rPr>
        <w:t xml:space="preserve">make a correction if needed.  The percentage of survey responses that requires follow-up inquiries varies over time based on such factors as the familiarity of the respondents with the survey, the complexity of the questions, and introduction of new questions to the survey instrument.  For the </w:t>
      </w:r>
      <w:r w:rsidR="008634B3">
        <w:rPr>
          <w:szCs w:val="22"/>
        </w:rPr>
        <w:t>2016</w:t>
      </w:r>
      <w:r w:rsidRPr="002804EB">
        <w:rPr>
          <w:szCs w:val="22"/>
        </w:rPr>
        <w:t xml:space="preserve"> survey, we contacted approximately 10 percent of </w:t>
      </w:r>
      <w:r w:rsidR="00A57586">
        <w:rPr>
          <w:szCs w:val="22"/>
        </w:rPr>
        <w:t>parent operators</w:t>
      </w:r>
      <w:r w:rsidRPr="002804EB">
        <w:rPr>
          <w:szCs w:val="22"/>
        </w:rPr>
        <w:t xml:space="preserve"> with follow-up inquiries</w:t>
      </w:r>
      <w:r w:rsidR="00A57586">
        <w:rPr>
          <w:szCs w:val="22"/>
        </w:rPr>
        <w:t xml:space="preserve"> via email or telephone calls</w:t>
      </w:r>
      <w:r w:rsidRPr="002804EB">
        <w:rPr>
          <w:szCs w:val="22"/>
        </w:rPr>
        <w:t xml:space="preserve">.  Each operator replied with a correction or explanation of </w:t>
      </w:r>
      <w:r w:rsidR="00A57586">
        <w:rPr>
          <w:szCs w:val="22"/>
        </w:rPr>
        <w:t>the</w:t>
      </w:r>
      <w:r w:rsidRPr="002804EB">
        <w:rPr>
          <w:szCs w:val="22"/>
        </w:rPr>
        <w:t xml:space="preserve"> particular response.  In the case of missing data, some operators provided these data and others explained that the</w:t>
      </w:r>
      <w:r w:rsidR="00464BFD">
        <w:rPr>
          <w:szCs w:val="22"/>
        </w:rPr>
        <w:t>y</w:t>
      </w:r>
      <w:r w:rsidRPr="002804EB">
        <w:rPr>
          <w:szCs w:val="22"/>
        </w:rPr>
        <w:t xml:space="preserve"> did not collect th</w:t>
      </w:r>
      <w:r w:rsidR="00A57586">
        <w:rPr>
          <w:szCs w:val="22"/>
        </w:rPr>
        <w:t>at</w:t>
      </w:r>
      <w:r w:rsidRPr="002804EB">
        <w:rPr>
          <w:szCs w:val="22"/>
        </w:rPr>
        <w:t xml:space="preserve"> particular information</w:t>
      </w:r>
      <w:r w:rsidR="00A57586">
        <w:rPr>
          <w:szCs w:val="22"/>
        </w:rPr>
        <w:t xml:space="preserve"> or was not serving the community at the time</w:t>
      </w:r>
      <w:r w:rsidRPr="002804EB">
        <w:rPr>
          <w:szCs w:val="22"/>
        </w:rPr>
        <w:t xml:space="preserve">. </w:t>
      </w:r>
    </w:p>
    <w:p w:rsidR="002804EB" w:rsidRPr="002804EB" w:rsidP="00EE4D37" w14:paraId="541060D9" w14:textId="01C6C0FE">
      <w:pPr>
        <w:pStyle w:val="Heading2"/>
      </w:pPr>
      <w:bookmarkStart w:id="113" w:name="_Toc384990883"/>
      <w:bookmarkStart w:id="114" w:name="_Toc384991987"/>
      <w:bookmarkStart w:id="115" w:name="_Toc384992823"/>
      <w:bookmarkStart w:id="116" w:name="_Toc456873893"/>
      <w:bookmarkStart w:id="117" w:name="_Toc456874105"/>
      <w:r w:rsidRPr="002804EB">
        <w:t>Estimation of Means</w:t>
      </w:r>
      <w:bookmarkEnd w:id="113"/>
      <w:bookmarkEnd w:id="114"/>
      <w:bookmarkEnd w:id="115"/>
      <w:bookmarkEnd w:id="116"/>
      <w:bookmarkEnd w:id="117"/>
    </w:p>
    <w:p w:rsidR="002804EB" w:rsidRPr="0046159B" w:rsidP="004E16D7" w14:paraId="13603E4D" w14:textId="1BEECCAC">
      <w:pPr>
        <w:pStyle w:val="Paranum0"/>
        <w:numPr>
          <w:ilvl w:val="0"/>
          <w:numId w:val="42"/>
        </w:numPr>
        <w:tabs>
          <w:tab w:val="clear" w:pos="1080"/>
        </w:tabs>
        <w:suppressAutoHyphens/>
        <w:spacing w:after="240"/>
        <w:jc w:val="left"/>
        <w:rPr>
          <w:szCs w:val="22"/>
        </w:rPr>
      </w:pPr>
      <w:r>
        <w:t>The report presents</w:t>
      </w:r>
      <w:r w:rsidRPr="0046159B">
        <w:rPr>
          <w:szCs w:val="22"/>
        </w:rPr>
        <w:t xml:space="preserve"> the average (mean) levels of the survey data by cable service level for the full sample, sample groups and subgroups of cable operators.  The report tables summarize these findings and the</w:t>
      </w:r>
      <w:r>
        <w:t xml:space="preserve"> attachments to the report display detailed statistics.  </w:t>
      </w:r>
      <w:r w:rsidRPr="0046159B">
        <w:rPr>
          <w:szCs w:val="22"/>
        </w:rPr>
        <w:t xml:space="preserve">After we collected and checked the responses, we made estimates of the population means and variances from the samples based on the response to each survey question.  We estimated the means and variances </w:t>
      </w:r>
      <w:r w:rsidRPr="0046159B" w:rsidR="00D81E4A">
        <w:rPr>
          <w:szCs w:val="22"/>
        </w:rPr>
        <w:t xml:space="preserve">of cable prices and the other variables </w:t>
      </w:r>
      <w:r w:rsidRPr="0046159B">
        <w:rPr>
          <w:szCs w:val="22"/>
        </w:rPr>
        <w:t xml:space="preserve">on a subscriber basis rather than a cable community basis.  We choose this level of analysis because we are interested in understanding the price paid by the average subscriber rather than the price charged in the average community.  The two methods of analysis yield different results when there is a correlation </w:t>
      </w:r>
      <w:r w:rsidRPr="0046159B" w:rsidR="00306BE6">
        <w:rPr>
          <w:szCs w:val="22"/>
        </w:rPr>
        <w:t xml:space="preserve">between </w:t>
      </w:r>
      <w:r w:rsidRPr="0046159B">
        <w:rPr>
          <w:szCs w:val="22"/>
        </w:rPr>
        <w:t xml:space="preserve">the </w:t>
      </w:r>
      <w:r w:rsidRPr="0046159B" w:rsidR="00A079D7">
        <w:rPr>
          <w:szCs w:val="22"/>
        </w:rPr>
        <w:t>sizes of the communities (</w:t>
      </w:r>
      <w:r w:rsidRPr="0046159B" w:rsidR="00306BE6">
        <w:rPr>
          <w:szCs w:val="22"/>
        </w:rPr>
        <w:t>number</w:t>
      </w:r>
      <w:r w:rsidRPr="0046159B" w:rsidR="00A079D7">
        <w:rPr>
          <w:szCs w:val="22"/>
        </w:rPr>
        <w:t>s</w:t>
      </w:r>
      <w:r w:rsidRPr="0046159B" w:rsidR="00306BE6">
        <w:rPr>
          <w:szCs w:val="22"/>
        </w:rPr>
        <w:t xml:space="preserve"> </w:t>
      </w:r>
      <w:r w:rsidRPr="0046159B">
        <w:rPr>
          <w:szCs w:val="22"/>
        </w:rPr>
        <w:t xml:space="preserve">of subscribers and the </w:t>
      </w:r>
      <w:r w:rsidRPr="0046159B" w:rsidR="00D81E4A">
        <w:rPr>
          <w:szCs w:val="22"/>
        </w:rPr>
        <w:t>level</w:t>
      </w:r>
      <w:r w:rsidRPr="0046159B" w:rsidR="00A079D7">
        <w:rPr>
          <w:szCs w:val="22"/>
        </w:rPr>
        <w:t>s</w:t>
      </w:r>
      <w:r w:rsidRPr="0046159B" w:rsidR="00D81E4A">
        <w:rPr>
          <w:szCs w:val="22"/>
        </w:rPr>
        <w:t xml:space="preserve"> of price</w:t>
      </w:r>
      <w:r w:rsidRPr="0046159B">
        <w:rPr>
          <w:szCs w:val="22"/>
        </w:rPr>
        <w:t xml:space="preserve">.  To </w:t>
      </w:r>
      <w:r w:rsidRPr="0046159B" w:rsidR="00A079D7">
        <w:rPr>
          <w:szCs w:val="22"/>
        </w:rPr>
        <w:t>produce</w:t>
      </w:r>
      <w:r w:rsidRPr="0046159B" w:rsidR="00D81E4A">
        <w:rPr>
          <w:szCs w:val="22"/>
        </w:rPr>
        <w:t xml:space="preserve"> </w:t>
      </w:r>
      <w:r w:rsidRPr="0046159B">
        <w:rPr>
          <w:szCs w:val="22"/>
        </w:rPr>
        <w:t>per-subscriber means</w:t>
      </w:r>
      <w:r w:rsidRPr="0046159B" w:rsidR="00803AB4">
        <w:rPr>
          <w:szCs w:val="22"/>
        </w:rPr>
        <w:t>,</w:t>
      </w:r>
      <w:r w:rsidRPr="0046159B">
        <w:rPr>
          <w:szCs w:val="22"/>
        </w:rPr>
        <w:t xml:space="preserve"> we use the Horvitz-Thompson ratio estimator</w:t>
      </w:r>
      <w:r w:rsidRPr="0046159B" w:rsidR="00803AB4">
        <w:rPr>
          <w:szCs w:val="22"/>
        </w:rPr>
        <w:t>.</w:t>
      </w:r>
      <w:r>
        <w:rPr>
          <w:rStyle w:val="FootnoteReference"/>
          <w:sz w:val="22"/>
          <w:szCs w:val="22"/>
        </w:rPr>
        <w:footnoteReference w:id="61"/>
      </w:r>
      <w:r w:rsidRPr="0046159B">
        <w:rPr>
          <w:szCs w:val="22"/>
        </w:rPr>
        <w:t xml:space="preserve">  </w:t>
      </w:r>
      <w:r w:rsidRPr="0046159B" w:rsidR="00D81E4A">
        <w:rPr>
          <w:szCs w:val="22"/>
        </w:rPr>
        <w:t>This estimator weights the price in each of the sampled communities by its number of subscribers.  T</w:t>
      </w:r>
      <w:r w:rsidRPr="0046159B" w:rsidR="002E6A0A">
        <w:rPr>
          <w:szCs w:val="22"/>
        </w:rPr>
        <w:t>h</w:t>
      </w:r>
      <w:r w:rsidRPr="0046159B">
        <w:rPr>
          <w:szCs w:val="22"/>
        </w:rPr>
        <w:t xml:space="preserve">e numerator </w:t>
      </w:r>
      <w:r w:rsidRPr="0046159B" w:rsidR="00D81E4A">
        <w:rPr>
          <w:szCs w:val="22"/>
        </w:rPr>
        <w:t>of the ratio sum</w:t>
      </w:r>
      <w:r>
        <w:rPr>
          <w:szCs w:val="22"/>
        </w:rPr>
        <w:t>s</w:t>
      </w:r>
      <w:r w:rsidRPr="0046159B" w:rsidR="00A079D7">
        <w:rPr>
          <w:szCs w:val="22"/>
        </w:rPr>
        <w:t xml:space="preserve"> the weighted prices across communities in the sample and</w:t>
      </w:r>
      <w:r w:rsidRPr="0046159B" w:rsidR="003D3183">
        <w:rPr>
          <w:szCs w:val="22"/>
        </w:rPr>
        <w:t xml:space="preserve"> </w:t>
      </w:r>
      <w:r w:rsidRPr="0046159B" w:rsidR="00A079D7">
        <w:rPr>
          <w:szCs w:val="22"/>
        </w:rPr>
        <w:t>is equivalent to</w:t>
      </w:r>
      <w:r w:rsidRPr="0046159B" w:rsidR="00D81E4A">
        <w:rPr>
          <w:szCs w:val="22"/>
        </w:rPr>
        <w:t xml:space="preserve"> </w:t>
      </w:r>
      <w:r w:rsidRPr="0046159B">
        <w:rPr>
          <w:szCs w:val="22"/>
        </w:rPr>
        <w:t>total revenues from purchase</w:t>
      </w:r>
      <w:r w:rsidRPr="0046159B" w:rsidR="00D81E4A">
        <w:rPr>
          <w:szCs w:val="22"/>
        </w:rPr>
        <w:t>s</w:t>
      </w:r>
      <w:r w:rsidRPr="0046159B">
        <w:rPr>
          <w:szCs w:val="22"/>
        </w:rPr>
        <w:t xml:space="preserve"> of </w:t>
      </w:r>
      <w:r>
        <w:rPr>
          <w:szCs w:val="22"/>
        </w:rPr>
        <w:t>the</w:t>
      </w:r>
      <w:r w:rsidRPr="0046159B" w:rsidR="00D81E4A">
        <w:rPr>
          <w:szCs w:val="22"/>
        </w:rPr>
        <w:t xml:space="preserve"> cable</w:t>
      </w:r>
      <w:r w:rsidRPr="0046159B">
        <w:rPr>
          <w:szCs w:val="22"/>
        </w:rPr>
        <w:t xml:space="preserve"> service.  The denominator </w:t>
      </w:r>
      <w:r w:rsidRPr="0046159B" w:rsidR="003D3183">
        <w:rPr>
          <w:szCs w:val="22"/>
        </w:rPr>
        <w:t xml:space="preserve">of the ratio </w:t>
      </w:r>
      <w:r>
        <w:rPr>
          <w:szCs w:val="22"/>
        </w:rPr>
        <w:t xml:space="preserve">is the weighted </w:t>
      </w:r>
      <w:r w:rsidRPr="0046159B" w:rsidR="00D81E4A">
        <w:rPr>
          <w:szCs w:val="22"/>
        </w:rPr>
        <w:t>sum</w:t>
      </w:r>
      <w:r>
        <w:rPr>
          <w:szCs w:val="22"/>
        </w:rPr>
        <w:t xml:space="preserve"> of the number of</w:t>
      </w:r>
      <w:r w:rsidRPr="0046159B" w:rsidR="00D81E4A">
        <w:rPr>
          <w:szCs w:val="22"/>
        </w:rPr>
        <w:t xml:space="preserve"> subscribers </w:t>
      </w:r>
      <w:r>
        <w:rPr>
          <w:szCs w:val="22"/>
        </w:rPr>
        <w:t xml:space="preserve">across communities in the sample that </w:t>
      </w:r>
      <w:r w:rsidRPr="0046159B" w:rsidR="00A079D7">
        <w:rPr>
          <w:szCs w:val="22"/>
        </w:rPr>
        <w:t>purchas</w:t>
      </w:r>
      <w:r>
        <w:rPr>
          <w:szCs w:val="22"/>
        </w:rPr>
        <w:t>ed</w:t>
      </w:r>
      <w:r w:rsidRPr="0046159B" w:rsidR="00A079D7">
        <w:rPr>
          <w:szCs w:val="22"/>
        </w:rPr>
        <w:t xml:space="preserve"> the service.</w:t>
      </w:r>
      <w:r w:rsidRPr="0046159B">
        <w:rPr>
          <w:szCs w:val="22"/>
        </w:rPr>
        <w:t xml:space="preserve">  The resulting product is an estimate of service revenue per subscriber.  </w:t>
      </w:r>
      <w:r w:rsidRPr="0046159B" w:rsidR="00A079D7">
        <w:rPr>
          <w:szCs w:val="22"/>
        </w:rPr>
        <w:t>For any price variable (X), the</w:t>
      </w:r>
      <w:r w:rsidRPr="0046159B">
        <w:rPr>
          <w:szCs w:val="22"/>
        </w:rPr>
        <w:t xml:space="preserve"> </w:t>
      </w:r>
      <w:r w:rsidRPr="0046159B" w:rsidR="003D3183">
        <w:rPr>
          <w:szCs w:val="22"/>
        </w:rPr>
        <w:t>mean level of price (service revenue per subscriber) equals</w:t>
      </w:r>
    </w:p>
    <w:p w:rsidR="002804EB" w:rsidRPr="009550A9" w:rsidP="004E16D7" w14:paraId="6E42BECD" w14:textId="77777777">
      <w:pPr>
        <w:suppressAutoHyphens/>
        <w:spacing w:after="120"/>
        <w:jc w:val="center"/>
        <w:rPr>
          <w:sz w:val="24"/>
          <w:szCs w:val="24"/>
        </w:rPr>
      </w:pPr>
      <w:r>
        <w:rPr>
          <w:noProof/>
          <w:snapToGrid/>
          <w:position w:val="-62"/>
          <w:sz w:val="24"/>
          <w:szCs w:val="24"/>
        </w:rPr>
        <w:drawing>
          <wp:inline distT="0" distB="0" distL="0" distR="0">
            <wp:extent cx="984250" cy="86995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197"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84250" cy="869950"/>
                    </a:xfrm>
                    <a:prstGeom prst="rect">
                      <a:avLst/>
                    </a:prstGeom>
                    <a:noFill/>
                    <a:ln>
                      <a:noFill/>
                    </a:ln>
                  </pic:spPr>
                </pic:pic>
              </a:graphicData>
            </a:graphic>
          </wp:inline>
        </w:drawing>
      </w:r>
    </w:p>
    <w:p w:rsidR="0062383D" w:rsidRPr="002804EB" w:rsidP="004E16D7" w14:paraId="119EAC78" w14:textId="6D64E02E">
      <w:pPr>
        <w:pStyle w:val="ParaNum"/>
        <w:numPr>
          <w:ilvl w:val="0"/>
          <w:numId w:val="0"/>
        </w:numPr>
        <w:suppressAutoHyphens/>
        <w:spacing w:after="240"/>
        <w:rPr>
          <w:szCs w:val="22"/>
        </w:rPr>
      </w:pPr>
      <w:r>
        <w:rPr>
          <w:szCs w:val="22"/>
        </w:rPr>
        <w:t>W</w:t>
      </w:r>
      <w:r w:rsidRPr="002804EB" w:rsidR="002804EB">
        <w:rPr>
          <w:szCs w:val="22"/>
        </w:rPr>
        <w:t>here X</w:t>
      </w:r>
      <w:r w:rsidRPr="002804EB" w:rsidR="002804EB">
        <w:rPr>
          <w:szCs w:val="22"/>
          <w:vertAlign w:val="subscript"/>
        </w:rPr>
        <w:t>i</w:t>
      </w:r>
      <w:r w:rsidRPr="002804EB" w:rsidR="002804EB">
        <w:rPr>
          <w:szCs w:val="22"/>
        </w:rPr>
        <w:t xml:space="preserve"> is the </w:t>
      </w:r>
      <w:r w:rsidR="003D3183">
        <w:rPr>
          <w:szCs w:val="22"/>
        </w:rPr>
        <w:t>price within an individual</w:t>
      </w:r>
      <w:r w:rsidRPr="002804EB" w:rsidR="002804EB">
        <w:rPr>
          <w:szCs w:val="22"/>
        </w:rPr>
        <w:t xml:space="preserve"> community i, S</w:t>
      </w:r>
      <w:r>
        <w:rPr>
          <w:szCs w:val="22"/>
        </w:rPr>
        <w:t>ub</w:t>
      </w:r>
      <w:r w:rsidRPr="002804EB" w:rsidR="002804EB">
        <w:rPr>
          <w:szCs w:val="22"/>
        </w:rPr>
        <w:t xml:space="preserve"> is the number of subscribers in community i, and π</w:t>
      </w:r>
      <w:r w:rsidRPr="002804EB" w:rsidR="002804EB">
        <w:rPr>
          <w:szCs w:val="22"/>
          <w:vertAlign w:val="subscript"/>
        </w:rPr>
        <w:t>i</w:t>
      </w:r>
      <w:r w:rsidRPr="002804EB" w:rsidR="002804EB">
        <w:rPr>
          <w:szCs w:val="22"/>
        </w:rPr>
        <w:t xml:space="preserve"> is the </w:t>
      </w:r>
      <w:r w:rsidR="003D3183">
        <w:rPr>
          <w:szCs w:val="22"/>
        </w:rPr>
        <w:t xml:space="preserve">size weighted </w:t>
      </w:r>
      <w:r w:rsidRPr="002804EB" w:rsidR="002804EB">
        <w:rPr>
          <w:szCs w:val="22"/>
        </w:rPr>
        <w:t>probability of community i being selected into the sample.</w:t>
      </w:r>
      <w:r>
        <w:rPr>
          <w:rStyle w:val="FootnoteReference"/>
          <w:sz w:val="22"/>
          <w:szCs w:val="22"/>
        </w:rPr>
        <w:footnoteReference w:id="62"/>
      </w:r>
    </w:p>
    <w:p w:rsidR="0046159B" w:rsidRPr="002804EB" w:rsidP="004E16D7" w14:paraId="6410CE24" w14:textId="67DAF3F3">
      <w:pPr>
        <w:pStyle w:val="ParaNum"/>
        <w:numPr>
          <w:ilvl w:val="0"/>
          <w:numId w:val="0"/>
        </w:numPr>
        <w:suppressAutoHyphens/>
        <w:rPr>
          <w:szCs w:val="22"/>
        </w:rPr>
      </w:pPr>
      <w:r>
        <w:rPr>
          <w:b/>
          <w:szCs w:val="22"/>
        </w:rPr>
        <w:t>Historical Price Series</w:t>
      </w:r>
    </w:p>
    <w:p w:rsidR="002804EB" w:rsidRPr="002804EB" w:rsidP="004E16D7" w14:paraId="0EDE04E7" w14:textId="1BC1BD5C">
      <w:pPr>
        <w:pStyle w:val="Paranum0"/>
        <w:numPr>
          <w:ilvl w:val="0"/>
          <w:numId w:val="42"/>
        </w:numPr>
        <w:tabs>
          <w:tab w:val="clear" w:pos="1080"/>
        </w:tabs>
        <w:suppressAutoHyphens/>
        <w:spacing w:after="240"/>
        <w:jc w:val="left"/>
        <w:rPr>
          <w:b/>
          <w:szCs w:val="22"/>
        </w:rPr>
      </w:pPr>
      <w:bookmarkStart w:id="118" w:name="_Ref457206481"/>
      <w:r w:rsidRPr="0046159B">
        <w:rPr>
          <w:szCs w:val="22"/>
        </w:rPr>
        <w:t xml:space="preserve">Attachment 7 reports </w:t>
      </w:r>
      <w:r w:rsidRPr="0046159B" w:rsidR="0046159B">
        <w:rPr>
          <w:szCs w:val="22"/>
        </w:rPr>
        <w:t xml:space="preserve">averages from </w:t>
      </w:r>
      <w:r w:rsidRPr="0046159B" w:rsidR="00E5393B">
        <w:rPr>
          <w:szCs w:val="22"/>
        </w:rPr>
        <w:t>all the annual survey reports to date.</w:t>
      </w:r>
      <w:r w:rsidRPr="0046159B" w:rsidR="0046159B">
        <w:t xml:space="preserve"> </w:t>
      </w:r>
      <w:r w:rsidR="0046159B">
        <w:t xml:space="preserve"> For example, the</w:t>
      </w:r>
      <w:r w:rsidRPr="0046159B" w:rsidR="0046159B">
        <w:rPr>
          <w:szCs w:val="22"/>
        </w:rPr>
        <w:t xml:space="preserve"> 2015 averages in Attachment 7 from the 2015 survey and the 2016 averages are from the 2016 survey.  Note that 2015 averages in the other attachments of this report are from the 2016 survey (each year we collect two years of data) and may not match the 2015 numbers shown in Attachment 7 due to random variance between the 2015 and 2016 survey samples.  With some exception, averages in this table are from each year’s survey report for the full sample.  Indices reflect the year to year percentage changes in these averages.  The 1995-2000 prices and 2000-2001 channels are for the noncompetitive sample group of operators. The 1995 price of expanded basic programming is the price of programming and equipment less an estimate of the equipment portion.  In 2003, the survey changed from a July to a January collection date.  To account for the change, </w:t>
      </w:r>
      <w:r w:rsidR="0046159B">
        <w:rPr>
          <w:szCs w:val="22"/>
        </w:rPr>
        <w:t xml:space="preserve">the </w:t>
      </w:r>
      <w:r w:rsidRPr="0046159B" w:rsidR="0046159B">
        <w:rPr>
          <w:szCs w:val="22"/>
        </w:rPr>
        <w:t xml:space="preserve">2003 index values reflect </w:t>
      </w:r>
      <w:r w:rsidR="0046159B">
        <w:rPr>
          <w:szCs w:val="22"/>
        </w:rPr>
        <w:t xml:space="preserve">the </w:t>
      </w:r>
      <w:r w:rsidRPr="0046159B" w:rsidR="0046159B">
        <w:rPr>
          <w:szCs w:val="22"/>
        </w:rPr>
        <w:t xml:space="preserve">changes in the January 2002 to January 2003 averages reported in the 2003 survey.  In 2010, we began collecting data </w:t>
      </w:r>
      <w:r w:rsidR="0046159B">
        <w:rPr>
          <w:szCs w:val="22"/>
        </w:rPr>
        <w:t xml:space="preserve">on </w:t>
      </w:r>
      <w:r w:rsidRPr="0046159B" w:rsidR="0046159B">
        <w:rPr>
          <w:szCs w:val="22"/>
        </w:rPr>
        <w:t>a more expansive set of channels.  To account for this change, the 2010 channel and price per channel index values reflect the changes in the 2009 to 2010 averages reported in the 2010 survey.</w:t>
      </w:r>
      <w:bookmarkEnd w:id="118"/>
      <w:r w:rsidRPr="002804EB">
        <w:rPr>
          <w:b/>
          <w:szCs w:val="22"/>
        </w:rPr>
        <w:t xml:space="preserve">  </w:t>
      </w:r>
    </w:p>
    <w:p w:rsidR="002804EB" w:rsidRPr="002804EB" w:rsidP="00EE4D37" w14:paraId="766ED1AE" w14:textId="77777777">
      <w:pPr>
        <w:pStyle w:val="Heading2"/>
      </w:pPr>
      <w:bookmarkStart w:id="119" w:name="_Toc384990884"/>
      <w:bookmarkStart w:id="120" w:name="_Toc384991988"/>
      <w:bookmarkStart w:id="121" w:name="_Toc384992824"/>
      <w:bookmarkStart w:id="122" w:name="_Toc456873894"/>
      <w:bookmarkStart w:id="123" w:name="_Toc456874106"/>
      <w:bookmarkStart w:id="124" w:name="start_from_here"/>
      <w:r w:rsidRPr="002804EB">
        <w:t>Survey Accuracy</w:t>
      </w:r>
      <w:bookmarkEnd w:id="119"/>
      <w:bookmarkEnd w:id="120"/>
      <w:bookmarkEnd w:id="121"/>
      <w:bookmarkEnd w:id="122"/>
      <w:bookmarkEnd w:id="123"/>
      <w:bookmarkEnd w:id="124"/>
    </w:p>
    <w:p w:rsidR="002804EB" w:rsidRPr="002804EB" w:rsidP="004E16D7" w14:paraId="146EF028" w14:textId="1220A9E4">
      <w:pPr>
        <w:pStyle w:val="Paranum0"/>
        <w:numPr>
          <w:ilvl w:val="0"/>
          <w:numId w:val="42"/>
        </w:numPr>
        <w:tabs>
          <w:tab w:val="clear" w:pos="1080"/>
        </w:tabs>
        <w:suppressAutoHyphens/>
        <w:spacing w:after="240"/>
        <w:jc w:val="left"/>
        <w:rPr>
          <w:szCs w:val="22"/>
        </w:rPr>
      </w:pPr>
      <w:r w:rsidRPr="002804EB">
        <w:rPr>
          <w:szCs w:val="22"/>
        </w:rPr>
        <w:t xml:space="preserve">Because the basis of our survey is a sample of communities rather than a 100 percent census, the price averages in this Report are subject to sampling variance.  Expanding the survey to include all communities might increase accuracy, but would also increase the </w:t>
      </w:r>
      <w:r w:rsidR="008F2DF7">
        <w:rPr>
          <w:szCs w:val="22"/>
        </w:rPr>
        <w:t xml:space="preserve">cost and </w:t>
      </w:r>
      <w:r w:rsidRPr="002804EB">
        <w:rPr>
          <w:szCs w:val="22"/>
        </w:rPr>
        <w:t xml:space="preserve">burden of collecting the information.  Our sample results are likely to be different from results obtained if we were able to collect prices from all communities nationwide.  The attachments report estimates of sampling variance or statistical “standard error” for each price mean.  Standard errors express the degree of confidence that the true mean falls within a range around a sample mean.  </w:t>
      </w:r>
      <w:r w:rsidR="00306BE6">
        <w:rPr>
          <w:szCs w:val="22"/>
        </w:rPr>
        <w:t>Most commonly, s</w:t>
      </w:r>
      <w:r w:rsidRPr="002804EB">
        <w:rPr>
          <w:szCs w:val="22"/>
        </w:rPr>
        <w:t xml:space="preserve">tandard errors </w:t>
      </w:r>
      <w:r w:rsidR="00306BE6">
        <w:rPr>
          <w:szCs w:val="22"/>
        </w:rPr>
        <w:t>indicate</w:t>
      </w:r>
      <w:r w:rsidRPr="002804EB">
        <w:rPr>
          <w:szCs w:val="22"/>
        </w:rPr>
        <w:t xml:space="preserve"> whether price differences are statistically significant</w:t>
      </w:r>
      <w:r w:rsidR="00DC0A25">
        <w:rPr>
          <w:szCs w:val="22"/>
        </w:rPr>
        <w:t xml:space="preserve"> </w:t>
      </w:r>
      <w:r w:rsidR="00306BE6">
        <w:rPr>
          <w:szCs w:val="22"/>
        </w:rPr>
        <w:t xml:space="preserve">(meaning statistically different from zero) at a given confidence </w:t>
      </w:r>
      <w:r w:rsidR="00F40AD9">
        <w:rPr>
          <w:szCs w:val="22"/>
        </w:rPr>
        <w:t>level.</w:t>
      </w:r>
      <w:r w:rsidRPr="002804EB">
        <w:rPr>
          <w:szCs w:val="22"/>
        </w:rPr>
        <w:t xml:space="preserve">  The discussion above refers to within-sample variance.  To prevent random variance that may occur across samples when measuring annual percentage change, the survey collected two years of data rather than comparing estimates over two different surveys.  The exception is the historical time series table, which reports means </w:t>
      </w:r>
      <w:r w:rsidR="00A57586">
        <w:rPr>
          <w:szCs w:val="22"/>
        </w:rPr>
        <w:t>collected for that particular</w:t>
      </w:r>
      <w:r w:rsidRPr="002804EB">
        <w:rPr>
          <w:szCs w:val="22"/>
        </w:rPr>
        <w:t xml:space="preserve"> survey year.</w:t>
      </w:r>
    </w:p>
    <w:p w:rsidR="002804EB" w:rsidRPr="002804EB" w:rsidP="004E16D7" w14:paraId="7EFFF064" w14:textId="4A9FFE4A">
      <w:pPr>
        <w:pStyle w:val="Paranum0"/>
        <w:numPr>
          <w:ilvl w:val="0"/>
          <w:numId w:val="42"/>
        </w:numPr>
        <w:tabs>
          <w:tab w:val="clear" w:pos="1080"/>
        </w:tabs>
        <w:suppressAutoHyphens/>
        <w:spacing w:after="240"/>
        <w:jc w:val="left"/>
        <w:rPr>
          <w:szCs w:val="22"/>
        </w:rPr>
      </w:pPr>
      <w:r w:rsidRPr="002804EB">
        <w:rPr>
          <w:szCs w:val="22"/>
        </w:rPr>
        <w:t xml:space="preserve">In addition to the sampling variance discussed above, changes in the composition of sample subgroups affect </w:t>
      </w:r>
      <w:r w:rsidR="00427A0C">
        <w:rPr>
          <w:szCs w:val="22"/>
        </w:rPr>
        <w:t xml:space="preserve">the estimated </w:t>
      </w:r>
      <w:r w:rsidRPr="002804EB">
        <w:rPr>
          <w:szCs w:val="22"/>
        </w:rPr>
        <w:t>means.</w:t>
      </w:r>
      <w:r>
        <w:rPr>
          <w:rStyle w:val="FootnoteReference"/>
          <w:sz w:val="22"/>
          <w:szCs w:val="22"/>
        </w:rPr>
        <w:footnoteReference w:id="63"/>
      </w:r>
      <w:r w:rsidRPr="002804EB">
        <w:rPr>
          <w:szCs w:val="22"/>
        </w:rPr>
        <w:t xml:space="preserve">  The composition of communities making up the s</w:t>
      </w:r>
      <w:r w:rsidR="00A57586">
        <w:rPr>
          <w:szCs w:val="22"/>
        </w:rPr>
        <w:t>trata</w:t>
      </w:r>
      <w:r w:rsidRPr="002804EB">
        <w:rPr>
          <w:szCs w:val="22"/>
        </w:rPr>
        <w:t xml:space="preserve"> changes from year to year due to operators starting, ceasing, merging</w:t>
      </w:r>
      <w:r w:rsidR="00A57586">
        <w:rPr>
          <w:szCs w:val="22"/>
        </w:rPr>
        <w:t xml:space="preserve"> and</w:t>
      </w:r>
      <w:r w:rsidRPr="002804EB">
        <w:rPr>
          <w:szCs w:val="22"/>
        </w:rPr>
        <w:t xml:space="preserve"> transferring operations.  </w:t>
      </w:r>
      <w:r w:rsidR="00A57586">
        <w:rPr>
          <w:szCs w:val="22"/>
        </w:rPr>
        <w:t>C</w:t>
      </w:r>
      <w:r w:rsidRPr="002804EB">
        <w:rPr>
          <w:szCs w:val="22"/>
        </w:rPr>
        <w:t xml:space="preserve">omposition </w:t>
      </w:r>
      <w:r w:rsidR="00A57586">
        <w:rPr>
          <w:szCs w:val="22"/>
        </w:rPr>
        <w:t xml:space="preserve">of the strata changes </w:t>
      </w:r>
      <w:r w:rsidRPr="002804EB">
        <w:rPr>
          <w:szCs w:val="22"/>
        </w:rPr>
        <w:t>further</w:t>
      </w:r>
      <w:r w:rsidR="00A57586">
        <w:rPr>
          <w:szCs w:val="22"/>
        </w:rPr>
        <w:t xml:space="preserve"> as a result</w:t>
      </w:r>
      <w:r w:rsidRPr="002804EB">
        <w:rPr>
          <w:szCs w:val="22"/>
        </w:rPr>
        <w:t xml:space="preserve"> of </w:t>
      </w:r>
      <w:r w:rsidR="00104A97">
        <w:rPr>
          <w:szCs w:val="22"/>
        </w:rPr>
        <w:t xml:space="preserve">findings of </w:t>
      </w:r>
      <w:r w:rsidRPr="002804EB">
        <w:rPr>
          <w:szCs w:val="22"/>
        </w:rPr>
        <w:t>effective competition and, therefore, migration of operators in the noncompetitive group to the effective competition group.</w:t>
      </w:r>
    </w:p>
    <w:p w:rsidR="002804EB" w:rsidRPr="00742635" w:rsidP="004E16D7" w14:paraId="3BB61F92" w14:textId="77777777">
      <w:pPr>
        <w:widowControl/>
        <w:suppressAutoHyphens/>
        <w:spacing w:after="120"/>
        <w:rPr>
          <w:szCs w:val="22"/>
        </w:rPr>
      </w:pPr>
    </w:p>
    <w:sectPr w:rsidSect="00446D79">
      <w:footnotePr>
        <w:numRestart w:val="eachSect"/>
      </w:footnotePr>
      <w:endnotePr>
        <w:numFmt w:val="decimal"/>
      </w:endnotePr>
      <w:pgSz w:w="12240" w:h="15840" w:code="1"/>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B1" w:rsidP="0055614C" w14:paraId="239E12DB" w14:textId="77777777">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A755B1" w14:paraId="02461B8D" w14:textId="77777777">
    <w:pPr>
      <w:pStyle w:val="Footer"/>
    </w:pPr>
  </w:p>
  <w:p w:rsidR="00A755B1" w14:paraId="569BA85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B1" w:rsidP="0055614C" w14:paraId="147DF7A5" w14:textId="670A95C4">
    <w:pPr>
      <w:pStyle w:val="Footer"/>
      <w:framePr w:wrap="around" w:vAnchor="text" w:hAnchor="margin" w:xAlign="center" w:y="1"/>
    </w:pPr>
    <w:r>
      <w:fldChar w:fldCharType="begin"/>
    </w:r>
    <w:r>
      <w:instrText xml:space="preserve">PAGE  </w:instrText>
    </w:r>
    <w:r>
      <w:fldChar w:fldCharType="separate"/>
    </w:r>
    <w:r w:rsidR="00FC1769">
      <w:rPr>
        <w:noProof/>
      </w:rPr>
      <w:t>2</w:t>
    </w:r>
    <w:r>
      <w:fldChar w:fldCharType="end"/>
    </w:r>
  </w:p>
  <w:p w:rsidR="00A755B1" w14:paraId="3F922AF7" w14:textId="77777777">
    <w:pPr>
      <w:suppressAutoHyphens/>
      <w:spacing w:line="227" w:lineRule="auto"/>
    </w:pPr>
  </w:p>
  <w:p w:rsidR="00A755B1" w:rsidP="000E05FE" w14:paraId="65871E2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B1" w14:paraId="4EA8D6E2" w14:textId="6C6F12DE">
    <w:pPr>
      <w:pStyle w:val="Footer"/>
      <w:jc w:val="center"/>
    </w:pPr>
  </w:p>
  <w:p w:rsidR="00A755B1" w14:paraId="3E486F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00A8" w14:paraId="4A205313" w14:textId="77777777">
      <w:r>
        <w:separator/>
      </w:r>
    </w:p>
  </w:footnote>
  <w:footnote w:type="continuationSeparator" w:id="1">
    <w:p w:rsidR="00ED00A8" w:rsidP="00C721AC" w14:paraId="4233482F" w14:textId="77777777">
      <w:pPr>
        <w:spacing w:before="120"/>
        <w:rPr>
          <w:sz w:val="20"/>
        </w:rPr>
      </w:pPr>
      <w:r>
        <w:rPr>
          <w:sz w:val="20"/>
        </w:rPr>
        <w:t xml:space="preserve">(Continued from previous page)  </w:t>
      </w:r>
      <w:r>
        <w:rPr>
          <w:sz w:val="20"/>
        </w:rPr>
        <w:separator/>
      </w:r>
    </w:p>
  </w:footnote>
  <w:footnote w:type="continuationNotice" w:id="2">
    <w:p w:rsidR="00ED00A8" w:rsidP="00C721AC" w14:paraId="75736A3E" w14:textId="77777777">
      <w:pPr>
        <w:jc w:val="right"/>
        <w:rPr>
          <w:sz w:val="20"/>
        </w:rPr>
      </w:pPr>
    </w:p>
  </w:footnote>
  <w:footnote w:id="3">
    <w:p w:rsidR="00A755B1" w:rsidRPr="00CA12DE" w:rsidP="004E16D7" w14:paraId="0ED605E7" w14:textId="07B82835">
      <w:pPr>
        <w:pStyle w:val="FootnoteText"/>
        <w:suppressAutoHyphens/>
      </w:pPr>
      <w:r w:rsidRPr="00CA12DE">
        <w:rPr>
          <w:rStyle w:val="FootnoteReference"/>
        </w:rPr>
        <w:footnoteRef/>
      </w:r>
      <w:r w:rsidRPr="00CA12DE">
        <w:t xml:space="preserve"> Section 623(k), adopted as Section 3(k) of the Cable Act, Pub. L. No. 102-385, 106 Stat. 1460, codified at 47 U.S.C. § 543(k).</w:t>
      </w:r>
    </w:p>
  </w:footnote>
  <w:footnote w:id="4">
    <w:p w:rsidR="00A755B1" w:rsidRPr="00CA12DE" w:rsidP="004E16D7" w14:paraId="35E600F7" w14:textId="40F6C231">
      <w:pPr>
        <w:pStyle w:val="FootnoteText"/>
        <w:suppressAutoHyphens/>
      </w:pPr>
      <w:r w:rsidRPr="00CA12DE">
        <w:rPr>
          <w:rStyle w:val="FootnoteReference"/>
        </w:rPr>
        <w:footnoteRef/>
      </w:r>
      <w:r w:rsidRPr="00CA12DE">
        <w:t xml:space="preserve"> 47 U.S.C. § 543(k)(1) (cross-referencing 47 U.S.C. § 543(a)(2)).  Citations to prior annual reports on cable industry prices:  </w:t>
      </w:r>
      <w:r w:rsidRPr="00CA12DE">
        <w:rPr>
          <w:i/>
        </w:rPr>
        <w:t>Implementation of Section 3 of the Cable Television Consumer Protection and Competition Act of 1992, Statistical Report on Average Rates for Basic Service, Cable Programming Service, and Equipment,</w:t>
      </w:r>
      <w:r w:rsidRPr="00CA12DE">
        <w:t xml:space="preserve"> 12 FCC Rcd 3239 (1997) (</w:t>
      </w:r>
      <w:r w:rsidRPr="00CA12DE">
        <w:rPr>
          <w:i/>
        </w:rPr>
        <w:t>1997 Report</w:t>
      </w:r>
      <w:r w:rsidRPr="00CA12DE">
        <w:t>); 14 FCC Rcd 8331 (1999) (</w:t>
      </w:r>
      <w:r w:rsidRPr="00CA12DE">
        <w:rPr>
          <w:i/>
        </w:rPr>
        <w:t>1998 Report</w:t>
      </w:r>
      <w:r w:rsidRPr="00CA12DE">
        <w:t>); 15 FCC Rcd 10927 (2000) (</w:t>
      </w:r>
      <w:r w:rsidRPr="00CA12DE">
        <w:rPr>
          <w:i/>
        </w:rPr>
        <w:t>1999 Report</w:t>
      </w:r>
      <w:r w:rsidRPr="00CA12DE">
        <w:t>); 16 FCC Rcd 4346 (2001) (</w:t>
      </w:r>
      <w:r w:rsidRPr="00CA12DE">
        <w:rPr>
          <w:i/>
        </w:rPr>
        <w:t>2000 Report</w:t>
      </w:r>
      <w:r w:rsidRPr="00CA12DE">
        <w:t>); 17 FCC Rcd 6301 (2002) (</w:t>
      </w:r>
      <w:r w:rsidRPr="00CA12DE">
        <w:rPr>
          <w:i/>
        </w:rPr>
        <w:t>2001 Report</w:t>
      </w:r>
      <w:r w:rsidRPr="00CA12DE">
        <w:t>); 18 FCC Rcd 13284 (2003) (</w:t>
      </w:r>
      <w:r w:rsidRPr="00CA12DE">
        <w:rPr>
          <w:i/>
        </w:rPr>
        <w:t>2002 Report</w:t>
      </w:r>
      <w:r w:rsidRPr="00CA12DE">
        <w:t>); 20 FCC Rcd 2718 (2005) (</w:t>
      </w:r>
      <w:r w:rsidRPr="00CA12DE">
        <w:rPr>
          <w:i/>
        </w:rPr>
        <w:t>2003-2004 Report</w:t>
      </w:r>
      <w:r w:rsidRPr="00CA12DE">
        <w:t>); 21 FCC Rcd 15087 (2006) (</w:t>
      </w:r>
      <w:r w:rsidRPr="00CA12DE">
        <w:rPr>
          <w:i/>
        </w:rPr>
        <w:t>2005 Report</w:t>
      </w:r>
      <w:r w:rsidRPr="00CA12DE">
        <w:t>); 24 FCC Rcd 259 (2009) (</w:t>
      </w:r>
      <w:r w:rsidRPr="00CA12DE">
        <w:rPr>
          <w:i/>
        </w:rPr>
        <w:t>2006-2008 Report</w:t>
      </w:r>
      <w:r w:rsidRPr="00CA12DE">
        <w:t>); 25 FCC Rcd 13350 (2010) (</w:t>
      </w:r>
      <w:r w:rsidRPr="00CA12DE">
        <w:rPr>
          <w:i/>
        </w:rPr>
        <w:t>2009 Report</w:t>
      </w:r>
      <w:r w:rsidRPr="00CA12DE">
        <w:t>); 27 FCC Rcd 2427 (2012) (</w:t>
      </w:r>
      <w:r w:rsidRPr="00CA12DE">
        <w:rPr>
          <w:i/>
        </w:rPr>
        <w:t>2011 Report</w:t>
      </w:r>
      <w:r w:rsidRPr="00CA12DE">
        <w:t>); 28 FCC Rcd 9857 (2013) (</w:t>
      </w:r>
      <w:r w:rsidRPr="00CA12DE">
        <w:rPr>
          <w:i/>
        </w:rPr>
        <w:t>2012 Report</w:t>
      </w:r>
      <w:r w:rsidRPr="00CA12DE">
        <w:t>); 29 FCC Rcd 5280 (2014) (</w:t>
      </w:r>
      <w:r w:rsidRPr="00CA12DE">
        <w:rPr>
          <w:i/>
        </w:rPr>
        <w:t>2013 Report</w:t>
      </w:r>
      <w:r w:rsidRPr="00CA12DE">
        <w:t>); 29 FCC Rcd 14895 (2015) (</w:t>
      </w:r>
      <w:r w:rsidRPr="00CA12DE">
        <w:rPr>
          <w:i/>
        </w:rPr>
        <w:t>2014 Report</w:t>
      </w:r>
      <w:r w:rsidRPr="00CA12DE">
        <w:t>); and 31 FCC Rcd 11498 (2016) (</w:t>
      </w:r>
      <w:r w:rsidRPr="00CA12DE">
        <w:rPr>
          <w:i/>
        </w:rPr>
        <w:t>2015 Report</w:t>
      </w:r>
      <w:r w:rsidRPr="00CA12DE">
        <w:t>).</w:t>
      </w:r>
    </w:p>
  </w:footnote>
  <w:footnote w:id="5">
    <w:p w:rsidR="00A755B1" w:rsidRPr="00CA12DE" w:rsidP="004E16D7" w14:paraId="522248AF" w14:textId="5F4AECE6">
      <w:pPr>
        <w:pStyle w:val="FootnoteText"/>
        <w:suppressAutoHyphens/>
      </w:pPr>
      <w:r w:rsidRPr="00CA12DE">
        <w:rPr>
          <w:rStyle w:val="FootnoteReference"/>
        </w:rPr>
        <w:footnoteRef/>
      </w:r>
      <w:r w:rsidRPr="00CA12DE">
        <w:t xml:space="preserve"> “Cable operator” (operator) means an entity operating as a multichannel video programming distributor (MVPD) that makes available for purchase, by subscribers or customers, multiple channels of video programming delivered over a cable system registered with the Commission.  47 CFR § 76.905(d).  </w:t>
      </w:r>
      <w:r w:rsidRPr="00CA12DE">
        <w:rPr>
          <w:i/>
        </w:rPr>
        <w:t xml:space="preserve">See also </w:t>
      </w:r>
      <w:bookmarkStart w:id="15" w:name="_Hlk502150836"/>
      <w:r w:rsidRPr="00CA12DE">
        <w:t>47 U.S.C. § 522(5)</w:t>
      </w:r>
      <w:bookmarkEnd w:id="15"/>
      <w:r w:rsidRPr="00CA12DE">
        <w:t xml:space="preserve">.  </w:t>
      </w:r>
      <w:bookmarkStart w:id="16" w:name="_Hlk502221538"/>
      <w:r w:rsidRPr="00CA12DE">
        <w:t>This includes operators of traditional coaxial and fiber cable systems, municipalities, and telephone companies</w:t>
      </w:r>
      <w:bookmarkEnd w:id="16"/>
      <w:r w:rsidRPr="00CA12DE">
        <w:t xml:space="preserve"> including Verizon FiOS.  Direct broadcast satellite (DBS) and AT&amp;T U-verse systems are not registered with the Commission, and thus these systems’ prices are not part of the Report, although DBS and AT&amp;T U-verse are competitors for purposes of assessing effective competition.  “Service tier” (service) refers to a cable service for which a separate rate applies.  47 U.S.C. § 522(l7).  Operators must provide a separately available “basic cable service” (basic service) to which customers must subscribe before accessing any other tier of service.  </w:t>
      </w:r>
      <w:r w:rsidRPr="00CA12DE">
        <w:rPr>
          <w:i/>
        </w:rPr>
        <w:t>Id.</w:t>
      </w:r>
      <w:r w:rsidRPr="00CA12DE">
        <w:t xml:space="preserve"> § 543(b)(7).  “Other cable programming” service means any video programming other than programming offered with the basic service or offered on a per channel or per program basis.  </w:t>
      </w:r>
      <w:r w:rsidRPr="00CA12DE">
        <w:rPr>
          <w:i/>
        </w:rPr>
        <w:t>Id.</w:t>
      </w:r>
      <w:r w:rsidRPr="00CA12DE">
        <w:t xml:space="preserve"> § 543(l)(2).  Section II, Part C defines other cable programming for the purpose of the Report.</w:t>
      </w:r>
    </w:p>
  </w:footnote>
  <w:footnote w:id="6">
    <w:p w:rsidR="00A755B1" w:rsidRPr="00CA12DE" w:rsidP="004E16D7" w14:paraId="56F4E572" w14:textId="1516C751">
      <w:pPr>
        <w:pStyle w:val="FootnoteText"/>
        <w:suppressAutoHyphens/>
      </w:pPr>
      <w:r w:rsidRPr="00CA12DE">
        <w:rPr>
          <w:rStyle w:val="FootnoteReference"/>
        </w:rPr>
        <w:footnoteRef/>
      </w:r>
      <w:r w:rsidRPr="00CA12DE">
        <w:t xml:space="preserve"> Commission findings of effective competition generally are made in reference to a “cable community identifier” (CUID).  The Commission assigns a unique CUID to each operator for each community the operator serves.  While not reflected in the Report, as discussed in Section II, Part A, the Commission has changed its process and presumption for determining effective competition.  The next annual cable price report will reflect the change in the effective competition presumption, which did not affect the data that are the subject of this Report.  </w:t>
      </w:r>
      <w:r w:rsidRPr="00CA12DE">
        <w:rPr>
          <w:i/>
        </w:rPr>
        <w:t>See infra</w:t>
      </w:r>
      <w:r w:rsidRPr="00CA12DE">
        <w:t xml:space="preserve"> note 26.  Rates of an operator subject to effective competition are not subject to regulation by a local franchising authority (LFA).  47 U.S.C. § 543(a)(2); 47 CFR § 76.905(a).  An LFA may elect to regulate the rate of basic service of an operator not subject to effective competition.  </w:t>
      </w:r>
      <w:r w:rsidRPr="00CA12DE">
        <w:rPr>
          <w:i/>
        </w:rPr>
        <w:t>Id.</w:t>
      </w:r>
      <w:bookmarkStart w:id="18" w:name="_Hlk483130891"/>
      <w:r w:rsidRPr="00CA12DE">
        <w:t xml:space="preserve">  </w:t>
      </w:r>
      <w:bookmarkEnd w:id="18"/>
      <w:r w:rsidRPr="00CA12DE">
        <w:t>A finding of effective competition as reflected in this report required an operator to meet one of four tests:  (1) fewer than 30 percent of households subscribe to the operator’s programming service (low penetration test); (2) at least two unaffiliated MVPDs offer comparable programming, and each offers its service to at least 50 percent of households, and the percent of households taking service from MVPDs other than the largest MVPD exceeds 15 percent (50/15 test); (3) a franchising authority operates as an MVPD in that franchise area and offers programming to at least 50 percent of households (municipal test); and (4) a local exchange carrier (LEC), or its affiliate (or an MVPD using the facilities of a LEC or affiliate) offers service by means other than DBS in the franchise area of an unaffiliated operator that is offering comparable programming (LEC test).  47 U.S.C. § 543(</w:t>
      </w:r>
      <w:r w:rsidRPr="00CA12DE">
        <w:rPr>
          <w:i/>
        </w:rPr>
        <w:t>l</w:t>
      </w:r>
      <w:r w:rsidRPr="00CA12DE">
        <w:t xml:space="preserve">)(1).  A finding of effective competition under more generally applicable competition analysis would not necessarily reach the same conclusions as one under the Cable Act’s statutory standard.  </w:t>
      </w:r>
      <w:r w:rsidRPr="00CA12DE">
        <w:rPr>
          <w:i/>
        </w:rPr>
        <w:t>See generally</w:t>
      </w:r>
      <w:r w:rsidRPr="00CA12DE">
        <w:t xml:space="preserve"> U.S. Department of Justice and Federal Trade Commission Horizontal Merger Guidelines, </w:t>
      </w:r>
      <w:r>
        <w:fldChar w:fldCharType="begin"/>
      </w:r>
      <w:r>
        <w:instrText xml:space="preserve"> HYPERLINK "http://www.justice.gov/atr/%20public/guidelines/hmg2010%20.html" </w:instrText>
      </w:r>
      <w:r>
        <w:fldChar w:fldCharType="separate"/>
      </w:r>
      <w:r w:rsidRPr="00CC1A49">
        <w:rPr>
          <w:rStyle w:val="Hyperlink"/>
          <w:color w:val="auto"/>
        </w:rPr>
        <w:t>http://www.justice.gov/atr/ public/guidelines/hmg2010 .html</w:t>
      </w:r>
      <w:r>
        <w:fldChar w:fldCharType="end"/>
      </w:r>
      <w:r w:rsidRPr="00CA12DE">
        <w:t>.</w:t>
      </w:r>
    </w:p>
  </w:footnote>
  <w:footnote w:id="7">
    <w:p w:rsidR="00A755B1" w:rsidRPr="00CA12DE" w14:paraId="3FD18AB0" w14:textId="1294AC10">
      <w:pPr>
        <w:pStyle w:val="FootnoteText"/>
      </w:pPr>
      <w:r w:rsidRPr="00CA12DE">
        <w:rPr>
          <w:rStyle w:val="FootnoteReference"/>
        </w:rPr>
        <w:footnoteRef/>
      </w:r>
      <w:r w:rsidRPr="00CA12DE">
        <w:t xml:space="preserve"> See the Survey Methodology Appendix for a detailed description of the sampling and stratification methodology.</w:t>
      </w:r>
    </w:p>
  </w:footnote>
  <w:footnote w:id="8">
    <w:p w:rsidR="00A755B1" w:rsidRPr="00CA12DE" w14:paraId="2D4EB5D0" w14:textId="59E1EBF9">
      <w:pPr>
        <w:pStyle w:val="FootnoteText"/>
      </w:pPr>
      <w:r w:rsidRPr="00CA12DE">
        <w:rPr>
          <w:rStyle w:val="FootnoteReference"/>
        </w:rPr>
        <w:footnoteRef/>
      </w:r>
      <w:r w:rsidRPr="00CA12DE">
        <w:t xml:space="preserve"> The prices collected exclude state and local taxes as well as franchise fees.</w:t>
      </w:r>
    </w:p>
  </w:footnote>
  <w:footnote w:id="9">
    <w:p w:rsidR="00A755B1" w:rsidRPr="007C1B72" w14:paraId="3E1EB997" w14:textId="351FB01A">
      <w:pPr>
        <w:pStyle w:val="FootnoteText"/>
      </w:pPr>
      <w:r w:rsidRPr="00CA12DE">
        <w:rPr>
          <w:rStyle w:val="FootnoteReference"/>
        </w:rPr>
        <w:footnoteRef/>
      </w:r>
      <w:r w:rsidRPr="00CA12DE">
        <w:t xml:space="preserve"> Throughout this report, we determine statistical significance using a 95% confidence level.  A difference that is statistically significant at the 95% confidence level is unlikely to be due to random sampling error. </w:t>
      </w:r>
      <w:r w:rsidRPr="007C1B72">
        <w:t xml:space="preserve"> Instead, the difference may therefore reflect a true difference between survey groups.</w:t>
      </w:r>
    </w:p>
  </w:footnote>
  <w:footnote w:id="10">
    <w:p w:rsidR="00A755B1" w:rsidRPr="007C1B72" w:rsidP="0034584F" w14:paraId="6C9F7BE2" w14:textId="3A2411A1">
      <w:pPr>
        <w:pStyle w:val="FootnoteText"/>
        <w:suppressAutoHyphens/>
      </w:pPr>
      <w:r w:rsidRPr="00CA12DE">
        <w:rPr>
          <w:rStyle w:val="FootnoteReference"/>
        </w:rPr>
        <w:footnoteRef/>
      </w:r>
      <w:r w:rsidRPr="00CA12DE">
        <w:t xml:space="preserve"> </w:t>
      </w:r>
      <w:r w:rsidRPr="007C1B72">
        <w:t xml:space="preserve">Defined </w:t>
      </w:r>
      <w:r w:rsidRPr="007C1B72">
        <w:rPr>
          <w:i/>
        </w:rPr>
        <w:t>supra</w:t>
      </w:r>
      <w:r w:rsidRPr="007C1B72">
        <w:t xml:space="preserve"> at note 4.  See also </w:t>
      </w:r>
      <w:r w:rsidRPr="00CA12DE">
        <w:rPr>
          <w:i/>
        </w:rPr>
        <w:t>infra</w:t>
      </w:r>
      <w:r w:rsidRPr="00CA12DE">
        <w:t xml:space="preserve"> paragraph </w:t>
      </w:r>
      <w:r w:rsidRPr="007C1B72">
        <w:fldChar w:fldCharType="begin"/>
      </w:r>
      <w:r w:rsidRPr="00CA12DE">
        <w:instrText xml:space="preserve"> REF _Ref489022365 \r \h </w:instrText>
      </w:r>
      <w:r w:rsidRPr="007C1B72">
        <w:fldChar w:fldCharType="separate"/>
      </w:r>
      <w:r w:rsidRPr="007C1B72">
        <w:t>16</w:t>
      </w:r>
      <w:r w:rsidRPr="007C1B72">
        <w:fldChar w:fldCharType="end"/>
      </w:r>
      <w:r w:rsidRPr="00CA12DE">
        <w:t>, discussing the Commission’s adoption of a rebuttable presumption of effective competition.</w:t>
      </w:r>
    </w:p>
  </w:footnote>
  <w:footnote w:id="11">
    <w:p w:rsidR="00A755B1" w:rsidRPr="007C1B72" w:rsidP="004E16D7" w14:paraId="0DBB8B22" w14:textId="39686492">
      <w:pPr>
        <w:pStyle w:val="FootnoteText"/>
        <w:suppressAutoHyphens/>
      </w:pPr>
      <w:r w:rsidRPr="00CA12DE">
        <w:rPr>
          <w:rStyle w:val="FootnoteReference"/>
        </w:rPr>
        <w:footnoteRef/>
      </w:r>
      <w:r w:rsidRPr="00CA12DE">
        <w:t xml:space="preserve"> We overview sampling groups and subgroups in Section II, Part B.</w:t>
      </w:r>
    </w:p>
  </w:footnote>
  <w:footnote w:id="12">
    <w:p w:rsidR="00A755B1" w:rsidRPr="00CA12DE" w14:paraId="6DF15049" w14:textId="3319696E">
      <w:pPr>
        <w:pStyle w:val="FootnoteText"/>
        <w:rPr>
          <w:b/>
        </w:rPr>
      </w:pPr>
      <w:r w:rsidRPr="00CA12DE">
        <w:rPr>
          <w:rStyle w:val="FootnoteReference"/>
        </w:rPr>
        <w:footnoteRef/>
      </w:r>
      <w:r w:rsidRPr="00CA12DE">
        <w:t xml:space="preserve"> The data for retransmission consent fees are</w:t>
      </w:r>
      <w:r w:rsidRPr="007C1B72">
        <w:t xml:space="preserve"> collected somewhat differently than the rest of the data in the report.  Retransmission data are collected for complete years, whereas all the rest of the data are collected as of a certain date for two years, as of January </w:t>
      </w:r>
      <w:r w:rsidRPr="00CA12DE">
        <w:t xml:space="preserve">1.  As a result, the retransmission consent fee data are for the </w:t>
      </w:r>
      <w:r w:rsidRPr="00CA12DE">
        <w:rPr>
          <w:i/>
        </w:rPr>
        <w:t>complete years</w:t>
      </w:r>
      <w:r w:rsidRPr="00CA12DE">
        <w:t xml:space="preserve"> 2014 and 2015 (the latest two years for which annual retransmission consent data were available at the time of the 2016 survey), whereas the other data in the survey, by contrast, are snapshot as of January 1, 2015 or January 1, 2016.  </w:t>
      </w:r>
      <w:r w:rsidRPr="00CA12DE">
        <w:rPr>
          <w:b/>
        </w:rPr>
        <w:t xml:space="preserve"> </w:t>
      </w:r>
    </w:p>
  </w:footnote>
  <w:footnote w:id="13">
    <w:p w:rsidR="00A755B1" w:rsidRPr="007C1B72" w14:paraId="09532BC6" w14:textId="56541478">
      <w:pPr>
        <w:pStyle w:val="FootnoteText"/>
      </w:pPr>
      <w:r w:rsidRPr="00CA12DE">
        <w:rPr>
          <w:rStyle w:val="FootnoteReference"/>
        </w:rPr>
        <w:footnoteRef/>
      </w:r>
      <w:r w:rsidRPr="00CA12DE">
        <w:t xml:space="preserve"> More recent estimates show that growth in retransmission consent fees has slowed.  From 2016 to 2017, SNL Kagan estimates that total retransmission consent fees paid to television stations increased by 17.7 percent.  </w:t>
      </w:r>
      <w:r w:rsidRPr="007C1B72">
        <w:t>SNL Kagan, U.S. TV station industry total revenue projections, 2006-2023 (December 7, 2017).</w:t>
      </w:r>
    </w:p>
  </w:footnote>
  <w:footnote w:id="14">
    <w:p w:rsidR="00A755B1" w:rsidRPr="00CA12DE" w:rsidP="004E16D7" w14:paraId="46B7EEF3" w14:textId="105BF707">
      <w:pPr>
        <w:pStyle w:val="EndnoteText"/>
        <w:suppressAutoHyphens/>
        <w:spacing w:after="120"/>
      </w:pPr>
      <w:r w:rsidRPr="00CA12DE">
        <w:rPr>
          <w:rStyle w:val="FootnoteReference"/>
        </w:rPr>
        <w:footnoteRef/>
      </w:r>
      <w:r w:rsidRPr="00CA12DE">
        <w:t xml:space="preserve"> These samples of DBS providers were from publicly available information. (</w:t>
      </w:r>
      <w:r w:rsidRPr="007C1B72">
        <w:rPr>
          <w:i/>
        </w:rPr>
        <w:t>Supra</w:t>
      </w:r>
      <w:r w:rsidRPr="007C1B72">
        <w:t xml:space="preserve"> Attachment 8).  While these companies’ programming packa</w:t>
      </w:r>
      <w:r w:rsidRPr="00CA12DE">
        <w:t xml:space="preserve">ges are similar, we note that DBS systems, which are available on a nationwide basis, do not provide a local-facilities-based service, and can therefore add subscribers anywhere with minimal incremental infrastructure cost.  </w:t>
      </w:r>
      <w:r w:rsidRPr="00CA12DE">
        <w:rPr>
          <w:i/>
        </w:rPr>
        <w:t>Annual Assessment of the Status of Competition in the Market for the Delivery of Video Programming,</w:t>
      </w:r>
      <w:r w:rsidRPr="00CA12DE">
        <w:t xml:space="preserve"> Fifteenth Report, 28 FCC Rcd 10496, 10546 para. 112 (2014).</w:t>
      </w:r>
    </w:p>
  </w:footnote>
  <w:footnote w:id="15">
    <w:p w:rsidR="00A755B1" w:rsidRPr="007C1B72" w14:paraId="72E05E7A" w14:textId="1FADA7FC">
      <w:pPr>
        <w:pStyle w:val="FootnoteText"/>
      </w:pPr>
      <w:r w:rsidRPr="00CA12DE">
        <w:rPr>
          <w:rStyle w:val="FootnoteReference"/>
        </w:rPr>
        <w:footnoteRef/>
      </w:r>
      <w:r w:rsidRPr="00CA12DE">
        <w:t xml:space="preserve"> AT&amp;T announced its acquisition of DIRECTV on July 8, 2015.  Press Re</w:t>
      </w:r>
      <w:r w:rsidRPr="007C1B72">
        <w:t xml:space="preserve">lease, AT&amp;T Inc., </w:t>
      </w:r>
      <w:r w:rsidRPr="007C1B72">
        <w:rPr>
          <w:i/>
        </w:rPr>
        <w:t>AT&amp;T completes Acquisition of AT&amp;T</w:t>
      </w:r>
      <w:r w:rsidRPr="007C1B72">
        <w:t xml:space="preserve"> (Jul</w:t>
      </w:r>
      <w:r w:rsidRPr="00CA12DE">
        <w:t xml:space="preserve">y 24, 2015).  </w:t>
      </w:r>
      <w:r>
        <w:fldChar w:fldCharType="begin"/>
      </w:r>
      <w:r>
        <w:instrText xml:space="preserve"> HYPERLINK "http://about.att.com/story/att_completes_acquisition_of_directv.html" </w:instrText>
      </w:r>
      <w:r>
        <w:fldChar w:fldCharType="separate"/>
      </w:r>
      <w:r w:rsidRPr="00CC1A49">
        <w:rPr>
          <w:rStyle w:val="Hyperlink"/>
          <w:color w:val="auto"/>
        </w:rPr>
        <w:t>http://about.att.com/story/att_completes_acquisition_of_directv.html</w:t>
      </w:r>
      <w:r>
        <w:fldChar w:fldCharType="end"/>
      </w:r>
      <w:r w:rsidRPr="00CA12DE">
        <w:t>.</w:t>
      </w:r>
    </w:p>
  </w:footnote>
  <w:footnote w:id="16">
    <w:p w:rsidR="00A755B1" w:rsidRPr="00CA12DE" w:rsidP="004E16D7" w14:paraId="28C5F070" w14:textId="3354977B">
      <w:pPr>
        <w:pStyle w:val="FootnoteText"/>
        <w:suppressAutoHyphens/>
      </w:pPr>
      <w:r w:rsidRPr="00CA12DE">
        <w:rPr>
          <w:rStyle w:val="FootnoteReference"/>
        </w:rPr>
        <w:footnoteRef/>
      </w:r>
      <w:r w:rsidRPr="00CA12DE">
        <w:t xml:space="preserve"> Within each community in the DBS sample, Choice and AT120+ customers </w:t>
      </w:r>
      <w:r w:rsidRPr="007C1B72">
        <w:t>received a set of local channels, except in one instance that apparently resulted from a technological limitation that impeded DIRECTV from offering local channels. As a result, DIRECTV discounted its uniform national price in this market.  Neither of the two DBS packages</w:t>
      </w:r>
      <w:r w:rsidRPr="00CA12DE">
        <w:t xml:space="preserve"> in our sample included any regional sports networks (RSNs) but rather offer these networks as a separate tier of service and, as such, are not included in our analysis.  In contrast, the operators in our cable survey tended to provide at least one RSN with expanded basic service at no extra charge but also typically offer a separate tier of RSNs, which are also not included in our analysis.</w:t>
      </w:r>
    </w:p>
  </w:footnote>
  <w:footnote w:id="17">
    <w:p w:rsidR="00A755B1" w:rsidRPr="00CA12DE" w14:paraId="7E28E843" w14:textId="000CC568">
      <w:pPr>
        <w:pStyle w:val="FootnoteText"/>
      </w:pPr>
      <w:r w:rsidRPr="00CA12DE">
        <w:rPr>
          <w:rStyle w:val="FootnoteReference"/>
        </w:rPr>
        <w:footnoteRef/>
      </w:r>
      <w:r w:rsidRPr="00CA12DE">
        <w:t xml:space="preserve"> The average price per channel</w:t>
      </w:r>
      <w:r w:rsidRPr="007C1B72">
        <w:t xml:space="preserve"> for cable operators cannot be calculated from the average price and average number of</w:t>
      </w:r>
      <w:r w:rsidRPr="00CA12DE">
        <w:t xml:space="preserve"> channels given above due to statistical weighting of observations.</w:t>
      </w:r>
    </w:p>
  </w:footnote>
  <w:footnote w:id="18">
    <w:p w:rsidR="00A755B1" w:rsidRPr="00CA12DE" w:rsidP="004E16D7" w14:paraId="02F07A50" w14:textId="22CC16D1">
      <w:pPr>
        <w:pStyle w:val="FootnoteText"/>
        <w:suppressAutoHyphens/>
      </w:pPr>
      <w:r w:rsidRPr="00CA12DE">
        <w:rPr>
          <w:rStyle w:val="FootnoteReference"/>
        </w:rPr>
        <w:footnoteRef/>
      </w:r>
      <w:r w:rsidRPr="00CA12DE">
        <w:t xml:space="preserve"> </w:t>
      </w:r>
      <w:r w:rsidRPr="007C1B72">
        <w:rPr>
          <w:i/>
        </w:rPr>
        <w:t>Implementation of Section 3 of the Cable Television Consumer Protection and Competition Act of 1992</w:t>
      </w:r>
      <w:r w:rsidRPr="007C1B72">
        <w:t xml:space="preserve">, </w:t>
      </w:r>
      <w:r w:rsidRPr="007C1B72">
        <w:rPr>
          <w:i/>
        </w:rPr>
        <w:t>Statistical Report on Average Prices for Basic Service, Cable Programming Services, a</w:t>
      </w:r>
      <w:r w:rsidRPr="00CA12DE">
        <w:rPr>
          <w:i/>
        </w:rPr>
        <w:t>nd Equipment</w:t>
      </w:r>
      <w:r w:rsidRPr="00CA12DE">
        <w:t>, MM Docket No. 92-266, Order, 31 FCC Rcd 11727 (2016).</w:t>
      </w:r>
    </w:p>
  </w:footnote>
  <w:footnote w:id="19">
    <w:p w:rsidR="00A755B1" w:rsidRPr="00CA12DE" w:rsidP="004E16D7" w14:paraId="2F9B19BD" w14:textId="4D191DA0">
      <w:pPr>
        <w:pStyle w:val="FootnoteText"/>
        <w:suppressAutoHyphens/>
      </w:pPr>
      <w:r w:rsidRPr="00CA12DE">
        <w:rPr>
          <w:rStyle w:val="FootnoteReference"/>
        </w:rPr>
        <w:footnoteRef/>
      </w:r>
      <w:r w:rsidRPr="00CA12DE">
        <w:t xml:space="preserve"> </w:t>
      </w:r>
      <w:r w:rsidRPr="007C1B72">
        <w:rPr>
          <w:i/>
        </w:rPr>
        <w:t>See</w:t>
      </w:r>
      <w:r w:rsidRPr="007C1B72">
        <w:t xml:space="preserve"> </w:t>
      </w:r>
      <w:r w:rsidRPr="007C1B72">
        <w:rPr>
          <w:i/>
        </w:rPr>
        <w:t>supra</w:t>
      </w:r>
      <w:r w:rsidRPr="00CA12DE">
        <w:t xml:space="preserve"> note 4.</w:t>
      </w:r>
    </w:p>
  </w:footnote>
  <w:footnote w:id="20">
    <w:p w:rsidR="00A755B1" w:rsidRPr="00CA12DE" w:rsidP="004E16D7" w14:paraId="5E90F56D" w14:textId="3FBEB1AB">
      <w:pPr>
        <w:pStyle w:val="FootnoteText"/>
        <w:suppressAutoHyphens/>
      </w:pPr>
      <w:r w:rsidRPr="00CA12DE">
        <w:rPr>
          <w:rStyle w:val="FootnoteReference"/>
        </w:rPr>
        <w:footnoteRef/>
      </w:r>
      <w:r w:rsidRPr="00CA12DE">
        <w:t xml:space="preserve"> The percentage changes a</w:t>
      </w:r>
      <w:r w:rsidRPr="007C1B72">
        <w:t>re not a comparison of data between the 2015 survey and 2016 survey, as those two surveys include different samples of communities.  To calcul</w:t>
      </w:r>
      <w:r w:rsidRPr="00CA12DE">
        <w:t>ate the 2015-2016 price changes, the 2016 survey collected data from January 1, 2015 and January 1, 2016 so as not to introduce the random sampling variation that may occur between independent samples.  While tables in this report generally report the 2016 statistics and annual changes on the basis of the data collected in the 2016 survey, Table 4 reports historical price series based on statistics from previous survey years.</w:t>
      </w:r>
    </w:p>
  </w:footnote>
  <w:footnote w:id="21">
    <w:p w:rsidR="00A755B1" w:rsidRPr="00CA12DE" w:rsidP="004E16D7" w14:paraId="036D52A9" w14:textId="234D7531">
      <w:pPr>
        <w:pStyle w:val="FootnoteText"/>
        <w:suppressAutoHyphens/>
      </w:pPr>
      <w:r w:rsidRPr="00CA12DE">
        <w:rPr>
          <w:rStyle w:val="FootnoteReference"/>
        </w:rPr>
        <w:footnoteRef/>
      </w:r>
      <w:r w:rsidRPr="00CA12DE">
        <w:t xml:space="preserve"> </w:t>
      </w:r>
      <w:r w:rsidRPr="007C1B72">
        <w:rPr>
          <w:i/>
        </w:rPr>
        <w:t>See</w:t>
      </w:r>
      <w:r w:rsidRPr="007C1B72">
        <w:t xml:space="preserve"> </w:t>
      </w:r>
      <w:r w:rsidRPr="007C1B72">
        <w:rPr>
          <w:i/>
        </w:rPr>
        <w:t>supra</w:t>
      </w:r>
      <w:r w:rsidRPr="00CA12DE">
        <w:t xml:space="preserve"> note 3.</w:t>
      </w:r>
    </w:p>
  </w:footnote>
  <w:footnote w:id="22">
    <w:p w:rsidR="00A755B1" w:rsidRPr="007C1B72" w:rsidP="004E16D7" w14:paraId="1408D4D8" w14:textId="65EBC558">
      <w:pPr>
        <w:pStyle w:val="FootnoteText"/>
        <w:suppressAutoHyphens/>
      </w:pPr>
      <w:r w:rsidRPr="00CA12DE">
        <w:rPr>
          <w:rStyle w:val="FootnoteReference"/>
        </w:rPr>
        <w:footnoteRef/>
      </w:r>
      <w:r w:rsidRPr="00CA12DE">
        <w:t xml:space="preserve"> </w:t>
      </w:r>
      <w:r w:rsidRPr="007C1B72">
        <w:rPr>
          <w:i/>
        </w:rPr>
        <w:t>Id.</w:t>
      </w:r>
    </w:p>
  </w:footnote>
  <w:footnote w:id="23">
    <w:p w:rsidR="00A755B1" w:rsidRPr="00CA12DE" w:rsidP="004E16D7" w14:paraId="539D3B96" w14:textId="5C116A9E">
      <w:pPr>
        <w:pStyle w:val="FootnoteText"/>
        <w:suppressAutoHyphens/>
      </w:pPr>
      <w:r w:rsidRPr="00CA12DE">
        <w:rPr>
          <w:rStyle w:val="FootnoteReference"/>
        </w:rPr>
        <w:footnoteRef/>
      </w:r>
      <w:r w:rsidRPr="00CA12DE">
        <w:t xml:space="preserve"> </w:t>
      </w:r>
      <w:r w:rsidRPr="007C1B72">
        <w:t>As of January 1, 2016, on average, 87.2 percent of subscribers took at least expanded basic service, and 12.8 percent took only basic service.  This 87.2 percent includes subscribers whose operators do not offer a separate expanded basic service tier but instead offer a basic service tier that includes many o</w:t>
      </w:r>
      <w:r w:rsidRPr="00CA12DE">
        <w:t>f the popular national networks typically associated with expanded basic service.  In addition, on average 52.6 percent of subscribers took the next most popular programming service as an additional tier.  (We did not collect information on additional tiers beyond the next most popular.)</w:t>
      </w:r>
    </w:p>
  </w:footnote>
  <w:footnote w:id="24">
    <w:p w:rsidR="00A755B1" w:rsidRPr="00CA12DE" w:rsidP="004E16D7" w14:paraId="0F02E8C9" w14:textId="6D959C89">
      <w:pPr>
        <w:pStyle w:val="FootnoteText"/>
        <w:suppressAutoHyphens/>
      </w:pPr>
      <w:r w:rsidRPr="00CA12DE">
        <w:rPr>
          <w:rStyle w:val="FootnoteReference"/>
        </w:rPr>
        <w:footnoteRef/>
      </w:r>
      <w:r w:rsidRPr="00CA12DE">
        <w:t xml:space="preserve"> </w:t>
      </w:r>
      <w:r w:rsidRPr="007C1B72">
        <w:rPr>
          <w:i/>
        </w:rPr>
        <w:t xml:space="preserve">Amendment to the Commission’s Rules Concerning Effective Competition, Implementation of Section 111 of the STELA Reauthorization Act, </w:t>
      </w:r>
      <w:r w:rsidRPr="00CA12DE">
        <w:t>Report and Order</w:t>
      </w:r>
      <w:r w:rsidRPr="00CA12DE">
        <w:rPr>
          <w:i/>
        </w:rPr>
        <w:t>,</w:t>
      </w:r>
      <w:r w:rsidRPr="00CA12DE">
        <w:t xml:space="preserve"> 30 FCC Rcd 6574 (2015).</w:t>
      </w:r>
    </w:p>
  </w:footnote>
  <w:footnote w:id="25">
    <w:p w:rsidR="00A755B1" w:rsidRPr="007C1B72" w:rsidP="004E16D7" w14:paraId="278BD8D2" w14:textId="0BA0E05D">
      <w:pPr>
        <w:pStyle w:val="FootnoteText"/>
        <w:suppressAutoHyphens/>
      </w:pPr>
      <w:r w:rsidRPr="00CA12DE">
        <w:rPr>
          <w:rStyle w:val="FootnoteReference"/>
        </w:rPr>
        <w:footnoteRef/>
      </w:r>
      <w:r w:rsidRPr="00CA12DE">
        <w:t xml:space="preserve"> For definitions of tests of effective competition, refer to note 4, </w:t>
      </w:r>
      <w:r w:rsidRPr="007C1B72">
        <w:rPr>
          <w:i/>
        </w:rPr>
        <w:t>supra</w:t>
      </w:r>
      <w:r w:rsidRPr="007C1B72">
        <w:t>.</w:t>
      </w:r>
    </w:p>
  </w:footnote>
  <w:footnote w:id="26">
    <w:p w:rsidR="00A755B1" w:rsidRPr="007C1B72" w14:paraId="126DECA4" w14:textId="11B2B6DB">
      <w:pPr>
        <w:pStyle w:val="FootnoteText"/>
        <w:rPr>
          <w:b/>
        </w:rPr>
      </w:pPr>
      <w:r w:rsidRPr="00CA12DE">
        <w:rPr>
          <w:rStyle w:val="FootnoteReference"/>
        </w:rPr>
        <w:footnoteRef/>
      </w:r>
      <w:r w:rsidRPr="00CA12DE">
        <w:t xml:space="preserve"> </w:t>
      </w:r>
      <w:r w:rsidRPr="007C1B72">
        <w:rPr>
          <w:szCs w:val="22"/>
        </w:rPr>
        <w:t>Even if an operator did not have an effective competition finding, the LFA may have elected not to regulate price.  According to survey data, only 13 percent of cable subscribers taking service from the operators in the noncompetitive group resided in franchise areas where the LFA elected to regulate the rate of basic cable service.</w:t>
      </w:r>
    </w:p>
  </w:footnote>
  <w:footnote w:id="27">
    <w:p w:rsidR="00A755B1" w:rsidRPr="00CA12DE" w:rsidP="001061D7" w14:paraId="1B6D8707" w14:textId="0B4A4167">
      <w:pPr>
        <w:pStyle w:val="xmsonormal"/>
        <w:spacing w:after="120"/>
        <w:rPr>
          <w:snapToGrid w:val="0"/>
          <w:highlight w:val="yellow"/>
        </w:rPr>
      </w:pPr>
      <w:r w:rsidRPr="00CA12DE">
        <w:rPr>
          <w:rStyle w:val="FootnoteReference"/>
        </w:rPr>
        <w:footnoteRef/>
      </w:r>
      <w:r w:rsidRPr="00CA12DE">
        <w:t xml:space="preserve"> </w:t>
      </w:r>
      <w:r w:rsidRPr="006456DD">
        <w:rPr>
          <w:rFonts w:ascii="Times New Roman" w:hAnsi="Times New Roman" w:cs="Times New Roman"/>
          <w:sz w:val="20"/>
          <w:szCs w:val="20"/>
        </w:rPr>
        <w:t xml:space="preserve">The Commission’s </w:t>
      </w:r>
      <w:r w:rsidRPr="006456DD">
        <w:rPr>
          <w:rFonts w:ascii="Times New Roman" w:hAnsi="Times New Roman" w:cs="Times New Roman"/>
          <w:i/>
          <w:iCs/>
          <w:sz w:val="20"/>
          <w:szCs w:val="20"/>
        </w:rPr>
        <w:t>2015 Report and Order</w:t>
      </w:r>
      <w:r w:rsidRPr="006456DD">
        <w:rPr>
          <w:rFonts w:ascii="Times New Roman" w:hAnsi="Times New Roman" w:cs="Times New Roman"/>
          <w:sz w:val="20"/>
          <w:szCs w:val="20"/>
        </w:rPr>
        <w:t xml:space="preserve"> adopted a rebuttable presumption that cable operators are subject to competing provider effective competition, which </w:t>
      </w:r>
      <w:r w:rsidRPr="00CA12DE">
        <w:rPr>
          <w:rFonts w:ascii="Times New Roman" w:hAnsi="Times New Roman" w:cs="Times New Roman"/>
          <w:snapToGrid w:val="0"/>
          <w:sz w:val="20"/>
          <w:szCs w:val="20"/>
        </w:rPr>
        <w:t xml:space="preserve">became effective on September 9, 2015.  </w:t>
      </w:r>
      <w:r w:rsidRPr="007C1B72">
        <w:rPr>
          <w:rFonts w:ascii="Times New Roman" w:hAnsi="Times New Roman" w:cs="Times New Roman"/>
          <w:i/>
          <w:iCs/>
          <w:snapToGrid w:val="0"/>
          <w:sz w:val="20"/>
          <w:szCs w:val="20"/>
        </w:rPr>
        <w:t>Notice of Effective Date of Revised Effective Competition Rules,</w:t>
      </w:r>
      <w:r w:rsidRPr="00CA12DE">
        <w:rPr>
          <w:rFonts w:ascii="Times New Roman" w:hAnsi="Times New Roman" w:cs="Times New Roman"/>
          <w:snapToGrid w:val="0"/>
          <w:sz w:val="20"/>
          <w:szCs w:val="20"/>
        </w:rPr>
        <w:t xml:space="preserve"> Public Notice, 30 FCC Rcd 10124 (MB, Sept. 17, 2015).  Although the changes to the Commission’s rules became effective in late 2015, some of the changes to the effective competition landscape were not complete until </w:t>
      </w:r>
      <w:r w:rsidRPr="00CA12DE">
        <w:rPr>
          <w:rFonts w:ascii="Times New Roman" w:hAnsi="Times New Roman" w:cs="Times New Roman"/>
          <w:i/>
          <w:snapToGrid w:val="0"/>
          <w:sz w:val="20"/>
          <w:szCs w:val="20"/>
        </w:rPr>
        <w:t>after</w:t>
      </w:r>
      <w:r w:rsidRPr="00CA12DE">
        <w:rPr>
          <w:rFonts w:ascii="Times New Roman" w:hAnsi="Times New Roman" w:cs="Times New Roman"/>
          <w:snapToGrid w:val="0"/>
          <w:sz w:val="20"/>
          <w:szCs w:val="20"/>
        </w:rPr>
        <w:t xml:space="preserve"> January 1, 2016.  Specifically, franchising authorities seeking to rebut the automatic presumption had until December 8, 2015 to do so. </w:t>
      </w:r>
      <w:r w:rsidRPr="00CA12DE">
        <w:rPr>
          <w:rFonts w:ascii="Times New Roman" w:hAnsi="Times New Roman" w:cs="Times New Roman"/>
          <w:i/>
          <w:iCs/>
          <w:snapToGrid w:val="0"/>
          <w:sz w:val="20"/>
          <w:szCs w:val="20"/>
        </w:rPr>
        <w:t xml:space="preserve">2015 Report and Order </w:t>
      </w:r>
      <w:r w:rsidRPr="00CA12DE">
        <w:rPr>
          <w:rFonts w:ascii="Times New Roman" w:hAnsi="Times New Roman" w:cs="Times New Roman"/>
          <w:snapToGrid w:val="0"/>
          <w:sz w:val="20"/>
          <w:szCs w:val="20"/>
        </w:rPr>
        <w:t xml:space="preserve">at 27.  Thereafter, the Media Bureau released a Public Notice on December 17, 2015 listing any franchising authorities that had filed a form seeking to rebut the new presumption of competing provider effective competition as well as all pending effective competition proceedings, and making a finding of competing provider effective competition in all other areas.  </w:t>
      </w:r>
      <w:r w:rsidRPr="00CA12DE">
        <w:rPr>
          <w:rFonts w:ascii="Times New Roman" w:hAnsi="Times New Roman" w:cs="Times New Roman"/>
          <w:i/>
          <w:iCs/>
          <w:snapToGrid w:val="0"/>
          <w:sz w:val="20"/>
          <w:szCs w:val="20"/>
        </w:rPr>
        <w:t>Findings of Competing Provider Effective Competition Following December 8, 2015 Filing Deadline for Existing Franchise Authority Recertification,</w:t>
      </w:r>
      <w:r w:rsidRPr="00CA12DE">
        <w:rPr>
          <w:rFonts w:ascii="Times New Roman" w:hAnsi="Times New Roman" w:cs="Times New Roman"/>
          <w:snapToGrid w:val="0"/>
          <w:sz w:val="20"/>
          <w:szCs w:val="20"/>
        </w:rPr>
        <w:t xml:space="preserve"> 30 FCC Rcd 14293, Public Notice (Dec. 17, 2015).  For those franchising authorities that successfully filed a form rebutting the presumption of competing provider effective competition by the December 8, 2015 deadline, the form did not take effect until 30 days after it was filed.  Because the changes to the list of communities not presumed to face effective competition were not finalized until after January 1, 2016, the survey sample used for this Report was created consistent with the sampling methodology from previous surveys.  Accordingly, for this Report, the noncompetitive group in the underlying survey consists of communities that did not have a finding of effective competition before the new presumption went into effect.  Beginning with the next survey report (reflecting data as of January 1, 2017), the relevant sample and our analysis will reflect application of the Commission’s revised effective competition rules. </w:t>
      </w:r>
    </w:p>
  </w:footnote>
  <w:footnote w:id="28">
    <w:p w:rsidR="00A755B1" w:rsidRPr="007C1B72" w:rsidP="00127DB2" w14:paraId="50B67EAE" w14:textId="6C4E7E7E">
      <w:pPr>
        <w:pStyle w:val="FootnoteText"/>
        <w:suppressAutoHyphens/>
        <w:spacing w:before="120"/>
      </w:pPr>
      <w:r w:rsidRPr="00CA12DE">
        <w:rPr>
          <w:rStyle w:val="FootnoteReference"/>
        </w:rPr>
        <w:footnoteRef/>
      </w:r>
      <w:r w:rsidRPr="00CA12DE">
        <w:t xml:space="preserve"> These </w:t>
      </w:r>
      <w:r w:rsidRPr="00CA12DE">
        <w:rPr>
          <w:noProof/>
        </w:rPr>
        <w:drawing>
          <wp:inline distT="0" distB="0" distL="0" distR="0">
            <wp:extent cx="12700" cy="12700"/>
            <wp:effectExtent l="0" t="0" r="0" b="0"/>
            <wp:docPr id="20" name="Picture 4" descr="previous hit">
              <a:hlinkClick xmlns:a="http://schemas.openxmlformats.org/drawingml/2006/main" xmlns:r="http://schemas.openxmlformats.org/officeDocument/2006/relationships"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28102" name="Picture 4" descr="previous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 cy="12700"/>
                    </a:xfrm>
                    <a:prstGeom prst="rect">
                      <a:avLst/>
                    </a:prstGeom>
                    <a:noFill/>
                    <a:ln>
                      <a:noFill/>
                    </a:ln>
                  </pic:spPr>
                </pic:pic>
              </a:graphicData>
            </a:graphic>
          </wp:inline>
        </w:drawing>
      </w:r>
      <w:r w:rsidRPr="00CA12DE">
        <w:rPr>
          <w:rStyle w:val="displayhltextactive"/>
        </w:rPr>
        <w:t>subgroups</w:t>
      </w:r>
      <w:r w:rsidRPr="00CA12DE">
        <w:rPr>
          <w:noProof/>
        </w:rPr>
        <w:drawing>
          <wp:inline distT="0" distB="0" distL="0" distR="0">
            <wp:extent cx="12700" cy="12700"/>
            <wp:effectExtent l="0" t="0" r="0" b="0"/>
            <wp:docPr id="21" name="Picture 3" descr="next hit">
              <a:hlinkClick xmlns:a="http://schemas.openxmlformats.org/drawingml/2006/main" xmlns:r="http://schemas.openxmlformats.org/officeDocument/2006/relationships"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017787" name="Picture 3" descr="next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 cy="12700"/>
                    </a:xfrm>
                    <a:prstGeom prst="rect">
                      <a:avLst/>
                    </a:prstGeom>
                    <a:noFill/>
                    <a:ln>
                      <a:noFill/>
                    </a:ln>
                  </pic:spPr>
                </pic:pic>
              </a:graphicData>
            </a:graphic>
          </wp:inline>
        </w:drawing>
      </w:r>
      <w:r w:rsidRPr="00CA12DE">
        <w:t xml:space="preserve"> are designed to achieve desirable levels of statistical precision, and, thus, are not necessarily selected proportionately from the populations of communities with an effective competition finding based on each of the </w:t>
      </w:r>
      <w:r w:rsidRPr="00CA12DE">
        <w:rPr>
          <w:noProof/>
        </w:rPr>
        <w:drawing>
          <wp:inline distT="0" distB="0" distL="0" distR="0">
            <wp:extent cx="12700" cy="12700"/>
            <wp:effectExtent l="0" t="0" r="0" b="0"/>
            <wp:docPr id="22" name="Picture 2" descr="previous hit">
              <a:hlinkClick xmlns:a="http://schemas.openxmlformats.org/drawingml/2006/main" xmlns:r="http://schemas.openxmlformats.org/officeDocument/2006/relationships"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020547" name="Picture 2" descr="previous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 cy="12700"/>
                    </a:xfrm>
                    <a:prstGeom prst="rect">
                      <a:avLst/>
                    </a:prstGeom>
                    <a:noFill/>
                    <a:ln>
                      <a:noFill/>
                    </a:ln>
                  </pic:spPr>
                </pic:pic>
              </a:graphicData>
            </a:graphic>
          </wp:inline>
        </w:drawing>
      </w:r>
      <w:r w:rsidRPr="00CA12DE">
        <w:rPr>
          <w:rStyle w:val="displayhltext"/>
        </w:rPr>
        <w:t>four statutory tests</w:t>
      </w:r>
      <w:r w:rsidRPr="007C1B72">
        <w:t xml:space="preserve"> for effective competition under Section 623(l) of the Cable Act.  </w:t>
      </w:r>
      <w:r w:rsidRPr="007C1B72">
        <w:rPr>
          <w:i/>
        </w:rPr>
        <w:t>See</w:t>
      </w:r>
      <w:r w:rsidRPr="007C1B72">
        <w:t xml:space="preserve"> Attachment 1 and the Su</w:t>
      </w:r>
      <w:r w:rsidRPr="00CA12DE">
        <w:t xml:space="preserve">rvey Methodology Appendix for a more complete description of our sampling methodology.  </w:t>
      </w:r>
      <w:r w:rsidRPr="00CA12DE">
        <w:rPr>
          <w:i/>
        </w:rPr>
        <w:t>See</w:t>
      </w:r>
      <w:r w:rsidRPr="00CA12DE">
        <w:t xml:space="preserve"> footnote </w:t>
      </w:r>
      <w:r w:rsidRPr="007C1B72">
        <w:fldChar w:fldCharType="begin"/>
      </w:r>
      <w:r w:rsidRPr="00CA12DE">
        <w:instrText xml:space="preserve"> NOTEREF _Ref493168938 \h </w:instrText>
      </w:r>
      <w:r w:rsidRPr="007C1B72">
        <w:fldChar w:fldCharType="separate"/>
      </w:r>
      <w:r w:rsidRPr="007C1B72">
        <w:t>4</w:t>
      </w:r>
      <w:r w:rsidRPr="007C1B72">
        <w:fldChar w:fldCharType="end"/>
      </w:r>
      <w:r w:rsidRPr="00CA12DE">
        <w:t>, supra, for more detail about each of the effective competition groups.</w:t>
      </w:r>
    </w:p>
  </w:footnote>
  <w:footnote w:id="29">
    <w:p w:rsidR="00A755B1" w:rsidRPr="00CA12DE" w14:paraId="39CBF973" w14:textId="2B3A78AE">
      <w:pPr>
        <w:pStyle w:val="FootnoteText"/>
      </w:pPr>
      <w:r w:rsidRPr="00CA12DE">
        <w:rPr>
          <w:rStyle w:val="FootnoteReference"/>
        </w:rPr>
        <w:footnoteRef/>
      </w:r>
      <w:r w:rsidRPr="00CA12DE">
        <w:t xml:space="preserve"> The incumbent subgroup uses publicly sourced data to account for communities also served by AT&amp;T U-verse.  As noted above, (</w:t>
      </w:r>
      <w:r w:rsidRPr="007C1B72">
        <w:rPr>
          <w:i/>
        </w:rPr>
        <w:t>supra</w:t>
      </w:r>
      <w:r w:rsidRPr="007C1B72">
        <w:t xml:space="preserve"> note </w:t>
      </w:r>
      <w:r w:rsidRPr="007C1B72">
        <w:fldChar w:fldCharType="begin"/>
      </w:r>
      <w:r w:rsidRPr="00CA12DE">
        <w:instrText xml:space="preserve"> NOTEREF _Ref493169069 \h </w:instrText>
      </w:r>
      <w:r w:rsidRPr="007C1B72">
        <w:fldChar w:fldCharType="separate"/>
      </w:r>
      <w:r w:rsidRPr="007C1B72">
        <w:t>3</w:t>
      </w:r>
      <w:r w:rsidRPr="007C1B72">
        <w:fldChar w:fldCharType="end"/>
      </w:r>
      <w:r w:rsidRPr="00CA12DE">
        <w:t>), t</w:t>
      </w:r>
      <w:r w:rsidRPr="006456DD">
        <w:t>he Commission considers AT&amp;T U-verse to be a competing MVPD for the purpose of assessing effective competition.  However, because our sample is based on CUIDs, and AT&amp;T U-verse systems do not have CUIDs, we cannot sample them for the purposes of this survey.  T</w:t>
      </w:r>
      <w:r w:rsidRPr="00CA12DE">
        <w:rPr>
          <w:szCs w:val="22"/>
        </w:rPr>
        <w:t>he</w:t>
      </w:r>
      <w:r w:rsidRPr="007C1B72">
        <w:rPr>
          <w:szCs w:val="22"/>
        </w:rPr>
        <w:t xml:space="preserve"> rival subgroup includes telephone companies that do have CUIDs, and these range from large national systems like Verizon FiOS, </w:t>
      </w:r>
      <w:r w:rsidRPr="00CA12DE">
        <w:rPr>
          <w:szCs w:val="22"/>
        </w:rPr>
        <w:t>to small municipal telecommunication systems.</w:t>
      </w:r>
    </w:p>
  </w:footnote>
  <w:footnote w:id="30">
    <w:p w:rsidR="00A755B1" w:rsidRPr="007C1B72" w:rsidP="007A4BAE" w14:paraId="3CC686A9" w14:textId="77777777">
      <w:pPr>
        <w:pStyle w:val="FootnoteText"/>
      </w:pPr>
      <w:r w:rsidRPr="00CA12DE">
        <w:rPr>
          <w:rStyle w:val="FootnoteReference"/>
        </w:rPr>
        <w:footnoteRef/>
      </w:r>
      <w:r w:rsidRPr="00CA12DE">
        <w:t xml:space="preserve"> Alt</w:t>
      </w:r>
      <w:r w:rsidRPr="007C1B72">
        <w:t>hough the effective competition findings involving wireless competition have all been based on the LEC test, the 50/15 test could be used if the wireless multichannel service met the requirements for that test.</w:t>
      </w:r>
    </w:p>
  </w:footnote>
  <w:footnote w:id="31">
    <w:p w:rsidR="00A755B1" w:rsidRPr="007C1B72" w14:paraId="40A3BB71" w14:textId="5F987483">
      <w:pPr>
        <w:pStyle w:val="FootnoteText"/>
      </w:pPr>
      <w:r w:rsidRPr="00CA12DE">
        <w:rPr>
          <w:rStyle w:val="FootnoteReference"/>
        </w:rPr>
        <w:footnoteRef/>
      </w:r>
      <w:r w:rsidRPr="00CA12DE">
        <w:t xml:space="preserve"> See </w:t>
      </w:r>
      <w:r w:rsidRPr="007C1B72">
        <w:rPr>
          <w:i/>
        </w:rPr>
        <w:t>supra</w:t>
      </w:r>
      <w:r w:rsidRPr="007C1B72">
        <w:t xml:space="preserve"> note 26.</w:t>
      </w:r>
    </w:p>
  </w:footnote>
  <w:footnote w:id="32">
    <w:p w:rsidR="00A755B1" w:rsidRPr="007C1B72" w14:paraId="08130914" w14:textId="6F62A9D4">
      <w:pPr>
        <w:pStyle w:val="FootnoteText"/>
      </w:pPr>
      <w:r w:rsidRPr="00CA12DE">
        <w:rPr>
          <w:rStyle w:val="FootnoteReference"/>
        </w:rPr>
        <w:footnoteRef/>
      </w:r>
      <w:r w:rsidRPr="00CA12DE">
        <w:t xml:space="preserve"> The noncompetitive group also contains systems that are owned and operated by municipalities and telephone companies</w:t>
      </w:r>
      <w:r w:rsidRPr="007C1B72">
        <w:rPr>
          <w:szCs w:val="22"/>
        </w:rPr>
        <w:t>.</w:t>
      </w:r>
    </w:p>
  </w:footnote>
  <w:footnote w:id="33">
    <w:p w:rsidR="00A755B1" w:rsidRPr="007C1B72" w:rsidP="004E16D7" w14:paraId="3CDE5A6D" w14:textId="400DE7B3">
      <w:pPr>
        <w:pStyle w:val="FootnoteText"/>
        <w:suppressAutoHyphens/>
      </w:pPr>
      <w:r w:rsidRPr="00CA12DE">
        <w:rPr>
          <w:rStyle w:val="FootnoteReference"/>
        </w:rPr>
        <w:footnoteRef/>
      </w:r>
      <w:r w:rsidRPr="00CA12DE">
        <w:t xml:space="preserve"> </w:t>
      </w:r>
      <w:r w:rsidRPr="007C1B72">
        <w:t>47 U.S.C. §§ 543(b)(7), 534-35.</w:t>
      </w:r>
    </w:p>
  </w:footnote>
  <w:footnote w:id="34">
    <w:p w:rsidR="00A755B1" w:rsidRPr="00CA12DE" w:rsidP="004E16D7" w14:paraId="788343A1" w14:textId="71EC27B8">
      <w:pPr>
        <w:pStyle w:val="FootnoteText"/>
        <w:suppressAutoHyphens/>
      </w:pPr>
      <w:r w:rsidRPr="00CA12DE">
        <w:rPr>
          <w:rStyle w:val="FootnoteReference"/>
        </w:rPr>
        <w:footnoteRef/>
      </w:r>
      <w:r w:rsidRPr="00CA12DE">
        <w:t xml:space="preserve"> </w:t>
      </w:r>
      <w:r w:rsidRPr="007C1B72">
        <w:rPr>
          <w:i/>
        </w:rPr>
        <w:t>Implementation of Guidelines for Ensuring and Maximizing the Quality, Objectivity, Utility and Integrity of Information Pursuant to Section 515 of Public Law No. 105-554, Information Quality Guidelines,</w:t>
      </w:r>
      <w:r w:rsidRPr="00CA12DE">
        <w:t xml:space="preserve"> 17 FCC Rcd 19890 (2002).</w:t>
      </w:r>
    </w:p>
  </w:footnote>
  <w:footnote w:id="35">
    <w:p w:rsidR="00A755B1" w:rsidRPr="007C1B72" w14:paraId="0678D9E9" w14:textId="76BA9D2E">
      <w:pPr>
        <w:pStyle w:val="FootnoteText"/>
      </w:pPr>
      <w:r w:rsidRPr="00CA12DE">
        <w:rPr>
          <w:rStyle w:val="FootnoteReference"/>
        </w:rPr>
        <w:footnoteRef/>
      </w:r>
      <w:r w:rsidRPr="00CA12DE">
        <w:t xml:space="preserve"> We report standalone prices of cable service. In the United States, however, many consumers purchase video, broadband Internet,</w:t>
      </w:r>
      <w:r w:rsidRPr="007C1B72">
        <w:t xml:space="preserve"> and phone services from one provider to receive a bundle discount.  The price of a bundle of services is often less than the sum of the standalone prices of the individual services.</w:t>
      </w:r>
    </w:p>
  </w:footnote>
  <w:footnote w:id="36">
    <w:p w:rsidR="00A755B1" w:rsidRPr="007C1B72" w:rsidP="004E16D7" w14:paraId="1FDA20FE" w14:textId="4F440E51">
      <w:pPr>
        <w:pStyle w:val="FootnoteText"/>
        <w:suppressAutoHyphens/>
      </w:pPr>
      <w:r w:rsidRPr="00CA12DE">
        <w:rPr>
          <w:rStyle w:val="FootnoteReference"/>
        </w:rPr>
        <w:footnoteRef/>
      </w:r>
      <w:r w:rsidRPr="00CA12DE">
        <w:t xml:space="preserve"> Year 2010 was the start of a new data series for channels and price per</w:t>
      </w:r>
      <w:r w:rsidRPr="007C1B72">
        <w:t xml:space="preserve"> channel, reflecting a change to the survey questionnaire.  The channel and price per channel indices in Attachment 7 adjust for this change and are the basis of the compound average annual change, as discussed in the Appendix. </w:t>
      </w:r>
    </w:p>
  </w:footnote>
  <w:footnote w:id="37">
    <w:p w:rsidR="00A755B1" w:rsidRPr="007C1B72" w:rsidP="005420EC" w14:paraId="478CEC17" w14:textId="6FBD45F8">
      <w:pPr>
        <w:pStyle w:val="FootnoteText"/>
      </w:pPr>
      <w:r w:rsidRPr="00CA12DE">
        <w:rPr>
          <w:rStyle w:val="FootnoteReference"/>
        </w:rPr>
        <w:footnoteRef/>
      </w:r>
      <w:r w:rsidRPr="00CA12DE">
        <w:t xml:space="preserve"> BLS</w:t>
      </w:r>
      <w:r w:rsidRPr="007C1B72">
        <w:t xml:space="preserve">, Department of Labor, </w:t>
      </w:r>
      <w:r w:rsidRPr="007C1B72">
        <w:rPr>
          <w:i/>
        </w:rPr>
        <w:t>Consumer Price Index, All Urban Consumers, U.S. City Average, Not Seasonally Adjusted, All Items (1982-84=100).</w:t>
      </w:r>
      <w:r w:rsidRPr="007C1B72">
        <w:t xml:space="preserve"> </w:t>
      </w:r>
      <w:bookmarkStart w:id="50" w:name="_Hlk497214094"/>
      <w:r w:rsidRPr="007C1B72">
        <w:fldChar w:fldCharType="begin"/>
      </w:r>
      <w:r w:rsidRPr="00CA12DE">
        <w:instrText xml:space="preserve"> HYPERLINK "http://data.bls.gov/cgi-bin/srgate" </w:instrText>
      </w:r>
      <w:r w:rsidRPr="007C1B72">
        <w:fldChar w:fldCharType="separate"/>
      </w:r>
      <w:r w:rsidRPr="006456DD">
        <w:rPr>
          <w:rStyle w:val="Hyperlink"/>
          <w:color w:val="auto"/>
        </w:rPr>
        <w:t>http://data.bls.gov/cgi-bin/srgate</w:t>
      </w:r>
      <w:r w:rsidRPr="007C1B72">
        <w:fldChar w:fldCharType="end"/>
      </w:r>
      <w:r w:rsidRPr="00CA12DE">
        <w:t xml:space="preserve">. No. </w:t>
      </w:r>
      <w:r w:rsidRPr="007C1B72">
        <w:t>CUUR0000SA0. (accessed April 15, 2017</w:t>
      </w:r>
      <w:bookmarkEnd w:id="50"/>
      <w:r w:rsidRPr="007C1B72">
        <w:t>).</w:t>
      </w:r>
    </w:p>
  </w:footnote>
  <w:footnote w:id="38">
    <w:p w:rsidR="00A755B1" w:rsidRPr="007C1B72" w14:paraId="66FE8D6B" w14:textId="6BD9DE0A">
      <w:pPr>
        <w:pStyle w:val="FootnoteText"/>
      </w:pPr>
      <w:r w:rsidRPr="00CA12DE">
        <w:rPr>
          <w:rStyle w:val="FootnoteReference"/>
        </w:rPr>
        <w:footnoteRef/>
      </w:r>
      <w:r w:rsidRPr="00CA12DE">
        <w:t xml:space="preserve"> </w:t>
      </w:r>
      <w:r w:rsidRPr="007C1B72">
        <w:rPr>
          <w:i/>
        </w:rPr>
        <w:t>Id.</w:t>
      </w:r>
      <w:r w:rsidRPr="007C1B72">
        <w:t xml:space="preserve"> </w:t>
      </w:r>
      <w:r w:rsidRPr="007C1B72">
        <w:rPr>
          <w:i/>
        </w:rPr>
        <w:t>Cable and Satellite Television and Radio Service (Dec. 1983=100),</w:t>
      </w:r>
      <w:r w:rsidRPr="007C1B72">
        <w:t xml:space="preserve"> </w:t>
      </w:r>
      <w:r>
        <w:fldChar w:fldCharType="begin"/>
      </w:r>
      <w:r>
        <w:instrText xml:space="preserve"> HYPERLINK "http://data.bls.gov/cgi-bin/srgate" </w:instrText>
      </w:r>
      <w:r>
        <w:fldChar w:fldCharType="separate"/>
      </w:r>
      <w:r w:rsidRPr="00CC1A49">
        <w:rPr>
          <w:rStyle w:val="Hyperlink"/>
          <w:color w:val="auto"/>
        </w:rPr>
        <w:t>http://data.bls.gov/cgi-bin/srgate</w:t>
      </w:r>
      <w:r>
        <w:fldChar w:fldCharType="end"/>
      </w:r>
      <w:r w:rsidRPr="006456DD">
        <w:rPr>
          <w:rStyle w:val="Hyperlink"/>
          <w:color w:val="auto"/>
        </w:rPr>
        <w:t xml:space="preserve">. No </w:t>
      </w:r>
      <w:r w:rsidRPr="00CA12DE">
        <w:t>CUUR0000SERA02</w:t>
      </w:r>
      <w:bookmarkStart w:id="51" w:name="_Hlk497214820"/>
      <w:r w:rsidRPr="007C1B72">
        <w:t xml:space="preserve"> (</w:t>
      </w:r>
      <w:bookmarkEnd w:id="51"/>
      <w:r w:rsidRPr="007C1B72">
        <w:t>accessed April 15, 2017).  This index is a sub-component of the overall CPI.</w:t>
      </w:r>
    </w:p>
  </w:footnote>
  <w:footnote w:id="39">
    <w:p w:rsidR="00A755B1" w:rsidRPr="007C1B72" w:rsidP="005420EC" w14:paraId="69308C27" w14:textId="012F8DBE">
      <w:pPr>
        <w:pStyle w:val="FootnoteText"/>
      </w:pPr>
      <w:r w:rsidRPr="00CA12DE">
        <w:rPr>
          <w:rStyle w:val="FootnoteReference"/>
        </w:rPr>
        <w:footnoteRef/>
      </w:r>
      <w:r w:rsidRPr="00CA12DE">
        <w:t xml:space="preserve"> </w:t>
      </w:r>
      <w:r w:rsidRPr="007C1B72">
        <w:t xml:space="preserve">BLS bases the CSR Index on a survey of items on consumers’ monthly cable bills, including premium services and installation costs, which are not included in our monthly average.  When an item shows a significant change in price, BLS makes </w:t>
      </w:r>
      <w:r w:rsidRPr="00CA12DE">
        <w:t xml:space="preserve">a quality adjustment, and may change the observed price depending on the change in the quality of the product or service in question.  In the case of cable service, BLS generally perceives additional channels as an improvement in quality and adjusts the observed price downward.  </w:t>
      </w:r>
      <w:r w:rsidRPr="00CA12DE">
        <w:rPr>
          <w:i/>
        </w:rPr>
        <w:t>Id.</w:t>
      </w:r>
      <w:r w:rsidRPr="00CA12DE">
        <w:t xml:space="preserve">  How BLS Measures Price Change in the Consumer Price Index for Cable and Satellite Television and Radio. </w:t>
      </w:r>
      <w:r>
        <w:t xml:space="preserve"> </w:t>
      </w:r>
      <w:r>
        <w:fldChar w:fldCharType="begin"/>
      </w:r>
      <w:r>
        <w:instrText xml:space="preserve"> HYPERLINK "https://www.bls.gov/cpi/factsheets/cable-and-satellite-television-and-radio.htm" </w:instrText>
      </w:r>
      <w:r>
        <w:fldChar w:fldCharType="separate"/>
      </w:r>
      <w:r w:rsidRPr="00CC1A49">
        <w:rPr>
          <w:rStyle w:val="Hyperlink"/>
          <w:color w:val="auto"/>
        </w:rPr>
        <w:t>https://www.bls.gov/cpi/factsheets/cable-and-satellite-television-and-radio.htm</w:t>
      </w:r>
      <w:r>
        <w:fldChar w:fldCharType="end"/>
      </w:r>
      <w:r w:rsidRPr="00CA12DE">
        <w:t>. (Modified July 8, 2016).</w:t>
      </w:r>
    </w:p>
  </w:footnote>
  <w:footnote w:id="40">
    <w:p w:rsidR="00A755B1" w:rsidRPr="007C1B72" w14:paraId="083E9345" w14:textId="507B126F">
      <w:pPr>
        <w:pStyle w:val="FootnoteText"/>
      </w:pPr>
      <w:r w:rsidRPr="00CA12DE">
        <w:rPr>
          <w:rStyle w:val="FootnoteReference"/>
        </w:rPr>
        <w:footnoteRef/>
      </w:r>
      <w:r w:rsidRPr="00CA12DE">
        <w:t xml:space="preserve"> Some operators do not charge an additional fee for equipment. Instead these operators bundle cable service and equipment.  The average equipment lease charges reported in Table 8 are the avera</w:t>
      </w:r>
      <w:r w:rsidRPr="007C1B72">
        <w:t xml:space="preserve">ge charges for operators who did not bundle cable service and equipment and priced cable service and equipment separately.  In our sample, in most communities (62 percent), the operator did not bundle cable service and equipment. </w:t>
      </w:r>
    </w:p>
  </w:footnote>
  <w:footnote w:id="41">
    <w:p w:rsidR="00A755B1" w:rsidRPr="00CA12DE" w:rsidP="004E16D7" w14:paraId="6A05674E" w14:textId="29739EEB">
      <w:pPr>
        <w:pStyle w:val="FootnoteText"/>
        <w:suppressAutoHyphens/>
      </w:pPr>
      <w:r w:rsidRPr="00CA12DE">
        <w:rPr>
          <w:rStyle w:val="FootnoteReference"/>
        </w:rPr>
        <w:footnoteRef/>
      </w:r>
      <w:r w:rsidRPr="00CA12DE">
        <w:t xml:space="preserve"> </w:t>
      </w:r>
      <w:r w:rsidRPr="007C1B72">
        <w:t xml:space="preserve">The survey asked cable operators if subscribers would need equipment to view any of the channels offered with the programming service.  If yes, the survey next asked whether the service programming prices reported (Table 1) included such equipment.  That is, the survey asked whether the cable operator bundled equipment at no extra charge with the programming service.  The survey then asked the operators who did not bundle equipment to report the unbundled monthly rate to lease the most commonly leased equipment, </w:t>
      </w:r>
      <w:r w:rsidRPr="00CA12DE">
        <w:t>and to identify features such as whether the most common equipment had DVR capability.</w:t>
      </w:r>
    </w:p>
  </w:footnote>
  <w:footnote w:id="42">
    <w:p w:rsidR="00A755B1" w:rsidRPr="007C1B72" w14:paraId="463E6E18" w14:textId="399C63CB">
      <w:pPr>
        <w:pStyle w:val="FootnoteText"/>
      </w:pPr>
      <w:r w:rsidRPr="00CA12DE">
        <w:rPr>
          <w:rStyle w:val="FootnoteReference"/>
        </w:rPr>
        <w:footnoteRef/>
      </w:r>
      <w:r w:rsidRPr="00CA12DE">
        <w:t xml:space="preserve"> These percentages are not the percentages of subscribers who have DVR capability.  Rather, they reflect the features available with the most commonly leased equipment.  In our sample, the most commonly leased equipment does not have DVR capability in most</w:t>
      </w:r>
      <w:r w:rsidRPr="007C1B72">
        <w:t xml:space="preserve"> communities.  Still, because one subscriber may lease multiple pieces of equipment for multiple television sets, many subscribers may have equipment both with DVR capability and equipment without DVR capability.</w:t>
      </w:r>
    </w:p>
  </w:footnote>
  <w:footnote w:id="43">
    <w:p w:rsidR="00A755B1" w:rsidRPr="00CA12DE" w:rsidP="004E16D7" w14:paraId="2AEE47AC" w14:textId="68F9222C">
      <w:pPr>
        <w:pStyle w:val="FootnoteText"/>
        <w:suppressAutoHyphens/>
      </w:pPr>
      <w:r w:rsidRPr="00CA12DE">
        <w:rPr>
          <w:rStyle w:val="FootnoteReference"/>
        </w:rPr>
        <w:footnoteRef/>
      </w:r>
      <w:r w:rsidRPr="00CA12DE">
        <w:t xml:space="preserve"> </w:t>
      </w:r>
      <w:r w:rsidRPr="007C1B72">
        <w:t xml:space="preserve">Section 110 of the STELA Reauthorization Act of 2014 (STELAR).  </w:t>
      </w:r>
      <w:r w:rsidRPr="007C1B72">
        <w:rPr>
          <w:i/>
        </w:rPr>
        <w:t>See</w:t>
      </w:r>
      <w:r w:rsidRPr="007C1B72">
        <w:t xml:space="preserve"> Pub. L. No. 113-200, 128 Stat. 2059 (2014) enacted December 4, 2014 (H.R. 5728, 113th Cong.).  Specifically, STELAR instructs the Commission to include in its annual report “the aggregate average total amount paid by cable systems in compensation under section 325 [of the Communications Act of 1934, as amended,” and to report such information “in a manner substantially similar to the way other </w:t>
      </w:r>
      <w:r w:rsidRPr="00CA12DE">
        <w:t>comparable information is published” in the report.  47 U.S.C. § 543(k)(2).</w:t>
      </w:r>
    </w:p>
  </w:footnote>
  <w:footnote w:id="44">
    <w:p w:rsidR="00A755B1" w:rsidRPr="007C1B72" w14:paraId="416A5955" w14:textId="00C51A86">
      <w:pPr>
        <w:pStyle w:val="FootnoteText"/>
      </w:pPr>
      <w:r w:rsidRPr="00CA12DE">
        <w:rPr>
          <w:rStyle w:val="FootnoteReference"/>
        </w:rPr>
        <w:footnoteRef/>
      </w:r>
      <w:r w:rsidRPr="00CA12DE">
        <w:t xml:space="preserve"> </w:t>
      </w:r>
      <w:r w:rsidRPr="007C1B72">
        <w:t>To calculate annual retransmission consent fees on a per subscriber basis, we divided total retransmission consent fees reported per cable system by the number of subscribers subject to retransmission consent per cable system.</w:t>
      </w:r>
    </w:p>
  </w:footnote>
  <w:footnote w:id="45">
    <w:p w:rsidR="00A755B1" w:rsidRPr="00CA12DE" w:rsidP="00D82FFC" w14:paraId="64B7E340" w14:textId="26563FB5">
      <w:pPr>
        <w:pStyle w:val="FootnoteText"/>
      </w:pPr>
      <w:r w:rsidRPr="00CA12DE">
        <w:rPr>
          <w:rStyle w:val="FootnoteReference"/>
        </w:rPr>
        <w:footnoteRef/>
      </w:r>
      <w:r w:rsidRPr="00CA12DE">
        <w:t xml:space="preserve"> </w:t>
      </w:r>
      <w:bookmarkStart w:id="71" w:name="_Hlk500850012"/>
      <w:bookmarkStart w:id="72" w:name="_Hlk500775411"/>
      <w:r w:rsidRPr="007C1B72">
        <w:t xml:space="preserve">We note here that average monthly fees per subscriber per station reported in Table 10 of the 2015 Cable Price Report were inadvertently inflated </w:t>
      </w:r>
      <w:bookmarkStart w:id="73" w:name="_Hlk500836502"/>
      <w:r w:rsidRPr="007C1B72">
        <w:t>as a result of an inaccuracy in the number of local broadcast stations carried per cable system under retransmission consent</w:t>
      </w:r>
      <w:bookmarkEnd w:id="73"/>
      <w:r w:rsidRPr="007C1B72">
        <w:t>.  The number of stations carried per cable system under retransmission consent reported in Table 10 of the 2015 Cable Price Report for 2013 and 2014 were 4.475 and 4.530 stations, respective</w:t>
      </w:r>
      <w:r w:rsidRPr="00CA12DE">
        <w:t xml:space="preserve">ly, rather than the correct values of 10.74 and 10.87 stations.  As a result, although Table 10 of the 2015 Cable Price Report stated that the average monthly retransmission consent fees paid per subscriber per station rose from 75 cents in 2013 to $1.07 in 2014, they actually rose from 25 cents to 36 cents over that time period.  Thus, the annual percentage increase in fees per subscriber per station was 45.5 percent, as opposed to 43.1 percent, as reported in the 2015 Report.  Notably, this correction does not change the trends highlighted in the 2015 Cable Price Report and the current report with regard to retransmission consent fees; because the </w:t>
      </w:r>
      <w:r w:rsidRPr="00CA12DE">
        <w:rPr>
          <w:i/>
        </w:rPr>
        <w:t>percentage change</w:t>
      </w:r>
      <w:r w:rsidRPr="00CA12DE">
        <w:t xml:space="preserve"> in number of stations between 2013 and 2014 is similar in both the erroneous numbers and the corrected numbers, the </w:t>
      </w:r>
      <w:r w:rsidRPr="00CA12DE">
        <w:rPr>
          <w:i/>
        </w:rPr>
        <w:t>percentage change</w:t>
      </w:r>
      <w:r w:rsidRPr="00CA12DE">
        <w:t xml:space="preserve"> in average monthly fees per subscriber per station is also very similar.  Additionally, the corrected values do not affect our analysis in this report or our analysis going forward, in part, because we have introduced an index in this report, which as described below, will allow for relative comparisons across reports without regard to the absolute numbers reported for each survey period.</w:t>
      </w:r>
      <w:bookmarkEnd w:id="71"/>
      <w:bookmarkEnd w:id="72"/>
    </w:p>
  </w:footnote>
  <w:footnote w:id="46">
    <w:p w:rsidR="00A755B1" w:rsidRPr="007C1B72" w14:paraId="0B618517" w14:textId="643348F6">
      <w:pPr>
        <w:pStyle w:val="FootnoteText"/>
      </w:pPr>
      <w:r w:rsidRPr="00CA12DE">
        <w:rPr>
          <w:rStyle w:val="FootnoteReference"/>
        </w:rPr>
        <w:footnoteRef/>
      </w:r>
      <w:r w:rsidRPr="00CA12DE">
        <w:t xml:space="preserve"> </w:t>
      </w:r>
      <w:r w:rsidRPr="007C1B72">
        <w:t>In this table, cable system is not strictly defined.  Retransmission consent fees and subscriber counts per cable system were reported at various system levels ranging from an individual cable community to a broad geographic region encompassing multiple markets.</w:t>
      </w:r>
    </w:p>
  </w:footnote>
  <w:footnote w:id="47">
    <w:p w:rsidR="00A755B1" w:rsidRPr="007C1B72" w:rsidP="00C52C10" w14:paraId="597F309A" w14:textId="7B8147D9">
      <w:pPr>
        <w:pStyle w:val="FootnoteText"/>
      </w:pPr>
      <w:r w:rsidRPr="00CA12DE">
        <w:rPr>
          <w:rStyle w:val="FootnoteReference"/>
        </w:rPr>
        <w:footnoteRef/>
      </w:r>
      <w:r w:rsidRPr="00CA12DE">
        <w:t xml:space="preserve"> Retransmission consent fee estimates are not directly comparable across surveys because of sampling variance and differences in reporting levels used b</w:t>
      </w:r>
      <w:r w:rsidRPr="007C1B72">
        <w:t xml:space="preserve">y operators.  See </w:t>
      </w:r>
      <w:r w:rsidRPr="007C1B72">
        <w:rPr>
          <w:i/>
        </w:rPr>
        <w:t>supra</w:t>
      </w:r>
      <w:r w:rsidRPr="007C1B72">
        <w:t xml:space="preserve"> note 34.</w:t>
      </w:r>
    </w:p>
  </w:footnote>
  <w:footnote w:id="48">
    <w:p w:rsidR="00A755B1" w:rsidRPr="007C1B72" w:rsidP="00C52C10" w14:paraId="7F787ADA" w14:textId="71FCA003">
      <w:pPr>
        <w:pStyle w:val="FootnoteText"/>
      </w:pPr>
      <w:r w:rsidRPr="00CA12DE">
        <w:rPr>
          <w:rStyle w:val="FootnoteReference"/>
        </w:rPr>
        <w:footnoteRef/>
      </w:r>
      <w:r w:rsidRPr="00CA12DE">
        <w:t xml:space="preserve"> The index’s value for 2015 reflects the increase in retransmission consent fees from 2014 to 2015 as reported in the 2016 survey.</w:t>
      </w:r>
    </w:p>
  </w:footnote>
  <w:footnote w:id="49">
    <w:p w:rsidR="00A755B1" w:rsidRPr="007C1B72" w:rsidP="004E16D7" w14:paraId="0C4C343D" w14:textId="52BF5C4E">
      <w:pPr>
        <w:pStyle w:val="FootnoteText"/>
        <w:suppressAutoHyphens/>
      </w:pPr>
      <w:r w:rsidRPr="007C1B72">
        <w:rPr>
          <w:rStyle w:val="FootnoteReference"/>
        </w:rPr>
        <w:footnoteRef/>
      </w:r>
      <w:r w:rsidRPr="007C1B72">
        <w:t xml:space="preserve"> </w:t>
      </w:r>
      <w:r w:rsidRPr="007C1B72">
        <w:rPr>
          <w:i/>
        </w:rPr>
        <w:t>See</w:t>
      </w:r>
      <w:r w:rsidRPr="007C1B72">
        <w:t xml:space="preserve"> </w:t>
      </w:r>
      <w:r w:rsidRPr="007C1B72">
        <w:rPr>
          <w:i/>
        </w:rPr>
        <w:t>supra</w:t>
      </w:r>
      <w:r w:rsidRPr="007C1B72">
        <w:t xml:space="preserve"> note 1, Section I.</w:t>
      </w:r>
    </w:p>
  </w:footnote>
  <w:footnote w:id="50">
    <w:p w:rsidR="00A755B1" w:rsidRPr="00CA12DE" w:rsidP="004E16D7" w14:paraId="627CAEF9" w14:textId="6A938E81">
      <w:pPr>
        <w:pStyle w:val="FootnoteText"/>
        <w:suppressAutoHyphens/>
      </w:pPr>
      <w:r w:rsidRPr="007C1B72">
        <w:rPr>
          <w:rStyle w:val="FootnoteReference"/>
        </w:rPr>
        <w:footnoteRef/>
      </w:r>
      <w:r w:rsidRPr="007C1B72">
        <w:t xml:space="preserve"> The Commission assigns a unique community unit identifier (CUID) code to each registered cable operator for each community the operator serves; </w:t>
      </w:r>
      <w:r w:rsidRPr="00CA12DE">
        <w:rPr>
          <w:i/>
        </w:rPr>
        <w:t>i.e.,</w:t>
      </w:r>
      <w:r w:rsidRPr="00CA12DE">
        <w:t xml:space="preserve"> even if two unaffiliated cable operators serve an overlapping area, the Commission assigns two CUIDs. 47 CFR § 76.1801</w:t>
      </w:r>
    </w:p>
  </w:footnote>
  <w:footnote w:id="51">
    <w:p w:rsidR="00A755B1" w:rsidRPr="00CA12DE" w:rsidP="004E16D7" w14:paraId="645163BE" w14:textId="39CEDA22">
      <w:pPr>
        <w:pStyle w:val="FootnoteText"/>
        <w:suppressAutoHyphens/>
      </w:pPr>
      <w:r w:rsidRPr="007C1B72">
        <w:rPr>
          <w:rStyle w:val="FootnoteReference"/>
        </w:rPr>
        <w:footnoteRef/>
      </w:r>
      <w:r w:rsidRPr="007C1B72">
        <w:t xml:space="preserve"> </w:t>
      </w:r>
      <w:r w:rsidRPr="007C1B72">
        <w:rPr>
          <w:i/>
        </w:rPr>
        <w:t>See e.g.,</w:t>
      </w:r>
      <w:r w:rsidRPr="007C1B72">
        <w:t xml:space="preserve"> W. G. Cochran,</w:t>
      </w:r>
      <w:r w:rsidRPr="007C1B72">
        <w:rPr>
          <w:i/>
        </w:rPr>
        <w:t xml:space="preserve"> Sampling Techniques, </w:t>
      </w:r>
      <w:r w:rsidRPr="007C1B72">
        <w:t>2nd</w:t>
      </w:r>
      <w:r w:rsidRPr="007C1B72">
        <w:rPr>
          <w:vertAlign w:val="superscript"/>
        </w:rPr>
        <w:t xml:space="preserve"> </w:t>
      </w:r>
      <w:r w:rsidRPr="007C1B72">
        <w:t>ed. (1977) at 87-107.  For a general explanation of stratified sampling methodology, see G. W. Snedecor and W. G. Cochran, Statistical Methods 434-59, 7th ed. (1980)</w:t>
      </w:r>
      <w:r w:rsidRPr="00CA12DE">
        <w:t>.  A positive correlation exists between system size and the monthly rate for cable service.  Using statistical analysis of data from the year 2000 survey, we stratified noncompetitive cable systems prior to selecting the sample according to size thresholds that yielded relatively uniform rates within each stratum.</w:t>
      </w:r>
    </w:p>
  </w:footnote>
  <w:footnote w:id="52">
    <w:p w:rsidR="00A755B1" w:rsidRPr="007C1B72" w:rsidP="004E16D7" w14:paraId="216C4F56" w14:textId="3F575429">
      <w:pPr>
        <w:pStyle w:val="FootnoteText"/>
        <w:suppressAutoHyphens/>
      </w:pPr>
      <w:r w:rsidRPr="007C1B72">
        <w:rPr>
          <w:rStyle w:val="FootnoteReference"/>
        </w:rPr>
        <w:footnoteRef/>
      </w:r>
      <w:r w:rsidRPr="007C1B72">
        <w:t xml:space="preserve"> The Commission assigns each CUID a physical system identifier (PSID) code.  Each PSID is associated with at least one CUID.</w:t>
      </w:r>
    </w:p>
  </w:footnote>
  <w:footnote w:id="53">
    <w:p w:rsidR="00A755B1" w:rsidRPr="007C1B72" w:rsidP="004E16D7" w14:paraId="6559E669" w14:textId="77777777">
      <w:pPr>
        <w:pStyle w:val="FootnoteText"/>
        <w:suppressAutoHyphens/>
      </w:pPr>
      <w:r w:rsidRPr="007C1B72">
        <w:rPr>
          <w:rStyle w:val="FootnoteReference"/>
        </w:rPr>
        <w:footnoteRef/>
      </w:r>
      <w:r w:rsidRPr="007C1B72">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54">
    <w:p w:rsidR="00A755B1" w:rsidRPr="00CA12DE" w:rsidP="004E16D7" w14:paraId="44E933B8" w14:textId="595C2EEE">
      <w:pPr>
        <w:pStyle w:val="FootnoteText"/>
        <w:suppressAutoHyphens/>
      </w:pPr>
      <w:r w:rsidRPr="007C1B72">
        <w:rPr>
          <w:rStyle w:val="FootnoteReference"/>
        </w:rPr>
        <w:footnoteRef/>
      </w:r>
      <w:r w:rsidRPr="007C1B72">
        <w:t xml:space="preserve"> The formula was from B. J. Mandel, S</w:t>
      </w:r>
      <w:r w:rsidRPr="007C1B72">
        <w:rPr>
          <w:i/>
        </w:rPr>
        <w:t>tatistics for Management</w:t>
      </w:r>
      <w:r w:rsidRPr="007C1B72">
        <w:t xml:space="preserve"> (1984) at 258.  </w:t>
      </w:r>
      <w:r w:rsidRPr="007C1B72">
        <w:rPr>
          <w:i/>
        </w:rPr>
        <w:t xml:space="preserve"> See also, e.g.,</w:t>
      </w:r>
      <w:r w:rsidRPr="00CA12DE">
        <w:t xml:space="preserve"> C. A. Boneau, </w:t>
      </w:r>
      <w:r w:rsidRPr="00CA12DE">
        <w:rPr>
          <w:i/>
        </w:rPr>
        <w:t>Effects of Violations of Assumptions Underlying the t-Test,</w:t>
      </w:r>
      <w:r w:rsidRPr="00CA12DE">
        <w:t xml:space="preserve"> Psychological Bulletin, 57 (1960) at 49-64.</w:t>
      </w:r>
    </w:p>
  </w:footnote>
  <w:footnote w:id="55">
    <w:p w:rsidR="00A755B1" w:rsidRPr="00CA12DE" w:rsidP="004E16D7" w14:paraId="4171F10F" w14:textId="77777777">
      <w:pPr>
        <w:pStyle w:val="FootnoteText"/>
        <w:suppressAutoHyphens/>
      </w:pPr>
      <w:r w:rsidRPr="007C1B72">
        <w:rPr>
          <w:rStyle w:val="FootnoteReference"/>
        </w:rPr>
        <w:footnoteRef/>
      </w:r>
      <w:r w:rsidRPr="007C1B72">
        <w:t xml:space="preserve"> Because previous surveys suggest not all selections will respond to the survey questionnaire for various reasons -- e.g.</w:t>
      </w:r>
      <w:r w:rsidRPr="00CA12DE">
        <w:rPr>
          <w:i/>
        </w:rPr>
        <w:t>,</w:t>
      </w:r>
      <w:r w:rsidRPr="00CA12DE">
        <w:t xml:space="preserve"> the system no longer operates -- the non-response factor adjusts selections by the expected number of non-responses.  Our non-response factor equals [1+ [NR</w:t>
      </w:r>
      <w:r w:rsidRPr="00CA12DE">
        <w:rPr>
          <w:iCs/>
          <w:vertAlign w:val="subscript"/>
        </w:rPr>
        <w:t>h</w:t>
      </w:r>
      <w:r w:rsidRPr="00CA12DE">
        <w:t xml:space="preserve"> / (NR</w:t>
      </w:r>
      <w:r w:rsidRPr="00CA12DE">
        <w:rPr>
          <w:iCs/>
          <w:vertAlign w:val="subscript"/>
        </w:rPr>
        <w:t>h</w:t>
      </w:r>
      <w:r w:rsidRPr="00CA12DE">
        <w:t xml:space="preserve"> + R</w:t>
      </w:r>
      <w:r w:rsidRPr="00CA12DE">
        <w:rPr>
          <w:iCs/>
          <w:vertAlign w:val="subscript"/>
        </w:rPr>
        <w:t>h</w:t>
      </w:r>
      <w:r w:rsidRPr="00CA12DE">
        <w:t>)]], where in stratum</w:t>
      </w:r>
      <w:r w:rsidRPr="00CA12DE">
        <w:rPr>
          <w:i/>
        </w:rPr>
        <w:t xml:space="preserve"> h</w:t>
      </w:r>
      <w:r w:rsidRPr="00CA12DE">
        <w:t>, NR equals the number of non-responses and R equals responses to our survey.</w:t>
      </w:r>
    </w:p>
  </w:footnote>
  <w:footnote w:id="56">
    <w:p w:rsidR="00A755B1" w:rsidRPr="00CA12DE" w:rsidP="004E16D7" w14:paraId="4B39B6C6" w14:textId="77777777">
      <w:pPr>
        <w:pStyle w:val="FootnoteText"/>
        <w:suppressAutoHyphens/>
      </w:pPr>
      <w:r w:rsidRPr="007C1B72">
        <w:rPr>
          <w:rStyle w:val="FootnoteReference"/>
        </w:rPr>
        <w:footnoteRef/>
      </w:r>
      <w:r w:rsidRPr="007C1B72">
        <w:t xml:space="preserve"> To prevent sampling bias, we draw the samples independently including separate samples for incumbents and rivals in locations with a second cable operator; i.e.</w:t>
      </w:r>
      <w:r w:rsidRPr="00CA12DE">
        <w:rPr>
          <w:i/>
        </w:rPr>
        <w:t>,</w:t>
      </w:r>
      <w:r w:rsidRPr="00CA12DE">
        <w:t xml:space="preserve"> selection of an incumbent did not necessarily require that the rival would be selected and </w:t>
      </w:r>
      <w:r w:rsidRPr="00CA12DE">
        <w:rPr>
          <w:i/>
        </w:rPr>
        <w:t>vice versa</w:t>
      </w:r>
      <w:r w:rsidRPr="00CA12DE">
        <w:t>.</w:t>
      </w:r>
    </w:p>
  </w:footnote>
  <w:footnote w:id="57">
    <w:p w:rsidR="00A755B1" w:rsidRPr="007C1B72" w:rsidP="004E16D7" w14:paraId="00259A1B" w14:textId="77777777">
      <w:pPr>
        <w:pStyle w:val="FootnoteText"/>
        <w:suppressAutoHyphens/>
      </w:pPr>
      <w:r w:rsidRPr="007C1B72">
        <w:rPr>
          <w:rStyle w:val="FootnoteReference"/>
        </w:rPr>
        <w:footnoteRef/>
      </w:r>
      <w:r w:rsidRPr="007C1B72">
        <w:t xml:space="preserve"> We generated the samples using the Surveyselect procedure, PPS Method without Replacement, SAS software, Version SAS/STAT 9.4, SAS Institute Inc., Cary, NC (2016). </w:t>
      </w:r>
    </w:p>
  </w:footnote>
  <w:footnote w:id="58">
    <w:p w:rsidR="00A755B1" w:rsidRPr="00CA12DE" w:rsidP="004E16D7" w14:paraId="3D95BEEC" w14:textId="77777777">
      <w:pPr>
        <w:pStyle w:val="FootnoteText"/>
        <w:suppressAutoHyphens/>
      </w:pPr>
      <w:r w:rsidRPr="007C1B72">
        <w:rPr>
          <w:rStyle w:val="FootnoteReference"/>
        </w:rPr>
        <w:footnoteRef/>
      </w:r>
      <w:r w:rsidRPr="007C1B72">
        <w:t xml:space="preserve"> </w:t>
      </w:r>
      <w:r w:rsidRPr="007C1B72">
        <w:rPr>
          <w:i/>
        </w:rPr>
        <w:t>See, e.g.,</w:t>
      </w:r>
      <w:r w:rsidRPr="007C1B72">
        <w:t xml:space="preserve"> F. Yates and P. M. Grundy</w:t>
      </w:r>
      <w:r w:rsidRPr="007C1B72">
        <w:rPr>
          <w:i/>
        </w:rPr>
        <w:t>, “</w:t>
      </w:r>
      <w:r w:rsidRPr="00CA12DE">
        <w:t>Selection without Replacement from Within Strata with Probability Proportional to Size,”</w:t>
      </w:r>
      <w:r w:rsidRPr="00CA12DE">
        <w:rPr>
          <w:i/>
        </w:rPr>
        <w:t xml:space="preserve"> Journal of the Royal Statistical Society, </w:t>
      </w:r>
      <w:r w:rsidRPr="00CA12DE">
        <w:t xml:space="preserve">15 (1953) at 253-261; and B. K. Som, Practical Sampling Techniques, 2nd ed. (1996).         </w:t>
      </w:r>
    </w:p>
  </w:footnote>
  <w:footnote w:id="59">
    <w:p w:rsidR="00A755B1" w:rsidRPr="00CA12DE" w:rsidP="004E16D7" w14:paraId="34CA37A8" w14:textId="39086EC4">
      <w:pPr>
        <w:suppressAutoHyphens/>
        <w:spacing w:after="120"/>
        <w:rPr>
          <w:sz w:val="20"/>
        </w:rPr>
      </w:pPr>
      <w:r w:rsidRPr="007C1B72">
        <w:rPr>
          <w:rStyle w:val="FootnoteReference"/>
        </w:rPr>
        <w:footnoteRef/>
      </w:r>
      <w:r w:rsidRPr="007C1B72">
        <w:rPr>
          <w:sz w:val="20"/>
        </w:rPr>
        <w:t xml:space="preserve"> We applied the following algorithm to sub-stratify community units whose selection probability exceeded one in the stratum. For a sampling stratum, Z= number of subscribers, z</w:t>
      </w:r>
      <w:r w:rsidRPr="00CA12DE">
        <w:rPr>
          <w:iCs/>
          <w:sz w:val="20"/>
          <w:vertAlign w:val="subscript"/>
        </w:rPr>
        <w:t xml:space="preserve">i </w:t>
      </w:r>
      <w:r w:rsidRPr="00CA12DE">
        <w:rPr>
          <w:sz w:val="20"/>
        </w:rPr>
        <w:t xml:space="preserve">= number of subscribers in community (unit) i, n= the sample size, </w:t>
      </w:r>
      <w:r w:rsidRPr="00CA12DE">
        <w:t>π</w:t>
      </w:r>
      <w:r w:rsidRPr="00CA12DE">
        <w:rPr>
          <w:sz w:val="24"/>
          <w:szCs w:val="24"/>
          <w:vertAlign w:val="subscript"/>
        </w:rPr>
        <w:t xml:space="preserve">i </w:t>
      </w:r>
      <w:r w:rsidRPr="00CA12DE">
        <w:rPr>
          <w:sz w:val="20"/>
        </w:rPr>
        <w:t>= n (z</w:t>
      </w:r>
      <w:r w:rsidRPr="00CA12DE">
        <w:rPr>
          <w:iCs/>
          <w:sz w:val="20"/>
          <w:vertAlign w:val="subscript"/>
        </w:rPr>
        <w:t xml:space="preserve">i </w:t>
      </w:r>
      <w:r w:rsidRPr="00CA12DE">
        <w:rPr>
          <w:sz w:val="20"/>
        </w:rPr>
        <w:t xml:space="preserve">/Z) = selection probability of unit i, and k is the number of units for which </w:t>
      </w:r>
      <w:r w:rsidRPr="00CA12DE">
        <w:t>π</w:t>
      </w:r>
      <w:r w:rsidRPr="00CA12DE">
        <w:rPr>
          <w:sz w:val="24"/>
          <w:szCs w:val="24"/>
          <w:vertAlign w:val="subscript"/>
        </w:rPr>
        <w:t>i</w:t>
      </w:r>
      <w:r w:rsidRPr="00CA12DE">
        <w:rPr>
          <w:sz w:val="20"/>
        </w:rPr>
        <w:t xml:space="preserve"> &gt; 1.  Then we sub-stratify units for which </w:t>
      </w:r>
      <w:r w:rsidRPr="00CA12DE">
        <w:t>π</w:t>
      </w:r>
      <w:r w:rsidRPr="00CA12DE">
        <w:rPr>
          <w:sz w:val="24"/>
          <w:szCs w:val="24"/>
          <w:vertAlign w:val="subscript"/>
        </w:rPr>
        <w:t xml:space="preserve">i </w:t>
      </w:r>
      <w:r w:rsidRPr="00CA12DE">
        <w:rPr>
          <w:sz w:val="20"/>
        </w:rPr>
        <w:t xml:space="preserve">&gt; 1 and reduce sample size to n-k.  We recalculate </w:t>
      </w:r>
      <w:r w:rsidRPr="00CA12DE">
        <w:t>π</w:t>
      </w:r>
      <w:r w:rsidRPr="00CA12DE">
        <w:rPr>
          <w:sz w:val="24"/>
          <w:szCs w:val="24"/>
          <w:vertAlign w:val="subscript"/>
        </w:rPr>
        <w:t>i</w:t>
      </w:r>
      <w:r w:rsidRPr="00CA12DE">
        <w:rPr>
          <w:sz w:val="20"/>
        </w:rPr>
        <w:t xml:space="preserve"> for each remaining community and repeat step 1 until k equals zero.</w:t>
      </w:r>
    </w:p>
  </w:footnote>
  <w:footnote w:id="60">
    <w:p w:rsidR="00A755B1" w:rsidRPr="007C1B72" w:rsidP="004E16D7" w14:paraId="4CC5FAAD" w14:textId="77777777">
      <w:pPr>
        <w:pStyle w:val="FootnoteText"/>
        <w:suppressAutoHyphens/>
      </w:pPr>
      <w:r w:rsidRPr="007C1B72">
        <w:rPr>
          <w:rStyle w:val="FootnoteReference"/>
        </w:rPr>
        <w:footnoteRef/>
      </w:r>
      <w:r w:rsidRPr="007C1B72">
        <w:t xml:space="preserve"> In our web-based software we include features that ease the respondent’s filing burden.  For example, the questionnaire pre-fills some survey questions based on information already on file with the Commission, and asks the respondent to verify the information.  </w:t>
      </w:r>
    </w:p>
  </w:footnote>
  <w:footnote w:id="61">
    <w:p w:rsidR="00A755B1" w:rsidRPr="00CA12DE" w:rsidP="004E16D7" w14:paraId="622EA619" w14:textId="079482B2">
      <w:pPr>
        <w:pStyle w:val="FootnoteText"/>
        <w:suppressAutoHyphens/>
      </w:pPr>
      <w:r w:rsidRPr="007C1B72">
        <w:rPr>
          <w:rStyle w:val="FootnoteReference"/>
        </w:rPr>
        <w:footnoteRef/>
      </w:r>
      <w:r w:rsidRPr="007C1B72">
        <w:t xml:space="preserve"> The Horvitz-Thompson ratio estimator is a well-known, unbiased method of estimation applicable to probability sampling.  </w:t>
      </w:r>
      <w:r w:rsidRPr="00CA12DE">
        <w:rPr>
          <w:i/>
        </w:rPr>
        <w:t>See</w:t>
      </w:r>
      <w:r w:rsidRPr="00CA12DE">
        <w:t xml:space="preserve"> D. G. Horvitz and D. J. Thompson, “A Generalization of Sampling without Replacement from a Finite Universe,” Journal of the American Statistical Association, 47 (1952) at 663-685; and W. S. Overton and S. V. Stehman, “The Horvitz-Thompson Theorem as a Unifying Perspective for Probability Sampling: With Examples from Natural Resource Sampling,” The American Statistician, 49(3) (1995); and Cochran (1977) at 259.  We began using the Horvitz-Thompson ratio estimator with the 2009 Report.  Prior to the 2009 Report, we applied the unweighted mean in each stratum. </w:t>
      </w:r>
    </w:p>
  </w:footnote>
  <w:footnote w:id="62">
    <w:p w:rsidR="00A755B1" w:rsidRPr="007C1B72" w:rsidP="004E16D7" w14:paraId="49B0697D" w14:textId="0280BFED">
      <w:pPr>
        <w:pStyle w:val="FootnoteText"/>
        <w:suppressAutoHyphens/>
      </w:pPr>
      <w:r w:rsidRPr="007C1B72">
        <w:rPr>
          <w:rStyle w:val="FootnoteReference"/>
        </w:rPr>
        <w:footnoteRef/>
      </w:r>
      <w:r w:rsidRPr="007C1B72">
        <w:t xml:space="preserve"> We conducted the data analysis using Stata Software, StataCorp. 2015. Stata Statistical Software: Release 14. College Station, TX: StataCorp LP.</w:t>
      </w:r>
    </w:p>
  </w:footnote>
  <w:footnote w:id="63">
    <w:p w:rsidR="00A755B1" w:rsidRPr="00CA12DE" w:rsidP="004E16D7" w14:paraId="18445D70" w14:textId="77777777">
      <w:pPr>
        <w:pStyle w:val="FootnoteText"/>
        <w:suppressAutoHyphens/>
      </w:pPr>
      <w:r w:rsidRPr="007C1B72">
        <w:rPr>
          <w:rStyle w:val="FootnoteReference"/>
        </w:rPr>
        <w:footnoteRef/>
      </w:r>
      <w:r w:rsidRPr="007C1B72">
        <w:t xml:space="preserve"> </w:t>
      </w:r>
      <w:r w:rsidRPr="007C1B72">
        <w:rPr>
          <w:i/>
        </w:rPr>
        <w:t>See, e.g.,</w:t>
      </w:r>
      <w:r w:rsidRPr="00CA12DE">
        <w:t xml:space="preserve"> D. Holt and C. J. Skinner, </w:t>
      </w:r>
      <w:r w:rsidRPr="00CA12DE">
        <w:rPr>
          <w:i/>
        </w:rPr>
        <w:t>Components of Change in Repeated Surveys,</w:t>
      </w:r>
      <w:r w:rsidRPr="00CA12DE">
        <w:t xml:space="preserve"> International Statistical Review, 57 (1989) at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1769" w14:paraId="6CB6CB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B1" w:rsidP="009E2DD3" w14:paraId="792C3959" w14:textId="31827CD4">
    <w:pPr>
      <w:pStyle w:val="Header"/>
    </w:pPr>
    <w:r>
      <w:tab/>
      <w:t>Federal Communications Commission</w:t>
    </w:r>
    <w:r>
      <w:tab/>
      <w:t xml:space="preserve">DA </w:t>
    </w:r>
    <w:r>
      <w:rPr>
        <w:spacing w:val="-2"/>
      </w:rPr>
      <w:t>18</w:t>
    </w:r>
    <w:r w:rsidRPr="00E40439">
      <w:rPr>
        <w:spacing w:val="-2"/>
      </w:rPr>
      <w:t>-</w:t>
    </w:r>
    <w:r w:rsidR="00E04DC0">
      <w:rPr>
        <w:spacing w:val="-2"/>
      </w:rPr>
      <w:t>128</w:t>
    </w:r>
  </w:p>
  <w:p w:rsidR="00A755B1" w14:paraId="30A0F83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A755B1" w14:paraId="2A5EB9E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B1" w:rsidP="009E2DD3" w14:paraId="07EF4496" w14:textId="45BBA034">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635">
                            <a:solidFill>
                              <a:srgbClr val="000000"/>
                            </a:solidFill>
                            <a:miter lim="800000"/>
                            <a:headEnd/>
                            <a:tailEnd/>
                          </a14:hiddenLine>
                        </a:ext>
                        <a:ext xmlns:a="http://schemas.openxmlformats.org/drawingml/2006/main" uri="{AF507438-7753-43e0-B8FC-AC1667EBCBE1}">
                          <a14:hiddenEffects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DA 18</w:t>
    </w:r>
    <w:r w:rsidRPr="00E40439">
      <w:rPr>
        <w:spacing w:val="-2"/>
      </w:rPr>
      <w:t>-</w:t>
    </w:r>
    <w:r w:rsidR="00E04DC0">
      <w:rPr>
        <w:spacing w:val="-2"/>
      </w:rPr>
      <w:t>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C182A5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2">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E1E4753"/>
    <w:multiLevelType w:val="hybridMultilevel"/>
    <w:tmpl w:val="6EB6BC84"/>
    <w:lvl w:ilvl="0">
      <w:start w:val="1"/>
      <w:numFmt w:val="lowerLetter"/>
      <w:lvlText w:val="%1)"/>
      <w:lvlJc w:val="left"/>
      <w:pPr>
        <w:ind w:left="480" w:hanging="360"/>
      </w:pPr>
      <w:rPr>
        <w:rFonts w:hint="default"/>
        <w:b/>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6">
    <w:nsid w:val="14DE2E38"/>
    <w:multiLevelType w:val="hybridMultilevel"/>
    <w:tmpl w:val="165ACE3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78D37FC"/>
    <w:multiLevelType w:val="hybridMultilevel"/>
    <w:tmpl w:val="AB00B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944A3C"/>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1F566CB7"/>
    <w:multiLevelType w:val="hybridMultilevel"/>
    <w:tmpl w:val="0BC86E1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C610C72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6A17789"/>
    <w:multiLevelType w:val="hybridMultilevel"/>
    <w:tmpl w:val="C3F05E3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0F1B3D"/>
    <w:multiLevelType w:val="singleLevel"/>
    <w:tmpl w:val="9DC61FE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8">
    <w:nsid w:val="476703C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9">
    <w:nsid w:val="4D51517A"/>
    <w:multiLevelType w:val="hybridMultilevel"/>
    <w:tmpl w:val="C7BE7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3">
    <w:nsid w:val="545E4F5A"/>
    <w:multiLevelType w:val="hybridMultilevel"/>
    <w:tmpl w:val="EB584EB6"/>
    <w:lvl w:ilvl="0">
      <w:start w:val="9"/>
      <w:numFmt w:val="bullet"/>
      <w:lvlText w:val="*"/>
      <w:lvlJc w:val="left"/>
      <w:pPr>
        <w:ind w:left="162" w:hanging="360"/>
      </w:pPr>
      <w:rPr>
        <w:rFonts w:ascii="Times New Roman" w:eastAsia="Times New Roman" w:hAnsi="Times New Roman" w:cs="Times New Roman" w:hint="default"/>
      </w:rPr>
    </w:lvl>
    <w:lvl w:ilvl="1" w:tentative="1">
      <w:start w:val="1"/>
      <w:numFmt w:val="bullet"/>
      <w:lvlText w:val="o"/>
      <w:lvlJc w:val="left"/>
      <w:pPr>
        <w:ind w:left="882" w:hanging="360"/>
      </w:pPr>
      <w:rPr>
        <w:rFonts w:ascii="Courier New" w:hAnsi="Courier New" w:cs="Courier New" w:hint="default"/>
      </w:rPr>
    </w:lvl>
    <w:lvl w:ilvl="2" w:tentative="1">
      <w:start w:val="1"/>
      <w:numFmt w:val="bullet"/>
      <w:lvlText w:val=""/>
      <w:lvlJc w:val="left"/>
      <w:pPr>
        <w:ind w:left="1602" w:hanging="360"/>
      </w:pPr>
      <w:rPr>
        <w:rFonts w:ascii="Wingdings" w:hAnsi="Wingdings" w:hint="default"/>
      </w:rPr>
    </w:lvl>
    <w:lvl w:ilvl="3" w:tentative="1">
      <w:start w:val="1"/>
      <w:numFmt w:val="bullet"/>
      <w:lvlText w:val=""/>
      <w:lvlJc w:val="left"/>
      <w:pPr>
        <w:ind w:left="2322" w:hanging="360"/>
      </w:pPr>
      <w:rPr>
        <w:rFonts w:ascii="Symbol" w:hAnsi="Symbol" w:hint="default"/>
      </w:rPr>
    </w:lvl>
    <w:lvl w:ilvl="4" w:tentative="1">
      <w:start w:val="1"/>
      <w:numFmt w:val="bullet"/>
      <w:lvlText w:val="o"/>
      <w:lvlJc w:val="left"/>
      <w:pPr>
        <w:ind w:left="3042" w:hanging="360"/>
      </w:pPr>
      <w:rPr>
        <w:rFonts w:ascii="Courier New" w:hAnsi="Courier New" w:cs="Courier New" w:hint="default"/>
      </w:rPr>
    </w:lvl>
    <w:lvl w:ilvl="5" w:tentative="1">
      <w:start w:val="1"/>
      <w:numFmt w:val="bullet"/>
      <w:lvlText w:val=""/>
      <w:lvlJc w:val="left"/>
      <w:pPr>
        <w:ind w:left="3762" w:hanging="360"/>
      </w:pPr>
      <w:rPr>
        <w:rFonts w:ascii="Wingdings" w:hAnsi="Wingdings" w:hint="default"/>
      </w:rPr>
    </w:lvl>
    <w:lvl w:ilvl="6" w:tentative="1">
      <w:start w:val="1"/>
      <w:numFmt w:val="bullet"/>
      <w:lvlText w:val=""/>
      <w:lvlJc w:val="left"/>
      <w:pPr>
        <w:ind w:left="4482" w:hanging="360"/>
      </w:pPr>
      <w:rPr>
        <w:rFonts w:ascii="Symbol" w:hAnsi="Symbol" w:hint="default"/>
      </w:rPr>
    </w:lvl>
    <w:lvl w:ilvl="7" w:tentative="1">
      <w:start w:val="1"/>
      <w:numFmt w:val="bullet"/>
      <w:lvlText w:val="o"/>
      <w:lvlJc w:val="left"/>
      <w:pPr>
        <w:ind w:left="5202" w:hanging="360"/>
      </w:pPr>
      <w:rPr>
        <w:rFonts w:ascii="Courier New" w:hAnsi="Courier New" w:cs="Courier New" w:hint="default"/>
      </w:rPr>
    </w:lvl>
    <w:lvl w:ilvl="8" w:tentative="1">
      <w:start w:val="1"/>
      <w:numFmt w:val="bullet"/>
      <w:lvlText w:val=""/>
      <w:lvlJc w:val="left"/>
      <w:pPr>
        <w:ind w:left="5922" w:hanging="360"/>
      </w:pPr>
      <w:rPr>
        <w:rFonts w:ascii="Wingdings" w:hAnsi="Wingdings" w:hint="default"/>
      </w:rPr>
    </w:lvl>
  </w:abstractNum>
  <w:abstractNum w:abstractNumId="24">
    <w:nsid w:val="61182925"/>
    <w:multiLevelType w:val="singleLevel"/>
    <w:tmpl w:val="6FFC8830"/>
    <w:lvl w:ilvl="0">
      <w:start w:val="1"/>
      <w:numFmt w:val="decimal"/>
      <w:pStyle w:val="ParaNum"/>
      <w:lvlText w:val="%1."/>
      <w:lvlJc w:val="left"/>
      <w:pPr>
        <w:tabs>
          <w:tab w:val="num" w:pos="1080"/>
        </w:tabs>
        <w:ind w:left="0" w:firstLine="720"/>
      </w:pPr>
      <w:rPr>
        <w:b w:val="0"/>
      </w:rPr>
    </w:lvl>
  </w:abstractNum>
  <w:abstractNum w:abstractNumId="25">
    <w:nsid w:val="67F03D82"/>
    <w:multiLevelType w:val="hybridMultilevel"/>
    <w:tmpl w:val="9B86118A"/>
    <w:lvl w:ilvl="0">
      <w:start w:val="1"/>
      <w:numFmt w:val="upp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071ED3"/>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7">
    <w:nsid w:val="6871082A"/>
    <w:multiLevelType w:val="hybridMultilevel"/>
    <w:tmpl w:val="AACCEB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0C2E42"/>
    <w:multiLevelType w:val="hybridMultilevel"/>
    <w:tmpl w:val="8FF08F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7239A7"/>
    <w:multiLevelType w:val="hybridMultilevel"/>
    <w:tmpl w:val="E64C8CE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A363109"/>
    <w:multiLevelType w:val="hybridMultilevel"/>
    <w:tmpl w:val="6EB6BC84"/>
    <w:lvl w:ilvl="0">
      <w:start w:val="1"/>
      <w:numFmt w:val="lowerLetter"/>
      <w:lvlText w:val="%1)"/>
      <w:lvlJc w:val="left"/>
      <w:pPr>
        <w:ind w:left="480" w:hanging="360"/>
      </w:pPr>
      <w:rPr>
        <w:rFonts w:hint="default"/>
        <w:b/>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num w:numId="1">
    <w:abstractNumId w:val="10"/>
  </w:num>
  <w:num w:numId="2">
    <w:abstractNumId w:val="24"/>
  </w:num>
  <w:num w:numId="3">
    <w:abstractNumId w:val="12"/>
  </w:num>
  <w:num w:numId="4">
    <w:abstractNumId w:val="20"/>
  </w:num>
  <w:num w:numId="5">
    <w:abstractNumId w:val="11"/>
  </w:num>
  <w:num w:numId="6">
    <w:abstractNumId w:val="4"/>
  </w:num>
  <w:num w:numId="7">
    <w:abstractNumId w:val="13"/>
  </w:num>
  <w:num w:numId="8">
    <w:abstractNumId w:val="21"/>
  </w:num>
  <w:num w:numId="9">
    <w:abstractNumId w:val="17"/>
  </w:num>
  <w:num w:numId="10">
    <w:abstractNumId w:val="22"/>
  </w:num>
  <w:num w:numId="11">
    <w:abstractNumId w:val="2"/>
  </w:num>
  <w:num w:numId="12">
    <w:abstractNumId w:val="17"/>
  </w:num>
  <w:num w:numId="13">
    <w:abstractNumId w:val="3"/>
  </w:num>
  <w:num w:numId="14">
    <w:abstractNumId w:val="14"/>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30"/>
  </w:num>
  <w:num w:numId="19">
    <w:abstractNumId w:val="5"/>
  </w:num>
  <w:num w:numId="20">
    <w:abstractNumId w:val="9"/>
  </w:num>
  <w:num w:numId="21">
    <w:abstractNumId w:val="17"/>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num>
  <w:num w:numId="25">
    <w:abstractNumId w:val="24"/>
    <w:lvlOverride w:ilvl="0">
      <w:startOverride w:val="1"/>
    </w:lvlOverride>
  </w:num>
  <w:num w:numId="26">
    <w:abstractNumId w:val="15"/>
  </w:num>
  <w:num w:numId="27">
    <w:abstractNumId w:val="19"/>
  </w:num>
  <w:num w:numId="28">
    <w:abstractNumId w:val="7"/>
  </w:num>
  <w:num w:numId="29">
    <w:abstractNumId w:val="27"/>
  </w:num>
  <w:num w:numId="30">
    <w:abstractNumId w:val="0"/>
  </w:num>
  <w:num w:numId="31">
    <w:abstractNumId w:val="16"/>
  </w:num>
  <w:num w:numId="32">
    <w:abstractNumId w:val="16"/>
    <w:lvlOverride w:ilvl="0">
      <w:startOverride w:val="1"/>
    </w:lvlOverride>
  </w:num>
  <w:num w:numId="33">
    <w:abstractNumId w:val="23"/>
  </w:num>
  <w:num w:numId="34">
    <w:abstractNumId w:val="24"/>
  </w:num>
  <w:num w:numId="35">
    <w:abstractNumId w:val="8"/>
  </w:num>
  <w:num w:numId="36">
    <w:abstractNumId w:val="18"/>
  </w:num>
  <w:num w:numId="37">
    <w:abstractNumId w:val="28"/>
  </w:num>
  <w:num w:numId="38">
    <w:abstractNumId w:val="25"/>
  </w:num>
  <w:num w:numId="39">
    <w:abstractNumId w:val="26"/>
  </w:num>
  <w:num w:numId="40">
    <w:abstractNumId w:val="12"/>
    <w:lvlOverride w:ilvl="0">
      <w:startOverride w:val="1"/>
    </w:lvlOverride>
    <w:lvlOverride w:ilvl="1">
      <w:startOverride w:val="2"/>
    </w:lvlOverride>
  </w:num>
  <w:num w:numId="41">
    <w:abstractNumId w:val="1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autoHyphenation/>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E"/>
    <w:rsid w:val="00000095"/>
    <w:rsid w:val="00006210"/>
    <w:rsid w:val="0000726B"/>
    <w:rsid w:val="00007B40"/>
    <w:rsid w:val="00011370"/>
    <w:rsid w:val="0001139B"/>
    <w:rsid w:val="00016CF8"/>
    <w:rsid w:val="00020651"/>
    <w:rsid w:val="00022BF7"/>
    <w:rsid w:val="00023F7B"/>
    <w:rsid w:val="00024309"/>
    <w:rsid w:val="000259FC"/>
    <w:rsid w:val="00025CA2"/>
    <w:rsid w:val="000260DC"/>
    <w:rsid w:val="0003068A"/>
    <w:rsid w:val="000313BE"/>
    <w:rsid w:val="00032313"/>
    <w:rsid w:val="00033D68"/>
    <w:rsid w:val="00034220"/>
    <w:rsid w:val="00034644"/>
    <w:rsid w:val="00036039"/>
    <w:rsid w:val="00036587"/>
    <w:rsid w:val="00037F90"/>
    <w:rsid w:val="000412D2"/>
    <w:rsid w:val="000450E3"/>
    <w:rsid w:val="000455AE"/>
    <w:rsid w:val="00052591"/>
    <w:rsid w:val="00054FCD"/>
    <w:rsid w:val="00055894"/>
    <w:rsid w:val="00056A27"/>
    <w:rsid w:val="000574EC"/>
    <w:rsid w:val="0005796E"/>
    <w:rsid w:val="000579AC"/>
    <w:rsid w:val="00060C0E"/>
    <w:rsid w:val="00060DAC"/>
    <w:rsid w:val="00061C56"/>
    <w:rsid w:val="000668AE"/>
    <w:rsid w:val="000700B3"/>
    <w:rsid w:val="00070171"/>
    <w:rsid w:val="0007224B"/>
    <w:rsid w:val="00074B4D"/>
    <w:rsid w:val="0007578A"/>
    <w:rsid w:val="00075AD1"/>
    <w:rsid w:val="0007658E"/>
    <w:rsid w:val="00076A77"/>
    <w:rsid w:val="0007787A"/>
    <w:rsid w:val="000807FD"/>
    <w:rsid w:val="000819CE"/>
    <w:rsid w:val="000846B1"/>
    <w:rsid w:val="000854DB"/>
    <w:rsid w:val="000872E0"/>
    <w:rsid w:val="000875BF"/>
    <w:rsid w:val="00087E08"/>
    <w:rsid w:val="00091052"/>
    <w:rsid w:val="00091529"/>
    <w:rsid w:val="00093139"/>
    <w:rsid w:val="00096D8C"/>
    <w:rsid w:val="000970BF"/>
    <w:rsid w:val="000A0528"/>
    <w:rsid w:val="000A16A5"/>
    <w:rsid w:val="000A187E"/>
    <w:rsid w:val="000A2660"/>
    <w:rsid w:val="000A3C75"/>
    <w:rsid w:val="000A4C5C"/>
    <w:rsid w:val="000A51B1"/>
    <w:rsid w:val="000A57F7"/>
    <w:rsid w:val="000B225C"/>
    <w:rsid w:val="000B297E"/>
    <w:rsid w:val="000B3988"/>
    <w:rsid w:val="000B3AE8"/>
    <w:rsid w:val="000B5213"/>
    <w:rsid w:val="000B55BA"/>
    <w:rsid w:val="000B5B27"/>
    <w:rsid w:val="000B5EB6"/>
    <w:rsid w:val="000B72B4"/>
    <w:rsid w:val="000B754F"/>
    <w:rsid w:val="000C0372"/>
    <w:rsid w:val="000C06BA"/>
    <w:rsid w:val="000C0B65"/>
    <w:rsid w:val="000C1656"/>
    <w:rsid w:val="000C16CE"/>
    <w:rsid w:val="000C180D"/>
    <w:rsid w:val="000C41D9"/>
    <w:rsid w:val="000C6941"/>
    <w:rsid w:val="000C69C4"/>
    <w:rsid w:val="000D1BD9"/>
    <w:rsid w:val="000D2278"/>
    <w:rsid w:val="000D2E4A"/>
    <w:rsid w:val="000D429F"/>
    <w:rsid w:val="000D5F44"/>
    <w:rsid w:val="000D6FDA"/>
    <w:rsid w:val="000D7259"/>
    <w:rsid w:val="000D7CE6"/>
    <w:rsid w:val="000E05FE"/>
    <w:rsid w:val="000E0D59"/>
    <w:rsid w:val="000E0E77"/>
    <w:rsid w:val="000E223B"/>
    <w:rsid w:val="000E2C1C"/>
    <w:rsid w:val="000E3D42"/>
    <w:rsid w:val="000E6A2A"/>
    <w:rsid w:val="000F0C92"/>
    <w:rsid w:val="000F3605"/>
    <w:rsid w:val="000F3CD8"/>
    <w:rsid w:val="00100650"/>
    <w:rsid w:val="00100B50"/>
    <w:rsid w:val="00101439"/>
    <w:rsid w:val="00102E25"/>
    <w:rsid w:val="00104A97"/>
    <w:rsid w:val="001061D7"/>
    <w:rsid w:val="00107103"/>
    <w:rsid w:val="001105B7"/>
    <w:rsid w:val="00111CBA"/>
    <w:rsid w:val="00111E89"/>
    <w:rsid w:val="00113F48"/>
    <w:rsid w:val="00114E00"/>
    <w:rsid w:val="00115634"/>
    <w:rsid w:val="00115C2A"/>
    <w:rsid w:val="00117487"/>
    <w:rsid w:val="00120FD9"/>
    <w:rsid w:val="00121318"/>
    <w:rsid w:val="00122A87"/>
    <w:rsid w:val="00122BD5"/>
    <w:rsid w:val="00122E9D"/>
    <w:rsid w:val="00123737"/>
    <w:rsid w:val="001262C2"/>
    <w:rsid w:val="00126E98"/>
    <w:rsid w:val="00126EC1"/>
    <w:rsid w:val="00127D49"/>
    <w:rsid w:val="00127DB2"/>
    <w:rsid w:val="0013069D"/>
    <w:rsid w:val="0013148F"/>
    <w:rsid w:val="00133035"/>
    <w:rsid w:val="00133293"/>
    <w:rsid w:val="0013330B"/>
    <w:rsid w:val="00133F79"/>
    <w:rsid w:val="001342D6"/>
    <w:rsid w:val="00135D3E"/>
    <w:rsid w:val="001366A4"/>
    <w:rsid w:val="00136D0E"/>
    <w:rsid w:val="001404D0"/>
    <w:rsid w:val="00143756"/>
    <w:rsid w:val="00146170"/>
    <w:rsid w:val="00150370"/>
    <w:rsid w:val="00150A43"/>
    <w:rsid w:val="00151470"/>
    <w:rsid w:val="00151DFD"/>
    <w:rsid w:val="00152933"/>
    <w:rsid w:val="00152983"/>
    <w:rsid w:val="00153A33"/>
    <w:rsid w:val="00154E70"/>
    <w:rsid w:val="0015568C"/>
    <w:rsid w:val="001565DC"/>
    <w:rsid w:val="001608CA"/>
    <w:rsid w:val="00161700"/>
    <w:rsid w:val="0016213D"/>
    <w:rsid w:val="00162158"/>
    <w:rsid w:val="0016590E"/>
    <w:rsid w:val="00165F6F"/>
    <w:rsid w:val="0016633D"/>
    <w:rsid w:val="00167658"/>
    <w:rsid w:val="00167D5D"/>
    <w:rsid w:val="00170E18"/>
    <w:rsid w:val="00174365"/>
    <w:rsid w:val="001748D3"/>
    <w:rsid w:val="0017490B"/>
    <w:rsid w:val="0017725E"/>
    <w:rsid w:val="0017784E"/>
    <w:rsid w:val="00185025"/>
    <w:rsid w:val="001851D0"/>
    <w:rsid w:val="001871B5"/>
    <w:rsid w:val="00187CA6"/>
    <w:rsid w:val="0019070A"/>
    <w:rsid w:val="0019082F"/>
    <w:rsid w:val="0019202F"/>
    <w:rsid w:val="00194A66"/>
    <w:rsid w:val="0019510F"/>
    <w:rsid w:val="00197D72"/>
    <w:rsid w:val="00197EE8"/>
    <w:rsid w:val="001A0180"/>
    <w:rsid w:val="001A022F"/>
    <w:rsid w:val="001A05C2"/>
    <w:rsid w:val="001A0F6D"/>
    <w:rsid w:val="001A2759"/>
    <w:rsid w:val="001A4C7C"/>
    <w:rsid w:val="001A5289"/>
    <w:rsid w:val="001A68DC"/>
    <w:rsid w:val="001A69CF"/>
    <w:rsid w:val="001B0131"/>
    <w:rsid w:val="001B085F"/>
    <w:rsid w:val="001B503B"/>
    <w:rsid w:val="001B6938"/>
    <w:rsid w:val="001B6984"/>
    <w:rsid w:val="001B7DA4"/>
    <w:rsid w:val="001C0F78"/>
    <w:rsid w:val="001C1A55"/>
    <w:rsid w:val="001C1C80"/>
    <w:rsid w:val="001C1F59"/>
    <w:rsid w:val="001C24D4"/>
    <w:rsid w:val="001C2CAC"/>
    <w:rsid w:val="001C3B9C"/>
    <w:rsid w:val="001C3BDF"/>
    <w:rsid w:val="001C59D0"/>
    <w:rsid w:val="001C621C"/>
    <w:rsid w:val="001D0156"/>
    <w:rsid w:val="001D01DD"/>
    <w:rsid w:val="001D0D5A"/>
    <w:rsid w:val="001D0E88"/>
    <w:rsid w:val="001D0FDA"/>
    <w:rsid w:val="001D11C2"/>
    <w:rsid w:val="001D17D5"/>
    <w:rsid w:val="001D396A"/>
    <w:rsid w:val="001D5191"/>
    <w:rsid w:val="001D58A4"/>
    <w:rsid w:val="001D6BCF"/>
    <w:rsid w:val="001D6D23"/>
    <w:rsid w:val="001D6D30"/>
    <w:rsid w:val="001D70AB"/>
    <w:rsid w:val="001E01CA"/>
    <w:rsid w:val="001E0E63"/>
    <w:rsid w:val="001E1A6F"/>
    <w:rsid w:val="001E1B21"/>
    <w:rsid w:val="001E3994"/>
    <w:rsid w:val="001E5699"/>
    <w:rsid w:val="001E73F0"/>
    <w:rsid w:val="001E7742"/>
    <w:rsid w:val="001F06AC"/>
    <w:rsid w:val="001F0FCC"/>
    <w:rsid w:val="001F133F"/>
    <w:rsid w:val="001F1746"/>
    <w:rsid w:val="001F3DF6"/>
    <w:rsid w:val="001F4437"/>
    <w:rsid w:val="001F4663"/>
    <w:rsid w:val="001F5723"/>
    <w:rsid w:val="001F5F67"/>
    <w:rsid w:val="0020171D"/>
    <w:rsid w:val="0020201B"/>
    <w:rsid w:val="002022E9"/>
    <w:rsid w:val="00207ABC"/>
    <w:rsid w:val="00207DB7"/>
    <w:rsid w:val="002149A8"/>
    <w:rsid w:val="00220E8F"/>
    <w:rsid w:val="002235A5"/>
    <w:rsid w:val="00223A09"/>
    <w:rsid w:val="00223B0A"/>
    <w:rsid w:val="00223BEF"/>
    <w:rsid w:val="002250E7"/>
    <w:rsid w:val="00225E4B"/>
    <w:rsid w:val="00227147"/>
    <w:rsid w:val="002271E3"/>
    <w:rsid w:val="00230B5C"/>
    <w:rsid w:val="00231A45"/>
    <w:rsid w:val="00232DFD"/>
    <w:rsid w:val="002332E2"/>
    <w:rsid w:val="00233642"/>
    <w:rsid w:val="002357B9"/>
    <w:rsid w:val="002358B8"/>
    <w:rsid w:val="0023590D"/>
    <w:rsid w:val="00235C3E"/>
    <w:rsid w:val="00240FE3"/>
    <w:rsid w:val="00241D48"/>
    <w:rsid w:val="002440B2"/>
    <w:rsid w:val="0024410F"/>
    <w:rsid w:val="002449F9"/>
    <w:rsid w:val="0024613F"/>
    <w:rsid w:val="002479A8"/>
    <w:rsid w:val="00250C8C"/>
    <w:rsid w:val="00251C06"/>
    <w:rsid w:val="00252A7E"/>
    <w:rsid w:val="002543FD"/>
    <w:rsid w:val="002548FA"/>
    <w:rsid w:val="00255522"/>
    <w:rsid w:val="002574C3"/>
    <w:rsid w:val="002609F4"/>
    <w:rsid w:val="00260E8A"/>
    <w:rsid w:val="002617F4"/>
    <w:rsid w:val="00263251"/>
    <w:rsid w:val="00263A25"/>
    <w:rsid w:val="00264DB7"/>
    <w:rsid w:val="00265118"/>
    <w:rsid w:val="00265452"/>
    <w:rsid w:val="002660EA"/>
    <w:rsid w:val="00266CA4"/>
    <w:rsid w:val="00272303"/>
    <w:rsid w:val="0027322B"/>
    <w:rsid w:val="00274CCF"/>
    <w:rsid w:val="00275CF5"/>
    <w:rsid w:val="00277822"/>
    <w:rsid w:val="002804EB"/>
    <w:rsid w:val="0028301F"/>
    <w:rsid w:val="00283BF6"/>
    <w:rsid w:val="00284796"/>
    <w:rsid w:val="00284E3B"/>
    <w:rsid w:val="00285017"/>
    <w:rsid w:val="00286040"/>
    <w:rsid w:val="00286CCA"/>
    <w:rsid w:val="00287301"/>
    <w:rsid w:val="002873F0"/>
    <w:rsid w:val="002919CD"/>
    <w:rsid w:val="00291EEC"/>
    <w:rsid w:val="00294493"/>
    <w:rsid w:val="00294D3D"/>
    <w:rsid w:val="00296FD6"/>
    <w:rsid w:val="00297BFB"/>
    <w:rsid w:val="00297FBE"/>
    <w:rsid w:val="002A16CB"/>
    <w:rsid w:val="002A1BDB"/>
    <w:rsid w:val="002A2D2E"/>
    <w:rsid w:val="002A5670"/>
    <w:rsid w:val="002A6A4D"/>
    <w:rsid w:val="002B07B1"/>
    <w:rsid w:val="002B16EF"/>
    <w:rsid w:val="002B283A"/>
    <w:rsid w:val="002B4017"/>
    <w:rsid w:val="002B588B"/>
    <w:rsid w:val="002B768D"/>
    <w:rsid w:val="002B7F03"/>
    <w:rsid w:val="002C00E8"/>
    <w:rsid w:val="002C04C2"/>
    <w:rsid w:val="002C4544"/>
    <w:rsid w:val="002C599D"/>
    <w:rsid w:val="002C6610"/>
    <w:rsid w:val="002C692A"/>
    <w:rsid w:val="002C6DA7"/>
    <w:rsid w:val="002C6DE4"/>
    <w:rsid w:val="002C72F2"/>
    <w:rsid w:val="002C7352"/>
    <w:rsid w:val="002C76E6"/>
    <w:rsid w:val="002D047A"/>
    <w:rsid w:val="002D16CC"/>
    <w:rsid w:val="002D19E4"/>
    <w:rsid w:val="002D39AF"/>
    <w:rsid w:val="002D640D"/>
    <w:rsid w:val="002D6EB6"/>
    <w:rsid w:val="002D73D1"/>
    <w:rsid w:val="002D7EF7"/>
    <w:rsid w:val="002E0351"/>
    <w:rsid w:val="002E3AB5"/>
    <w:rsid w:val="002E4A2F"/>
    <w:rsid w:val="002E5946"/>
    <w:rsid w:val="002E698C"/>
    <w:rsid w:val="002E6A0A"/>
    <w:rsid w:val="002F0675"/>
    <w:rsid w:val="002F0AD6"/>
    <w:rsid w:val="002F0F3A"/>
    <w:rsid w:val="002F3127"/>
    <w:rsid w:val="002F3723"/>
    <w:rsid w:val="002F45DE"/>
    <w:rsid w:val="002F4D57"/>
    <w:rsid w:val="002F5E2E"/>
    <w:rsid w:val="002F6AC6"/>
    <w:rsid w:val="00300121"/>
    <w:rsid w:val="00303C65"/>
    <w:rsid w:val="00303C82"/>
    <w:rsid w:val="00303EAB"/>
    <w:rsid w:val="00306BE6"/>
    <w:rsid w:val="00306FBA"/>
    <w:rsid w:val="00310A80"/>
    <w:rsid w:val="00310DFC"/>
    <w:rsid w:val="003139B2"/>
    <w:rsid w:val="00314424"/>
    <w:rsid w:val="00315B3B"/>
    <w:rsid w:val="0031660C"/>
    <w:rsid w:val="00316C18"/>
    <w:rsid w:val="0031769A"/>
    <w:rsid w:val="0031789E"/>
    <w:rsid w:val="00323C60"/>
    <w:rsid w:val="0032455B"/>
    <w:rsid w:val="00324971"/>
    <w:rsid w:val="0032551B"/>
    <w:rsid w:val="00325727"/>
    <w:rsid w:val="00325DD1"/>
    <w:rsid w:val="0033283D"/>
    <w:rsid w:val="00332882"/>
    <w:rsid w:val="0033451B"/>
    <w:rsid w:val="003351BE"/>
    <w:rsid w:val="00337AB6"/>
    <w:rsid w:val="00340C7B"/>
    <w:rsid w:val="00341733"/>
    <w:rsid w:val="003425E4"/>
    <w:rsid w:val="00343642"/>
    <w:rsid w:val="00343749"/>
    <w:rsid w:val="00343D78"/>
    <w:rsid w:val="00343FA7"/>
    <w:rsid w:val="00344797"/>
    <w:rsid w:val="00344C1D"/>
    <w:rsid w:val="0034584F"/>
    <w:rsid w:val="00345923"/>
    <w:rsid w:val="00345AC0"/>
    <w:rsid w:val="0034600E"/>
    <w:rsid w:val="0034692D"/>
    <w:rsid w:val="00350D95"/>
    <w:rsid w:val="00351689"/>
    <w:rsid w:val="00352679"/>
    <w:rsid w:val="003527A7"/>
    <w:rsid w:val="003555D7"/>
    <w:rsid w:val="00355CC9"/>
    <w:rsid w:val="003603EA"/>
    <w:rsid w:val="00361674"/>
    <w:rsid w:val="0036270E"/>
    <w:rsid w:val="00364AB0"/>
    <w:rsid w:val="00364B44"/>
    <w:rsid w:val="0036528A"/>
    <w:rsid w:val="00365771"/>
    <w:rsid w:val="003660ED"/>
    <w:rsid w:val="003700F8"/>
    <w:rsid w:val="00372458"/>
    <w:rsid w:val="003724CE"/>
    <w:rsid w:val="00372861"/>
    <w:rsid w:val="00372C6B"/>
    <w:rsid w:val="00373AC5"/>
    <w:rsid w:val="003748E2"/>
    <w:rsid w:val="00375323"/>
    <w:rsid w:val="00381642"/>
    <w:rsid w:val="00381BE0"/>
    <w:rsid w:val="00381E69"/>
    <w:rsid w:val="00383277"/>
    <w:rsid w:val="003837E2"/>
    <w:rsid w:val="0038468C"/>
    <w:rsid w:val="00384E52"/>
    <w:rsid w:val="00385A94"/>
    <w:rsid w:val="00386501"/>
    <w:rsid w:val="00386517"/>
    <w:rsid w:val="003875B9"/>
    <w:rsid w:val="00390644"/>
    <w:rsid w:val="00390EB5"/>
    <w:rsid w:val="00392C03"/>
    <w:rsid w:val="00392F40"/>
    <w:rsid w:val="0039303D"/>
    <w:rsid w:val="00393840"/>
    <w:rsid w:val="00394EFE"/>
    <w:rsid w:val="00396E11"/>
    <w:rsid w:val="00397BB6"/>
    <w:rsid w:val="003A1A5C"/>
    <w:rsid w:val="003A25D4"/>
    <w:rsid w:val="003A3154"/>
    <w:rsid w:val="003A3227"/>
    <w:rsid w:val="003A3A4D"/>
    <w:rsid w:val="003A489B"/>
    <w:rsid w:val="003A6BB4"/>
    <w:rsid w:val="003B03DB"/>
    <w:rsid w:val="003B04FB"/>
    <w:rsid w:val="003B0550"/>
    <w:rsid w:val="003B059F"/>
    <w:rsid w:val="003B2570"/>
    <w:rsid w:val="003B6008"/>
    <w:rsid w:val="003B694F"/>
    <w:rsid w:val="003B7830"/>
    <w:rsid w:val="003B7FCD"/>
    <w:rsid w:val="003C19EF"/>
    <w:rsid w:val="003C40B0"/>
    <w:rsid w:val="003C474D"/>
    <w:rsid w:val="003C56BE"/>
    <w:rsid w:val="003C5EF9"/>
    <w:rsid w:val="003D091A"/>
    <w:rsid w:val="003D1F8E"/>
    <w:rsid w:val="003D2F25"/>
    <w:rsid w:val="003D3183"/>
    <w:rsid w:val="003D3323"/>
    <w:rsid w:val="003D4D9C"/>
    <w:rsid w:val="003D6FC0"/>
    <w:rsid w:val="003E2503"/>
    <w:rsid w:val="003E339B"/>
    <w:rsid w:val="003E4453"/>
    <w:rsid w:val="003E5E26"/>
    <w:rsid w:val="003E7309"/>
    <w:rsid w:val="003E744B"/>
    <w:rsid w:val="003E76D3"/>
    <w:rsid w:val="003E7B35"/>
    <w:rsid w:val="003F1388"/>
    <w:rsid w:val="003F171C"/>
    <w:rsid w:val="003F2CB6"/>
    <w:rsid w:val="003F30C1"/>
    <w:rsid w:val="003F3C38"/>
    <w:rsid w:val="003F4154"/>
    <w:rsid w:val="003F5713"/>
    <w:rsid w:val="003F573A"/>
    <w:rsid w:val="003F5E51"/>
    <w:rsid w:val="003F5EBC"/>
    <w:rsid w:val="003F6245"/>
    <w:rsid w:val="003F720D"/>
    <w:rsid w:val="00401D2B"/>
    <w:rsid w:val="00403C4E"/>
    <w:rsid w:val="0040417E"/>
    <w:rsid w:val="00404654"/>
    <w:rsid w:val="004048E5"/>
    <w:rsid w:val="004057BA"/>
    <w:rsid w:val="00405C25"/>
    <w:rsid w:val="00412261"/>
    <w:rsid w:val="00412FC5"/>
    <w:rsid w:val="00415051"/>
    <w:rsid w:val="00420969"/>
    <w:rsid w:val="00421804"/>
    <w:rsid w:val="00422276"/>
    <w:rsid w:val="0042260A"/>
    <w:rsid w:val="00423B5F"/>
    <w:rsid w:val="004242F1"/>
    <w:rsid w:val="0042575A"/>
    <w:rsid w:val="0042601B"/>
    <w:rsid w:val="00426682"/>
    <w:rsid w:val="00427A0C"/>
    <w:rsid w:val="004301C0"/>
    <w:rsid w:val="00430BD0"/>
    <w:rsid w:val="00431329"/>
    <w:rsid w:val="00437E9E"/>
    <w:rsid w:val="00440C5C"/>
    <w:rsid w:val="0044213E"/>
    <w:rsid w:val="00442CC1"/>
    <w:rsid w:val="004438C8"/>
    <w:rsid w:val="00444084"/>
    <w:rsid w:val="004456A1"/>
    <w:rsid w:val="00445A00"/>
    <w:rsid w:val="00446097"/>
    <w:rsid w:val="00446D79"/>
    <w:rsid w:val="004506BE"/>
    <w:rsid w:val="00451B0F"/>
    <w:rsid w:val="0045222B"/>
    <w:rsid w:val="00454419"/>
    <w:rsid w:val="00454728"/>
    <w:rsid w:val="004577DD"/>
    <w:rsid w:val="00457BCA"/>
    <w:rsid w:val="0046070A"/>
    <w:rsid w:val="004613A3"/>
    <w:rsid w:val="0046159B"/>
    <w:rsid w:val="004636F9"/>
    <w:rsid w:val="00463F40"/>
    <w:rsid w:val="00464BFD"/>
    <w:rsid w:val="00464C8D"/>
    <w:rsid w:val="00465889"/>
    <w:rsid w:val="00470796"/>
    <w:rsid w:val="00472935"/>
    <w:rsid w:val="004736EC"/>
    <w:rsid w:val="0047373F"/>
    <w:rsid w:val="00473C43"/>
    <w:rsid w:val="004743AD"/>
    <w:rsid w:val="00474AF6"/>
    <w:rsid w:val="00477DA4"/>
    <w:rsid w:val="00481571"/>
    <w:rsid w:val="00481AAA"/>
    <w:rsid w:val="0048336E"/>
    <w:rsid w:val="004833E6"/>
    <w:rsid w:val="00483427"/>
    <w:rsid w:val="0048385C"/>
    <w:rsid w:val="004839C1"/>
    <w:rsid w:val="00484F7F"/>
    <w:rsid w:val="00485A2D"/>
    <w:rsid w:val="00486B88"/>
    <w:rsid w:val="00487B1D"/>
    <w:rsid w:val="004929BD"/>
    <w:rsid w:val="00493BA8"/>
    <w:rsid w:val="004941A2"/>
    <w:rsid w:val="004947EC"/>
    <w:rsid w:val="00494D2B"/>
    <w:rsid w:val="00496201"/>
    <w:rsid w:val="00497E5B"/>
    <w:rsid w:val="004A03AC"/>
    <w:rsid w:val="004A087F"/>
    <w:rsid w:val="004A3053"/>
    <w:rsid w:val="004A3A41"/>
    <w:rsid w:val="004A4B39"/>
    <w:rsid w:val="004A5ECD"/>
    <w:rsid w:val="004A63D1"/>
    <w:rsid w:val="004B2DFB"/>
    <w:rsid w:val="004B6C2F"/>
    <w:rsid w:val="004C2A01"/>
    <w:rsid w:val="004C2EE3"/>
    <w:rsid w:val="004C4DC3"/>
    <w:rsid w:val="004C51B8"/>
    <w:rsid w:val="004C7DE1"/>
    <w:rsid w:val="004D0F37"/>
    <w:rsid w:val="004D17F5"/>
    <w:rsid w:val="004D2ABD"/>
    <w:rsid w:val="004D35A0"/>
    <w:rsid w:val="004D3CE2"/>
    <w:rsid w:val="004D47F3"/>
    <w:rsid w:val="004D4E39"/>
    <w:rsid w:val="004D4F03"/>
    <w:rsid w:val="004D5A43"/>
    <w:rsid w:val="004D7230"/>
    <w:rsid w:val="004E1406"/>
    <w:rsid w:val="004E15E2"/>
    <w:rsid w:val="004E16D7"/>
    <w:rsid w:val="004E1A81"/>
    <w:rsid w:val="004E348D"/>
    <w:rsid w:val="004E4A22"/>
    <w:rsid w:val="004E4E55"/>
    <w:rsid w:val="004F0082"/>
    <w:rsid w:val="004F01B6"/>
    <w:rsid w:val="004F0424"/>
    <w:rsid w:val="004F1DE9"/>
    <w:rsid w:val="004F26E9"/>
    <w:rsid w:val="004F3ABC"/>
    <w:rsid w:val="004F3BA0"/>
    <w:rsid w:val="004F3EDD"/>
    <w:rsid w:val="004F450E"/>
    <w:rsid w:val="004F4DA5"/>
    <w:rsid w:val="004F5CD0"/>
    <w:rsid w:val="004F6344"/>
    <w:rsid w:val="004F6350"/>
    <w:rsid w:val="004F6559"/>
    <w:rsid w:val="004F6907"/>
    <w:rsid w:val="00501EC9"/>
    <w:rsid w:val="00502D4D"/>
    <w:rsid w:val="00507329"/>
    <w:rsid w:val="00507477"/>
    <w:rsid w:val="00507E1B"/>
    <w:rsid w:val="00510B06"/>
    <w:rsid w:val="00511968"/>
    <w:rsid w:val="0051381B"/>
    <w:rsid w:val="00514456"/>
    <w:rsid w:val="00517A56"/>
    <w:rsid w:val="00517C2D"/>
    <w:rsid w:val="005206F0"/>
    <w:rsid w:val="00520AE9"/>
    <w:rsid w:val="00520EE8"/>
    <w:rsid w:val="00522D14"/>
    <w:rsid w:val="0052550F"/>
    <w:rsid w:val="0052565A"/>
    <w:rsid w:val="005263EC"/>
    <w:rsid w:val="0052651C"/>
    <w:rsid w:val="00527BF9"/>
    <w:rsid w:val="00534196"/>
    <w:rsid w:val="00535DBE"/>
    <w:rsid w:val="005420EC"/>
    <w:rsid w:val="00542286"/>
    <w:rsid w:val="0054238B"/>
    <w:rsid w:val="0054394C"/>
    <w:rsid w:val="00545A04"/>
    <w:rsid w:val="00551360"/>
    <w:rsid w:val="00551509"/>
    <w:rsid w:val="00553037"/>
    <w:rsid w:val="0055547B"/>
    <w:rsid w:val="00555AB1"/>
    <w:rsid w:val="0055614C"/>
    <w:rsid w:val="00556397"/>
    <w:rsid w:val="005603F6"/>
    <w:rsid w:val="005606C4"/>
    <w:rsid w:val="00560B41"/>
    <w:rsid w:val="0056175F"/>
    <w:rsid w:val="005635E4"/>
    <w:rsid w:val="005667CB"/>
    <w:rsid w:val="00570C8D"/>
    <w:rsid w:val="00574102"/>
    <w:rsid w:val="00574FF3"/>
    <w:rsid w:val="005751D4"/>
    <w:rsid w:val="0057541D"/>
    <w:rsid w:val="005776C6"/>
    <w:rsid w:val="00577C4C"/>
    <w:rsid w:val="00580D71"/>
    <w:rsid w:val="00581301"/>
    <w:rsid w:val="00581921"/>
    <w:rsid w:val="00581AD2"/>
    <w:rsid w:val="00581F3A"/>
    <w:rsid w:val="00584F70"/>
    <w:rsid w:val="00585A5E"/>
    <w:rsid w:val="00590382"/>
    <w:rsid w:val="00593317"/>
    <w:rsid w:val="00594234"/>
    <w:rsid w:val="00595129"/>
    <w:rsid w:val="00595C87"/>
    <w:rsid w:val="005A0526"/>
    <w:rsid w:val="005A3519"/>
    <w:rsid w:val="005A4818"/>
    <w:rsid w:val="005A5C9D"/>
    <w:rsid w:val="005A63E4"/>
    <w:rsid w:val="005A7FAB"/>
    <w:rsid w:val="005B2485"/>
    <w:rsid w:val="005B35F0"/>
    <w:rsid w:val="005B7008"/>
    <w:rsid w:val="005B7CE6"/>
    <w:rsid w:val="005C5CDE"/>
    <w:rsid w:val="005C5FDA"/>
    <w:rsid w:val="005C6014"/>
    <w:rsid w:val="005C6F45"/>
    <w:rsid w:val="005D0673"/>
    <w:rsid w:val="005D1E65"/>
    <w:rsid w:val="005D3037"/>
    <w:rsid w:val="005D36F4"/>
    <w:rsid w:val="005D4D4F"/>
    <w:rsid w:val="005D4EF8"/>
    <w:rsid w:val="005D6CC7"/>
    <w:rsid w:val="005D7A15"/>
    <w:rsid w:val="005E0260"/>
    <w:rsid w:val="005E14C2"/>
    <w:rsid w:val="005E22F8"/>
    <w:rsid w:val="005E244C"/>
    <w:rsid w:val="005E31E7"/>
    <w:rsid w:val="005E4849"/>
    <w:rsid w:val="005E525C"/>
    <w:rsid w:val="005E704B"/>
    <w:rsid w:val="005E7AFD"/>
    <w:rsid w:val="005F2BA5"/>
    <w:rsid w:val="005F4931"/>
    <w:rsid w:val="005F675A"/>
    <w:rsid w:val="00601691"/>
    <w:rsid w:val="00602135"/>
    <w:rsid w:val="00602355"/>
    <w:rsid w:val="00603C0B"/>
    <w:rsid w:val="00604F19"/>
    <w:rsid w:val="0060566E"/>
    <w:rsid w:val="00606764"/>
    <w:rsid w:val="00607617"/>
    <w:rsid w:val="00607BA5"/>
    <w:rsid w:val="00610436"/>
    <w:rsid w:val="00610B46"/>
    <w:rsid w:val="0061180A"/>
    <w:rsid w:val="00612969"/>
    <w:rsid w:val="0061486E"/>
    <w:rsid w:val="00616793"/>
    <w:rsid w:val="006171E3"/>
    <w:rsid w:val="00622160"/>
    <w:rsid w:val="0062383D"/>
    <w:rsid w:val="00623CCF"/>
    <w:rsid w:val="006247AE"/>
    <w:rsid w:val="00625176"/>
    <w:rsid w:val="00626914"/>
    <w:rsid w:val="00626EB6"/>
    <w:rsid w:val="00627256"/>
    <w:rsid w:val="00627759"/>
    <w:rsid w:val="0063269D"/>
    <w:rsid w:val="00633968"/>
    <w:rsid w:val="00633C3B"/>
    <w:rsid w:val="006365EE"/>
    <w:rsid w:val="0064192E"/>
    <w:rsid w:val="0064207D"/>
    <w:rsid w:val="00643145"/>
    <w:rsid w:val="00643534"/>
    <w:rsid w:val="00644A1B"/>
    <w:rsid w:val="006456DD"/>
    <w:rsid w:val="00647A91"/>
    <w:rsid w:val="006503F2"/>
    <w:rsid w:val="00650419"/>
    <w:rsid w:val="0065054F"/>
    <w:rsid w:val="00650E6C"/>
    <w:rsid w:val="00651A44"/>
    <w:rsid w:val="0065269E"/>
    <w:rsid w:val="00652FC7"/>
    <w:rsid w:val="006532A4"/>
    <w:rsid w:val="00653C07"/>
    <w:rsid w:val="00655D03"/>
    <w:rsid w:val="006568E6"/>
    <w:rsid w:val="00657D6C"/>
    <w:rsid w:val="006617B1"/>
    <w:rsid w:val="0066645B"/>
    <w:rsid w:val="00666768"/>
    <w:rsid w:val="006668CB"/>
    <w:rsid w:val="00667C92"/>
    <w:rsid w:val="006746A9"/>
    <w:rsid w:val="00675339"/>
    <w:rsid w:val="00675C01"/>
    <w:rsid w:val="00677E1A"/>
    <w:rsid w:val="00680DDA"/>
    <w:rsid w:val="00680FF3"/>
    <w:rsid w:val="006829F5"/>
    <w:rsid w:val="00683388"/>
    <w:rsid w:val="00683F84"/>
    <w:rsid w:val="006841AF"/>
    <w:rsid w:val="006850FA"/>
    <w:rsid w:val="00691645"/>
    <w:rsid w:val="0069215D"/>
    <w:rsid w:val="0069245A"/>
    <w:rsid w:val="0069445A"/>
    <w:rsid w:val="00696148"/>
    <w:rsid w:val="0069646A"/>
    <w:rsid w:val="006966D8"/>
    <w:rsid w:val="006977DA"/>
    <w:rsid w:val="006A00D5"/>
    <w:rsid w:val="006A1DBC"/>
    <w:rsid w:val="006A27F0"/>
    <w:rsid w:val="006A2CD8"/>
    <w:rsid w:val="006A3740"/>
    <w:rsid w:val="006A4036"/>
    <w:rsid w:val="006A4D45"/>
    <w:rsid w:val="006A583F"/>
    <w:rsid w:val="006A6640"/>
    <w:rsid w:val="006A6A81"/>
    <w:rsid w:val="006B0016"/>
    <w:rsid w:val="006B01FC"/>
    <w:rsid w:val="006B02F9"/>
    <w:rsid w:val="006B0501"/>
    <w:rsid w:val="006B1041"/>
    <w:rsid w:val="006B30B1"/>
    <w:rsid w:val="006B34B9"/>
    <w:rsid w:val="006B3C5A"/>
    <w:rsid w:val="006B5CBB"/>
    <w:rsid w:val="006B6958"/>
    <w:rsid w:val="006B724B"/>
    <w:rsid w:val="006C3631"/>
    <w:rsid w:val="006C40CD"/>
    <w:rsid w:val="006C4697"/>
    <w:rsid w:val="006C46E6"/>
    <w:rsid w:val="006C5822"/>
    <w:rsid w:val="006C7478"/>
    <w:rsid w:val="006D061B"/>
    <w:rsid w:val="006D078C"/>
    <w:rsid w:val="006D19D9"/>
    <w:rsid w:val="006D7732"/>
    <w:rsid w:val="006D7B28"/>
    <w:rsid w:val="006E217A"/>
    <w:rsid w:val="006E32BC"/>
    <w:rsid w:val="006E36AB"/>
    <w:rsid w:val="006E3C05"/>
    <w:rsid w:val="006E49E3"/>
    <w:rsid w:val="006E4BCF"/>
    <w:rsid w:val="006E4EEC"/>
    <w:rsid w:val="006E6836"/>
    <w:rsid w:val="006E693E"/>
    <w:rsid w:val="006F028D"/>
    <w:rsid w:val="006F36F0"/>
    <w:rsid w:val="006F4A0A"/>
    <w:rsid w:val="006F4B42"/>
    <w:rsid w:val="006F5FBE"/>
    <w:rsid w:val="006F7393"/>
    <w:rsid w:val="007000A4"/>
    <w:rsid w:val="00700A73"/>
    <w:rsid w:val="0070224F"/>
    <w:rsid w:val="00702365"/>
    <w:rsid w:val="007025CA"/>
    <w:rsid w:val="00702675"/>
    <w:rsid w:val="00703D34"/>
    <w:rsid w:val="00704931"/>
    <w:rsid w:val="007052FB"/>
    <w:rsid w:val="00705EEC"/>
    <w:rsid w:val="007115F7"/>
    <w:rsid w:val="00711779"/>
    <w:rsid w:val="00714515"/>
    <w:rsid w:val="00714EA3"/>
    <w:rsid w:val="00715003"/>
    <w:rsid w:val="00721F8D"/>
    <w:rsid w:val="00723E55"/>
    <w:rsid w:val="00724A63"/>
    <w:rsid w:val="00726349"/>
    <w:rsid w:val="007266AF"/>
    <w:rsid w:val="007302ED"/>
    <w:rsid w:val="0073699E"/>
    <w:rsid w:val="00737DE6"/>
    <w:rsid w:val="00740AA2"/>
    <w:rsid w:val="00741936"/>
    <w:rsid w:val="00741D72"/>
    <w:rsid w:val="00742635"/>
    <w:rsid w:val="00745347"/>
    <w:rsid w:val="00745BD9"/>
    <w:rsid w:val="00746905"/>
    <w:rsid w:val="00750720"/>
    <w:rsid w:val="007513DA"/>
    <w:rsid w:val="00752EC7"/>
    <w:rsid w:val="00753D31"/>
    <w:rsid w:val="00754025"/>
    <w:rsid w:val="00755153"/>
    <w:rsid w:val="0075567F"/>
    <w:rsid w:val="007578EA"/>
    <w:rsid w:val="00761ED2"/>
    <w:rsid w:val="00762555"/>
    <w:rsid w:val="00762965"/>
    <w:rsid w:val="0076322A"/>
    <w:rsid w:val="007635A0"/>
    <w:rsid w:val="00763C7A"/>
    <w:rsid w:val="00764691"/>
    <w:rsid w:val="007649FE"/>
    <w:rsid w:val="00766E85"/>
    <w:rsid w:val="00771FD6"/>
    <w:rsid w:val="00772F9D"/>
    <w:rsid w:val="007734D8"/>
    <w:rsid w:val="007820F2"/>
    <w:rsid w:val="00782D9D"/>
    <w:rsid w:val="00783E7D"/>
    <w:rsid w:val="0078480C"/>
    <w:rsid w:val="00785689"/>
    <w:rsid w:val="00785CC8"/>
    <w:rsid w:val="007866E4"/>
    <w:rsid w:val="00787724"/>
    <w:rsid w:val="00790529"/>
    <w:rsid w:val="007908BB"/>
    <w:rsid w:val="00791912"/>
    <w:rsid w:val="007958D0"/>
    <w:rsid w:val="0079754B"/>
    <w:rsid w:val="007A1E6D"/>
    <w:rsid w:val="007A396B"/>
    <w:rsid w:val="007A42BE"/>
    <w:rsid w:val="007A46D5"/>
    <w:rsid w:val="007A4BAE"/>
    <w:rsid w:val="007A5DF7"/>
    <w:rsid w:val="007B08CA"/>
    <w:rsid w:val="007B0C6B"/>
    <w:rsid w:val="007B0EB2"/>
    <w:rsid w:val="007B3C64"/>
    <w:rsid w:val="007B4069"/>
    <w:rsid w:val="007B52EE"/>
    <w:rsid w:val="007B57B6"/>
    <w:rsid w:val="007B59E9"/>
    <w:rsid w:val="007B5D43"/>
    <w:rsid w:val="007C1B72"/>
    <w:rsid w:val="007C23B4"/>
    <w:rsid w:val="007C2F71"/>
    <w:rsid w:val="007C3C12"/>
    <w:rsid w:val="007C50EB"/>
    <w:rsid w:val="007C5FEF"/>
    <w:rsid w:val="007C705C"/>
    <w:rsid w:val="007C7D5E"/>
    <w:rsid w:val="007D38F8"/>
    <w:rsid w:val="007D3E1E"/>
    <w:rsid w:val="007D46E9"/>
    <w:rsid w:val="007D5892"/>
    <w:rsid w:val="007D7B86"/>
    <w:rsid w:val="007E0338"/>
    <w:rsid w:val="007E0425"/>
    <w:rsid w:val="007E0AF1"/>
    <w:rsid w:val="007E11B1"/>
    <w:rsid w:val="007E168D"/>
    <w:rsid w:val="007E2864"/>
    <w:rsid w:val="007E2AE9"/>
    <w:rsid w:val="007E38EB"/>
    <w:rsid w:val="007E3F41"/>
    <w:rsid w:val="007E5E56"/>
    <w:rsid w:val="007F0ECD"/>
    <w:rsid w:val="007F1ECB"/>
    <w:rsid w:val="007F1EF2"/>
    <w:rsid w:val="007F2EE1"/>
    <w:rsid w:val="007F471C"/>
    <w:rsid w:val="007F6319"/>
    <w:rsid w:val="007F73A6"/>
    <w:rsid w:val="007F7CC9"/>
    <w:rsid w:val="008013FE"/>
    <w:rsid w:val="0080186F"/>
    <w:rsid w:val="008037B3"/>
    <w:rsid w:val="00803AB4"/>
    <w:rsid w:val="008058D8"/>
    <w:rsid w:val="00805A95"/>
    <w:rsid w:val="00806E61"/>
    <w:rsid w:val="00807867"/>
    <w:rsid w:val="008109C8"/>
    <w:rsid w:val="00810B6F"/>
    <w:rsid w:val="00810F93"/>
    <w:rsid w:val="00811749"/>
    <w:rsid w:val="0081242A"/>
    <w:rsid w:val="00812E1A"/>
    <w:rsid w:val="0081755A"/>
    <w:rsid w:val="00817C4B"/>
    <w:rsid w:val="0082133C"/>
    <w:rsid w:val="00822CE0"/>
    <w:rsid w:val="00823D5E"/>
    <w:rsid w:val="00824F05"/>
    <w:rsid w:val="00825DB0"/>
    <w:rsid w:val="00827A30"/>
    <w:rsid w:val="008304D6"/>
    <w:rsid w:val="00831871"/>
    <w:rsid w:val="00831AA1"/>
    <w:rsid w:val="00831B6C"/>
    <w:rsid w:val="008333A4"/>
    <w:rsid w:val="00836064"/>
    <w:rsid w:val="008418CF"/>
    <w:rsid w:val="00841AB1"/>
    <w:rsid w:val="00843855"/>
    <w:rsid w:val="0084516D"/>
    <w:rsid w:val="008456AA"/>
    <w:rsid w:val="00846119"/>
    <w:rsid w:val="00846502"/>
    <w:rsid w:val="00850609"/>
    <w:rsid w:val="00851920"/>
    <w:rsid w:val="00851F04"/>
    <w:rsid w:val="00852A42"/>
    <w:rsid w:val="00852ED9"/>
    <w:rsid w:val="0085333E"/>
    <w:rsid w:val="00853B7C"/>
    <w:rsid w:val="00853BF1"/>
    <w:rsid w:val="008570C5"/>
    <w:rsid w:val="00857830"/>
    <w:rsid w:val="008608A1"/>
    <w:rsid w:val="00860C6C"/>
    <w:rsid w:val="008634B3"/>
    <w:rsid w:val="008651E8"/>
    <w:rsid w:val="00865A80"/>
    <w:rsid w:val="00866E75"/>
    <w:rsid w:val="00870283"/>
    <w:rsid w:val="00871CFE"/>
    <w:rsid w:val="008731E0"/>
    <w:rsid w:val="00877C6E"/>
    <w:rsid w:val="00880DDE"/>
    <w:rsid w:val="0088156E"/>
    <w:rsid w:val="00882335"/>
    <w:rsid w:val="00882388"/>
    <w:rsid w:val="00882845"/>
    <w:rsid w:val="00882CD6"/>
    <w:rsid w:val="00883118"/>
    <w:rsid w:val="008832C0"/>
    <w:rsid w:val="00883CF3"/>
    <w:rsid w:val="00890C06"/>
    <w:rsid w:val="00891665"/>
    <w:rsid w:val="00891A3E"/>
    <w:rsid w:val="0089251F"/>
    <w:rsid w:val="00892824"/>
    <w:rsid w:val="00892861"/>
    <w:rsid w:val="00892E42"/>
    <w:rsid w:val="00893103"/>
    <w:rsid w:val="008932BF"/>
    <w:rsid w:val="00893DA1"/>
    <w:rsid w:val="008948AD"/>
    <w:rsid w:val="008949EA"/>
    <w:rsid w:val="008953D1"/>
    <w:rsid w:val="00895F5A"/>
    <w:rsid w:val="00896A00"/>
    <w:rsid w:val="008A079E"/>
    <w:rsid w:val="008A27AD"/>
    <w:rsid w:val="008A4E93"/>
    <w:rsid w:val="008A54DE"/>
    <w:rsid w:val="008A7DDA"/>
    <w:rsid w:val="008B0D6E"/>
    <w:rsid w:val="008B1544"/>
    <w:rsid w:val="008B26C1"/>
    <w:rsid w:val="008B2788"/>
    <w:rsid w:val="008B7DF6"/>
    <w:rsid w:val="008C0382"/>
    <w:rsid w:val="008C1385"/>
    <w:rsid w:val="008C1CBA"/>
    <w:rsid w:val="008C5B51"/>
    <w:rsid w:val="008C6708"/>
    <w:rsid w:val="008C68F1"/>
    <w:rsid w:val="008C6968"/>
    <w:rsid w:val="008C6E0D"/>
    <w:rsid w:val="008C7377"/>
    <w:rsid w:val="008D16F2"/>
    <w:rsid w:val="008D3D95"/>
    <w:rsid w:val="008D4806"/>
    <w:rsid w:val="008E3981"/>
    <w:rsid w:val="008E69E8"/>
    <w:rsid w:val="008F1317"/>
    <w:rsid w:val="008F2DF7"/>
    <w:rsid w:val="008F4536"/>
    <w:rsid w:val="008F7B16"/>
    <w:rsid w:val="00901239"/>
    <w:rsid w:val="009014AF"/>
    <w:rsid w:val="0090170B"/>
    <w:rsid w:val="00901AF1"/>
    <w:rsid w:val="00903AF6"/>
    <w:rsid w:val="00904AC3"/>
    <w:rsid w:val="00904F71"/>
    <w:rsid w:val="00905BCD"/>
    <w:rsid w:val="00905CB3"/>
    <w:rsid w:val="00910791"/>
    <w:rsid w:val="00911E32"/>
    <w:rsid w:val="00912A6F"/>
    <w:rsid w:val="009133AB"/>
    <w:rsid w:val="00916786"/>
    <w:rsid w:val="00920CB0"/>
    <w:rsid w:val="00921803"/>
    <w:rsid w:val="00921DD1"/>
    <w:rsid w:val="0092302F"/>
    <w:rsid w:val="009260EF"/>
    <w:rsid w:val="00926503"/>
    <w:rsid w:val="0092650C"/>
    <w:rsid w:val="00930022"/>
    <w:rsid w:val="009324CB"/>
    <w:rsid w:val="00941573"/>
    <w:rsid w:val="00944218"/>
    <w:rsid w:val="009502DF"/>
    <w:rsid w:val="009503B0"/>
    <w:rsid w:val="00950BA7"/>
    <w:rsid w:val="00952514"/>
    <w:rsid w:val="00952787"/>
    <w:rsid w:val="00952FAE"/>
    <w:rsid w:val="00953D13"/>
    <w:rsid w:val="009550A9"/>
    <w:rsid w:val="009553BC"/>
    <w:rsid w:val="00956EB9"/>
    <w:rsid w:val="00960FB7"/>
    <w:rsid w:val="009610BB"/>
    <w:rsid w:val="009613C5"/>
    <w:rsid w:val="0096186B"/>
    <w:rsid w:val="00962445"/>
    <w:rsid w:val="00964700"/>
    <w:rsid w:val="00965FA9"/>
    <w:rsid w:val="00966BE5"/>
    <w:rsid w:val="009676EF"/>
    <w:rsid w:val="009726D8"/>
    <w:rsid w:val="0097336E"/>
    <w:rsid w:val="00973BB9"/>
    <w:rsid w:val="00973EC6"/>
    <w:rsid w:val="00974211"/>
    <w:rsid w:val="009800AB"/>
    <w:rsid w:val="00983F4D"/>
    <w:rsid w:val="00985015"/>
    <w:rsid w:val="009852C4"/>
    <w:rsid w:val="0098784F"/>
    <w:rsid w:val="00987FDD"/>
    <w:rsid w:val="00992928"/>
    <w:rsid w:val="00993186"/>
    <w:rsid w:val="0099327F"/>
    <w:rsid w:val="0099409D"/>
    <w:rsid w:val="00996ADB"/>
    <w:rsid w:val="009A0D85"/>
    <w:rsid w:val="009A121A"/>
    <w:rsid w:val="009A1E34"/>
    <w:rsid w:val="009A2836"/>
    <w:rsid w:val="009A52F3"/>
    <w:rsid w:val="009A5CEA"/>
    <w:rsid w:val="009A6C57"/>
    <w:rsid w:val="009B2310"/>
    <w:rsid w:val="009B5C22"/>
    <w:rsid w:val="009B7221"/>
    <w:rsid w:val="009C037D"/>
    <w:rsid w:val="009C2347"/>
    <w:rsid w:val="009C26C8"/>
    <w:rsid w:val="009C28BF"/>
    <w:rsid w:val="009C2900"/>
    <w:rsid w:val="009C2B03"/>
    <w:rsid w:val="009C2C7F"/>
    <w:rsid w:val="009C497D"/>
    <w:rsid w:val="009C4AB4"/>
    <w:rsid w:val="009C6979"/>
    <w:rsid w:val="009C6D7D"/>
    <w:rsid w:val="009C7D66"/>
    <w:rsid w:val="009D0B0A"/>
    <w:rsid w:val="009D3114"/>
    <w:rsid w:val="009D6921"/>
    <w:rsid w:val="009D7001"/>
    <w:rsid w:val="009E089F"/>
    <w:rsid w:val="009E1565"/>
    <w:rsid w:val="009E1AE9"/>
    <w:rsid w:val="009E2DD3"/>
    <w:rsid w:val="009E3882"/>
    <w:rsid w:val="009E574B"/>
    <w:rsid w:val="009E6A92"/>
    <w:rsid w:val="009E6B90"/>
    <w:rsid w:val="009E7C53"/>
    <w:rsid w:val="009F0664"/>
    <w:rsid w:val="009F2443"/>
    <w:rsid w:val="009F5D8C"/>
    <w:rsid w:val="009F6704"/>
    <w:rsid w:val="009F76DB"/>
    <w:rsid w:val="00A0115C"/>
    <w:rsid w:val="00A0141A"/>
    <w:rsid w:val="00A0175A"/>
    <w:rsid w:val="00A02E32"/>
    <w:rsid w:val="00A03484"/>
    <w:rsid w:val="00A03F96"/>
    <w:rsid w:val="00A070FA"/>
    <w:rsid w:val="00A079D7"/>
    <w:rsid w:val="00A103A7"/>
    <w:rsid w:val="00A1107C"/>
    <w:rsid w:val="00A118F0"/>
    <w:rsid w:val="00A133D8"/>
    <w:rsid w:val="00A14EB1"/>
    <w:rsid w:val="00A154FE"/>
    <w:rsid w:val="00A16952"/>
    <w:rsid w:val="00A20CF6"/>
    <w:rsid w:val="00A20E33"/>
    <w:rsid w:val="00A21A68"/>
    <w:rsid w:val="00A227AF"/>
    <w:rsid w:val="00A23C93"/>
    <w:rsid w:val="00A25D46"/>
    <w:rsid w:val="00A266B7"/>
    <w:rsid w:val="00A30569"/>
    <w:rsid w:val="00A3144C"/>
    <w:rsid w:val="00A31E2E"/>
    <w:rsid w:val="00A31E38"/>
    <w:rsid w:val="00A32C3B"/>
    <w:rsid w:val="00A34A81"/>
    <w:rsid w:val="00A34AD1"/>
    <w:rsid w:val="00A36E40"/>
    <w:rsid w:val="00A41BE4"/>
    <w:rsid w:val="00A44397"/>
    <w:rsid w:val="00A45137"/>
    <w:rsid w:val="00A45F4F"/>
    <w:rsid w:val="00A46F4A"/>
    <w:rsid w:val="00A50567"/>
    <w:rsid w:val="00A52D30"/>
    <w:rsid w:val="00A559F4"/>
    <w:rsid w:val="00A57586"/>
    <w:rsid w:val="00A600A9"/>
    <w:rsid w:val="00A6058B"/>
    <w:rsid w:val="00A609E7"/>
    <w:rsid w:val="00A60F4F"/>
    <w:rsid w:val="00A62F08"/>
    <w:rsid w:val="00A6324E"/>
    <w:rsid w:val="00A63E7C"/>
    <w:rsid w:val="00A64481"/>
    <w:rsid w:val="00A6497B"/>
    <w:rsid w:val="00A65D34"/>
    <w:rsid w:val="00A66926"/>
    <w:rsid w:val="00A66CCE"/>
    <w:rsid w:val="00A6736F"/>
    <w:rsid w:val="00A72944"/>
    <w:rsid w:val="00A73057"/>
    <w:rsid w:val="00A7318A"/>
    <w:rsid w:val="00A7444A"/>
    <w:rsid w:val="00A746FC"/>
    <w:rsid w:val="00A755B1"/>
    <w:rsid w:val="00A76BB1"/>
    <w:rsid w:val="00A76FB1"/>
    <w:rsid w:val="00A76FDD"/>
    <w:rsid w:val="00A8096E"/>
    <w:rsid w:val="00A81B43"/>
    <w:rsid w:val="00A82314"/>
    <w:rsid w:val="00A82F5A"/>
    <w:rsid w:val="00A83679"/>
    <w:rsid w:val="00A840A2"/>
    <w:rsid w:val="00A84CE1"/>
    <w:rsid w:val="00A85DAB"/>
    <w:rsid w:val="00A9080A"/>
    <w:rsid w:val="00A9142F"/>
    <w:rsid w:val="00A918ED"/>
    <w:rsid w:val="00A91D6D"/>
    <w:rsid w:val="00A92D2C"/>
    <w:rsid w:val="00A94550"/>
    <w:rsid w:val="00A964CD"/>
    <w:rsid w:val="00AA0CF2"/>
    <w:rsid w:val="00AA1E88"/>
    <w:rsid w:val="00AA55B7"/>
    <w:rsid w:val="00AA5B9E"/>
    <w:rsid w:val="00AA5BBF"/>
    <w:rsid w:val="00AA7609"/>
    <w:rsid w:val="00AB008F"/>
    <w:rsid w:val="00AB1837"/>
    <w:rsid w:val="00AB1A75"/>
    <w:rsid w:val="00AB1D74"/>
    <w:rsid w:val="00AB2407"/>
    <w:rsid w:val="00AB53DF"/>
    <w:rsid w:val="00AC121E"/>
    <w:rsid w:val="00AC2D13"/>
    <w:rsid w:val="00AC3211"/>
    <w:rsid w:val="00AC4DDF"/>
    <w:rsid w:val="00AC712E"/>
    <w:rsid w:val="00AC75CD"/>
    <w:rsid w:val="00AD25A9"/>
    <w:rsid w:val="00AD3030"/>
    <w:rsid w:val="00AD386C"/>
    <w:rsid w:val="00AD653F"/>
    <w:rsid w:val="00AE2472"/>
    <w:rsid w:val="00AE3807"/>
    <w:rsid w:val="00AE3B4F"/>
    <w:rsid w:val="00AE436F"/>
    <w:rsid w:val="00AE5197"/>
    <w:rsid w:val="00AE5ECB"/>
    <w:rsid w:val="00AE7C02"/>
    <w:rsid w:val="00AE7C65"/>
    <w:rsid w:val="00AF1213"/>
    <w:rsid w:val="00AF1B21"/>
    <w:rsid w:val="00AF379E"/>
    <w:rsid w:val="00AF4455"/>
    <w:rsid w:val="00AF544C"/>
    <w:rsid w:val="00AF5CB4"/>
    <w:rsid w:val="00AF69C7"/>
    <w:rsid w:val="00AF6E38"/>
    <w:rsid w:val="00B01548"/>
    <w:rsid w:val="00B02C98"/>
    <w:rsid w:val="00B046A7"/>
    <w:rsid w:val="00B06487"/>
    <w:rsid w:val="00B06FA5"/>
    <w:rsid w:val="00B07E5C"/>
    <w:rsid w:val="00B100A9"/>
    <w:rsid w:val="00B10203"/>
    <w:rsid w:val="00B10A52"/>
    <w:rsid w:val="00B11665"/>
    <w:rsid w:val="00B11D23"/>
    <w:rsid w:val="00B11F83"/>
    <w:rsid w:val="00B12EBD"/>
    <w:rsid w:val="00B23853"/>
    <w:rsid w:val="00B23E85"/>
    <w:rsid w:val="00B2776E"/>
    <w:rsid w:val="00B3266D"/>
    <w:rsid w:val="00B33178"/>
    <w:rsid w:val="00B33755"/>
    <w:rsid w:val="00B33FD3"/>
    <w:rsid w:val="00B34C2B"/>
    <w:rsid w:val="00B37145"/>
    <w:rsid w:val="00B404E3"/>
    <w:rsid w:val="00B41E2B"/>
    <w:rsid w:val="00B41E47"/>
    <w:rsid w:val="00B4298B"/>
    <w:rsid w:val="00B42D7A"/>
    <w:rsid w:val="00B43B59"/>
    <w:rsid w:val="00B45CEC"/>
    <w:rsid w:val="00B47008"/>
    <w:rsid w:val="00B47988"/>
    <w:rsid w:val="00B5260F"/>
    <w:rsid w:val="00B52613"/>
    <w:rsid w:val="00B53574"/>
    <w:rsid w:val="00B5576E"/>
    <w:rsid w:val="00B56EA0"/>
    <w:rsid w:val="00B579EB"/>
    <w:rsid w:val="00B57E71"/>
    <w:rsid w:val="00B600C7"/>
    <w:rsid w:val="00B606AB"/>
    <w:rsid w:val="00B61295"/>
    <w:rsid w:val="00B63412"/>
    <w:rsid w:val="00B63972"/>
    <w:rsid w:val="00B6681F"/>
    <w:rsid w:val="00B67E5E"/>
    <w:rsid w:val="00B700AE"/>
    <w:rsid w:val="00B70775"/>
    <w:rsid w:val="00B70997"/>
    <w:rsid w:val="00B70CBA"/>
    <w:rsid w:val="00B71235"/>
    <w:rsid w:val="00B73956"/>
    <w:rsid w:val="00B73C3C"/>
    <w:rsid w:val="00B73F0B"/>
    <w:rsid w:val="00B75EE7"/>
    <w:rsid w:val="00B75FB1"/>
    <w:rsid w:val="00B80126"/>
    <w:rsid w:val="00B811F7"/>
    <w:rsid w:val="00B81C14"/>
    <w:rsid w:val="00B82CA0"/>
    <w:rsid w:val="00B85B58"/>
    <w:rsid w:val="00B85D3F"/>
    <w:rsid w:val="00B8624B"/>
    <w:rsid w:val="00B915C6"/>
    <w:rsid w:val="00B93792"/>
    <w:rsid w:val="00B94A9B"/>
    <w:rsid w:val="00B96D9D"/>
    <w:rsid w:val="00BA0486"/>
    <w:rsid w:val="00BA242D"/>
    <w:rsid w:val="00BA2C5E"/>
    <w:rsid w:val="00BA47A1"/>
    <w:rsid w:val="00BA4A1B"/>
    <w:rsid w:val="00BA5DC6"/>
    <w:rsid w:val="00BA6196"/>
    <w:rsid w:val="00BA6B07"/>
    <w:rsid w:val="00BA7571"/>
    <w:rsid w:val="00BB6145"/>
    <w:rsid w:val="00BB635E"/>
    <w:rsid w:val="00BB6A72"/>
    <w:rsid w:val="00BB6DD5"/>
    <w:rsid w:val="00BC038B"/>
    <w:rsid w:val="00BC11F7"/>
    <w:rsid w:val="00BC3F74"/>
    <w:rsid w:val="00BC68D6"/>
    <w:rsid w:val="00BC6D8C"/>
    <w:rsid w:val="00BD11D3"/>
    <w:rsid w:val="00BD1CAB"/>
    <w:rsid w:val="00BD220E"/>
    <w:rsid w:val="00BD2CDD"/>
    <w:rsid w:val="00BD3A8B"/>
    <w:rsid w:val="00BE0A2C"/>
    <w:rsid w:val="00BE331E"/>
    <w:rsid w:val="00BE6276"/>
    <w:rsid w:val="00BE6C03"/>
    <w:rsid w:val="00BE6D9B"/>
    <w:rsid w:val="00BE6EF1"/>
    <w:rsid w:val="00BF0643"/>
    <w:rsid w:val="00BF318A"/>
    <w:rsid w:val="00BF36A4"/>
    <w:rsid w:val="00BF37B1"/>
    <w:rsid w:val="00BF48A3"/>
    <w:rsid w:val="00BF5A6F"/>
    <w:rsid w:val="00BF678E"/>
    <w:rsid w:val="00BF7A04"/>
    <w:rsid w:val="00C019DC"/>
    <w:rsid w:val="00C048E1"/>
    <w:rsid w:val="00C07B63"/>
    <w:rsid w:val="00C104CF"/>
    <w:rsid w:val="00C1166E"/>
    <w:rsid w:val="00C1369B"/>
    <w:rsid w:val="00C13B95"/>
    <w:rsid w:val="00C15AB1"/>
    <w:rsid w:val="00C15C73"/>
    <w:rsid w:val="00C17E6F"/>
    <w:rsid w:val="00C21A91"/>
    <w:rsid w:val="00C228A5"/>
    <w:rsid w:val="00C241E6"/>
    <w:rsid w:val="00C2591A"/>
    <w:rsid w:val="00C2658A"/>
    <w:rsid w:val="00C270D8"/>
    <w:rsid w:val="00C306EB"/>
    <w:rsid w:val="00C31C48"/>
    <w:rsid w:val="00C34006"/>
    <w:rsid w:val="00C34FBF"/>
    <w:rsid w:val="00C35332"/>
    <w:rsid w:val="00C362E3"/>
    <w:rsid w:val="00C36E67"/>
    <w:rsid w:val="00C3707D"/>
    <w:rsid w:val="00C375A5"/>
    <w:rsid w:val="00C37EA8"/>
    <w:rsid w:val="00C41D03"/>
    <w:rsid w:val="00C426B1"/>
    <w:rsid w:val="00C43B7F"/>
    <w:rsid w:val="00C44620"/>
    <w:rsid w:val="00C44D81"/>
    <w:rsid w:val="00C44DC6"/>
    <w:rsid w:val="00C45FC1"/>
    <w:rsid w:val="00C46D10"/>
    <w:rsid w:val="00C46E6A"/>
    <w:rsid w:val="00C47CC2"/>
    <w:rsid w:val="00C50EE6"/>
    <w:rsid w:val="00C52C10"/>
    <w:rsid w:val="00C52EBB"/>
    <w:rsid w:val="00C5395D"/>
    <w:rsid w:val="00C5594E"/>
    <w:rsid w:val="00C56C93"/>
    <w:rsid w:val="00C62768"/>
    <w:rsid w:val="00C6447C"/>
    <w:rsid w:val="00C64A4C"/>
    <w:rsid w:val="00C64E2D"/>
    <w:rsid w:val="00C656B5"/>
    <w:rsid w:val="00C65EBE"/>
    <w:rsid w:val="00C66160"/>
    <w:rsid w:val="00C668A0"/>
    <w:rsid w:val="00C70B27"/>
    <w:rsid w:val="00C721AC"/>
    <w:rsid w:val="00C72894"/>
    <w:rsid w:val="00C72C15"/>
    <w:rsid w:val="00C72DB7"/>
    <w:rsid w:val="00C75ABA"/>
    <w:rsid w:val="00C76400"/>
    <w:rsid w:val="00C7709D"/>
    <w:rsid w:val="00C776E8"/>
    <w:rsid w:val="00C80BBB"/>
    <w:rsid w:val="00C8110C"/>
    <w:rsid w:val="00C8188A"/>
    <w:rsid w:val="00C81A49"/>
    <w:rsid w:val="00C82B63"/>
    <w:rsid w:val="00C848F7"/>
    <w:rsid w:val="00C858D8"/>
    <w:rsid w:val="00C8598E"/>
    <w:rsid w:val="00C85A41"/>
    <w:rsid w:val="00C8796F"/>
    <w:rsid w:val="00C87B34"/>
    <w:rsid w:val="00C87C9B"/>
    <w:rsid w:val="00C90D6A"/>
    <w:rsid w:val="00C9118C"/>
    <w:rsid w:val="00C91280"/>
    <w:rsid w:val="00C92CA0"/>
    <w:rsid w:val="00C93746"/>
    <w:rsid w:val="00C940DF"/>
    <w:rsid w:val="00C956EF"/>
    <w:rsid w:val="00CA0B4E"/>
    <w:rsid w:val="00CA0C53"/>
    <w:rsid w:val="00CA0D52"/>
    <w:rsid w:val="00CA12DE"/>
    <w:rsid w:val="00CA15A9"/>
    <w:rsid w:val="00CA247E"/>
    <w:rsid w:val="00CA293C"/>
    <w:rsid w:val="00CA2A5A"/>
    <w:rsid w:val="00CA3062"/>
    <w:rsid w:val="00CA47D2"/>
    <w:rsid w:val="00CA6D79"/>
    <w:rsid w:val="00CB1616"/>
    <w:rsid w:val="00CB66AB"/>
    <w:rsid w:val="00CB6EB7"/>
    <w:rsid w:val="00CB6EFA"/>
    <w:rsid w:val="00CB78FC"/>
    <w:rsid w:val="00CC072C"/>
    <w:rsid w:val="00CC0AA5"/>
    <w:rsid w:val="00CC1A49"/>
    <w:rsid w:val="00CC1D3D"/>
    <w:rsid w:val="00CC2DDE"/>
    <w:rsid w:val="00CC3ACA"/>
    <w:rsid w:val="00CC4022"/>
    <w:rsid w:val="00CC4785"/>
    <w:rsid w:val="00CC507F"/>
    <w:rsid w:val="00CC56FB"/>
    <w:rsid w:val="00CC6A7E"/>
    <w:rsid w:val="00CC72B6"/>
    <w:rsid w:val="00CC7E73"/>
    <w:rsid w:val="00CD1BA7"/>
    <w:rsid w:val="00CD39BE"/>
    <w:rsid w:val="00CD3C99"/>
    <w:rsid w:val="00CD41D9"/>
    <w:rsid w:val="00CD4B54"/>
    <w:rsid w:val="00CD57A9"/>
    <w:rsid w:val="00CD5CA3"/>
    <w:rsid w:val="00CD6D4D"/>
    <w:rsid w:val="00CE04F8"/>
    <w:rsid w:val="00CE314C"/>
    <w:rsid w:val="00CE3596"/>
    <w:rsid w:val="00CE3838"/>
    <w:rsid w:val="00CE3B18"/>
    <w:rsid w:val="00CE3CAF"/>
    <w:rsid w:val="00CE4C2B"/>
    <w:rsid w:val="00CE5191"/>
    <w:rsid w:val="00CE6A9E"/>
    <w:rsid w:val="00CE76AC"/>
    <w:rsid w:val="00CF12A5"/>
    <w:rsid w:val="00CF1904"/>
    <w:rsid w:val="00CF1EA2"/>
    <w:rsid w:val="00CF2B3A"/>
    <w:rsid w:val="00CF34FE"/>
    <w:rsid w:val="00CF3A79"/>
    <w:rsid w:val="00CF40BA"/>
    <w:rsid w:val="00CF51E6"/>
    <w:rsid w:val="00CF7714"/>
    <w:rsid w:val="00D0218D"/>
    <w:rsid w:val="00D02A03"/>
    <w:rsid w:val="00D0361C"/>
    <w:rsid w:val="00D04B92"/>
    <w:rsid w:val="00D10AA5"/>
    <w:rsid w:val="00D13B49"/>
    <w:rsid w:val="00D13BC0"/>
    <w:rsid w:val="00D1562A"/>
    <w:rsid w:val="00D15FB4"/>
    <w:rsid w:val="00D16F11"/>
    <w:rsid w:val="00D23D56"/>
    <w:rsid w:val="00D23DAA"/>
    <w:rsid w:val="00D248A6"/>
    <w:rsid w:val="00D25113"/>
    <w:rsid w:val="00D25F08"/>
    <w:rsid w:val="00D25FB5"/>
    <w:rsid w:val="00D2736F"/>
    <w:rsid w:val="00D3072F"/>
    <w:rsid w:val="00D334D9"/>
    <w:rsid w:val="00D36601"/>
    <w:rsid w:val="00D36A89"/>
    <w:rsid w:val="00D36ED5"/>
    <w:rsid w:val="00D37A5F"/>
    <w:rsid w:val="00D37C8F"/>
    <w:rsid w:val="00D4208B"/>
    <w:rsid w:val="00D44223"/>
    <w:rsid w:val="00D44C67"/>
    <w:rsid w:val="00D469DF"/>
    <w:rsid w:val="00D472C4"/>
    <w:rsid w:val="00D47F00"/>
    <w:rsid w:val="00D5042C"/>
    <w:rsid w:val="00D522EC"/>
    <w:rsid w:val="00D5366C"/>
    <w:rsid w:val="00D54815"/>
    <w:rsid w:val="00D55B54"/>
    <w:rsid w:val="00D617A6"/>
    <w:rsid w:val="00D62AC9"/>
    <w:rsid w:val="00D62AE2"/>
    <w:rsid w:val="00D62F38"/>
    <w:rsid w:val="00D63716"/>
    <w:rsid w:val="00D65ED7"/>
    <w:rsid w:val="00D67C95"/>
    <w:rsid w:val="00D700D1"/>
    <w:rsid w:val="00D702B7"/>
    <w:rsid w:val="00D714B5"/>
    <w:rsid w:val="00D71AC6"/>
    <w:rsid w:val="00D722E7"/>
    <w:rsid w:val="00D72CAA"/>
    <w:rsid w:val="00D72E83"/>
    <w:rsid w:val="00D7497D"/>
    <w:rsid w:val="00D807CD"/>
    <w:rsid w:val="00D81E4A"/>
    <w:rsid w:val="00D82FFC"/>
    <w:rsid w:val="00D86CD0"/>
    <w:rsid w:val="00D86E76"/>
    <w:rsid w:val="00D87242"/>
    <w:rsid w:val="00D878E5"/>
    <w:rsid w:val="00D87B2C"/>
    <w:rsid w:val="00D9260E"/>
    <w:rsid w:val="00D9306C"/>
    <w:rsid w:val="00D95B49"/>
    <w:rsid w:val="00D96634"/>
    <w:rsid w:val="00D97B91"/>
    <w:rsid w:val="00D97F81"/>
    <w:rsid w:val="00DA0188"/>
    <w:rsid w:val="00DA14B6"/>
    <w:rsid w:val="00DA17CD"/>
    <w:rsid w:val="00DA2529"/>
    <w:rsid w:val="00DA2DAD"/>
    <w:rsid w:val="00DA31FF"/>
    <w:rsid w:val="00DA34BA"/>
    <w:rsid w:val="00DA433A"/>
    <w:rsid w:val="00DA43DF"/>
    <w:rsid w:val="00DA4B4A"/>
    <w:rsid w:val="00DA556A"/>
    <w:rsid w:val="00DA59A6"/>
    <w:rsid w:val="00DA727F"/>
    <w:rsid w:val="00DA7380"/>
    <w:rsid w:val="00DB11B1"/>
    <w:rsid w:val="00DB130A"/>
    <w:rsid w:val="00DB1920"/>
    <w:rsid w:val="00DB2B49"/>
    <w:rsid w:val="00DB2D67"/>
    <w:rsid w:val="00DB2EBB"/>
    <w:rsid w:val="00DB428B"/>
    <w:rsid w:val="00DB5A1D"/>
    <w:rsid w:val="00DB6466"/>
    <w:rsid w:val="00DC0A25"/>
    <w:rsid w:val="00DC10A1"/>
    <w:rsid w:val="00DC1FCC"/>
    <w:rsid w:val="00DC35F9"/>
    <w:rsid w:val="00DC584C"/>
    <w:rsid w:val="00DC5BC1"/>
    <w:rsid w:val="00DC655F"/>
    <w:rsid w:val="00DD0B59"/>
    <w:rsid w:val="00DD0B80"/>
    <w:rsid w:val="00DD2B6D"/>
    <w:rsid w:val="00DD2EA7"/>
    <w:rsid w:val="00DD40A8"/>
    <w:rsid w:val="00DD7EBD"/>
    <w:rsid w:val="00DE02FC"/>
    <w:rsid w:val="00DE16EC"/>
    <w:rsid w:val="00DE2CB7"/>
    <w:rsid w:val="00DE6067"/>
    <w:rsid w:val="00DE669E"/>
    <w:rsid w:val="00DE7B92"/>
    <w:rsid w:val="00DF03F1"/>
    <w:rsid w:val="00DF2906"/>
    <w:rsid w:val="00DF3AC5"/>
    <w:rsid w:val="00DF3E38"/>
    <w:rsid w:val="00DF439E"/>
    <w:rsid w:val="00DF62B6"/>
    <w:rsid w:val="00DF6749"/>
    <w:rsid w:val="00DF678C"/>
    <w:rsid w:val="00DF6D76"/>
    <w:rsid w:val="00E0023D"/>
    <w:rsid w:val="00E03C4A"/>
    <w:rsid w:val="00E04DC0"/>
    <w:rsid w:val="00E061EC"/>
    <w:rsid w:val="00E0658E"/>
    <w:rsid w:val="00E07225"/>
    <w:rsid w:val="00E11649"/>
    <w:rsid w:val="00E1293F"/>
    <w:rsid w:val="00E12AC6"/>
    <w:rsid w:val="00E12B46"/>
    <w:rsid w:val="00E13370"/>
    <w:rsid w:val="00E13417"/>
    <w:rsid w:val="00E13CA6"/>
    <w:rsid w:val="00E13E6B"/>
    <w:rsid w:val="00E21668"/>
    <w:rsid w:val="00E21CA4"/>
    <w:rsid w:val="00E2307B"/>
    <w:rsid w:val="00E23572"/>
    <w:rsid w:val="00E247EA"/>
    <w:rsid w:val="00E26D90"/>
    <w:rsid w:val="00E3088C"/>
    <w:rsid w:val="00E30BD1"/>
    <w:rsid w:val="00E334F1"/>
    <w:rsid w:val="00E342FC"/>
    <w:rsid w:val="00E353D9"/>
    <w:rsid w:val="00E35938"/>
    <w:rsid w:val="00E36412"/>
    <w:rsid w:val="00E36A87"/>
    <w:rsid w:val="00E37013"/>
    <w:rsid w:val="00E4001B"/>
    <w:rsid w:val="00E40439"/>
    <w:rsid w:val="00E4180D"/>
    <w:rsid w:val="00E42E19"/>
    <w:rsid w:val="00E43439"/>
    <w:rsid w:val="00E4542C"/>
    <w:rsid w:val="00E45971"/>
    <w:rsid w:val="00E47FEA"/>
    <w:rsid w:val="00E5009A"/>
    <w:rsid w:val="00E5393B"/>
    <w:rsid w:val="00E5409F"/>
    <w:rsid w:val="00E61CDC"/>
    <w:rsid w:val="00E6310C"/>
    <w:rsid w:val="00E6322A"/>
    <w:rsid w:val="00E64499"/>
    <w:rsid w:val="00E65138"/>
    <w:rsid w:val="00E6687A"/>
    <w:rsid w:val="00E6751D"/>
    <w:rsid w:val="00E759F9"/>
    <w:rsid w:val="00E7649E"/>
    <w:rsid w:val="00E76DE7"/>
    <w:rsid w:val="00E77943"/>
    <w:rsid w:val="00E81F3B"/>
    <w:rsid w:val="00E86637"/>
    <w:rsid w:val="00E86E2A"/>
    <w:rsid w:val="00E879C2"/>
    <w:rsid w:val="00E90F29"/>
    <w:rsid w:val="00E90FE5"/>
    <w:rsid w:val="00E91934"/>
    <w:rsid w:val="00E93D3D"/>
    <w:rsid w:val="00E9494B"/>
    <w:rsid w:val="00E94F44"/>
    <w:rsid w:val="00E96378"/>
    <w:rsid w:val="00E96441"/>
    <w:rsid w:val="00E96E23"/>
    <w:rsid w:val="00EA007A"/>
    <w:rsid w:val="00EA318C"/>
    <w:rsid w:val="00EA3596"/>
    <w:rsid w:val="00EA6B49"/>
    <w:rsid w:val="00EA7FE5"/>
    <w:rsid w:val="00EB27AD"/>
    <w:rsid w:val="00EB4552"/>
    <w:rsid w:val="00EC0647"/>
    <w:rsid w:val="00EC08FE"/>
    <w:rsid w:val="00EC0E72"/>
    <w:rsid w:val="00EC18F1"/>
    <w:rsid w:val="00EC315A"/>
    <w:rsid w:val="00EC42A2"/>
    <w:rsid w:val="00EC45C9"/>
    <w:rsid w:val="00EC4D99"/>
    <w:rsid w:val="00EC7439"/>
    <w:rsid w:val="00ED00A8"/>
    <w:rsid w:val="00ED0187"/>
    <w:rsid w:val="00ED0632"/>
    <w:rsid w:val="00ED268A"/>
    <w:rsid w:val="00ED4D3F"/>
    <w:rsid w:val="00ED5795"/>
    <w:rsid w:val="00ED5F2C"/>
    <w:rsid w:val="00ED7F5C"/>
    <w:rsid w:val="00EE1AE1"/>
    <w:rsid w:val="00EE3ECF"/>
    <w:rsid w:val="00EE43F9"/>
    <w:rsid w:val="00EE4D37"/>
    <w:rsid w:val="00EE5D48"/>
    <w:rsid w:val="00EE6488"/>
    <w:rsid w:val="00EE6AAE"/>
    <w:rsid w:val="00EE7CF7"/>
    <w:rsid w:val="00EF059E"/>
    <w:rsid w:val="00EF0B10"/>
    <w:rsid w:val="00EF13CC"/>
    <w:rsid w:val="00EF7DA6"/>
    <w:rsid w:val="00F00B4E"/>
    <w:rsid w:val="00F021FA"/>
    <w:rsid w:val="00F02BE7"/>
    <w:rsid w:val="00F110D6"/>
    <w:rsid w:val="00F11141"/>
    <w:rsid w:val="00F120CB"/>
    <w:rsid w:val="00F12B17"/>
    <w:rsid w:val="00F12CF1"/>
    <w:rsid w:val="00F17413"/>
    <w:rsid w:val="00F174C5"/>
    <w:rsid w:val="00F17F5A"/>
    <w:rsid w:val="00F20253"/>
    <w:rsid w:val="00F2373F"/>
    <w:rsid w:val="00F250E4"/>
    <w:rsid w:val="00F2549C"/>
    <w:rsid w:val="00F268A6"/>
    <w:rsid w:val="00F26A5D"/>
    <w:rsid w:val="00F26D39"/>
    <w:rsid w:val="00F2746C"/>
    <w:rsid w:val="00F30738"/>
    <w:rsid w:val="00F310D8"/>
    <w:rsid w:val="00F31D0C"/>
    <w:rsid w:val="00F32FD7"/>
    <w:rsid w:val="00F40AD9"/>
    <w:rsid w:val="00F40DC8"/>
    <w:rsid w:val="00F41272"/>
    <w:rsid w:val="00F425BC"/>
    <w:rsid w:val="00F42BF3"/>
    <w:rsid w:val="00F46327"/>
    <w:rsid w:val="00F476AE"/>
    <w:rsid w:val="00F5198A"/>
    <w:rsid w:val="00F51B89"/>
    <w:rsid w:val="00F51C39"/>
    <w:rsid w:val="00F52A94"/>
    <w:rsid w:val="00F53CA4"/>
    <w:rsid w:val="00F53CDF"/>
    <w:rsid w:val="00F53EAF"/>
    <w:rsid w:val="00F542AA"/>
    <w:rsid w:val="00F54E36"/>
    <w:rsid w:val="00F5570C"/>
    <w:rsid w:val="00F56F85"/>
    <w:rsid w:val="00F602CD"/>
    <w:rsid w:val="00F60A5F"/>
    <w:rsid w:val="00F6173E"/>
    <w:rsid w:val="00F62E97"/>
    <w:rsid w:val="00F64209"/>
    <w:rsid w:val="00F64DE6"/>
    <w:rsid w:val="00F653E6"/>
    <w:rsid w:val="00F6557D"/>
    <w:rsid w:val="00F667D0"/>
    <w:rsid w:val="00F678D6"/>
    <w:rsid w:val="00F708AB"/>
    <w:rsid w:val="00F70EAF"/>
    <w:rsid w:val="00F72C27"/>
    <w:rsid w:val="00F7435C"/>
    <w:rsid w:val="00F745F7"/>
    <w:rsid w:val="00F74E2A"/>
    <w:rsid w:val="00F77097"/>
    <w:rsid w:val="00F7798A"/>
    <w:rsid w:val="00F8016F"/>
    <w:rsid w:val="00F81BF7"/>
    <w:rsid w:val="00F81EE2"/>
    <w:rsid w:val="00F83774"/>
    <w:rsid w:val="00F83DA4"/>
    <w:rsid w:val="00F8556E"/>
    <w:rsid w:val="00F85AEA"/>
    <w:rsid w:val="00F87B9D"/>
    <w:rsid w:val="00F90152"/>
    <w:rsid w:val="00F911CC"/>
    <w:rsid w:val="00F93BF5"/>
    <w:rsid w:val="00F93E33"/>
    <w:rsid w:val="00F94E78"/>
    <w:rsid w:val="00F95AB2"/>
    <w:rsid w:val="00FA01A4"/>
    <w:rsid w:val="00FA11A1"/>
    <w:rsid w:val="00FA2901"/>
    <w:rsid w:val="00FA32FC"/>
    <w:rsid w:val="00FA5798"/>
    <w:rsid w:val="00FA61CD"/>
    <w:rsid w:val="00FB2CC3"/>
    <w:rsid w:val="00FB30FF"/>
    <w:rsid w:val="00FB4DD1"/>
    <w:rsid w:val="00FB4F65"/>
    <w:rsid w:val="00FB5D91"/>
    <w:rsid w:val="00FB5E7A"/>
    <w:rsid w:val="00FC03FA"/>
    <w:rsid w:val="00FC0C99"/>
    <w:rsid w:val="00FC1769"/>
    <w:rsid w:val="00FC48E8"/>
    <w:rsid w:val="00FC4AB2"/>
    <w:rsid w:val="00FC6508"/>
    <w:rsid w:val="00FD0631"/>
    <w:rsid w:val="00FD08FF"/>
    <w:rsid w:val="00FD14BE"/>
    <w:rsid w:val="00FD1CEF"/>
    <w:rsid w:val="00FD2410"/>
    <w:rsid w:val="00FD26B3"/>
    <w:rsid w:val="00FD328C"/>
    <w:rsid w:val="00FD4E73"/>
    <w:rsid w:val="00FD671D"/>
    <w:rsid w:val="00FD6772"/>
    <w:rsid w:val="00FE0439"/>
    <w:rsid w:val="00FE0728"/>
    <w:rsid w:val="00FE0A94"/>
    <w:rsid w:val="00FE0C21"/>
    <w:rsid w:val="00FE3546"/>
    <w:rsid w:val="00FE4F5E"/>
    <w:rsid w:val="00FE5B71"/>
    <w:rsid w:val="00FE5FC4"/>
    <w:rsid w:val="00FF05B0"/>
    <w:rsid w:val="00FF0879"/>
    <w:rsid w:val="00FF565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E4D37"/>
    <w:pPr>
      <w:keepNext/>
      <w:numPr>
        <w:ilvl w:val="1"/>
        <w:numId w:val="3"/>
      </w:numPr>
      <w:suppressAutoHyphens/>
      <w:spacing w:before="120" w:after="120"/>
      <w:outlineLvl w:val="1"/>
    </w:pPr>
    <w:rPr>
      <w:b/>
      <w:szCs w:val="22"/>
    </w:rPr>
  </w:style>
  <w:style w:type="paragraph" w:styleId="Heading3">
    <w:name w:val="heading 3"/>
    <w:aliases w:val="Heading 3 Char Char,Heading 3 Char1"/>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 Char Char Char Char Char,Footnote Text Char1 Char Char Char Char,Footnote Text Char1 Char1 Char,Footnote Text Char3 Char Char Char Char Char Char Char,f,fn Char Char"/>
    <w:link w:val="FootnoteTextChar1"/>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E2DD3"/>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FD14BE"/>
    <w:rPr>
      <w:snapToGrid w:val="0"/>
      <w:kern w:val="28"/>
      <w:sz w:val="22"/>
    </w:rPr>
  </w:style>
  <w:style w:type="character" w:customStyle="1" w:styleId="FootnoteTextChar1">
    <w:name w:val="Footnote Text Char1"/>
    <w:aliases w:val="Footnote Text Char Char Char Char Char Char Char1,Footnote Text Char Char Char Char Char1,Footnote Text Char1 Char Char Char Char Char1,Footnote Text Char1 Char1 Char Char1,Footnote Text Char3 Char Char Char Char Char Char Char Char1"/>
    <w:link w:val="FootnoteText"/>
    <w:rsid w:val="00FD14BE"/>
  </w:style>
  <w:style w:type="paragraph" w:customStyle="1" w:styleId="ParaNumCharCharCharCharCharCharCharCharCharCharCharChar">
    <w:name w:val="ParaNum Char Char Char Char Char Char Char Char Char Char Char Char"/>
    <w:basedOn w:val="Normal"/>
    <w:semiHidden/>
    <w:rsid w:val="00167D5D"/>
    <w:pPr>
      <w:tabs>
        <w:tab w:val="num" w:pos="1440"/>
      </w:tabs>
      <w:spacing w:after="120"/>
      <w:ind w:firstLine="720"/>
    </w:pPr>
  </w:style>
  <w:style w:type="character" w:customStyle="1" w:styleId="CharChar1">
    <w:name w:val="Char Char1"/>
    <w:rsid w:val="00167D5D"/>
    <w:rPr>
      <w:rFonts w:ascii="Times New Roman Bold" w:hAnsi="Times New Roman Bold"/>
      <w:b/>
      <w:caps/>
      <w:snapToGrid w:val="0"/>
      <w:kern w:val="28"/>
      <w:sz w:val="22"/>
      <w:lang w:val="en-US" w:eastAsia="en-US" w:bidi="ar-SA"/>
    </w:rPr>
  </w:style>
  <w:style w:type="character" w:customStyle="1" w:styleId="Heading2CharChar">
    <w:name w:val="Heading 2 Char Char"/>
    <w:rsid w:val="00167D5D"/>
    <w:rPr>
      <w:b/>
      <w:snapToGrid w:val="0"/>
      <w:kern w:val="28"/>
      <w:sz w:val="22"/>
      <w:lang w:val="en-US" w:eastAsia="en-US" w:bidi="ar-SA"/>
    </w:rPr>
  </w:style>
  <w:style w:type="character" w:customStyle="1" w:styleId="Heading3Char1CharChar">
    <w:name w:val="Heading 3 Char1 Char Char"/>
    <w:rsid w:val="00167D5D"/>
    <w:rPr>
      <w:b/>
      <w:snapToGrid w:val="0"/>
      <w:kern w:val="28"/>
      <w:sz w:val="22"/>
      <w:lang w:val="en-US" w:eastAsia="en-US" w:bidi="ar-SA"/>
    </w:rPr>
  </w:style>
  <w:style w:type="character" w:customStyle="1" w:styleId="HTMLPreformattedChar1">
    <w:name w:val="HTML Preformatted Char1"/>
    <w:link w:val="HTMLPreformatted"/>
    <w:rsid w:val="00167D5D"/>
    <w:rPr>
      <w:b/>
      <w:snapToGrid w:val="0"/>
      <w:kern w:val="28"/>
      <w:sz w:val="22"/>
    </w:rPr>
  </w:style>
  <w:style w:type="character" w:customStyle="1" w:styleId="FootnoteTextCharChar">
    <w:name w:val="Footnote Text Char Char"/>
    <w:aliases w:val="Footnote Text Char Char Char Char Char,Footnote Text Char Char Char Char Char Char Char,Footnote Text Char1 Char Char Char Char Char,Footnote Text Char1 Char1 Char Char,Footnote Text Char3 Char Char Char Char Char Char Char Char"/>
    <w:rsid w:val="00167D5D"/>
    <w:rPr>
      <w:lang w:val="en-US" w:eastAsia="en-US" w:bidi="ar-SA"/>
    </w:rPr>
  </w:style>
  <w:style w:type="character" w:styleId="Emphasis">
    <w:name w:val="Emphasis"/>
    <w:qFormat/>
    <w:rsid w:val="00167D5D"/>
    <w:rPr>
      <w:i/>
      <w:iCs/>
    </w:rPr>
  </w:style>
  <w:style w:type="character" w:customStyle="1" w:styleId="documentbody1">
    <w:name w:val="documentbody1"/>
    <w:semiHidden/>
    <w:rsid w:val="00167D5D"/>
    <w:rPr>
      <w:rFonts w:ascii="Verdana" w:hAnsi="Verdana" w:hint="default"/>
      <w:sz w:val="19"/>
      <w:szCs w:val="19"/>
    </w:rPr>
  </w:style>
  <w:style w:type="paragraph" w:styleId="DocumentMap">
    <w:name w:val="Document Map"/>
    <w:basedOn w:val="Normal"/>
    <w:link w:val="DocumentMapChar"/>
    <w:rsid w:val="00167D5D"/>
    <w:pPr>
      <w:shd w:val="clear" w:color="auto" w:fill="000080"/>
    </w:pPr>
    <w:rPr>
      <w:rFonts w:ascii="Tahoma" w:hAnsi="Tahoma" w:cs="Tahoma"/>
    </w:rPr>
  </w:style>
  <w:style w:type="character" w:customStyle="1" w:styleId="DocumentMapChar">
    <w:name w:val="Document Map Char"/>
    <w:link w:val="DocumentMap"/>
    <w:rsid w:val="00167D5D"/>
    <w:rPr>
      <w:rFonts w:ascii="Tahoma" w:hAnsi="Tahoma" w:cs="Tahoma"/>
      <w:snapToGrid w:val="0"/>
      <w:kern w:val="28"/>
      <w:sz w:val="22"/>
      <w:shd w:val="clear" w:color="auto" w:fill="000080"/>
    </w:rPr>
  </w:style>
  <w:style w:type="character" w:customStyle="1" w:styleId="navlinkheading1">
    <w:name w:val="navlinkheading1"/>
    <w:semiHidden/>
    <w:rsid w:val="00167D5D"/>
    <w:rPr>
      <w:rFonts w:ascii="Arial" w:hAnsi="Arial" w:cs="Arial" w:hint="default"/>
      <w:b/>
      <w:bCs/>
      <w:sz w:val="20"/>
      <w:szCs w:val="20"/>
    </w:rPr>
  </w:style>
  <w:style w:type="character" w:customStyle="1" w:styleId="body">
    <w:name w:val="body"/>
    <w:basedOn w:val="DefaultParagraphFont"/>
    <w:semiHidden/>
    <w:rsid w:val="00167D5D"/>
  </w:style>
  <w:style w:type="paragraph" w:customStyle="1" w:styleId="StyleParaNumCondensedby01ptCharCharCharCharCharCharCharCharCharChar">
    <w:name w:val="Style ParaNum + Condensed by  0.1 pt Char Char Char Char Char Char Char Char Char Char"/>
    <w:basedOn w:val="Normal"/>
    <w:autoRedefine/>
    <w:semiHidden/>
    <w:rsid w:val="00167D5D"/>
    <w:pPr>
      <w:numPr>
        <w:numId w:val="7"/>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sid w:val="00167D5D"/>
    <w:rPr>
      <w:snapToGrid w:val="0"/>
      <w:spacing w:val="-2"/>
      <w:kern w:val="28"/>
      <w:sz w:val="22"/>
      <w:lang w:val="en-US" w:eastAsia="en-US" w:bidi="ar-SA"/>
    </w:rPr>
  </w:style>
  <w:style w:type="character" w:styleId="FollowedHyperlink">
    <w:name w:val="FollowedHyperlink"/>
    <w:rsid w:val="00167D5D"/>
    <w:rPr>
      <w:color w:val="800080"/>
      <w:u w:val="single"/>
    </w:rPr>
  </w:style>
  <w:style w:type="paragraph" w:styleId="BalloonText">
    <w:name w:val="Balloon Text"/>
    <w:basedOn w:val="Normal"/>
    <w:link w:val="BalloonTextChar"/>
    <w:rsid w:val="00167D5D"/>
    <w:rPr>
      <w:rFonts w:ascii="Tahoma" w:hAnsi="Tahoma" w:cs="Tahoma"/>
      <w:snapToGrid/>
      <w:sz w:val="16"/>
      <w:szCs w:val="16"/>
    </w:rPr>
  </w:style>
  <w:style w:type="character" w:customStyle="1" w:styleId="BalloonTextChar">
    <w:name w:val="Balloon Text Char"/>
    <w:link w:val="BalloonText"/>
    <w:rsid w:val="00167D5D"/>
    <w:rPr>
      <w:rFonts w:ascii="Tahoma" w:hAnsi="Tahoma" w:cs="Tahoma"/>
      <w:kern w:val="28"/>
      <w:sz w:val="16"/>
      <w:szCs w:val="16"/>
    </w:rPr>
  </w:style>
  <w:style w:type="paragraph" w:customStyle="1" w:styleId="footnote">
    <w:name w:val="footnote"/>
    <w:basedOn w:val="FootnoteText"/>
    <w:autoRedefine/>
    <w:semiHidden/>
    <w:rsid w:val="00167D5D"/>
    <w:rPr>
      <w:i/>
    </w:rPr>
  </w:style>
  <w:style w:type="character" w:customStyle="1" w:styleId="Char1">
    <w:name w:val="Char1"/>
    <w:semiHidden/>
    <w:rsid w:val="00167D5D"/>
    <w:rPr>
      <w:b/>
      <w:snapToGrid w:val="0"/>
      <w:kern w:val="28"/>
      <w:sz w:val="22"/>
      <w:lang w:val="en-US" w:eastAsia="en-US" w:bidi="ar-SA"/>
    </w:rPr>
  </w:style>
  <w:style w:type="character" w:customStyle="1" w:styleId="FootnoteTextChar4">
    <w:name w:val="Footnote Text Char4"/>
    <w:semiHidden/>
    <w:rsid w:val="00167D5D"/>
    <w:rPr>
      <w:snapToGrid w:val="0"/>
      <w:kern w:val="28"/>
      <w:sz w:val="24"/>
      <w:lang w:val="en-US" w:eastAsia="en-US" w:bidi="ar-SA"/>
    </w:rPr>
  </w:style>
  <w:style w:type="character" w:customStyle="1" w:styleId="Char">
    <w:name w:val="Char"/>
    <w:semiHidden/>
    <w:rsid w:val="00167D5D"/>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167D5D"/>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167D5D"/>
    <w:pPr>
      <w:tabs>
        <w:tab w:val="num" w:pos="720"/>
        <w:tab w:val="num" w:pos="1440"/>
      </w:tabs>
      <w:spacing w:after="120"/>
      <w:ind w:left="720" w:hanging="720"/>
    </w:pPr>
    <w:rPr>
      <w:spacing w:val="-2"/>
    </w:rPr>
  </w:style>
  <w:style w:type="character" w:customStyle="1" w:styleId="Heading2Char3">
    <w:name w:val="Heading 2 Char3"/>
    <w:semiHidden/>
    <w:rsid w:val="00167D5D"/>
    <w:rPr>
      <w:b/>
      <w:snapToGrid w:val="0"/>
      <w:kern w:val="28"/>
      <w:sz w:val="22"/>
      <w:lang w:val="en-US" w:eastAsia="en-US" w:bidi="ar-SA"/>
    </w:rPr>
  </w:style>
  <w:style w:type="character" w:customStyle="1" w:styleId="Heading2Char2">
    <w:name w:val="Heading 2 Char2"/>
    <w:semiHidden/>
    <w:rsid w:val="00167D5D"/>
    <w:rPr>
      <w:b/>
      <w:snapToGrid w:val="0"/>
      <w:kern w:val="28"/>
      <w:sz w:val="22"/>
      <w:lang w:val="en-US" w:eastAsia="en-US" w:bidi="ar-SA"/>
    </w:rPr>
  </w:style>
  <w:style w:type="paragraph" w:customStyle="1" w:styleId="ParaNumCharChar">
    <w:name w:val="ParaNum Char Char"/>
    <w:basedOn w:val="Normal"/>
    <w:semiHidden/>
    <w:rsid w:val="00167D5D"/>
    <w:pPr>
      <w:tabs>
        <w:tab w:val="num" w:pos="1440"/>
      </w:tabs>
      <w:spacing w:after="120"/>
      <w:ind w:firstLine="720"/>
    </w:pPr>
  </w:style>
  <w:style w:type="character" w:customStyle="1" w:styleId="FootnoteTextChar2">
    <w:name w:val="Footnote Text Char2"/>
    <w:semiHidden/>
    <w:rsid w:val="00167D5D"/>
    <w:rPr>
      <w:snapToGrid w:val="0"/>
      <w:kern w:val="28"/>
      <w:lang w:val="en-US" w:eastAsia="en-US" w:bidi="ar-SA"/>
    </w:rPr>
  </w:style>
  <w:style w:type="character" w:customStyle="1" w:styleId="ParaNumCharCharCharCharCharCharCharCharCharCharCharCharChar">
    <w:name w:val="ParaNum Char Char Char Char Char Char Char Char Char Char Char Char Char"/>
    <w:rsid w:val="00167D5D"/>
    <w:rPr>
      <w:snapToGrid w:val="0"/>
      <w:kern w:val="28"/>
      <w:sz w:val="22"/>
      <w:lang w:val="en-US" w:eastAsia="en-US" w:bidi="ar-SA"/>
    </w:rPr>
  </w:style>
  <w:style w:type="character" w:customStyle="1" w:styleId="Heading1Char1">
    <w:name w:val="Heading 1 Char1"/>
    <w:semiHidden/>
    <w:rsid w:val="00167D5D"/>
    <w:rPr>
      <w:rFonts w:ascii="Times New Roman Bold" w:hAnsi="Times New Roman Bold"/>
      <w:b/>
      <w:caps/>
      <w:snapToGrid w:val="0"/>
      <w:kern w:val="28"/>
      <w:sz w:val="22"/>
      <w:lang w:val="en-US" w:eastAsia="en-US" w:bidi="ar-SA"/>
    </w:rPr>
  </w:style>
  <w:style w:type="character" w:customStyle="1" w:styleId="Heading2Char1">
    <w:name w:val="Heading 2 Char1"/>
    <w:semiHidden/>
    <w:rsid w:val="00167D5D"/>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167D5D"/>
    <w:pPr>
      <w:tabs>
        <w:tab w:val="num" w:pos="1350"/>
        <w:tab w:val="num" w:pos="1440"/>
      </w:tabs>
      <w:spacing w:after="120"/>
      <w:ind w:left="270" w:firstLine="720"/>
    </w:pPr>
  </w:style>
  <w:style w:type="character" w:customStyle="1" w:styleId="Char2">
    <w:name w:val="Char2"/>
    <w:semiHidden/>
    <w:rsid w:val="00167D5D"/>
    <w:rPr>
      <w:snapToGrid w:val="0"/>
      <w:kern w:val="28"/>
      <w:sz w:val="24"/>
      <w:lang w:val="en-US" w:eastAsia="en-US" w:bidi="ar-SA"/>
    </w:rPr>
  </w:style>
  <w:style w:type="character" w:customStyle="1" w:styleId="ParaNumCharCharCharCharCharCharCharCharCharChar">
    <w:name w:val="ParaNum Char Char Char Char Char Char Char Char Char Char"/>
    <w:rsid w:val="00167D5D"/>
    <w:rPr>
      <w:snapToGrid w:val="0"/>
      <w:kern w:val="28"/>
      <w:sz w:val="22"/>
      <w:lang w:val="en-US" w:eastAsia="en-US" w:bidi="ar-SA"/>
    </w:rPr>
  </w:style>
  <w:style w:type="character" w:customStyle="1" w:styleId="Heading3Char2">
    <w:name w:val="Heading 3 Char2"/>
    <w:semiHidden/>
    <w:rsid w:val="00167D5D"/>
    <w:rPr>
      <w:b/>
      <w:snapToGrid w:val="0"/>
      <w:kern w:val="28"/>
      <w:sz w:val="22"/>
      <w:lang w:val="en-US" w:eastAsia="en-US" w:bidi="ar-SA"/>
    </w:rPr>
  </w:style>
  <w:style w:type="character" w:customStyle="1" w:styleId="Normal1">
    <w:name w:val="Normal1"/>
    <w:rsid w:val="00167D5D"/>
    <w:rPr>
      <w:rFonts w:ascii="Times New Roman" w:hAnsi="Times New Roman"/>
      <w:noProof w:val="0"/>
      <w:sz w:val="20"/>
      <w:lang w:val="en-US"/>
    </w:rPr>
  </w:style>
  <w:style w:type="character" w:customStyle="1" w:styleId="Normal2">
    <w:name w:val="Normal2"/>
    <w:rsid w:val="00167D5D"/>
    <w:rPr>
      <w:rFonts w:ascii="Times New Roman" w:hAnsi="Times New Roman" w:cs="Times New Roman" w:hint="default"/>
    </w:rPr>
  </w:style>
  <w:style w:type="paragraph" w:styleId="BodyText">
    <w:name w:val="Body Text"/>
    <w:basedOn w:val="Normal"/>
    <w:link w:val="BodyTextChar"/>
    <w:rsid w:val="00167D5D"/>
    <w:pPr>
      <w:spacing w:after="120"/>
    </w:pPr>
  </w:style>
  <w:style w:type="character" w:customStyle="1" w:styleId="BodyTextChar">
    <w:name w:val="Body Text Char"/>
    <w:link w:val="BodyText"/>
    <w:rsid w:val="00167D5D"/>
    <w:rPr>
      <w:snapToGrid w:val="0"/>
      <w:kern w:val="28"/>
      <w:sz w:val="22"/>
    </w:rPr>
  </w:style>
  <w:style w:type="paragraph" w:styleId="BodyText2">
    <w:name w:val="Body Text 2"/>
    <w:basedOn w:val="Normal"/>
    <w:link w:val="BodyText2Char"/>
    <w:rsid w:val="00167D5D"/>
    <w:pPr>
      <w:spacing w:after="120" w:line="480" w:lineRule="auto"/>
    </w:pPr>
  </w:style>
  <w:style w:type="character" w:customStyle="1" w:styleId="BodyText2Char">
    <w:name w:val="Body Text 2 Char"/>
    <w:link w:val="BodyText2"/>
    <w:rsid w:val="00167D5D"/>
    <w:rPr>
      <w:snapToGrid w:val="0"/>
      <w:kern w:val="28"/>
      <w:sz w:val="22"/>
    </w:rPr>
  </w:style>
  <w:style w:type="paragraph" w:customStyle="1" w:styleId="StyleParaNumCondensedby01ptChar">
    <w:name w:val="Style ParaNum + Condensed by  0.1 pt Char"/>
    <w:basedOn w:val="Normal"/>
    <w:autoRedefine/>
    <w:semiHidden/>
    <w:rsid w:val="00167D5D"/>
    <w:pPr>
      <w:tabs>
        <w:tab w:val="num" w:pos="720"/>
        <w:tab w:val="num" w:pos="1440"/>
      </w:tabs>
      <w:spacing w:after="120"/>
      <w:ind w:left="720" w:hanging="720"/>
    </w:pPr>
    <w:rPr>
      <w:spacing w:val="-2"/>
    </w:rPr>
  </w:style>
  <w:style w:type="paragraph" w:styleId="BodyText3">
    <w:name w:val="Body Text 3"/>
    <w:basedOn w:val="Normal"/>
    <w:link w:val="BodyText3Char"/>
    <w:rsid w:val="00167D5D"/>
    <w:pPr>
      <w:spacing w:after="120"/>
    </w:pPr>
    <w:rPr>
      <w:sz w:val="16"/>
      <w:szCs w:val="16"/>
    </w:rPr>
  </w:style>
  <w:style w:type="character" w:customStyle="1" w:styleId="BodyText3Char">
    <w:name w:val="Body Text 3 Char"/>
    <w:link w:val="BodyText3"/>
    <w:rsid w:val="00167D5D"/>
    <w:rPr>
      <w:snapToGrid w:val="0"/>
      <w:kern w:val="28"/>
      <w:sz w:val="16"/>
      <w:szCs w:val="16"/>
    </w:rPr>
  </w:style>
  <w:style w:type="paragraph" w:styleId="BodyTextFirstIndent">
    <w:name w:val="Body Text First Indent"/>
    <w:basedOn w:val="BodyText"/>
    <w:link w:val="BodyTextFirstIndentChar"/>
    <w:rsid w:val="00167D5D"/>
    <w:pPr>
      <w:ind w:firstLine="210"/>
    </w:pPr>
  </w:style>
  <w:style w:type="character" w:customStyle="1" w:styleId="BodyTextFirstIndentChar">
    <w:name w:val="Body Text First Indent Char"/>
    <w:link w:val="BodyTextFirstIndent"/>
    <w:rsid w:val="00167D5D"/>
    <w:rPr>
      <w:snapToGrid w:val="0"/>
      <w:kern w:val="28"/>
      <w:sz w:val="22"/>
    </w:rPr>
  </w:style>
  <w:style w:type="paragraph" w:styleId="BodyTextIndent">
    <w:name w:val="Body Text Indent"/>
    <w:basedOn w:val="Normal"/>
    <w:link w:val="BodyTextIndentChar"/>
    <w:rsid w:val="00167D5D"/>
    <w:pPr>
      <w:spacing w:after="120"/>
      <w:ind w:left="360"/>
    </w:pPr>
  </w:style>
  <w:style w:type="character" w:customStyle="1" w:styleId="BodyTextIndentChar">
    <w:name w:val="Body Text Indent Char"/>
    <w:link w:val="BodyTextIndent"/>
    <w:rsid w:val="00167D5D"/>
    <w:rPr>
      <w:snapToGrid w:val="0"/>
      <w:kern w:val="28"/>
      <w:sz w:val="22"/>
    </w:rPr>
  </w:style>
  <w:style w:type="paragraph" w:styleId="BodyTextFirstIndent2">
    <w:name w:val="Body Text First Indent 2"/>
    <w:basedOn w:val="BodyTextIndent"/>
    <w:link w:val="BodyTextFirstIndent2Char"/>
    <w:rsid w:val="00167D5D"/>
    <w:pPr>
      <w:ind w:firstLine="210"/>
    </w:pPr>
  </w:style>
  <w:style w:type="character" w:customStyle="1" w:styleId="BodyTextFirstIndent2Char">
    <w:name w:val="Body Text First Indent 2 Char"/>
    <w:link w:val="BodyTextFirstIndent2"/>
    <w:rsid w:val="00167D5D"/>
    <w:rPr>
      <w:snapToGrid w:val="0"/>
      <w:kern w:val="28"/>
      <w:sz w:val="22"/>
    </w:rPr>
  </w:style>
  <w:style w:type="paragraph" w:styleId="BodyTextIndent2">
    <w:name w:val="Body Text Indent 2"/>
    <w:basedOn w:val="Normal"/>
    <w:link w:val="BodyTextIndent2Char"/>
    <w:rsid w:val="00167D5D"/>
    <w:pPr>
      <w:spacing w:after="120" w:line="480" w:lineRule="auto"/>
      <w:ind w:left="360"/>
    </w:pPr>
  </w:style>
  <w:style w:type="character" w:customStyle="1" w:styleId="BodyTextIndent2Char">
    <w:name w:val="Body Text Indent 2 Char"/>
    <w:link w:val="BodyTextIndent2"/>
    <w:rsid w:val="00167D5D"/>
    <w:rPr>
      <w:snapToGrid w:val="0"/>
      <w:kern w:val="28"/>
      <w:sz w:val="22"/>
    </w:rPr>
  </w:style>
  <w:style w:type="paragraph" w:styleId="BodyTextIndent3">
    <w:name w:val="Body Text Indent 3"/>
    <w:basedOn w:val="Normal"/>
    <w:link w:val="BodyTextIndent3Char"/>
    <w:rsid w:val="00167D5D"/>
    <w:pPr>
      <w:spacing w:after="120"/>
      <w:ind w:left="360"/>
    </w:pPr>
    <w:rPr>
      <w:sz w:val="16"/>
      <w:szCs w:val="16"/>
    </w:rPr>
  </w:style>
  <w:style w:type="character" w:customStyle="1" w:styleId="BodyTextIndent3Char">
    <w:name w:val="Body Text Indent 3 Char"/>
    <w:link w:val="BodyTextIndent3"/>
    <w:rsid w:val="00167D5D"/>
    <w:rPr>
      <w:snapToGrid w:val="0"/>
      <w:kern w:val="28"/>
      <w:sz w:val="16"/>
      <w:szCs w:val="16"/>
    </w:rPr>
  </w:style>
  <w:style w:type="paragraph" w:styleId="EnvelopeAddress">
    <w:name w:val="envelope address"/>
    <w:basedOn w:val="Normal"/>
    <w:rsid w:val="00167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7D5D"/>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
    <w:name w:val="ParaNum Char Char Char"/>
    <w:basedOn w:val="Normal"/>
    <w:semiHidden/>
    <w:rsid w:val="00167D5D"/>
    <w:pPr>
      <w:tabs>
        <w:tab w:val="num" w:pos="1350"/>
        <w:tab w:val="num" w:pos="1440"/>
      </w:tabs>
      <w:spacing w:after="120"/>
      <w:ind w:left="270" w:firstLine="720"/>
    </w:pPr>
  </w:style>
  <w:style w:type="character" w:customStyle="1" w:styleId="Heading1Char2">
    <w:name w:val="Heading 1 Char2"/>
    <w:semiHidden/>
    <w:rsid w:val="00167D5D"/>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rsid w:val="00167D5D"/>
    <w:pPr>
      <w:tabs>
        <w:tab w:val="num" w:pos="1350"/>
        <w:tab w:val="num" w:pos="1440"/>
      </w:tabs>
      <w:spacing w:after="120"/>
      <w:ind w:left="270" w:firstLine="720"/>
    </w:pPr>
  </w:style>
  <w:style w:type="character" w:customStyle="1" w:styleId="Heading4Char1">
    <w:name w:val="Heading 4 Char1"/>
    <w:semiHidden/>
    <w:rsid w:val="00167D5D"/>
    <w:rPr>
      <w:b/>
      <w:snapToGrid w:val="0"/>
      <w:kern w:val="28"/>
      <w:sz w:val="22"/>
      <w:lang w:val="en-US" w:eastAsia="en-US" w:bidi="ar-SA"/>
    </w:rPr>
  </w:style>
  <w:style w:type="paragraph" w:customStyle="1" w:styleId="ParaNumCharCharCharCharCharCharChar">
    <w:name w:val="ParaNum Char Char Char Char Char Char Char"/>
    <w:basedOn w:val="Normal"/>
    <w:semiHidden/>
    <w:rsid w:val="00167D5D"/>
    <w:pPr>
      <w:tabs>
        <w:tab w:val="num" w:pos="1350"/>
        <w:tab w:val="num" w:pos="1440"/>
      </w:tabs>
      <w:spacing w:after="120"/>
      <w:ind w:left="270" w:firstLine="720"/>
    </w:pPr>
  </w:style>
  <w:style w:type="character" w:customStyle="1" w:styleId="Heading1Char3">
    <w:name w:val="Heading 1 Char3"/>
    <w:semiHidden/>
    <w:rsid w:val="00167D5D"/>
    <w:rPr>
      <w:rFonts w:ascii="Times New Roman Bold" w:hAnsi="Times New Roman Bold"/>
      <w:b/>
      <w:caps/>
      <w:snapToGrid w:val="0"/>
      <w:kern w:val="28"/>
      <w:sz w:val="22"/>
      <w:szCs w:val="24"/>
      <w:lang w:val="en-US" w:eastAsia="en-US" w:bidi="ar-SA"/>
    </w:rPr>
  </w:style>
  <w:style w:type="paragraph" w:styleId="NormalWeb">
    <w:name w:val="Normal (Web)"/>
    <w:basedOn w:val="Normal"/>
    <w:rsid w:val="00167D5D"/>
    <w:pPr>
      <w:widowControl/>
      <w:spacing w:before="100" w:beforeAutospacing="1" w:after="100" w:afterAutospacing="1"/>
    </w:pPr>
    <w:rPr>
      <w:snapToGrid/>
      <w:kern w:val="0"/>
      <w:sz w:val="24"/>
      <w:szCs w:val="24"/>
    </w:rPr>
  </w:style>
  <w:style w:type="character" w:styleId="Strong">
    <w:name w:val="Strong"/>
    <w:qFormat/>
    <w:rsid w:val="00167D5D"/>
    <w:rPr>
      <w:b/>
      <w:bCs/>
    </w:rPr>
  </w:style>
  <w:style w:type="character" w:customStyle="1" w:styleId="ParaNumCharCharChar1">
    <w:name w:val="ParaNum Char Char Char1"/>
    <w:rsid w:val="00167D5D"/>
    <w:rPr>
      <w:snapToGrid w:val="0"/>
      <w:kern w:val="28"/>
      <w:sz w:val="22"/>
      <w:lang w:val="en-US" w:eastAsia="en-US" w:bidi="ar-SA"/>
    </w:rPr>
  </w:style>
  <w:style w:type="paragraph" w:customStyle="1" w:styleId="Style0">
    <w:name w:val="Style0"/>
    <w:rsid w:val="00167D5D"/>
    <w:rPr>
      <w:rFonts w:ascii="Arial" w:hAnsi="Arial"/>
      <w:snapToGrid w:val="0"/>
      <w:sz w:val="24"/>
    </w:rPr>
  </w:style>
  <w:style w:type="character" w:customStyle="1" w:styleId="Char3">
    <w:name w:val="Char3"/>
    <w:semiHidden/>
    <w:rsid w:val="00167D5D"/>
    <w:rPr>
      <w:b/>
      <w:snapToGrid w:val="0"/>
      <w:kern w:val="28"/>
      <w:sz w:val="22"/>
      <w:lang w:val="en-US" w:eastAsia="en-US" w:bidi="ar-SA"/>
    </w:rPr>
  </w:style>
  <w:style w:type="character" w:customStyle="1" w:styleId="FootnoteTextChar1Char">
    <w:name w:val="Footnote Text Char1 Char"/>
    <w:semiHidden/>
    <w:rsid w:val="00167D5D"/>
    <w:rPr>
      <w:snapToGrid w:val="0"/>
      <w:kern w:val="28"/>
      <w:lang w:val="en-US" w:eastAsia="en-US" w:bidi="ar-SA"/>
    </w:rPr>
  </w:style>
  <w:style w:type="paragraph" w:styleId="Salutation">
    <w:name w:val="Salutation"/>
    <w:basedOn w:val="Normal"/>
    <w:next w:val="Normal"/>
    <w:link w:val="SalutationChar"/>
    <w:rsid w:val="00167D5D"/>
  </w:style>
  <w:style w:type="character" w:customStyle="1" w:styleId="SalutationChar">
    <w:name w:val="Salutation Char"/>
    <w:link w:val="Salutation"/>
    <w:rsid w:val="00167D5D"/>
    <w:rPr>
      <w:snapToGrid w:val="0"/>
      <w:kern w:val="28"/>
      <w:sz w:val="22"/>
    </w:rPr>
  </w:style>
  <w:style w:type="paragraph" w:styleId="Caption">
    <w:name w:val="caption"/>
    <w:basedOn w:val="Normal"/>
    <w:next w:val="Normal"/>
    <w:qFormat/>
    <w:rsid w:val="00167D5D"/>
    <w:pPr>
      <w:widowControl/>
      <w:spacing w:before="120" w:after="120"/>
    </w:pPr>
    <w:rPr>
      <w:b/>
      <w:snapToGrid/>
      <w:kern w:val="0"/>
    </w:rPr>
  </w:style>
  <w:style w:type="paragraph" w:customStyle="1" w:styleId="NumberedList">
    <w:name w:val="Numbered List"/>
    <w:basedOn w:val="Normal"/>
    <w:rsid w:val="00167D5D"/>
    <w:pPr>
      <w:widowControl/>
      <w:numPr>
        <w:numId w:val="8"/>
      </w:numPr>
      <w:tabs>
        <w:tab w:val="clear" w:pos="1080"/>
      </w:tabs>
      <w:spacing w:after="220"/>
      <w:ind w:firstLine="0"/>
    </w:pPr>
    <w:rPr>
      <w:snapToGrid/>
      <w:kern w:val="0"/>
    </w:rPr>
  </w:style>
  <w:style w:type="paragraph" w:customStyle="1" w:styleId="Paranum0">
    <w:name w:val="Paranum"/>
    <w:basedOn w:val="Normal"/>
    <w:rsid w:val="00167D5D"/>
    <w:pPr>
      <w:tabs>
        <w:tab w:val="num" w:pos="1080"/>
      </w:tabs>
      <w:spacing w:after="220"/>
      <w:ind w:firstLine="720"/>
      <w:jc w:val="both"/>
    </w:pPr>
    <w:rPr>
      <w:snapToGrid/>
      <w:kern w:val="0"/>
    </w:rPr>
  </w:style>
  <w:style w:type="paragraph" w:customStyle="1" w:styleId="TableFormat0">
    <w:name w:val="Table Format"/>
    <w:basedOn w:val="Normal"/>
    <w:rsid w:val="00167D5D"/>
    <w:pPr>
      <w:tabs>
        <w:tab w:val="left" w:pos="5040"/>
      </w:tabs>
      <w:spacing w:after="220"/>
      <w:ind w:left="5040" w:hanging="3600"/>
      <w:jc w:val="both"/>
    </w:pPr>
    <w:rPr>
      <w:snapToGrid/>
      <w:kern w:val="0"/>
    </w:rPr>
  </w:style>
  <w:style w:type="paragraph" w:customStyle="1" w:styleId="Style3">
    <w:name w:val="Style 3"/>
    <w:rsid w:val="00167D5D"/>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sid w:val="00167D5D"/>
    <w:rPr>
      <w:sz w:val="22"/>
      <w:lang w:val="en-US" w:eastAsia="en-US" w:bidi="ar-SA"/>
    </w:rPr>
  </w:style>
  <w:style w:type="paragraph" w:customStyle="1" w:styleId="xl22">
    <w:name w:val="xl22"/>
    <w:basedOn w:val="Normal"/>
    <w:rsid w:val="00167D5D"/>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167D5D"/>
    <w:pPr>
      <w:widowControl/>
      <w:spacing w:before="100" w:beforeAutospacing="1" w:after="100" w:afterAutospacing="1"/>
    </w:pPr>
    <w:rPr>
      <w:snapToGrid/>
      <w:kern w:val="0"/>
      <w:sz w:val="16"/>
      <w:szCs w:val="16"/>
    </w:rPr>
  </w:style>
  <w:style w:type="paragraph" w:customStyle="1" w:styleId="xl25">
    <w:name w:val="xl25"/>
    <w:basedOn w:val="Normal"/>
    <w:rsid w:val="00167D5D"/>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167D5D"/>
    <w:pPr>
      <w:widowControl/>
      <w:spacing w:before="100" w:beforeAutospacing="1" w:after="100" w:afterAutospacing="1"/>
    </w:pPr>
    <w:rPr>
      <w:snapToGrid/>
      <w:color w:val="000000"/>
      <w:kern w:val="0"/>
      <w:sz w:val="16"/>
      <w:szCs w:val="16"/>
    </w:rPr>
  </w:style>
  <w:style w:type="paragraph" w:customStyle="1" w:styleId="xl28">
    <w:name w:val="xl28"/>
    <w:basedOn w:val="Normal"/>
    <w:rsid w:val="00167D5D"/>
    <w:pPr>
      <w:widowControl/>
      <w:spacing w:before="100" w:beforeAutospacing="1" w:after="100" w:afterAutospacing="1"/>
    </w:pPr>
    <w:rPr>
      <w:snapToGrid/>
      <w:kern w:val="0"/>
      <w:sz w:val="16"/>
      <w:szCs w:val="16"/>
    </w:rPr>
  </w:style>
  <w:style w:type="paragraph" w:customStyle="1" w:styleId="Default">
    <w:name w:val="Default"/>
    <w:rsid w:val="00167D5D"/>
    <w:pPr>
      <w:autoSpaceDE w:val="0"/>
      <w:autoSpaceDN w:val="0"/>
      <w:adjustRightInd w:val="0"/>
    </w:pPr>
    <w:rPr>
      <w:color w:val="000000"/>
      <w:sz w:val="24"/>
      <w:szCs w:val="24"/>
    </w:rPr>
  </w:style>
  <w:style w:type="paragraph" w:customStyle="1" w:styleId="ParaNumChar">
    <w:name w:val="ParaNum Char"/>
    <w:basedOn w:val="Normal"/>
    <w:rsid w:val="00167D5D"/>
    <w:pPr>
      <w:tabs>
        <w:tab w:val="num" w:pos="1080"/>
      </w:tabs>
      <w:spacing w:after="120"/>
      <w:ind w:firstLine="720"/>
    </w:pPr>
  </w:style>
  <w:style w:type="character" w:customStyle="1" w:styleId="FootnoteCharacters">
    <w:name w:val="Footnote Characters"/>
    <w:rsid w:val="00167D5D"/>
    <w:rPr>
      <w:rFonts w:ascii="Times New Roman" w:hAnsi="Times New Roman"/>
      <w:strike w:val="0"/>
      <w:dstrike w:val="0"/>
      <w:color w:val="auto"/>
      <w:sz w:val="22"/>
      <w:vertAlign w:val="superscript"/>
    </w:rPr>
  </w:style>
  <w:style w:type="character" w:customStyle="1" w:styleId="FootnoteTextCharChar1">
    <w:name w:val="Footnote Text Char Char1"/>
    <w:rsid w:val="00167D5D"/>
    <w:rPr>
      <w:lang w:val="en-US" w:eastAsia="ar-SA" w:bidi="ar-SA"/>
    </w:rPr>
  </w:style>
  <w:style w:type="character" w:customStyle="1" w:styleId="FootnoteTextChar1Char1">
    <w:name w:val="Footnote Text Char1 Char1"/>
    <w:aliases w:val="Footnote Text Char Char Char Char Char Char Char1 Char,Footnote Text Char Char Char Char Char1 Char,Footnote Text Char Char2 Char,Footnote Text Char1 Char Char Char Char Char1 Char,Footnote Text Char1 Char1 Char Char1 Char"/>
    <w:rsid w:val="00167D5D"/>
    <w:rPr>
      <w:lang w:val="en-US" w:eastAsia="en-US" w:bidi="ar-SA"/>
    </w:rPr>
  </w:style>
  <w:style w:type="character" w:customStyle="1" w:styleId="DeltaViewInsertion">
    <w:name w:val="DeltaView Insertion"/>
    <w:rsid w:val="00167D5D"/>
    <w:rPr>
      <w:color w:val="0000FF"/>
      <w:spacing w:val="0"/>
      <w:u w:val="double"/>
    </w:rPr>
  </w:style>
  <w:style w:type="character" w:customStyle="1" w:styleId="deltaviewinsertion0">
    <w:name w:val="deltaviewinsertion"/>
    <w:rsid w:val="00167D5D"/>
    <w:rPr>
      <w:color w:val="0000FF"/>
      <w:spacing w:val="0"/>
      <w:u w:val="single"/>
    </w:rPr>
  </w:style>
  <w:style w:type="character" w:customStyle="1" w:styleId="Heading1Char">
    <w:name w:val="Heading 1 Char"/>
    <w:link w:val="Heading1"/>
    <w:locked/>
    <w:rsid w:val="00167D5D"/>
    <w:rPr>
      <w:rFonts w:ascii="Times New Roman Bold" w:hAnsi="Times New Roman Bold"/>
      <w:b/>
      <w:caps/>
      <w:snapToGrid w:val="0"/>
      <w:kern w:val="28"/>
      <w:sz w:val="22"/>
    </w:rPr>
  </w:style>
  <w:style w:type="character" w:customStyle="1" w:styleId="Heading2Char">
    <w:name w:val="Heading 2 Char"/>
    <w:link w:val="Heading2"/>
    <w:locked/>
    <w:rsid w:val="00EE4D37"/>
    <w:rPr>
      <w:b/>
      <w:snapToGrid w:val="0"/>
      <w:kern w:val="28"/>
      <w:sz w:val="22"/>
      <w:szCs w:val="22"/>
    </w:rPr>
  </w:style>
  <w:style w:type="character" w:customStyle="1" w:styleId="Heading3Char">
    <w:name w:val="Heading 3 Char"/>
    <w:aliases w:val="Heading 3 Char Char Char,Heading 3 Char1 Char"/>
    <w:link w:val="Heading3"/>
    <w:locked/>
    <w:rsid w:val="00167D5D"/>
    <w:rPr>
      <w:b/>
      <w:snapToGrid w:val="0"/>
      <w:kern w:val="28"/>
      <w:sz w:val="22"/>
    </w:rPr>
  </w:style>
  <w:style w:type="character" w:customStyle="1" w:styleId="Heading4Char">
    <w:name w:val="Heading 4 Char"/>
    <w:link w:val="Heading4"/>
    <w:locked/>
    <w:rsid w:val="00167D5D"/>
    <w:rPr>
      <w:b/>
      <w:snapToGrid w:val="0"/>
      <w:kern w:val="28"/>
      <w:sz w:val="22"/>
    </w:rPr>
  </w:style>
  <w:style w:type="character" w:customStyle="1" w:styleId="Heading5Char">
    <w:name w:val="Heading 5 Char"/>
    <w:link w:val="Heading5"/>
    <w:locked/>
    <w:rsid w:val="00167D5D"/>
    <w:rPr>
      <w:b/>
      <w:snapToGrid w:val="0"/>
      <w:kern w:val="28"/>
      <w:sz w:val="22"/>
    </w:rPr>
  </w:style>
  <w:style w:type="character" w:customStyle="1" w:styleId="Heading6Char">
    <w:name w:val="Heading 6 Char"/>
    <w:link w:val="Heading6"/>
    <w:locked/>
    <w:rsid w:val="00167D5D"/>
    <w:rPr>
      <w:b/>
      <w:snapToGrid w:val="0"/>
      <w:kern w:val="28"/>
      <w:sz w:val="22"/>
    </w:rPr>
  </w:style>
  <w:style w:type="character" w:customStyle="1" w:styleId="Heading7Char">
    <w:name w:val="Heading 7 Char"/>
    <w:link w:val="Heading7"/>
    <w:locked/>
    <w:rsid w:val="00167D5D"/>
    <w:rPr>
      <w:b/>
      <w:snapToGrid w:val="0"/>
      <w:kern w:val="28"/>
      <w:sz w:val="22"/>
    </w:rPr>
  </w:style>
  <w:style w:type="character" w:customStyle="1" w:styleId="Heading8Char">
    <w:name w:val="Heading 8 Char"/>
    <w:link w:val="Heading8"/>
    <w:locked/>
    <w:rsid w:val="00167D5D"/>
    <w:rPr>
      <w:b/>
      <w:snapToGrid w:val="0"/>
      <w:kern w:val="28"/>
      <w:sz w:val="22"/>
    </w:rPr>
  </w:style>
  <w:style w:type="character" w:customStyle="1" w:styleId="Heading9Char">
    <w:name w:val="Heading 9 Char"/>
    <w:link w:val="Heading9"/>
    <w:locked/>
    <w:rsid w:val="00167D5D"/>
    <w:rPr>
      <w:b/>
      <w:snapToGrid w:val="0"/>
      <w:kern w:val="28"/>
      <w:sz w:val="22"/>
    </w:rPr>
  </w:style>
  <w:style w:type="character" w:customStyle="1" w:styleId="CharChar13">
    <w:name w:val="Char Char13"/>
    <w:semiHidden/>
    <w:locked/>
    <w:rsid w:val="00167D5D"/>
    <w:rPr>
      <w:lang w:val="en-US" w:eastAsia="en-US" w:bidi="ar-SA"/>
    </w:rPr>
  </w:style>
  <w:style w:type="character" w:customStyle="1" w:styleId="HeaderChar">
    <w:name w:val="Header Char"/>
    <w:link w:val="Header"/>
    <w:locked/>
    <w:rsid w:val="009E2DD3"/>
    <w:rPr>
      <w:b/>
      <w:snapToGrid w:val="0"/>
      <w:kern w:val="28"/>
      <w:sz w:val="22"/>
    </w:rPr>
  </w:style>
  <w:style w:type="character" w:customStyle="1" w:styleId="FooterChar">
    <w:name w:val="Footer Char"/>
    <w:link w:val="Footer"/>
    <w:uiPriority w:val="99"/>
    <w:locked/>
    <w:rsid w:val="00167D5D"/>
    <w:rPr>
      <w:snapToGrid w:val="0"/>
      <w:kern w:val="28"/>
      <w:sz w:val="22"/>
    </w:rPr>
  </w:style>
  <w:style w:type="paragraph" w:styleId="Title">
    <w:name w:val="Title"/>
    <w:basedOn w:val="Normal"/>
    <w:link w:val="TitleChar"/>
    <w:qFormat/>
    <w:rsid w:val="00167D5D"/>
    <w:pPr>
      <w:jc w:val="center"/>
    </w:pPr>
    <w:rPr>
      <w:b/>
      <w:snapToGrid/>
    </w:rPr>
  </w:style>
  <w:style w:type="character" w:customStyle="1" w:styleId="TitleChar">
    <w:name w:val="Title Char"/>
    <w:link w:val="Title"/>
    <w:rsid w:val="00167D5D"/>
    <w:rPr>
      <w:b/>
      <w:kern w:val="28"/>
      <w:sz w:val="22"/>
    </w:rPr>
  </w:style>
  <w:style w:type="paragraph" w:styleId="ListBullet">
    <w:name w:val="List Bullet"/>
    <w:basedOn w:val="Normal"/>
    <w:autoRedefine/>
    <w:rsid w:val="00167D5D"/>
    <w:pPr>
      <w:tabs>
        <w:tab w:val="num" w:pos="360"/>
      </w:tabs>
      <w:ind w:left="360" w:hanging="360"/>
      <w:jc w:val="both"/>
    </w:pPr>
  </w:style>
  <w:style w:type="paragraph" w:styleId="ListContinue2">
    <w:name w:val="List Continue 2"/>
    <w:basedOn w:val="Normal"/>
    <w:rsid w:val="00167D5D"/>
    <w:pPr>
      <w:spacing w:after="120"/>
      <w:ind w:left="720"/>
      <w:jc w:val="both"/>
    </w:pPr>
  </w:style>
  <w:style w:type="character" w:customStyle="1" w:styleId="EndnoteTextChar">
    <w:name w:val="Endnote Text Char"/>
    <w:link w:val="EndnoteText"/>
    <w:semiHidden/>
    <w:locked/>
    <w:rsid w:val="00167D5D"/>
    <w:rPr>
      <w:snapToGrid w:val="0"/>
      <w:kern w:val="28"/>
    </w:rPr>
  </w:style>
  <w:style w:type="table" w:styleId="TableGrid">
    <w:name w:val="Table Grid"/>
    <w:basedOn w:val="TableNormal"/>
    <w:rsid w:val="0016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67D5D"/>
    <w:rPr>
      <w:rFonts w:cs="Times New Roman"/>
      <w:sz w:val="16"/>
      <w:szCs w:val="16"/>
    </w:rPr>
  </w:style>
  <w:style w:type="paragraph" w:styleId="CommentText">
    <w:name w:val="annotation text"/>
    <w:basedOn w:val="Normal"/>
    <w:link w:val="CommentTextChar"/>
    <w:uiPriority w:val="99"/>
    <w:rsid w:val="00167D5D"/>
    <w:rPr>
      <w:snapToGrid/>
      <w:sz w:val="20"/>
    </w:rPr>
  </w:style>
  <w:style w:type="character" w:customStyle="1" w:styleId="CommentTextChar">
    <w:name w:val="Comment Text Char"/>
    <w:link w:val="CommentText"/>
    <w:uiPriority w:val="99"/>
    <w:rsid w:val="00167D5D"/>
    <w:rPr>
      <w:kern w:val="28"/>
    </w:rPr>
  </w:style>
  <w:style w:type="paragraph" w:styleId="CommentSubject">
    <w:name w:val="annotation subject"/>
    <w:basedOn w:val="CommentText"/>
    <w:next w:val="CommentText"/>
    <w:link w:val="CommentSubjectChar"/>
    <w:rsid w:val="00167D5D"/>
    <w:rPr>
      <w:b/>
      <w:bCs/>
    </w:rPr>
  </w:style>
  <w:style w:type="character" w:customStyle="1" w:styleId="CommentSubjectChar">
    <w:name w:val="Comment Subject Char"/>
    <w:link w:val="CommentSubject"/>
    <w:rsid w:val="00167D5D"/>
    <w:rPr>
      <w:b/>
      <w:bCs/>
      <w:kern w:val="28"/>
    </w:rPr>
  </w:style>
  <w:style w:type="paragraph" w:styleId="HTMLPreformatted">
    <w:name w:val="HTML Preformatted"/>
    <w:basedOn w:val="Normal"/>
    <w:link w:val="HTMLPreformattedChar1"/>
    <w:rsid w:val="0016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rsid w:val="00167D5D"/>
    <w:rPr>
      <w:rFonts w:ascii="Consolas" w:hAnsi="Consolas" w:cs="Consolas"/>
      <w:snapToGrid w:val="0"/>
      <w:kern w:val="28"/>
    </w:rPr>
  </w:style>
  <w:style w:type="character" w:customStyle="1" w:styleId="CharChar">
    <w:name w:val="Char Char"/>
    <w:rsid w:val="00167D5D"/>
    <w:rPr>
      <w:rFonts w:cs="Times New Roman"/>
      <w:b/>
      <w:sz w:val="22"/>
      <w:lang w:val="en-US" w:eastAsia="en-US" w:bidi="ar-SA"/>
    </w:rPr>
  </w:style>
  <w:style w:type="numbering" w:styleId="111111">
    <w:name w:val="Outline List 2"/>
    <w:basedOn w:val="NoList"/>
    <w:rsid w:val="00167D5D"/>
    <w:pPr>
      <w:numPr>
        <w:numId w:val="11"/>
      </w:numPr>
    </w:pPr>
  </w:style>
  <w:style w:type="paragraph" w:styleId="MessageHeader">
    <w:name w:val="Message Header"/>
    <w:basedOn w:val="Normal"/>
    <w:link w:val="MessageHeaderChar"/>
    <w:rsid w:val="00167D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167D5D"/>
    <w:rPr>
      <w:rFonts w:ascii="Arial" w:hAnsi="Arial" w:cs="Arial"/>
      <w:snapToGrid w:val="0"/>
      <w:kern w:val="28"/>
      <w:sz w:val="24"/>
      <w:szCs w:val="24"/>
      <w:shd w:val="pct20" w:color="auto" w:fill="auto"/>
    </w:rPr>
  </w:style>
  <w:style w:type="character" w:customStyle="1" w:styleId="ptext-14">
    <w:name w:val="ptext-14"/>
    <w:rsid w:val="00167D5D"/>
  </w:style>
  <w:style w:type="character" w:styleId="LineNumber">
    <w:name w:val="line number"/>
    <w:basedOn w:val="DefaultParagraphFont"/>
    <w:rsid w:val="00167D5D"/>
  </w:style>
  <w:style w:type="paragraph" w:customStyle="1" w:styleId="Style1">
    <w:name w:val="Style1"/>
    <w:basedOn w:val="ParaNum"/>
    <w:rsid w:val="00167D5D"/>
    <w:pPr>
      <w:numPr>
        <w:numId w:val="0"/>
      </w:numPr>
    </w:pPr>
  </w:style>
  <w:style w:type="paragraph" w:customStyle="1" w:styleId="ColorfulList-Accent11">
    <w:name w:val="Colorful List - Accent 11"/>
    <w:basedOn w:val="Normal"/>
    <w:uiPriority w:val="34"/>
    <w:qFormat/>
    <w:rsid w:val="00167D5D"/>
    <w:pPr>
      <w:ind w:left="720"/>
      <w:contextualSpacing/>
    </w:pPr>
  </w:style>
  <w:style w:type="paragraph" w:customStyle="1" w:styleId="ColorfulShading-Accent11">
    <w:name w:val="Colorful Shading - Accent 11"/>
    <w:hidden/>
    <w:uiPriority w:val="99"/>
    <w:semiHidden/>
    <w:rsid w:val="00167D5D"/>
    <w:rPr>
      <w:snapToGrid w:val="0"/>
      <w:kern w:val="28"/>
      <w:sz w:val="22"/>
    </w:rPr>
  </w:style>
  <w:style w:type="table" w:customStyle="1" w:styleId="TableGrid1">
    <w:name w:val="Table Grid1"/>
    <w:basedOn w:val="TableNormal"/>
    <w:next w:val="TableGrid"/>
    <w:uiPriority w:val="59"/>
    <w:rsid w:val="00167D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7D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D5D"/>
    <w:pPr>
      <w:widowControl/>
    </w:pPr>
    <w:rPr>
      <w:rFonts w:ascii="Calibri" w:eastAsia="Calibri" w:hAnsi="Calibri" w:cs="Calibri"/>
      <w:snapToGrid/>
      <w:kern w:val="0"/>
      <w:szCs w:val="22"/>
    </w:rPr>
  </w:style>
  <w:style w:type="character" w:customStyle="1" w:styleId="PlainTextChar">
    <w:name w:val="Plain Text Char"/>
    <w:link w:val="PlainText"/>
    <w:uiPriority w:val="99"/>
    <w:rsid w:val="00167D5D"/>
    <w:rPr>
      <w:rFonts w:ascii="Calibri" w:eastAsia="Calibri" w:hAnsi="Calibri" w:cs="Calibri"/>
      <w:sz w:val="22"/>
      <w:szCs w:val="22"/>
    </w:rPr>
  </w:style>
  <w:style w:type="character" w:customStyle="1" w:styleId="displayhltextactive">
    <w:name w:val="display_hl_text_active"/>
    <w:rsid w:val="00074B4D"/>
  </w:style>
  <w:style w:type="character" w:customStyle="1" w:styleId="displayhltext">
    <w:name w:val="display_hl_text"/>
    <w:rsid w:val="00074B4D"/>
  </w:style>
  <w:style w:type="paragraph" w:styleId="ListParagraph">
    <w:name w:val="List Paragraph"/>
    <w:basedOn w:val="Normal"/>
    <w:uiPriority w:val="34"/>
    <w:qFormat/>
    <w:rsid w:val="004F1DE9"/>
    <w:pPr>
      <w:ind w:left="720"/>
      <w:contextualSpacing/>
    </w:pPr>
  </w:style>
  <w:style w:type="paragraph" w:styleId="Revision">
    <w:name w:val="Revision"/>
    <w:hidden/>
    <w:uiPriority w:val="99"/>
    <w:semiHidden/>
    <w:rsid w:val="004F1DE9"/>
    <w:rPr>
      <w:snapToGrid w:val="0"/>
      <w:kern w:val="28"/>
      <w:sz w:val="22"/>
    </w:rPr>
  </w:style>
  <w:style w:type="character" w:customStyle="1" w:styleId="Mention1">
    <w:name w:val="Mention1"/>
    <w:basedOn w:val="DefaultParagraphFont"/>
    <w:uiPriority w:val="99"/>
    <w:semiHidden/>
    <w:unhideWhenUsed/>
    <w:rsid w:val="006F5FBE"/>
    <w:rPr>
      <w:color w:val="2B579A"/>
      <w:shd w:val="clear" w:color="auto" w:fill="E6E6E6"/>
    </w:rPr>
  </w:style>
  <w:style w:type="character" w:customStyle="1" w:styleId="Mention2">
    <w:name w:val="Mention2"/>
    <w:basedOn w:val="DefaultParagraphFont"/>
    <w:uiPriority w:val="99"/>
    <w:semiHidden/>
    <w:unhideWhenUsed/>
    <w:rsid w:val="00DF2906"/>
    <w:rPr>
      <w:color w:val="2B579A"/>
      <w:shd w:val="clear" w:color="auto" w:fill="E6E6E6"/>
    </w:rPr>
  </w:style>
  <w:style w:type="character" w:customStyle="1" w:styleId="UnresolvedMention1">
    <w:name w:val="Unresolved Mention1"/>
    <w:basedOn w:val="DefaultParagraphFont"/>
    <w:uiPriority w:val="99"/>
    <w:semiHidden/>
    <w:unhideWhenUsed/>
    <w:rsid w:val="005420EC"/>
    <w:rPr>
      <w:color w:val="808080"/>
      <w:shd w:val="clear" w:color="auto" w:fill="E6E6E6"/>
    </w:rPr>
  </w:style>
  <w:style w:type="paragraph" w:customStyle="1" w:styleId="xmsonormal">
    <w:name w:val="x_msonormal"/>
    <w:basedOn w:val="Normal"/>
    <w:rsid w:val="000C6941"/>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2.wmf"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telecomlaw.bna.com/terc/display/split_display.adp?fedfid=32623582&amp;wsn=535654000&amp;vname=comrgdec&amp;searchid=28059133&amp;doctypeid=1&amp;type=court&amp;scm=1502&amp;pg=0" TargetMode="External" /><Relationship Id="rId2" Type="http://schemas.openxmlformats.org/officeDocument/2006/relationships/image" Target="media/image1.png" /><Relationship Id="rId3" Type="http://schemas.openxmlformats.org/officeDocument/2006/relationships/hyperlink" Target="javascript:top.docjs.next_hit(1)" TargetMode="External" /><Relationship Id="rId4" Type="http://schemas.openxmlformats.org/officeDocument/2006/relationships/hyperlink" Target="javascript:top.docjs.prev_hit(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7BDA-8EF7-4399-810E-FEE57CFE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11784</Words>
  <Characters>67173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2018-02-08T21:56:53Z</dcterms:created>
  <dcterms:modified xsi:type="dcterms:W3CDTF">2018-02-08T21:56:53Z</dcterms:modified>
</cp:coreProperties>
</file>