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4E5D45" w:rsidP="00013A8B">
      <w:pPr>
        <w:jc w:val="right"/>
        <w:rPr>
          <w:b/>
          <w:szCs w:val="22"/>
        </w:rPr>
      </w:pPr>
      <w:r>
        <w:rPr>
          <w:b/>
          <w:szCs w:val="22"/>
        </w:rPr>
        <w:t>DA 18-1296</w:t>
      </w:r>
    </w:p>
    <w:p w:rsidR="00013A8B" w:rsidRPr="004E5D45" w:rsidP="00013A8B">
      <w:pPr>
        <w:spacing w:before="60"/>
        <w:jc w:val="right"/>
        <w:rPr>
          <w:b/>
          <w:szCs w:val="22"/>
        </w:rPr>
      </w:pPr>
      <w:r>
        <w:rPr>
          <w:b/>
          <w:szCs w:val="22"/>
        </w:rPr>
        <w:t>Released:  December</w:t>
      </w:r>
      <w:r w:rsidR="003248B2">
        <w:rPr>
          <w:b/>
          <w:szCs w:val="22"/>
        </w:rPr>
        <w:t xml:space="preserve"> </w:t>
      </w:r>
      <w:r>
        <w:rPr>
          <w:b/>
          <w:szCs w:val="22"/>
        </w:rPr>
        <w:t>21</w:t>
      </w:r>
      <w:r w:rsidRPr="004E5D45" w:rsidR="002C1095">
        <w:rPr>
          <w:b/>
          <w:szCs w:val="22"/>
        </w:rPr>
        <w:t>, 2018</w:t>
      </w:r>
    </w:p>
    <w:p w:rsidR="00013A8B" w:rsidRPr="004E5D45" w:rsidP="00013A8B">
      <w:pPr>
        <w:jc w:val="right"/>
        <w:rPr>
          <w:szCs w:val="22"/>
        </w:rPr>
      </w:pPr>
    </w:p>
    <w:p w:rsidR="00013A8B" w:rsidRPr="004E5D45" w:rsidP="00013A8B">
      <w:pPr>
        <w:spacing w:after="240"/>
        <w:jc w:val="center"/>
        <w:rPr>
          <w:rFonts w:ascii="Times New Roman Bold" w:hAnsi="Times New Roman Bold"/>
          <w:b/>
          <w:caps/>
          <w:szCs w:val="22"/>
        </w:rPr>
      </w:pPr>
      <w:r w:rsidRPr="004E5D45">
        <w:rPr>
          <w:rFonts w:ascii="Times New Roman Bold" w:hAnsi="Times New Roman Bold"/>
          <w:b/>
          <w:caps/>
          <w:szCs w:val="22"/>
        </w:rPr>
        <w:t>Consumer and Governmental Affairs Bu</w:t>
      </w:r>
      <w:r>
        <w:rPr>
          <w:rFonts w:ascii="Times New Roman Bold" w:hAnsi="Times New Roman Bold"/>
          <w:b/>
          <w:caps/>
          <w:szCs w:val="22"/>
        </w:rPr>
        <w:t>R</w:t>
      </w:r>
      <w:r w:rsidRPr="004E5D45">
        <w:rPr>
          <w:rFonts w:ascii="Times New Roman Bold" w:hAnsi="Times New Roman Bold"/>
          <w:b/>
          <w:caps/>
          <w:szCs w:val="22"/>
        </w:rPr>
        <w:t>eau Seeks Co</w:t>
      </w:r>
      <w:r w:rsidR="005904F6">
        <w:rPr>
          <w:rFonts w:ascii="Times New Roman Bold" w:hAnsi="Times New Roman Bold"/>
          <w:b/>
          <w:caps/>
          <w:szCs w:val="22"/>
        </w:rPr>
        <w:t>mment on Petition for DEclaratory Ruling</w:t>
      </w:r>
      <w:r w:rsidRPr="004E5D45">
        <w:rPr>
          <w:rFonts w:ascii="Times New Roman Bold" w:hAnsi="Times New Roman Bold"/>
          <w:b/>
          <w:caps/>
          <w:szCs w:val="22"/>
        </w:rPr>
        <w:t xml:space="preserve"> BY </w:t>
      </w:r>
      <w:r w:rsidR="00026574">
        <w:rPr>
          <w:rFonts w:ascii="Times New Roman Bold" w:hAnsi="Times New Roman Bold"/>
          <w:b/>
          <w:caps/>
          <w:szCs w:val="22"/>
        </w:rPr>
        <w:t xml:space="preserve">Best Doctors, Inc. </w:t>
      </w:r>
    </w:p>
    <w:p w:rsidR="00013A8B" w:rsidRPr="004E5D45" w:rsidP="00013A8B">
      <w:pPr>
        <w:jc w:val="center"/>
        <w:rPr>
          <w:b/>
          <w:szCs w:val="22"/>
        </w:rPr>
      </w:pPr>
      <w:r>
        <w:rPr>
          <w:b/>
          <w:szCs w:val="22"/>
        </w:rPr>
        <w:t>CG Docket Nos. 02-278, 05-338</w:t>
      </w:r>
    </w:p>
    <w:p w:rsidR="00F96F63" w:rsidRPr="004E5D45" w:rsidP="00F96F63">
      <w:pPr>
        <w:rPr>
          <w:szCs w:val="22"/>
        </w:rPr>
      </w:pPr>
      <w:bookmarkStart w:id="0" w:name="TOChere"/>
    </w:p>
    <w:bookmarkEnd w:id="0"/>
    <w:p w:rsidR="008B7D28" w:rsidRPr="004E5D45" w:rsidP="006A10FD">
      <w:pPr>
        <w:rPr>
          <w:b/>
          <w:szCs w:val="22"/>
        </w:rPr>
      </w:pPr>
      <w:r w:rsidRPr="004E5D45">
        <w:rPr>
          <w:b/>
          <w:szCs w:val="22"/>
        </w:rPr>
        <w:t>Comment Date:</w:t>
      </w:r>
      <w:r w:rsidR="008322B2">
        <w:rPr>
          <w:b/>
          <w:szCs w:val="22"/>
        </w:rPr>
        <w:t xml:space="preserve">   </w:t>
      </w:r>
      <w:r w:rsidR="001D19C0">
        <w:rPr>
          <w:b/>
          <w:szCs w:val="22"/>
        </w:rPr>
        <w:t>January 25, 2019</w:t>
      </w:r>
      <w:r w:rsidRPr="004E5D45">
        <w:rPr>
          <w:b/>
          <w:szCs w:val="22"/>
        </w:rPr>
        <w:t xml:space="preserve">  </w:t>
      </w:r>
    </w:p>
    <w:p w:rsidR="008B7D28" w:rsidRPr="004E5D45" w:rsidP="006A10FD">
      <w:pPr>
        <w:rPr>
          <w:b/>
          <w:szCs w:val="22"/>
        </w:rPr>
      </w:pPr>
      <w:r w:rsidRPr="004E5D45">
        <w:rPr>
          <w:b/>
          <w:szCs w:val="22"/>
        </w:rPr>
        <w:t xml:space="preserve">Reply </w:t>
      </w:r>
      <w:r w:rsidR="005904F6">
        <w:rPr>
          <w:b/>
          <w:szCs w:val="22"/>
        </w:rPr>
        <w:t>Comment Date:</w:t>
      </w:r>
      <w:r w:rsidR="001D19C0">
        <w:rPr>
          <w:b/>
          <w:szCs w:val="22"/>
        </w:rPr>
        <w:t xml:space="preserve">  February 8, 2019</w:t>
      </w:r>
      <w:r w:rsidR="005904F6">
        <w:rPr>
          <w:b/>
          <w:szCs w:val="22"/>
        </w:rPr>
        <w:t xml:space="preserve"> </w:t>
      </w:r>
    </w:p>
    <w:p w:rsidR="001B5766" w:rsidP="006A10FD">
      <w:pPr>
        <w:ind w:firstLine="720"/>
        <w:rPr>
          <w:szCs w:val="22"/>
        </w:rPr>
      </w:pPr>
    </w:p>
    <w:p w:rsidR="008B7D28" w:rsidP="001B5766">
      <w:pPr>
        <w:ind w:firstLine="720"/>
        <w:rPr>
          <w:szCs w:val="22"/>
        </w:rPr>
      </w:pPr>
      <w:r w:rsidRPr="000D7702">
        <w:rPr>
          <w:szCs w:val="22"/>
        </w:rPr>
        <w:t xml:space="preserve">With this Public Notice, </w:t>
      </w:r>
      <w:r w:rsidR="001B5766">
        <w:rPr>
          <w:szCs w:val="22"/>
        </w:rPr>
        <w:t xml:space="preserve">we seek comment </w:t>
      </w:r>
      <w:r w:rsidR="003248B2">
        <w:rPr>
          <w:szCs w:val="22"/>
        </w:rPr>
        <w:t>on a petition for declaratory ruling</w:t>
      </w:r>
      <w:r w:rsidRPr="000D7702">
        <w:rPr>
          <w:szCs w:val="22"/>
        </w:rPr>
        <w:t xml:space="preserve"> filed by </w:t>
      </w:r>
      <w:r w:rsidR="003248B2">
        <w:rPr>
          <w:szCs w:val="22"/>
        </w:rPr>
        <w:t>Best Doctors, Inc.</w:t>
      </w:r>
      <w:r>
        <w:rPr>
          <w:rStyle w:val="FootnoteReference"/>
          <w:szCs w:val="22"/>
        </w:rPr>
        <w:footnoteReference w:id="3"/>
      </w:r>
      <w:r w:rsidR="003248B2">
        <w:rPr>
          <w:szCs w:val="22"/>
        </w:rPr>
        <w:t xml:space="preserve"> </w:t>
      </w:r>
      <w:r w:rsidR="001B5766">
        <w:rPr>
          <w:szCs w:val="22"/>
        </w:rPr>
        <w:t xml:space="preserve"> Specifically, the </w:t>
      </w:r>
      <w:r w:rsidR="001B5766">
        <w:rPr>
          <w:i/>
          <w:szCs w:val="22"/>
        </w:rPr>
        <w:t xml:space="preserve">Petition </w:t>
      </w:r>
      <w:r w:rsidR="001B5766">
        <w:rPr>
          <w:szCs w:val="22"/>
        </w:rPr>
        <w:t xml:space="preserve">asks for clarification that </w:t>
      </w:r>
      <w:r w:rsidR="003248B2">
        <w:rPr>
          <w:szCs w:val="22"/>
        </w:rPr>
        <w:t>“</w:t>
      </w:r>
      <w:r w:rsidRPr="003248B2" w:rsidR="003248B2">
        <w:rPr>
          <w:szCs w:val="22"/>
        </w:rPr>
        <w:t xml:space="preserve">a request sent to a telephone facsimile machine asking the recipient to </w:t>
      </w:r>
      <w:r w:rsidR="003248B2">
        <w:rPr>
          <w:szCs w:val="22"/>
        </w:rPr>
        <w:t>verify</w:t>
      </w:r>
      <w:r w:rsidR="001B5766">
        <w:rPr>
          <w:szCs w:val="22"/>
        </w:rPr>
        <w:t xml:space="preserve"> </w:t>
      </w:r>
      <w:r w:rsidR="003248B2">
        <w:rPr>
          <w:szCs w:val="22"/>
        </w:rPr>
        <w:t xml:space="preserve">. . . </w:t>
      </w:r>
      <w:r w:rsidRPr="003248B2" w:rsidR="003248B2">
        <w:rPr>
          <w:szCs w:val="22"/>
        </w:rPr>
        <w:t xml:space="preserve">contact information and operational </w:t>
      </w:r>
      <w:r w:rsidR="003248B2">
        <w:rPr>
          <w:szCs w:val="22"/>
        </w:rPr>
        <w:t>status . . . for</w:t>
      </w:r>
      <w:r w:rsidRPr="003248B2" w:rsidR="003248B2">
        <w:rPr>
          <w:szCs w:val="22"/>
        </w:rPr>
        <w:t xml:space="preserve"> inclusion in a database when the request does not state the commercial avail</w:t>
      </w:r>
      <w:r w:rsidR="003248B2">
        <w:rPr>
          <w:szCs w:val="22"/>
        </w:rPr>
        <w:t xml:space="preserve">ability or quality of property, </w:t>
      </w:r>
      <w:r w:rsidRPr="003248B2" w:rsidR="003248B2">
        <w:rPr>
          <w:szCs w:val="22"/>
        </w:rPr>
        <w:t xml:space="preserve">goods, or services is not an </w:t>
      </w:r>
      <w:r w:rsidR="001B5766">
        <w:rPr>
          <w:szCs w:val="22"/>
        </w:rPr>
        <w:t>‘</w:t>
      </w:r>
      <w:r w:rsidRPr="003248B2" w:rsidR="003248B2">
        <w:rPr>
          <w:szCs w:val="22"/>
        </w:rPr>
        <w:t>advertisement</w:t>
      </w:r>
      <w:r w:rsidR="001B5766">
        <w:rPr>
          <w:szCs w:val="22"/>
        </w:rPr>
        <w:t>’</w:t>
      </w:r>
      <w:r w:rsidRPr="003248B2" w:rsidR="003248B2">
        <w:rPr>
          <w:szCs w:val="22"/>
        </w:rPr>
        <w:t xml:space="preserve"> under the Telephone Consumer Protection Act, as modified by the Junk Fax Protection Act (</w:t>
      </w:r>
      <w:r w:rsidR="001B5766">
        <w:rPr>
          <w:szCs w:val="22"/>
        </w:rPr>
        <w:t>‘</w:t>
      </w:r>
      <w:r w:rsidRPr="003248B2" w:rsidR="003248B2">
        <w:rPr>
          <w:szCs w:val="22"/>
        </w:rPr>
        <w:t>TCPA</w:t>
      </w:r>
      <w:r w:rsidR="001B5766">
        <w:rPr>
          <w:szCs w:val="22"/>
        </w:rPr>
        <w:t>’</w:t>
      </w:r>
      <w:r w:rsidRPr="003248B2" w:rsidR="003248B2">
        <w:rPr>
          <w:szCs w:val="22"/>
        </w:rPr>
        <w:t>)</w:t>
      </w:r>
      <w:r w:rsidR="003248B2">
        <w:rPr>
          <w:szCs w:val="22"/>
        </w:rPr>
        <w:t>.”</w:t>
      </w:r>
      <w:r>
        <w:rPr>
          <w:rStyle w:val="FootnoteReference"/>
          <w:szCs w:val="22"/>
        </w:rPr>
        <w:footnoteReference w:id="4"/>
      </w:r>
    </w:p>
    <w:p w:rsidR="001B5766" w:rsidP="001B5766">
      <w:pPr>
        <w:ind w:firstLine="720"/>
        <w:rPr>
          <w:szCs w:val="22"/>
        </w:rPr>
      </w:pPr>
    </w:p>
    <w:p w:rsidR="001B5766" w:rsidRPr="00674185" w:rsidP="006A10FD">
      <w:pPr>
        <w:ind w:firstLine="720"/>
        <w:rPr>
          <w:szCs w:val="22"/>
        </w:rPr>
      </w:pPr>
      <w:r>
        <w:rPr>
          <w:szCs w:val="22"/>
        </w:rPr>
        <w:t xml:space="preserve">We seek comment on this and any other issues raised in the </w:t>
      </w:r>
      <w:r w:rsidR="00CC4CF5">
        <w:rPr>
          <w:i/>
          <w:szCs w:val="22"/>
        </w:rPr>
        <w:t>P</w:t>
      </w:r>
      <w:r w:rsidRPr="006A10FD">
        <w:rPr>
          <w:i/>
          <w:szCs w:val="22"/>
        </w:rPr>
        <w:t>etition</w:t>
      </w:r>
      <w:r w:rsidR="00CC4CF5">
        <w:rPr>
          <w:szCs w:val="22"/>
        </w:rPr>
        <w:t>.</w:t>
      </w:r>
    </w:p>
    <w:p w:rsidR="001B5766" w:rsidP="006A10FD">
      <w:pPr>
        <w:ind w:firstLine="720"/>
        <w:rPr>
          <w:i/>
          <w:szCs w:val="22"/>
        </w:rPr>
      </w:pPr>
    </w:p>
    <w:p w:rsidR="008B7D28" w:rsidP="001B5766">
      <w:pPr>
        <w:ind w:firstLine="720"/>
        <w:rPr>
          <w:szCs w:val="22"/>
        </w:rPr>
      </w:pPr>
      <w:r w:rsidRPr="000D7702">
        <w:rPr>
          <w:i/>
          <w:szCs w:val="22"/>
        </w:rPr>
        <w:t xml:space="preserve">Filing Requirements.  </w:t>
      </w:r>
      <w:r w:rsidRPr="000D7702">
        <w:rPr>
          <w:szCs w:val="22"/>
        </w:rPr>
        <w:t>Interested parties may file comments on or before the date indicated on the first page of this document.</w:t>
      </w:r>
      <w:r>
        <w:rPr>
          <w:szCs w:val="22"/>
          <w:vertAlign w:val="superscript"/>
        </w:rPr>
        <w:footnoteReference w:id="5"/>
      </w:r>
      <w:r w:rsidRPr="000D7702">
        <w:rPr>
          <w:szCs w:val="22"/>
        </w:rPr>
        <w:t xml:space="preserve">  </w:t>
      </w:r>
      <w:r w:rsidRPr="000D7702">
        <w:rPr>
          <w:iCs/>
          <w:szCs w:val="22"/>
        </w:rPr>
        <w:t>All filings mus</w:t>
      </w:r>
      <w:r w:rsidR="002A317B">
        <w:rPr>
          <w:iCs/>
          <w:szCs w:val="22"/>
        </w:rPr>
        <w:t>t reference CG Docket Nos. 02-278 and 05-338</w:t>
      </w:r>
      <w:r w:rsidRPr="000D7702">
        <w:rPr>
          <w:iCs/>
          <w:szCs w:val="22"/>
        </w:rPr>
        <w:t xml:space="preserve">.  </w:t>
      </w:r>
      <w:r w:rsidRPr="000D7702">
        <w:rPr>
          <w:szCs w:val="22"/>
        </w:rPr>
        <w:t>Comments may be filed using the Commission’s Electronic Comment Filing System (ECFS).</w:t>
      </w:r>
      <w:r>
        <w:rPr>
          <w:szCs w:val="22"/>
          <w:vertAlign w:val="superscript"/>
        </w:rPr>
        <w:footnoteReference w:id="6"/>
      </w:r>
      <w:r w:rsidRPr="000D7702">
        <w:rPr>
          <w:szCs w:val="22"/>
        </w:rPr>
        <w:t xml:space="preserve">  </w:t>
      </w:r>
    </w:p>
    <w:p w:rsidR="00674185" w:rsidRPr="000D7702" w:rsidP="006A10FD">
      <w:pPr>
        <w:ind w:firstLine="720"/>
        <w:rPr>
          <w:szCs w:val="22"/>
        </w:rPr>
      </w:pPr>
    </w:p>
    <w:p w:rsidR="008B7D28" w:rsidRPr="000D7702" w:rsidP="008B7D28">
      <w:pPr>
        <w:numPr>
          <w:ilvl w:val="0"/>
          <w:numId w:val="7"/>
        </w:numPr>
        <w:spacing w:after="120"/>
        <w:rPr>
          <w:szCs w:val="22"/>
        </w:rPr>
      </w:pPr>
      <w:r w:rsidRPr="000D7702">
        <w:rPr>
          <w:szCs w:val="22"/>
        </w:rPr>
        <w:t xml:space="preserve">Electronic Filers:  Comments may be filed electronically using the Internet by accessing ECFS:  </w:t>
      </w:r>
      <w:hyperlink r:id="rId5" w:history="1">
        <w:r w:rsidRPr="000D7702">
          <w:rPr>
            <w:color w:val="0000FF"/>
            <w:szCs w:val="22"/>
            <w:u w:val="single"/>
          </w:rPr>
          <w:t>https://www.fcc.gov/ecfs/</w:t>
        </w:r>
      </w:hyperlink>
      <w:r w:rsidRPr="000D7702">
        <w:rPr>
          <w:szCs w:val="22"/>
        </w:rPr>
        <w:t xml:space="preserve">.  </w:t>
      </w:r>
    </w:p>
    <w:p w:rsidR="008B7D28" w:rsidRPr="000D7702" w:rsidP="008B7D28">
      <w:pPr>
        <w:numPr>
          <w:ilvl w:val="0"/>
          <w:numId w:val="7"/>
        </w:numPr>
        <w:spacing w:after="120"/>
        <w:rPr>
          <w:szCs w:val="22"/>
        </w:rPr>
      </w:pPr>
      <w:r w:rsidRPr="000D7702">
        <w:rPr>
          <w:szCs w:val="22"/>
        </w:rPr>
        <w:t>Paper Filers:  Parties who choose to file by paper must file an original and one copy of each filing.</w:t>
      </w:r>
    </w:p>
    <w:p w:rsidR="008B7D28" w:rsidRPr="000D7702" w:rsidP="00C30CC7">
      <w:pPr>
        <w:widowControl/>
        <w:numPr>
          <w:ilvl w:val="0"/>
          <w:numId w:val="7"/>
        </w:numPr>
        <w:spacing w:after="120"/>
        <w:rPr>
          <w:szCs w:val="22"/>
        </w:rPr>
      </w:pPr>
      <w:r w:rsidRPr="000D7702">
        <w:rPr>
          <w:szCs w:val="22"/>
        </w:rPr>
        <w:t>Filings can be sent by hand or messenger delivery, by commercial overnight courier, or by f</w:t>
      </w:r>
      <w:bookmarkStart w:id="1" w:name="_GoBack"/>
      <w:bookmarkEnd w:id="1"/>
      <w:r w:rsidRPr="000D7702">
        <w:rPr>
          <w:szCs w:val="22"/>
        </w:rPr>
        <w:t>irst-class or overnight U.S. Postal Service mail.  All filings must be addressed to the Commission’s Secretary, Office of the Secretary, Federal Communications Commission.</w:t>
      </w:r>
    </w:p>
    <w:p w:rsidR="008B7D28" w:rsidRPr="000D7702" w:rsidP="008B7D28">
      <w:pPr>
        <w:numPr>
          <w:ilvl w:val="1"/>
          <w:numId w:val="7"/>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8B7D28" w:rsidRPr="000D7702" w:rsidP="008B7D28">
      <w:pPr>
        <w:numPr>
          <w:ilvl w:val="1"/>
          <w:numId w:val="7"/>
        </w:numPr>
        <w:spacing w:after="120"/>
        <w:rPr>
          <w:szCs w:val="22"/>
        </w:rPr>
      </w:pPr>
      <w:r w:rsidRPr="000D7702">
        <w:rPr>
          <w:szCs w:val="22"/>
        </w:rPr>
        <w:t>Commercial overnight mail (other than U.S. Postal Service Express Mail and Priority Mail) must be sent to 9050 Junction Drive, Annapolis Junction, MD 20701.</w:t>
      </w:r>
    </w:p>
    <w:p w:rsidR="008B7D28" w:rsidRPr="000D7702" w:rsidP="008B7D28">
      <w:pPr>
        <w:numPr>
          <w:ilvl w:val="1"/>
          <w:numId w:val="7"/>
        </w:numPr>
        <w:spacing w:after="120"/>
        <w:rPr>
          <w:szCs w:val="22"/>
        </w:rPr>
      </w:pPr>
      <w:r w:rsidRPr="000D7702">
        <w:rPr>
          <w:szCs w:val="22"/>
        </w:rPr>
        <w:t>U.S. Postal Service first-class, Express, and Priority mail must be addressed to 445 12th Street, SW, Washington DC  20554.</w:t>
      </w:r>
    </w:p>
    <w:p w:rsidR="008B7D28" w:rsidRPr="000D7702" w:rsidP="008B7D28">
      <w:pPr>
        <w:spacing w:after="120"/>
        <w:ind w:firstLine="720"/>
        <w:rPr>
          <w:szCs w:val="22"/>
        </w:rPr>
      </w:pPr>
      <w:r w:rsidRPr="000D7702">
        <w:rPr>
          <w:i/>
          <w:szCs w:val="22"/>
        </w:rPr>
        <w:t>Ex Parte Rules</w:t>
      </w:r>
      <w:r w:rsidRPr="000D7702">
        <w:rPr>
          <w:szCs w:val="22"/>
        </w:rPr>
        <w:t xml:space="preserve">.  The proceeding this Notice initiates shall be treated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7"/>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8B7D28" w:rsidRPr="000D7702" w:rsidP="008B7D28">
      <w:pPr>
        <w:spacing w:after="120"/>
        <w:ind w:firstLine="720"/>
        <w:rPr>
          <w:szCs w:val="22"/>
        </w:rPr>
      </w:pPr>
      <w:r w:rsidRPr="000D7702">
        <w:rPr>
          <w:i/>
          <w:szCs w:val="22"/>
        </w:rPr>
        <w:t xml:space="preserve">People with Disabilities.  </w:t>
      </w:r>
      <w:r w:rsidRPr="000D7702">
        <w:rPr>
          <w:szCs w:val="22"/>
        </w:rPr>
        <w:t xml:space="preserve">To request materials in accessible formats for people with disabilities (Braille, large print, electronic files, audio format), send an e-mail to </w:t>
      </w:r>
      <w:hyperlink r:id="rId6" w:history="1">
        <w:r w:rsidRPr="000D7702">
          <w:rPr>
            <w:color w:val="0000FF"/>
            <w:szCs w:val="22"/>
            <w:u w:val="single"/>
          </w:rPr>
          <w:t>fcc504@fcc.gov</w:t>
        </w:r>
      </w:hyperlink>
      <w:r w:rsidRPr="000D7702">
        <w:rPr>
          <w:szCs w:val="22"/>
        </w:rPr>
        <w:t xml:space="preserve"> or call the Consumer and Governmental Affairs Bureau at 202-418-0530 (voice), 844-432-2275 (videophone), or 202-418-0432 (TTY).  </w:t>
      </w:r>
    </w:p>
    <w:p w:rsidR="008B7D28" w:rsidP="008B7D28">
      <w:pPr>
        <w:spacing w:after="120"/>
        <w:ind w:firstLine="720"/>
        <w:rPr>
          <w:szCs w:val="22"/>
        </w:rPr>
      </w:pPr>
      <w:r w:rsidRPr="000D7702">
        <w:rPr>
          <w:i/>
          <w:szCs w:val="22"/>
        </w:rPr>
        <w:t xml:space="preserve">Additional Information.  </w:t>
      </w:r>
      <w:r w:rsidRPr="000D7702">
        <w:rPr>
          <w:szCs w:val="22"/>
        </w:rPr>
        <w:t>For further information regarding this Noti</w:t>
      </w:r>
      <w:r w:rsidR="00C66FCD">
        <w:rPr>
          <w:szCs w:val="22"/>
        </w:rPr>
        <w:t>ce, please contact Rebecca Hirselj, Consumer Policy Division</w:t>
      </w:r>
      <w:r w:rsidRPr="000D7702">
        <w:rPr>
          <w:szCs w:val="22"/>
        </w:rPr>
        <w:t>, Consumer and Governmental Affairs Bur</w:t>
      </w:r>
      <w:r w:rsidR="005904F6">
        <w:rPr>
          <w:szCs w:val="22"/>
        </w:rPr>
        <w:t>eau, at 202-418-7603</w:t>
      </w:r>
      <w:r w:rsidRPr="000D7702">
        <w:rPr>
          <w:szCs w:val="22"/>
        </w:rPr>
        <w:t xml:space="preserve"> or by e-mail to </w:t>
      </w:r>
      <w:r w:rsidR="00C66FCD">
        <w:rPr>
          <w:szCs w:val="22"/>
        </w:rPr>
        <w:t>Rebecca.H</w:t>
      </w:r>
      <w:r w:rsidR="00674185">
        <w:rPr>
          <w:szCs w:val="22"/>
        </w:rPr>
        <w:t>i</w:t>
      </w:r>
      <w:r w:rsidR="00C66FCD">
        <w:rPr>
          <w:szCs w:val="22"/>
        </w:rPr>
        <w:t>rs</w:t>
      </w:r>
      <w:r w:rsidR="00674185">
        <w:rPr>
          <w:szCs w:val="22"/>
        </w:rPr>
        <w:t>e</w:t>
      </w:r>
      <w:r w:rsidR="00C66FCD">
        <w:rPr>
          <w:szCs w:val="22"/>
        </w:rPr>
        <w:t>lj@fcc.gov</w:t>
      </w:r>
      <w:r w:rsidRPr="000D7702">
        <w:rPr>
          <w:szCs w:val="22"/>
        </w:rPr>
        <w:t xml:space="preserve">. </w:t>
      </w:r>
      <w:r w:rsidR="005904F6">
        <w:rPr>
          <w:szCs w:val="22"/>
        </w:rPr>
        <w:t xml:space="preserve">  </w:t>
      </w:r>
    </w:p>
    <w:p w:rsidR="005904F6" w:rsidRPr="000D7702" w:rsidP="005904F6">
      <w:pPr>
        <w:spacing w:after="120"/>
        <w:rPr>
          <w:szCs w:val="22"/>
        </w:rPr>
      </w:pPr>
    </w:p>
    <w:p w:rsidR="008B7D28" w:rsidRPr="000D7702" w:rsidP="008B7D28">
      <w:pPr>
        <w:widowControl/>
        <w:spacing w:after="120"/>
        <w:jc w:val="center"/>
        <w:rPr>
          <w:b/>
          <w:szCs w:val="22"/>
        </w:rPr>
      </w:pPr>
      <w:r w:rsidRPr="000D7702">
        <w:rPr>
          <w:b/>
          <w:szCs w:val="22"/>
        </w:rPr>
        <w:t>– FCC–</w:t>
      </w:r>
    </w:p>
    <w:p w:rsidR="00F96F63" w:rsidP="00F96F63">
      <w:pPr>
        <w:rPr>
          <w:sz w:val="24"/>
        </w:rPr>
      </w:pPr>
    </w:p>
    <w:p w:rsidR="00930ECF" w:rsidRPr="00930ECF" w:rsidP="00F96F63">
      <w:pPr>
        <w:rPr>
          <w:sz w:val="24"/>
        </w:rPr>
      </w:pPr>
    </w:p>
    <w:sectPr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3C75">
      <w:r>
        <w:separator/>
      </w:r>
    </w:p>
  </w:footnote>
  <w:footnote w:type="continuationSeparator" w:id="1">
    <w:p w:rsidR="006F3C75">
      <w:pPr>
        <w:rPr>
          <w:sz w:val="20"/>
        </w:rPr>
      </w:pPr>
      <w:r>
        <w:rPr>
          <w:sz w:val="20"/>
        </w:rPr>
        <w:t xml:space="preserve">(Continued from previous page)  </w:t>
      </w:r>
      <w:r>
        <w:rPr>
          <w:sz w:val="20"/>
        </w:rPr>
        <w:separator/>
      </w:r>
    </w:p>
  </w:footnote>
  <w:footnote w:type="continuationNotice" w:id="2">
    <w:p w:rsidR="006F3C75" w:rsidP="00910F12">
      <w:pPr>
        <w:jc w:val="right"/>
        <w:rPr>
          <w:sz w:val="20"/>
        </w:rPr>
      </w:pPr>
      <w:r>
        <w:rPr>
          <w:sz w:val="20"/>
        </w:rPr>
        <w:t>(continued….)</w:t>
      </w:r>
    </w:p>
  </w:footnote>
  <w:footnote w:id="3">
    <w:p w:rsidR="001B5766">
      <w:pPr>
        <w:pStyle w:val="FootnoteText"/>
      </w:pPr>
      <w:r>
        <w:rPr>
          <w:rStyle w:val="FootnoteReference"/>
        </w:rPr>
        <w:footnoteRef/>
      </w:r>
      <w:r>
        <w:t xml:space="preserve"> Petition for Declaratory Ruling filed by Best Doctors, Inc. (filed December 14</w:t>
      </w:r>
      <w:r w:rsidRPr="00C66FCD">
        <w:rPr>
          <w:vertAlign w:val="superscript"/>
        </w:rPr>
        <w:t>th</w:t>
      </w:r>
      <w:r>
        <w:t>, 2018),</w:t>
      </w:r>
      <w:r w:rsidRPr="00C66FCD">
        <w:t xml:space="preserve"> </w:t>
      </w:r>
      <w:hyperlink r:id="rId1" w:history="1">
        <w:r w:rsidRPr="00CD42FD">
          <w:rPr>
            <w:rStyle w:val="Hyperlink"/>
          </w:rPr>
          <w:t>https://ecfsapi.fcc.gov/file/1214143237261/Best%20Doctors%20-</w:t>
        </w:r>
        <w:r w:rsidRPr="008A6518">
          <w:rPr>
            <w:rStyle w:val="Hyperlink"/>
          </w:rPr>
          <w:t xml:space="preserve">.  </w:t>
        </w:r>
        <w:r w:rsidRPr="00CD42FD">
          <w:rPr>
            <w:rStyle w:val="Hyperlink"/>
          </w:rPr>
          <w:t>%20Petition%20for%20Declaratory%20Ruling%20sent%2012-14-18.pdf</w:t>
        </w:r>
      </w:hyperlink>
      <w:r>
        <w:t xml:space="preserve"> (</w:t>
      </w:r>
      <w:r w:rsidRPr="00C23559">
        <w:rPr>
          <w:i/>
        </w:rPr>
        <w:t>Petition</w:t>
      </w:r>
      <w:r>
        <w:t>).</w:t>
      </w:r>
    </w:p>
  </w:footnote>
  <w:footnote w:id="4">
    <w:p w:rsidR="003248B2">
      <w:pPr>
        <w:pStyle w:val="FootnoteText"/>
      </w:pPr>
      <w:r>
        <w:rPr>
          <w:rStyle w:val="FootnoteReference"/>
        </w:rPr>
        <w:footnoteRef/>
      </w:r>
      <w:r>
        <w:t xml:space="preserve"> </w:t>
      </w:r>
      <w:r w:rsidR="001B5766">
        <w:rPr>
          <w:i/>
        </w:rPr>
        <w:t>Pet</w:t>
      </w:r>
      <w:r w:rsidR="00CC4CF5">
        <w:rPr>
          <w:i/>
        </w:rPr>
        <w:t>ition</w:t>
      </w:r>
      <w:r w:rsidR="00CC4CF5">
        <w:t xml:space="preserve"> at </w:t>
      </w:r>
      <w:r w:rsidR="00CC4CF5">
        <w:t>i</w:t>
      </w:r>
      <w:r w:rsidR="00CC4CF5">
        <w:rPr>
          <w:i/>
        </w:rPr>
        <w:t xml:space="preserve">.  </w:t>
      </w:r>
      <w:r w:rsidRPr="001E7198" w:rsidR="001E7198">
        <w:t>The TCPA is codified as 47 U.S.C. § 227.  The Commission’s implementing rules are codified a</w:t>
      </w:r>
      <w:r w:rsidR="00674185">
        <w:t>t</w:t>
      </w:r>
      <w:r w:rsidRPr="001E7198" w:rsidR="001E7198">
        <w:t xml:space="preserve"> 47 CFR § 64.1200.  Among</w:t>
      </w:r>
      <w:r w:rsidR="001E7198">
        <w:t xml:space="preserve"> other things, the TCPA and </w:t>
      </w:r>
      <w:r w:rsidR="00674185">
        <w:t xml:space="preserve">our implementing </w:t>
      </w:r>
      <w:r w:rsidRPr="001E7198" w:rsidR="001E7198">
        <w:t xml:space="preserve">rules prohibit the use of a “telephone facsimile machine, computer, or other device” to send an unsolicited advertisement to a telephone facsimile machine. 47 U.S.C. § 227(b)(1)(C); 47 CFR § 64.1200(a)(4).  The TCPA </w:t>
      </w:r>
      <w:r w:rsidR="00674185">
        <w:t xml:space="preserve">and our implementing rules </w:t>
      </w:r>
      <w:r w:rsidRPr="001E7198" w:rsidR="001E7198">
        <w:t>define “unsolicited advertisement” as “any material advertising the commercial availability or quality of any property, goods, or services which is transmitted to any person without that person’s prior express invitation or permission, in writing or otherwise.” 47 U.S.C. § 227(a</w:t>
      </w:r>
      <w:r w:rsidR="001E7198">
        <w:t>)(5); 47 CFR § 64.1200(f</w:t>
      </w:r>
      <w:r w:rsidR="001E7198">
        <w:t>)(</w:t>
      </w:r>
      <w:r w:rsidR="001E7198">
        <w:t>15)</w:t>
      </w:r>
      <w:r w:rsidRPr="00C66FCD" w:rsidR="00C66FCD">
        <w:t>.</w:t>
      </w:r>
    </w:p>
  </w:footnote>
  <w:footnote w:id="5">
    <w:p w:rsidR="008B7D28" w:rsidRPr="00801F23" w:rsidP="008B7D28">
      <w:pPr>
        <w:pStyle w:val="FootnoteText"/>
      </w:pPr>
      <w:r w:rsidRPr="00801F23">
        <w:rPr>
          <w:rStyle w:val="FootnoteReference"/>
        </w:rPr>
        <w:footnoteRef/>
      </w:r>
      <w:r w:rsidRPr="00801F23">
        <w:t xml:space="preserve"> 47 CFR §</w:t>
      </w:r>
      <w:r>
        <w:t>§ 1.405</w:t>
      </w:r>
      <w:r w:rsidRPr="00801F23">
        <w:t>, 1.419.</w:t>
      </w:r>
    </w:p>
  </w:footnote>
  <w:footnote w:id="6">
    <w:p w:rsidR="008B7D28" w:rsidRPr="00801F23" w:rsidP="008B7D28">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 w:id="7">
    <w:p w:rsidR="008B7D28" w:rsidRPr="00801F23" w:rsidP="008B7D28">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A717A9">
      <w:rPr>
        <w:b/>
      </w:rPr>
      <w:t>DA 18-1296</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v:path arrowok="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path arrowok="t" textboxrect="0,0,21600,21600"/>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625017928"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2C1095">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path arrowok="t" textboxrect="0,0,21600,21600"/>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4C"/>
    <w:rsid w:val="00013A8B"/>
    <w:rsid w:val="00026574"/>
    <w:rsid w:val="000D7702"/>
    <w:rsid w:val="001B5766"/>
    <w:rsid w:val="001D19C0"/>
    <w:rsid w:val="001E7198"/>
    <w:rsid w:val="002A317B"/>
    <w:rsid w:val="002C1095"/>
    <w:rsid w:val="003248B2"/>
    <w:rsid w:val="00357D50"/>
    <w:rsid w:val="003C4DC9"/>
    <w:rsid w:val="004E5D45"/>
    <w:rsid w:val="0055614C"/>
    <w:rsid w:val="005904F6"/>
    <w:rsid w:val="00674185"/>
    <w:rsid w:val="006A10FD"/>
    <w:rsid w:val="006F3C75"/>
    <w:rsid w:val="006F7393"/>
    <w:rsid w:val="00801F23"/>
    <w:rsid w:val="008322B2"/>
    <w:rsid w:val="008A6518"/>
    <w:rsid w:val="008B7D28"/>
    <w:rsid w:val="00910F12"/>
    <w:rsid w:val="00930ECF"/>
    <w:rsid w:val="009838BC"/>
    <w:rsid w:val="00A717A9"/>
    <w:rsid w:val="00A866AC"/>
    <w:rsid w:val="00C23559"/>
    <w:rsid w:val="00C30CC7"/>
    <w:rsid w:val="00C46A5A"/>
    <w:rsid w:val="00C66FCD"/>
    <w:rsid w:val="00CC4CF5"/>
    <w:rsid w:val="00CD42FD"/>
    <w:rsid w:val="00D216CD"/>
    <w:rsid w:val="00DA3A4C"/>
    <w:rsid w:val="00ED462A"/>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DF9D8D5-AC55-4520-B04B-776C9C25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B7D28"/>
  </w:style>
  <w:style w:type="character" w:customStyle="1" w:styleId="UnresolvedMention">
    <w:name w:val="Unresolved Mention"/>
    <w:uiPriority w:val="99"/>
    <w:rsid w:val="00C66FCD"/>
    <w:rPr>
      <w:color w:val="808080"/>
      <w:shd w:val="clear" w:color="auto" w:fill="E6E6E6"/>
    </w:rPr>
  </w:style>
  <w:style w:type="character" w:styleId="FollowedHyperlink">
    <w:name w:val="FollowedHyperlink"/>
    <w:uiPriority w:val="99"/>
    <w:semiHidden/>
    <w:unhideWhenUsed/>
    <w:rsid w:val="001E7198"/>
    <w:rPr>
      <w:color w:val="954F72"/>
      <w:u w:val="single"/>
    </w:rPr>
  </w:style>
  <w:style w:type="paragraph" w:styleId="BalloonText">
    <w:name w:val="Balloon Text"/>
    <w:basedOn w:val="Normal"/>
    <w:link w:val="BalloonTextChar"/>
    <w:uiPriority w:val="99"/>
    <w:semiHidden/>
    <w:unhideWhenUsed/>
    <w:rsid w:val="00674185"/>
    <w:rPr>
      <w:sz w:val="18"/>
      <w:szCs w:val="18"/>
    </w:rPr>
  </w:style>
  <w:style w:type="character" w:customStyle="1" w:styleId="BalloonTextChar">
    <w:name w:val="Balloon Text Char"/>
    <w:basedOn w:val="DefaultParagraphFont"/>
    <w:link w:val="BalloonText"/>
    <w:uiPriority w:val="99"/>
    <w:semiHidden/>
    <w:rsid w:val="00674185"/>
    <w:rPr>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214143237261/Best%20Doctors%20-%20Petition%20for%20Declaratory%20Ruling%20sent%2012-14-18.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