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20363" w:rsidP="00013A8B" w14:paraId="367E2026" w14:textId="3C0508D7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DA </w:t>
      </w:r>
      <w:r w:rsidR="00F72AB7">
        <w:rPr>
          <w:b/>
          <w:sz w:val="24"/>
        </w:rPr>
        <w:t>18-</w:t>
      </w:r>
      <w:r w:rsidR="001D3D65">
        <w:rPr>
          <w:b/>
          <w:sz w:val="24"/>
        </w:rPr>
        <w:t>130</w:t>
      </w:r>
      <w:r w:rsidR="00174DF4">
        <w:rPr>
          <w:b/>
          <w:sz w:val="24"/>
        </w:rPr>
        <w:t>3</w:t>
      </w:r>
    </w:p>
    <w:p w:rsidR="00013A8B" w:rsidRPr="00B20363" w:rsidP="00013A8B" w14:paraId="1FA40FEC" w14:textId="6A73C51E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C3EBA">
        <w:rPr>
          <w:b/>
          <w:sz w:val="24"/>
        </w:rPr>
        <w:t>December</w:t>
      </w:r>
      <w:r w:rsidR="00F72AB7">
        <w:rPr>
          <w:b/>
          <w:sz w:val="24"/>
        </w:rPr>
        <w:t xml:space="preserve"> 26</w:t>
      </w:r>
      <w:r w:rsidR="00DC3EBA">
        <w:rPr>
          <w:b/>
          <w:sz w:val="24"/>
        </w:rPr>
        <w:t>, 2018</w:t>
      </w:r>
    </w:p>
    <w:p w:rsidR="00013A8B" w:rsidP="00013A8B" w14:paraId="74039A76" w14:textId="77777777">
      <w:pPr>
        <w:jc w:val="right"/>
        <w:rPr>
          <w:sz w:val="24"/>
        </w:rPr>
      </w:pPr>
    </w:p>
    <w:p w:rsidR="00EB3954" w:rsidP="00EB3954" w14:paraId="494996E1" w14:textId="34D4968B">
      <w:pPr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WIRELESS TELECOMMUNICATIONS BUREAU ESTABLISHES UNIFORM DEADLINES FOR OP</w:t>
      </w:r>
      <w:r>
        <w:rPr>
          <w:rFonts w:ascii="Times New Roman Bold" w:hAnsi="Times New Roman Bold"/>
          <w:b/>
          <w:caps/>
          <w:sz w:val="24"/>
        </w:rPr>
        <w:t xml:space="preserve">POSITIONS AND REPLIES REGARDING </w:t>
      </w:r>
      <w:r w:rsidR="00C9461C">
        <w:rPr>
          <w:rFonts w:ascii="Times New Roman Bold" w:hAnsi="Times New Roman Bold"/>
          <w:b/>
          <w:caps/>
          <w:sz w:val="24"/>
        </w:rPr>
        <w:t xml:space="preserve">A </w:t>
      </w:r>
      <w:r>
        <w:rPr>
          <w:rFonts w:ascii="Times New Roman Bold" w:hAnsi="Times New Roman Bold"/>
          <w:b/>
          <w:caps/>
          <w:sz w:val="24"/>
        </w:rPr>
        <w:t xml:space="preserve">PETITION </w:t>
      </w:r>
      <w:r>
        <w:rPr>
          <w:rFonts w:ascii="Times New Roman Bold" w:hAnsi="Times New Roman Bold"/>
          <w:b/>
          <w:caps/>
          <w:sz w:val="24"/>
        </w:rPr>
        <w:t xml:space="preserve">FOR RECONSIDERATION OF </w:t>
      </w:r>
      <w:r w:rsidR="00D160EB">
        <w:rPr>
          <w:rFonts w:ascii="Times New Roman Bold" w:hAnsi="Times New Roman Bold"/>
          <w:b/>
          <w:caps/>
          <w:sz w:val="24"/>
        </w:rPr>
        <w:t xml:space="preserve">THE </w:t>
      </w:r>
    </w:p>
    <w:p w:rsidR="004561B4" w:rsidRPr="001E6281" w:rsidP="005A19D4" w14:paraId="272E12E0" w14:textId="4D30B828">
      <w:pPr>
        <w:jc w:val="center"/>
        <w:rPr>
          <w:rFonts w:ascii="Times New Roman Bold" w:hAnsi="Times New Roman Bold"/>
          <w:b/>
          <w:caps/>
          <w:sz w:val="24"/>
        </w:rPr>
      </w:pPr>
      <w:r w:rsidRPr="005A19D4">
        <w:rPr>
          <w:rFonts w:ascii="Times New Roman Bold" w:hAnsi="Times New Roman Bold"/>
          <w:b/>
          <w:caps/>
          <w:sz w:val="24"/>
        </w:rPr>
        <w:t>WIRELESS</w:t>
      </w:r>
      <w:r w:rsidRPr="001E6281">
        <w:rPr>
          <w:rFonts w:ascii="Times New Roman Bold" w:hAnsi="Times New Roman Bold"/>
          <w:b/>
          <w:caps/>
          <w:sz w:val="24"/>
        </w:rPr>
        <w:t xml:space="preserve"> INFRASTRUCTURE DECLARATORY RULING</w:t>
      </w:r>
      <w:r w:rsidRPr="005A19D4">
        <w:rPr>
          <w:rFonts w:ascii="Times New Roman Bold" w:hAnsi="Times New Roman Bold"/>
          <w:b/>
          <w:caps/>
          <w:sz w:val="24"/>
        </w:rPr>
        <w:t xml:space="preserve"> AND </w:t>
      </w:r>
    </w:p>
    <w:p w:rsidR="00013A8B" w:rsidRPr="001E6281" w:rsidP="00EB3954" w14:paraId="2D96ECC0" w14:textId="6115B085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5A19D4">
        <w:rPr>
          <w:rFonts w:ascii="Times New Roman Bold" w:hAnsi="Times New Roman Bold"/>
          <w:b/>
          <w:caps/>
          <w:sz w:val="24"/>
        </w:rPr>
        <w:t>THIRD REPORT AND ORDER</w:t>
      </w:r>
      <w:r w:rsidRPr="001E6281" w:rsidR="00DC3EBA">
        <w:rPr>
          <w:rFonts w:ascii="Times New Roman Bold" w:hAnsi="Times New Roman Bold"/>
          <w:b/>
          <w:caps/>
          <w:sz w:val="24"/>
        </w:rPr>
        <w:t xml:space="preserve"> </w:t>
      </w:r>
    </w:p>
    <w:p w:rsidR="00013A8B" w:rsidP="00013A8B" w14:paraId="12053F45" w14:textId="1821BDED">
      <w:pPr>
        <w:jc w:val="center"/>
        <w:rPr>
          <w:b/>
          <w:sz w:val="24"/>
        </w:rPr>
      </w:pPr>
      <w:r>
        <w:rPr>
          <w:b/>
          <w:sz w:val="24"/>
        </w:rPr>
        <w:t>WT Docket No. 17-79</w:t>
      </w:r>
      <w:r w:rsidR="00D33E8B">
        <w:rPr>
          <w:b/>
          <w:sz w:val="24"/>
        </w:rPr>
        <w:t xml:space="preserve"> and WC Docket No. 17-84</w:t>
      </w:r>
    </w:p>
    <w:p w:rsidR="00D160EB" w:rsidRPr="005A19D4" w:rsidP="00D160EB" w14:paraId="6E58F269" w14:textId="77777777">
      <w:pPr>
        <w:rPr>
          <w:b/>
          <w:sz w:val="24"/>
        </w:rPr>
      </w:pPr>
    </w:p>
    <w:p w:rsidR="00D160EB" w:rsidRPr="00D160EB" w:rsidP="00D93217" w14:paraId="129C90FB" w14:textId="064985DD">
      <w:pPr>
        <w:spacing w:after="240"/>
        <w:rPr>
          <w:b/>
          <w:sz w:val="24"/>
        </w:rPr>
      </w:pPr>
      <w:r w:rsidRPr="00D160EB">
        <w:rPr>
          <w:b/>
          <w:sz w:val="24"/>
        </w:rPr>
        <w:t>Opposition Date:  15 Days After Federal Re</w:t>
      </w:r>
      <w:r>
        <w:rPr>
          <w:b/>
          <w:sz w:val="24"/>
        </w:rPr>
        <w:t xml:space="preserve">gister Publication of Notice of Petition for </w:t>
      </w:r>
      <w:r w:rsidRPr="00D160EB">
        <w:rPr>
          <w:b/>
          <w:sz w:val="24"/>
        </w:rPr>
        <w:t>Reconsideration</w:t>
      </w:r>
    </w:p>
    <w:p w:rsidR="00D160EB" w:rsidP="00D160EB" w14:paraId="1B72B45E" w14:textId="4DA133FE">
      <w:pPr>
        <w:rPr>
          <w:b/>
          <w:sz w:val="24"/>
        </w:rPr>
      </w:pPr>
      <w:r w:rsidRPr="00D160EB">
        <w:rPr>
          <w:b/>
          <w:sz w:val="24"/>
        </w:rPr>
        <w:t>Reply Date:  10 Days After the Time for Filing Oppositions to Petition for</w:t>
      </w:r>
    </w:p>
    <w:p w:rsidR="00F96F63" w:rsidRPr="00896B10" w:rsidP="00896B10" w14:paraId="1A7E430E" w14:textId="77777777">
      <w:pPr>
        <w:rPr>
          <w:b/>
          <w:sz w:val="24"/>
        </w:rPr>
      </w:pPr>
      <w:r w:rsidRPr="00896B10">
        <w:rPr>
          <w:b/>
          <w:sz w:val="24"/>
        </w:rPr>
        <w:t>Reconsideration has Expired</w:t>
      </w:r>
    </w:p>
    <w:p w:rsidR="00F96F63" w:rsidRPr="00930ECF" w:rsidP="00F96F63" w14:paraId="78DF3FCE" w14:textId="77777777">
      <w:pPr>
        <w:rPr>
          <w:sz w:val="24"/>
        </w:rPr>
      </w:pPr>
      <w:bookmarkStart w:id="1" w:name="TOChere"/>
    </w:p>
    <w:bookmarkEnd w:id="1"/>
    <w:p w:rsidR="000708B5" w:rsidP="004561B4" w14:paraId="279FCC3B" w14:textId="1D6AB0EE">
      <w:pPr>
        <w:spacing w:after="240"/>
        <w:ind w:firstLine="720"/>
        <w:rPr>
          <w:sz w:val="24"/>
        </w:rPr>
      </w:pPr>
      <w:r w:rsidRPr="00D160EB">
        <w:rPr>
          <w:sz w:val="24"/>
        </w:rPr>
        <w:t xml:space="preserve">By this Public Notice, the </w:t>
      </w:r>
      <w:r>
        <w:rPr>
          <w:sz w:val="24"/>
        </w:rPr>
        <w:t>Wireless Telecommunications</w:t>
      </w:r>
      <w:r w:rsidRPr="00D160EB">
        <w:rPr>
          <w:sz w:val="24"/>
        </w:rPr>
        <w:t xml:space="preserve"> Bureau (Bureau) establishes a uniform deadline for oppositions to and replies to oppositions to </w:t>
      </w:r>
      <w:r w:rsidR="004561B4">
        <w:rPr>
          <w:sz w:val="24"/>
        </w:rPr>
        <w:t xml:space="preserve">a petition for reconsideration of </w:t>
      </w:r>
      <w:r w:rsidRPr="00D160EB">
        <w:rPr>
          <w:sz w:val="24"/>
        </w:rPr>
        <w:t xml:space="preserve">the </w:t>
      </w:r>
      <w:r w:rsidRPr="000B0A26">
        <w:rPr>
          <w:i/>
          <w:sz w:val="24"/>
        </w:rPr>
        <w:t>Wireless Infrastructure Declaratory Ruling and Third Report and Order</w:t>
      </w:r>
      <w:r w:rsidR="004561B4">
        <w:rPr>
          <w:sz w:val="24"/>
        </w:rPr>
        <w:t>.</w:t>
      </w:r>
      <w:r>
        <w:rPr>
          <w:rStyle w:val="FootnoteReference"/>
        </w:rPr>
        <w:footnoteReference w:id="3"/>
      </w:r>
      <w:r w:rsidRPr="00D160EB">
        <w:rPr>
          <w:sz w:val="24"/>
        </w:rPr>
        <w:t xml:space="preserve"> </w:t>
      </w:r>
      <w:r w:rsidR="004561B4">
        <w:rPr>
          <w:sz w:val="24"/>
        </w:rPr>
        <w:t xml:space="preserve"> </w:t>
      </w:r>
      <w:r w:rsidR="00DF4D9D">
        <w:rPr>
          <w:sz w:val="24"/>
        </w:rPr>
        <w:t xml:space="preserve">Allan S. </w:t>
      </w:r>
      <w:r w:rsidR="00DF4D9D">
        <w:rPr>
          <w:sz w:val="24"/>
        </w:rPr>
        <w:t>Tilles</w:t>
      </w:r>
      <w:r w:rsidR="00DF4D9D">
        <w:rPr>
          <w:sz w:val="24"/>
        </w:rPr>
        <w:t>, on behalf of t</w:t>
      </w:r>
      <w:r>
        <w:rPr>
          <w:sz w:val="24"/>
        </w:rPr>
        <w:t>he City of New Orleans, Louisiana; Virginia Municipal League; Kentucky League of Cities; Mississippi Municipal League; Pennsylvania Municipal League; Alabama League of Municipalities; Arkansas Municipal League; Nevada League of Cities and Municipalities; Town of Middleburg, Virginia; Jefferson Parish, Louisiana; and the Government Wireless Technology &amp; Communications Association</w:t>
      </w:r>
      <w:r w:rsidR="004561B4">
        <w:rPr>
          <w:sz w:val="24"/>
        </w:rPr>
        <w:t xml:space="preserve"> filed a petition seeking reconsideration of the </w:t>
      </w:r>
      <w:r w:rsidR="001E6281">
        <w:rPr>
          <w:i/>
          <w:sz w:val="24"/>
        </w:rPr>
        <w:t xml:space="preserve">Wireless Infrastructure </w:t>
      </w:r>
      <w:r w:rsidRPr="005A19D4" w:rsidR="004561B4">
        <w:rPr>
          <w:i/>
          <w:sz w:val="24"/>
        </w:rPr>
        <w:t>Declaratory Ruling</w:t>
      </w:r>
      <w:r w:rsidRPr="004561B4" w:rsidR="004561B4">
        <w:rPr>
          <w:sz w:val="24"/>
        </w:rPr>
        <w:t xml:space="preserve"> </w:t>
      </w:r>
      <w:r w:rsidRPr="005A19D4" w:rsidR="004561B4">
        <w:rPr>
          <w:i/>
          <w:sz w:val="24"/>
        </w:rPr>
        <w:t>and Third Report and Order</w:t>
      </w:r>
      <w:r w:rsidRPr="00D160EB">
        <w:rPr>
          <w:sz w:val="24"/>
        </w:rPr>
        <w:t>.</w:t>
      </w:r>
      <w:r>
        <w:rPr>
          <w:rStyle w:val="FootnoteReference"/>
        </w:rPr>
        <w:footnoteReference w:id="4"/>
      </w:r>
      <w:r w:rsidR="00622CAE">
        <w:rPr>
          <w:sz w:val="24"/>
        </w:rPr>
        <w:t xml:space="preserve">  </w:t>
      </w:r>
      <w:r w:rsidR="009C425D">
        <w:rPr>
          <w:sz w:val="24"/>
        </w:rPr>
        <w:t xml:space="preserve">This </w:t>
      </w:r>
      <w:r w:rsidR="00E63EA7">
        <w:rPr>
          <w:sz w:val="24"/>
        </w:rPr>
        <w:t>P</w:t>
      </w:r>
      <w:r w:rsidR="009C425D">
        <w:rPr>
          <w:sz w:val="24"/>
        </w:rPr>
        <w:t xml:space="preserve">etition asks the Commission to reconsider the recurring fee structure, the definition of “effective prohibition,” and undergrounding and minimum spacing issues in the </w:t>
      </w:r>
      <w:r w:rsidRPr="005A19D4" w:rsidR="009C425D">
        <w:rPr>
          <w:i/>
          <w:sz w:val="24"/>
        </w:rPr>
        <w:t>Declaratory Ruling</w:t>
      </w:r>
      <w:r w:rsidR="009C425D">
        <w:rPr>
          <w:sz w:val="24"/>
        </w:rPr>
        <w:t xml:space="preserve">, and the presumptively reasonable periods of time for processing deployment applications in the </w:t>
      </w:r>
      <w:r w:rsidRPr="005A19D4" w:rsidR="009C425D">
        <w:rPr>
          <w:i/>
          <w:sz w:val="24"/>
        </w:rPr>
        <w:t>Third Report and Order</w:t>
      </w:r>
      <w:r w:rsidR="009C425D">
        <w:rPr>
          <w:sz w:val="24"/>
        </w:rPr>
        <w:t>.</w:t>
      </w:r>
      <w:r>
        <w:rPr>
          <w:rStyle w:val="FootnoteReference"/>
        </w:rPr>
        <w:footnoteReference w:id="5"/>
      </w:r>
    </w:p>
    <w:p w:rsidR="00930ECF" w:rsidP="005A19D4" w14:paraId="386AB9CB" w14:textId="024E0D78">
      <w:pPr>
        <w:spacing w:after="240"/>
        <w:rPr>
          <w:sz w:val="24"/>
        </w:rPr>
      </w:pPr>
      <w:r>
        <w:rPr>
          <w:sz w:val="24"/>
        </w:rPr>
        <w:tab/>
      </w:r>
      <w:r w:rsidRPr="000708B5">
        <w:rPr>
          <w:sz w:val="24"/>
        </w:rPr>
        <w:t>Oppositions to a petition for recons</w:t>
      </w:r>
      <w:r>
        <w:rPr>
          <w:sz w:val="24"/>
        </w:rPr>
        <w:t>ideration of an order in a non-</w:t>
      </w:r>
      <w:r w:rsidRPr="000708B5">
        <w:rPr>
          <w:sz w:val="24"/>
        </w:rPr>
        <w:t>rulemaking proceeding are due within 10 days after the petition is filed.</w:t>
      </w:r>
      <w:r>
        <w:rPr>
          <w:rStyle w:val="FootnoteReference"/>
        </w:rPr>
        <w:footnoteReference w:id="6"/>
      </w:r>
      <w:r w:rsidRPr="000708B5">
        <w:rPr>
          <w:sz w:val="24"/>
        </w:rPr>
        <w:t xml:space="preserve">  In contrast, oppositions to a petition for reconsideration of a final order in a rulemaking proceeding are due</w:t>
      </w:r>
      <w:r>
        <w:rPr>
          <w:sz w:val="24"/>
        </w:rPr>
        <w:t xml:space="preserve"> </w:t>
      </w:r>
      <w:r w:rsidRPr="000708B5">
        <w:rPr>
          <w:sz w:val="24"/>
        </w:rPr>
        <w:t>within 15 days after the Commission publishes notice in the Federal Register of the timely filed petitions for reconsideration</w:t>
      </w:r>
      <w:r w:rsidR="00C4572E">
        <w:rPr>
          <w:sz w:val="24"/>
        </w:rPr>
        <w:t>.</w:t>
      </w:r>
      <w:r>
        <w:rPr>
          <w:rStyle w:val="FootnoteReference"/>
        </w:rPr>
        <w:footnoteReference w:id="7"/>
      </w:r>
      <w:r w:rsidR="00AD5775">
        <w:rPr>
          <w:sz w:val="24"/>
        </w:rPr>
        <w:t xml:space="preserve">  </w:t>
      </w:r>
      <w:r w:rsidRPr="000708B5">
        <w:rPr>
          <w:sz w:val="24"/>
        </w:rPr>
        <w:t>Similarly, the deadlines for replies to oppositions vary—seven days afte</w:t>
      </w:r>
      <w:r w:rsidR="000B0A26">
        <w:rPr>
          <w:sz w:val="24"/>
        </w:rPr>
        <w:t xml:space="preserve">r oppositions are due </w:t>
      </w:r>
      <w:r w:rsidR="00E12452">
        <w:rPr>
          <w:sz w:val="24"/>
        </w:rPr>
        <w:t>in a non-rulemaking</w:t>
      </w:r>
      <w:r>
        <w:rPr>
          <w:rStyle w:val="FootnoteReference"/>
        </w:rPr>
        <w:footnoteReference w:id="8"/>
      </w:r>
      <w:r w:rsidR="00D50A9E">
        <w:rPr>
          <w:sz w:val="24"/>
        </w:rPr>
        <w:t xml:space="preserve"> </w:t>
      </w:r>
      <w:r w:rsidRPr="000708B5">
        <w:rPr>
          <w:sz w:val="24"/>
        </w:rPr>
        <w:t>compared to 10 days for a final order in a rulemaking.</w:t>
      </w:r>
      <w:r>
        <w:rPr>
          <w:rStyle w:val="FootnoteReference"/>
        </w:rPr>
        <w:footnoteReference w:id="9"/>
      </w:r>
      <w:r w:rsidR="00BF2900">
        <w:rPr>
          <w:sz w:val="24"/>
        </w:rPr>
        <w:t xml:space="preserve">  </w:t>
      </w:r>
    </w:p>
    <w:p w:rsidR="007E7F9C" w:rsidP="005A19D4" w14:paraId="716669B9" w14:textId="1D6E1B3F">
      <w:pPr>
        <w:spacing w:after="240"/>
        <w:rPr>
          <w:sz w:val="24"/>
        </w:rPr>
      </w:pPr>
      <w:r>
        <w:rPr>
          <w:sz w:val="24"/>
        </w:rPr>
        <w:tab/>
      </w:r>
      <w:r w:rsidRPr="00EB3954" w:rsidR="00EB3954">
        <w:rPr>
          <w:sz w:val="24"/>
        </w:rPr>
        <w:t>For the convenience of all parties, to promote administrative e</w:t>
      </w:r>
      <w:r w:rsidR="00EB3954">
        <w:rPr>
          <w:sz w:val="24"/>
        </w:rPr>
        <w:t xml:space="preserve">fficiency, and to avoid </w:t>
      </w:r>
      <w:r w:rsidRPr="00EB3954" w:rsidR="00EB3954">
        <w:rPr>
          <w:sz w:val="24"/>
        </w:rPr>
        <w:t>unnecessary confusion</w:t>
      </w:r>
      <w:r w:rsidR="007D455F">
        <w:rPr>
          <w:sz w:val="24"/>
        </w:rPr>
        <w:t xml:space="preserve"> from parties who may be uncertain about the deadlines for filing oppositions and replies </w:t>
      </w:r>
      <w:r w:rsidRPr="00EB3954" w:rsidR="00EB3954">
        <w:rPr>
          <w:sz w:val="24"/>
        </w:rPr>
        <w:t xml:space="preserve">to </w:t>
      </w:r>
      <w:r w:rsidR="003526B6">
        <w:rPr>
          <w:sz w:val="24"/>
        </w:rPr>
        <w:t>the</w:t>
      </w:r>
      <w:r w:rsidRPr="00EB3954" w:rsidR="003526B6">
        <w:rPr>
          <w:sz w:val="24"/>
        </w:rPr>
        <w:t xml:space="preserve"> </w:t>
      </w:r>
      <w:r w:rsidR="00E63EA7">
        <w:rPr>
          <w:sz w:val="24"/>
        </w:rPr>
        <w:t>P</w:t>
      </w:r>
      <w:r w:rsidRPr="00EB3954" w:rsidR="00EB3954">
        <w:rPr>
          <w:sz w:val="24"/>
        </w:rPr>
        <w:t>etition</w:t>
      </w:r>
      <w:r w:rsidR="00EB3954">
        <w:rPr>
          <w:sz w:val="24"/>
        </w:rPr>
        <w:t xml:space="preserve">, the Bureau </w:t>
      </w:r>
      <w:r w:rsidR="007D455F">
        <w:rPr>
          <w:sz w:val="24"/>
        </w:rPr>
        <w:t>hereby</w:t>
      </w:r>
      <w:r w:rsidRPr="00EB3954" w:rsidR="00EB3954">
        <w:rPr>
          <w:sz w:val="24"/>
        </w:rPr>
        <w:t xml:space="preserve"> adopt</w:t>
      </w:r>
      <w:r w:rsidR="007D455F">
        <w:rPr>
          <w:sz w:val="24"/>
        </w:rPr>
        <w:t>s</w:t>
      </w:r>
      <w:r w:rsidRPr="00EB3954" w:rsidR="00EB3954">
        <w:rPr>
          <w:sz w:val="24"/>
        </w:rPr>
        <w:t xml:space="preserve"> uniform deadlines for the filing of oppositions to </w:t>
      </w:r>
      <w:r w:rsidR="009012DE">
        <w:rPr>
          <w:sz w:val="24"/>
        </w:rPr>
        <w:t>the</w:t>
      </w:r>
      <w:r w:rsidRPr="00EB3954" w:rsidR="009012DE">
        <w:rPr>
          <w:sz w:val="24"/>
        </w:rPr>
        <w:t xml:space="preserve"> </w:t>
      </w:r>
      <w:r w:rsidR="00E63EA7">
        <w:rPr>
          <w:sz w:val="24"/>
        </w:rPr>
        <w:t>Petition</w:t>
      </w:r>
      <w:r w:rsidRPr="00EB3954" w:rsidR="00EB3954">
        <w:rPr>
          <w:sz w:val="24"/>
        </w:rPr>
        <w:t xml:space="preserve">, and for replies to such oppositions.  The Bureau therefore harmonizes the opposition and reply cycle by setting the dates for oppositions to </w:t>
      </w:r>
      <w:r w:rsidR="009012DE">
        <w:rPr>
          <w:sz w:val="24"/>
        </w:rPr>
        <w:t>the</w:t>
      </w:r>
      <w:r w:rsidRPr="00EB3954" w:rsidR="009012DE">
        <w:rPr>
          <w:sz w:val="24"/>
        </w:rPr>
        <w:t xml:space="preserve"> </w:t>
      </w:r>
      <w:r w:rsidR="00E63EA7">
        <w:rPr>
          <w:sz w:val="24"/>
        </w:rPr>
        <w:t>P</w:t>
      </w:r>
      <w:r w:rsidRPr="00EB3954" w:rsidR="00EB3954">
        <w:rPr>
          <w:sz w:val="24"/>
        </w:rPr>
        <w:t xml:space="preserve">etition </w:t>
      </w:r>
      <w:r w:rsidR="00AD5775">
        <w:rPr>
          <w:sz w:val="24"/>
        </w:rPr>
        <w:t xml:space="preserve">and </w:t>
      </w:r>
      <w:r w:rsidRPr="00EB3954" w:rsidR="00EB3954">
        <w:rPr>
          <w:sz w:val="24"/>
        </w:rPr>
        <w:t xml:space="preserve">any replies thereto using the timeline provided in the Commission’s rules for responding to petitions for reconsideration of a final order in a rulemaking proceeding.  </w:t>
      </w:r>
    </w:p>
    <w:p w:rsidR="00D50A9E" w:rsidP="00622CAE" w14:paraId="00F2DB44" w14:textId="0FE18298">
      <w:pPr>
        <w:spacing w:after="240"/>
        <w:ind w:firstLine="720"/>
        <w:rPr>
          <w:sz w:val="24"/>
        </w:rPr>
      </w:pPr>
      <w:r w:rsidRPr="00EB3954">
        <w:rPr>
          <w:sz w:val="24"/>
        </w:rPr>
        <w:t xml:space="preserve">Oppositions to </w:t>
      </w:r>
      <w:r w:rsidR="00BD7359">
        <w:rPr>
          <w:sz w:val="24"/>
        </w:rPr>
        <w:t>the</w:t>
      </w:r>
      <w:r w:rsidRPr="00EB3954">
        <w:rPr>
          <w:sz w:val="24"/>
        </w:rPr>
        <w:t xml:space="preserve"> </w:t>
      </w:r>
      <w:r w:rsidR="00E63EA7">
        <w:rPr>
          <w:sz w:val="24"/>
        </w:rPr>
        <w:t>P</w:t>
      </w:r>
      <w:r w:rsidRPr="00EB3954" w:rsidR="00E63EA7">
        <w:rPr>
          <w:sz w:val="24"/>
        </w:rPr>
        <w:t>etition</w:t>
      </w:r>
      <w:r w:rsidR="00E63EA7">
        <w:rPr>
          <w:sz w:val="24"/>
        </w:rPr>
        <w:t xml:space="preserve"> </w:t>
      </w:r>
      <w:r w:rsidRPr="00EB3954">
        <w:rPr>
          <w:sz w:val="24"/>
        </w:rPr>
        <w:t xml:space="preserve">shall be filed within 15 days after the date </w:t>
      </w:r>
      <w:r w:rsidR="00BF2900">
        <w:rPr>
          <w:sz w:val="24"/>
        </w:rPr>
        <w:t xml:space="preserve">that notice of the </w:t>
      </w:r>
      <w:r w:rsidR="00E63EA7">
        <w:rPr>
          <w:sz w:val="24"/>
        </w:rPr>
        <w:t>P</w:t>
      </w:r>
      <w:r w:rsidR="00BF2900">
        <w:rPr>
          <w:sz w:val="24"/>
        </w:rPr>
        <w:t>etition is</w:t>
      </w:r>
      <w:r w:rsidR="00BD7359">
        <w:rPr>
          <w:sz w:val="24"/>
        </w:rPr>
        <w:t xml:space="preserve"> published</w:t>
      </w:r>
      <w:r w:rsidR="00DB218A">
        <w:rPr>
          <w:sz w:val="24"/>
        </w:rPr>
        <w:t xml:space="preserve"> in the Federal Register </w:t>
      </w:r>
      <w:r w:rsidRPr="00EB3954">
        <w:rPr>
          <w:sz w:val="24"/>
        </w:rPr>
        <w:t>and replies to oppositions shall be filed within 10 days after the time for filing oppositions has expired.</w:t>
      </w:r>
      <w:r>
        <w:rPr>
          <w:rStyle w:val="FootnoteReference"/>
        </w:rPr>
        <w:footnoteReference w:id="10"/>
      </w:r>
      <w:r w:rsidR="00E63EA7">
        <w:rPr>
          <w:sz w:val="24"/>
        </w:rPr>
        <w:t xml:space="preserve">  A separate Public Notice will be issued when notice of the Petition is published in the Federal Register.</w:t>
      </w:r>
      <w:r w:rsidRPr="00EB3954">
        <w:rPr>
          <w:sz w:val="24"/>
        </w:rPr>
        <w:t xml:space="preserve">  </w:t>
      </w:r>
    </w:p>
    <w:p w:rsidR="004561B4" w:rsidRPr="004561B4" w:rsidP="004561B4" w14:paraId="7FD27952" w14:textId="6AA8EC0C">
      <w:pPr>
        <w:spacing w:after="240"/>
        <w:rPr>
          <w:sz w:val="24"/>
        </w:rPr>
      </w:pPr>
      <w:r>
        <w:rPr>
          <w:sz w:val="24"/>
        </w:rPr>
        <w:tab/>
      </w:r>
      <w:r w:rsidRPr="004561B4">
        <w:rPr>
          <w:sz w:val="24"/>
        </w:rPr>
        <w:t xml:space="preserve">Because the Commission received many comments in the </w:t>
      </w:r>
      <w:r w:rsidRPr="00EB3954">
        <w:rPr>
          <w:i/>
          <w:sz w:val="24"/>
        </w:rPr>
        <w:t>Declaratory Ruling and Third Report and Order</w:t>
      </w:r>
      <w:r w:rsidRPr="004561B4">
        <w:rPr>
          <w:sz w:val="24"/>
        </w:rPr>
        <w:t xml:space="preserve"> proceeding, and because the Bureau is releasing this Public Notice, the Bureau finds good cause to waive the service requirements in 47 CFR §§ 1.106(f)-(h) and 1.429(f)-(g).</w:t>
      </w:r>
      <w:r>
        <w:rPr>
          <w:rStyle w:val="FootnoteReference"/>
        </w:rPr>
        <w:footnoteReference w:id="11"/>
      </w:r>
      <w:r w:rsidRPr="004561B4">
        <w:rPr>
          <w:sz w:val="24"/>
        </w:rPr>
        <w:t xml:space="preserve">  This Public Notice  provide</w:t>
      </w:r>
      <w:r w:rsidR="00A12FF0">
        <w:rPr>
          <w:sz w:val="24"/>
        </w:rPr>
        <w:t>s</w:t>
      </w:r>
      <w:r w:rsidRPr="004561B4">
        <w:rPr>
          <w:sz w:val="24"/>
        </w:rPr>
        <w:t xml:space="preserve"> sufficient notice to interested stakeholders of the existence of the </w:t>
      </w:r>
      <w:r w:rsidR="00E63EA7">
        <w:rPr>
          <w:sz w:val="24"/>
        </w:rPr>
        <w:t>P</w:t>
      </w:r>
      <w:r w:rsidRPr="004561B4">
        <w:rPr>
          <w:sz w:val="24"/>
        </w:rPr>
        <w:t>etition</w:t>
      </w:r>
      <w:r>
        <w:rPr>
          <w:sz w:val="24"/>
        </w:rPr>
        <w:t xml:space="preserve"> and of parties’ </w:t>
      </w:r>
      <w:r w:rsidRPr="004561B4">
        <w:rPr>
          <w:sz w:val="24"/>
        </w:rPr>
        <w:t>opportunity to respond</w:t>
      </w:r>
      <w:r>
        <w:rPr>
          <w:sz w:val="24"/>
        </w:rPr>
        <w:t xml:space="preserve"> </w:t>
      </w:r>
      <w:r w:rsidRPr="004561B4">
        <w:rPr>
          <w:sz w:val="24"/>
        </w:rPr>
        <w:t xml:space="preserve">to </w:t>
      </w:r>
      <w:r w:rsidR="00BD7359">
        <w:rPr>
          <w:sz w:val="24"/>
        </w:rPr>
        <w:t>the</w:t>
      </w:r>
      <w:r w:rsidRPr="004561B4" w:rsidR="00BD7359">
        <w:rPr>
          <w:sz w:val="24"/>
        </w:rPr>
        <w:t xml:space="preserve"> </w:t>
      </w:r>
      <w:r w:rsidR="00E63EA7">
        <w:rPr>
          <w:sz w:val="24"/>
        </w:rPr>
        <w:t>P</w:t>
      </w:r>
      <w:r w:rsidRPr="004561B4" w:rsidR="00E63EA7">
        <w:rPr>
          <w:sz w:val="24"/>
        </w:rPr>
        <w:t>etition</w:t>
      </w:r>
      <w:r w:rsidRPr="004561B4">
        <w:rPr>
          <w:sz w:val="24"/>
        </w:rPr>
        <w:t>.</w:t>
      </w:r>
    </w:p>
    <w:p w:rsidR="004561B4" w:rsidP="005A19D4" w14:paraId="488532C7" w14:textId="3FA21878">
      <w:pPr>
        <w:ind w:firstLine="720"/>
        <w:rPr>
          <w:sz w:val="24"/>
        </w:rPr>
      </w:pPr>
      <w:r w:rsidRPr="004561B4">
        <w:rPr>
          <w:sz w:val="24"/>
        </w:rPr>
        <w:t>Acti</w:t>
      </w:r>
      <w:r>
        <w:rPr>
          <w:sz w:val="24"/>
        </w:rPr>
        <w:t>on by the Deputy Chief, Wireless</w:t>
      </w:r>
      <w:r w:rsidRPr="004561B4">
        <w:rPr>
          <w:sz w:val="24"/>
        </w:rPr>
        <w:t xml:space="preserve"> </w:t>
      </w:r>
      <w:r>
        <w:rPr>
          <w:sz w:val="24"/>
        </w:rPr>
        <w:t xml:space="preserve">Telecommunications </w:t>
      </w:r>
      <w:r w:rsidRPr="004561B4">
        <w:rPr>
          <w:sz w:val="24"/>
        </w:rPr>
        <w:t>Bureau.</w:t>
      </w:r>
    </w:p>
    <w:p w:rsidR="004561B4" w:rsidRPr="004561B4" w:rsidP="004561B4" w14:paraId="38F9E891" w14:textId="48918E55">
      <w:pPr>
        <w:ind w:firstLine="720"/>
        <w:rPr>
          <w:sz w:val="24"/>
        </w:rPr>
      </w:pPr>
    </w:p>
    <w:p w:rsidR="004561B4" w:rsidP="005A19D4" w14:paraId="665BC835" w14:textId="0BFA87C0">
      <w:pPr>
        <w:ind w:firstLine="720"/>
        <w:rPr>
          <w:sz w:val="24"/>
        </w:rPr>
      </w:pPr>
      <w:r w:rsidRPr="004561B4">
        <w:rPr>
          <w:sz w:val="24"/>
        </w:rPr>
        <w:t xml:space="preserve">For further information, please contact </w:t>
      </w:r>
      <w:r>
        <w:rPr>
          <w:sz w:val="24"/>
        </w:rPr>
        <w:t>Don</w:t>
      </w:r>
      <w:r w:rsidR="00BD7359">
        <w:rPr>
          <w:sz w:val="24"/>
        </w:rPr>
        <w:t>ald</w:t>
      </w:r>
      <w:r>
        <w:rPr>
          <w:sz w:val="24"/>
        </w:rPr>
        <w:t xml:space="preserve"> Johnson</w:t>
      </w:r>
      <w:r w:rsidRPr="004561B4">
        <w:rPr>
          <w:sz w:val="24"/>
        </w:rPr>
        <w:t xml:space="preserve"> of the </w:t>
      </w:r>
      <w:r>
        <w:rPr>
          <w:sz w:val="24"/>
        </w:rPr>
        <w:t>Wireless Telecommunications</w:t>
      </w:r>
      <w:r w:rsidRPr="004561B4">
        <w:rPr>
          <w:sz w:val="24"/>
        </w:rPr>
        <w:t xml:space="preserve"> Bureau, Competition</w:t>
      </w:r>
      <w:r>
        <w:rPr>
          <w:sz w:val="24"/>
        </w:rPr>
        <w:t xml:space="preserve"> and Infrastructure</w:t>
      </w:r>
      <w:r w:rsidRPr="004561B4">
        <w:rPr>
          <w:sz w:val="24"/>
        </w:rPr>
        <w:t xml:space="preserve"> Po</w:t>
      </w:r>
      <w:r>
        <w:rPr>
          <w:sz w:val="24"/>
        </w:rPr>
        <w:t>licy Division, at (202) 418-7444</w:t>
      </w:r>
      <w:r w:rsidRPr="004561B4">
        <w:rPr>
          <w:sz w:val="24"/>
        </w:rPr>
        <w:t xml:space="preserve"> or</w:t>
      </w:r>
      <w:r>
        <w:rPr>
          <w:sz w:val="24"/>
        </w:rPr>
        <w:t xml:space="preserve"> </w:t>
      </w:r>
      <w:hyperlink r:id="rId5" w:history="1">
        <w:r w:rsidRPr="00836BC0">
          <w:rPr>
            <w:rStyle w:val="Hyperlink"/>
            <w:sz w:val="24"/>
          </w:rPr>
          <w:t>Donald.Johnson@fcc.gov</w:t>
        </w:r>
      </w:hyperlink>
      <w:r w:rsidRPr="004561B4">
        <w:rPr>
          <w:sz w:val="24"/>
        </w:rPr>
        <w:t>.</w:t>
      </w:r>
    </w:p>
    <w:p w:rsidR="004561B4" w:rsidP="004561B4" w14:paraId="6A1C88AC" w14:textId="77777777">
      <w:pPr>
        <w:ind w:firstLine="720"/>
        <w:rPr>
          <w:sz w:val="24"/>
        </w:rPr>
      </w:pPr>
    </w:p>
    <w:p w:rsidR="004561B4" w:rsidP="004561B4" w14:paraId="63B40C25" w14:textId="77777777">
      <w:pPr>
        <w:rPr>
          <w:sz w:val="24"/>
        </w:rPr>
      </w:pPr>
    </w:p>
    <w:p w:rsidR="004561B4" w:rsidRPr="004561B4" w:rsidP="004561B4" w14:paraId="0D42C33B" w14:textId="77777777">
      <w:pPr>
        <w:jc w:val="center"/>
        <w:rPr>
          <w:b/>
          <w:sz w:val="24"/>
        </w:rPr>
      </w:pPr>
      <w:r w:rsidRPr="004561B4">
        <w:rPr>
          <w:b/>
          <w:sz w:val="24"/>
        </w:rPr>
        <w:t>- FCC -</w:t>
      </w: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F17C11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D5807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96BBCA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5966CA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E0462" w14:paraId="4BA5EA2F" w14:textId="77777777">
      <w:r>
        <w:separator/>
      </w:r>
    </w:p>
  </w:footnote>
  <w:footnote w:type="continuationSeparator" w:id="1">
    <w:p w:rsidR="00EE0462" w14:paraId="5F97519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E0462" w:rsidP="00910F12" w14:paraId="59F6D8D9" w14:textId="77777777">
      <w:pPr>
        <w:jc w:val="right"/>
        <w:rPr>
          <w:sz w:val="20"/>
        </w:rPr>
      </w:pPr>
    </w:p>
  </w:footnote>
  <w:footnote w:id="3">
    <w:p w:rsidR="000708B5" w:rsidP="000708B5" w14:paraId="1258DDA0" w14:textId="65484B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60EB">
        <w:rPr>
          <w:i/>
        </w:rPr>
        <w:t>See</w:t>
      </w:r>
      <w:r>
        <w:t xml:space="preserve"> </w:t>
      </w:r>
      <w:r w:rsidRPr="00D160EB">
        <w:rPr>
          <w:i/>
        </w:rPr>
        <w:t>Accelerating Wireless Broadband Deployment by Removing Barriers to Infrastructure Investment</w:t>
      </w:r>
      <w:r>
        <w:t xml:space="preserve">; </w:t>
      </w:r>
      <w:r w:rsidRPr="00D160EB">
        <w:rPr>
          <w:i/>
        </w:rPr>
        <w:t>Accelerating Wireline Broadband Deployment by Removing Barriers to Infrastructure Investment</w:t>
      </w:r>
      <w:r w:rsidR="004561B4">
        <w:t>, WT Docket No. 17-79, WC</w:t>
      </w:r>
      <w:r>
        <w:t xml:space="preserve"> Docket No. 17-84, Declaratory Ruling and Third Report and Order, FCC 18-133 (rel. Sept. 27, 2018)</w:t>
      </w:r>
      <w:r w:rsidR="00C4572E">
        <w:t>.</w:t>
      </w:r>
      <w:r>
        <w:t xml:space="preserve"> </w:t>
      </w:r>
    </w:p>
  </w:footnote>
  <w:footnote w:id="4">
    <w:p w:rsidR="000708B5" w14:paraId="763B0270" w14:textId="40CF4F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8B5">
        <w:rPr>
          <w:i/>
        </w:rPr>
        <w:t>See</w:t>
      </w:r>
      <w:r>
        <w:t xml:space="preserve"> Petition for Reconsideration of </w:t>
      </w:r>
      <w:r w:rsidRPr="000708B5">
        <w:t>the City of New Orleans, Louisiana; Virginia Municipal League; Kentucky League of Cities; Mississippi Municipal League; Pennsylvania Municipal League; Alabama League of Municipalities; Arkansas Municipal League; Nevada League of Cities and Municipalities; Town of Middleburg, Virginia; Jefferson Parish, Louisiana; and the Government Wireless Technology &amp; Communications Association.</w:t>
      </w:r>
      <w:r>
        <w:t>, WT Docket No. 17-79, WC Docket No. 17-84 (filed Nov. 14, 2018)</w:t>
      </w:r>
      <w:r w:rsidR="00E63EA7">
        <w:t xml:space="preserve"> (“Petition”)</w:t>
      </w:r>
      <w:r>
        <w:t>.</w:t>
      </w:r>
    </w:p>
  </w:footnote>
  <w:footnote w:id="5">
    <w:p w:rsidR="009C425D" w14:paraId="50D96F2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19D4">
        <w:rPr>
          <w:i/>
        </w:rPr>
        <w:t>Id.</w:t>
      </w:r>
    </w:p>
  </w:footnote>
  <w:footnote w:id="6">
    <w:p w:rsidR="000708B5" w14:paraId="408B388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8B5">
        <w:rPr>
          <w:i/>
        </w:rPr>
        <w:t>See</w:t>
      </w:r>
      <w:r w:rsidRPr="000708B5">
        <w:t xml:space="preserve"> 47 CFR § 1.106(g).</w:t>
      </w:r>
    </w:p>
  </w:footnote>
  <w:footnote w:id="7">
    <w:p w:rsidR="00AD5775" w14:paraId="4B6A0B5F" w14:textId="76BDF1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0A9E">
        <w:rPr>
          <w:i/>
        </w:rPr>
        <w:t>See</w:t>
      </w:r>
      <w:r w:rsidRPr="00D50A9E">
        <w:t xml:space="preserve"> 47 CFR § 1.429(f).</w:t>
      </w:r>
    </w:p>
  </w:footnote>
  <w:footnote w:id="8">
    <w:p w:rsidR="00D50A9E" w14:paraId="073484B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0A9E">
        <w:rPr>
          <w:i/>
        </w:rPr>
        <w:t>See</w:t>
      </w:r>
      <w:r w:rsidRPr="00D50A9E">
        <w:t xml:space="preserve"> 47 CFR § 1.106(h).</w:t>
      </w:r>
    </w:p>
  </w:footnote>
  <w:footnote w:id="9">
    <w:p w:rsidR="00D50A9E" w14:paraId="04D4A4C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0A9E">
        <w:rPr>
          <w:i/>
        </w:rPr>
        <w:t>See</w:t>
      </w:r>
      <w:r w:rsidRPr="00D50A9E">
        <w:t xml:space="preserve"> 47 CFR § 1.429(g).</w:t>
      </w:r>
    </w:p>
  </w:footnote>
  <w:footnote w:id="10">
    <w:p w:rsidR="00EB3954" w14:paraId="74119F7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3954">
        <w:rPr>
          <w:i/>
        </w:rPr>
        <w:t>See</w:t>
      </w:r>
      <w:r w:rsidRPr="00EB3954">
        <w:t xml:space="preserve"> 47 CFR § 1.429(f)-(g).</w:t>
      </w:r>
    </w:p>
  </w:footnote>
  <w:footnote w:id="11">
    <w:p w:rsidR="00BE34F9" w14:paraId="4F036616" w14:textId="647AE4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3954">
        <w:rPr>
          <w:i/>
        </w:rPr>
        <w:t>See</w:t>
      </w:r>
      <w:r w:rsidRPr="009C47F3">
        <w:rPr>
          <w:i/>
        </w:rPr>
        <w:t xml:space="preserve"> </w:t>
      </w:r>
      <w:r w:rsidRPr="00EB3954">
        <w:t>47 CFR §</w:t>
      </w:r>
      <w:r w:rsidR="00570B14">
        <w:t>§</w:t>
      </w:r>
      <w:r w:rsidRPr="00EB3954">
        <w:t xml:space="preserve"> </w:t>
      </w:r>
      <w:r w:rsidR="00570B14">
        <w:t xml:space="preserve">1.106(f)-(h); </w:t>
      </w:r>
      <w:r w:rsidRPr="00EB3954">
        <w:t>1.3,</w:t>
      </w:r>
      <w:r>
        <w:t xml:space="preserve"> 1.429(f)-(g).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E7934BB" w14:textId="5C68757A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F72AB7">
      <w:rPr>
        <w:b/>
      </w:rPr>
      <w:t>DA 18-</w:t>
    </w:r>
    <w:r w:rsidR="001D3D65">
      <w:rPr>
        <w:b/>
      </w:rPr>
      <w:t>130</w:t>
    </w:r>
    <w:r w:rsidR="00174DF4">
      <w:rPr>
        <w:b/>
      </w:rPr>
      <w:t>3</w:t>
    </w:r>
  </w:p>
  <w:p w:rsidR="009838BC" w:rsidRPr="009838BC" w:rsidP="009838BC" w14:paraId="1AE8D66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177146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095AAC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15655E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1829A26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1047570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783489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8C5441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36F263B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BE9732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5F34DB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2D2489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C33"/>
    <w:multiLevelType w:val="hybridMultilevel"/>
    <w:tmpl w:val="3A9CFF5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0486FA0"/>
    <w:multiLevelType w:val="hybridMultilevel"/>
    <w:tmpl w:val="582023B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BA"/>
    <w:rsid w:val="000072CE"/>
    <w:rsid w:val="00013A8B"/>
    <w:rsid w:val="00021445"/>
    <w:rsid w:val="00036039"/>
    <w:rsid w:val="0003720A"/>
    <w:rsid w:val="00037F90"/>
    <w:rsid w:val="00041444"/>
    <w:rsid w:val="000708B5"/>
    <w:rsid w:val="000875BF"/>
    <w:rsid w:val="00096D8C"/>
    <w:rsid w:val="000B0A26"/>
    <w:rsid w:val="000C0B65"/>
    <w:rsid w:val="000D1AB5"/>
    <w:rsid w:val="000E3D42"/>
    <w:rsid w:val="000E5884"/>
    <w:rsid w:val="00122BD5"/>
    <w:rsid w:val="00174DF4"/>
    <w:rsid w:val="001979D9"/>
    <w:rsid w:val="001D2243"/>
    <w:rsid w:val="001D3D65"/>
    <w:rsid w:val="001D6BCF"/>
    <w:rsid w:val="001E01CA"/>
    <w:rsid w:val="001E6281"/>
    <w:rsid w:val="001F2C06"/>
    <w:rsid w:val="002060D9"/>
    <w:rsid w:val="00226822"/>
    <w:rsid w:val="00260594"/>
    <w:rsid w:val="00285017"/>
    <w:rsid w:val="002A2D2E"/>
    <w:rsid w:val="002C1C53"/>
    <w:rsid w:val="002D67B9"/>
    <w:rsid w:val="00343749"/>
    <w:rsid w:val="003526B6"/>
    <w:rsid w:val="00357D50"/>
    <w:rsid w:val="0037539F"/>
    <w:rsid w:val="003925DC"/>
    <w:rsid w:val="003B0550"/>
    <w:rsid w:val="003B694F"/>
    <w:rsid w:val="003E7214"/>
    <w:rsid w:val="003F171C"/>
    <w:rsid w:val="00412FC5"/>
    <w:rsid w:val="00422276"/>
    <w:rsid w:val="004242F1"/>
    <w:rsid w:val="00425B50"/>
    <w:rsid w:val="004419D2"/>
    <w:rsid w:val="00445A00"/>
    <w:rsid w:val="00451B0F"/>
    <w:rsid w:val="004561B4"/>
    <w:rsid w:val="0046125F"/>
    <w:rsid w:val="004763C0"/>
    <w:rsid w:val="00487524"/>
    <w:rsid w:val="00496106"/>
    <w:rsid w:val="004C12D0"/>
    <w:rsid w:val="004C2EE3"/>
    <w:rsid w:val="004E4A22"/>
    <w:rsid w:val="00511968"/>
    <w:rsid w:val="0055614C"/>
    <w:rsid w:val="00570B14"/>
    <w:rsid w:val="005A19D4"/>
    <w:rsid w:val="005A6C24"/>
    <w:rsid w:val="005D56B7"/>
    <w:rsid w:val="005D7DC1"/>
    <w:rsid w:val="00607BA5"/>
    <w:rsid w:val="00622CAE"/>
    <w:rsid w:val="00626EB6"/>
    <w:rsid w:val="006353A3"/>
    <w:rsid w:val="00654A09"/>
    <w:rsid w:val="00655D03"/>
    <w:rsid w:val="006577ED"/>
    <w:rsid w:val="00663137"/>
    <w:rsid w:val="00683F84"/>
    <w:rsid w:val="006A6A81"/>
    <w:rsid w:val="006C4C55"/>
    <w:rsid w:val="006E26AF"/>
    <w:rsid w:val="006F7393"/>
    <w:rsid w:val="0070224F"/>
    <w:rsid w:val="007115F7"/>
    <w:rsid w:val="00785689"/>
    <w:rsid w:val="007908D1"/>
    <w:rsid w:val="0079754B"/>
    <w:rsid w:val="007A1E6D"/>
    <w:rsid w:val="007D455F"/>
    <w:rsid w:val="007E7F9C"/>
    <w:rsid w:val="00822CE0"/>
    <w:rsid w:val="00836BC0"/>
    <w:rsid w:val="00837C62"/>
    <w:rsid w:val="00841AB1"/>
    <w:rsid w:val="00896B10"/>
    <w:rsid w:val="008C22FD"/>
    <w:rsid w:val="009012DE"/>
    <w:rsid w:val="00910F12"/>
    <w:rsid w:val="00926503"/>
    <w:rsid w:val="00930ECF"/>
    <w:rsid w:val="009838BC"/>
    <w:rsid w:val="009C425D"/>
    <w:rsid w:val="009C47F3"/>
    <w:rsid w:val="00A12FF0"/>
    <w:rsid w:val="00A17A5D"/>
    <w:rsid w:val="00A45F4F"/>
    <w:rsid w:val="00A600A9"/>
    <w:rsid w:val="00A866AC"/>
    <w:rsid w:val="00AA55B7"/>
    <w:rsid w:val="00AA5B9E"/>
    <w:rsid w:val="00AB2407"/>
    <w:rsid w:val="00AB53DF"/>
    <w:rsid w:val="00AD5775"/>
    <w:rsid w:val="00B07E5C"/>
    <w:rsid w:val="00B16EAA"/>
    <w:rsid w:val="00B20363"/>
    <w:rsid w:val="00B326E3"/>
    <w:rsid w:val="00B811F7"/>
    <w:rsid w:val="00B85678"/>
    <w:rsid w:val="00BA5DC6"/>
    <w:rsid w:val="00BA6196"/>
    <w:rsid w:val="00BC6D8C"/>
    <w:rsid w:val="00BD7359"/>
    <w:rsid w:val="00BE34F9"/>
    <w:rsid w:val="00BE68FB"/>
    <w:rsid w:val="00BF2900"/>
    <w:rsid w:val="00C03704"/>
    <w:rsid w:val="00C16AF2"/>
    <w:rsid w:val="00C34006"/>
    <w:rsid w:val="00C426B1"/>
    <w:rsid w:val="00C4572E"/>
    <w:rsid w:val="00C82B6B"/>
    <w:rsid w:val="00C90D6A"/>
    <w:rsid w:val="00C9461C"/>
    <w:rsid w:val="00C9493E"/>
    <w:rsid w:val="00CC72B6"/>
    <w:rsid w:val="00D0218D"/>
    <w:rsid w:val="00D160EB"/>
    <w:rsid w:val="00D216CD"/>
    <w:rsid w:val="00D33E8B"/>
    <w:rsid w:val="00D50A9E"/>
    <w:rsid w:val="00D6629A"/>
    <w:rsid w:val="00D93217"/>
    <w:rsid w:val="00DA2529"/>
    <w:rsid w:val="00DB130A"/>
    <w:rsid w:val="00DB218A"/>
    <w:rsid w:val="00DC10A1"/>
    <w:rsid w:val="00DC3EBA"/>
    <w:rsid w:val="00DC655F"/>
    <w:rsid w:val="00DD7EBD"/>
    <w:rsid w:val="00DF4D9D"/>
    <w:rsid w:val="00DF62B6"/>
    <w:rsid w:val="00E07225"/>
    <w:rsid w:val="00E12452"/>
    <w:rsid w:val="00E155B7"/>
    <w:rsid w:val="00E162A3"/>
    <w:rsid w:val="00E5409F"/>
    <w:rsid w:val="00E55914"/>
    <w:rsid w:val="00E63EA7"/>
    <w:rsid w:val="00E90BC4"/>
    <w:rsid w:val="00EB3954"/>
    <w:rsid w:val="00EC0185"/>
    <w:rsid w:val="00EC147B"/>
    <w:rsid w:val="00EE0462"/>
    <w:rsid w:val="00F021FA"/>
    <w:rsid w:val="00F20166"/>
    <w:rsid w:val="00F57ACA"/>
    <w:rsid w:val="00F62E97"/>
    <w:rsid w:val="00F64209"/>
    <w:rsid w:val="00F65606"/>
    <w:rsid w:val="00F72AB7"/>
    <w:rsid w:val="00F90091"/>
    <w:rsid w:val="00F93BF5"/>
    <w:rsid w:val="00F96F63"/>
    <w:rsid w:val="00FF17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28C242F-74A0-45CA-B783-FBD8C4B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1B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D1AB5"/>
    <w:pPr>
      <w:widowControl w:val="0"/>
    </w:pPr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441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D2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2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25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25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Donald.Johnson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